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D1BB5F">
      <w:pPr>
        <w:shd w:val="clear"/>
        <w:spacing w:line="360" w:lineRule="auto"/>
        <w:jc w:val="center"/>
        <w:rPr>
          <w:rFonts w:hint="eastAsia" w:ascii="宋体" w:hAnsi="宋体" w:cs="宋体"/>
          <w:b/>
          <w:color w:val="auto"/>
          <w:sz w:val="24"/>
          <w:highlight w:val="none"/>
        </w:rPr>
      </w:pPr>
    </w:p>
    <w:p w14:paraId="738AEE1F">
      <w:pPr>
        <w:shd w:val="clear"/>
        <w:spacing w:line="360" w:lineRule="auto"/>
        <w:jc w:val="center"/>
        <w:rPr>
          <w:rFonts w:ascii="宋体" w:hAnsi="宋体" w:cs="宋体"/>
          <w:b/>
          <w:color w:val="auto"/>
          <w:sz w:val="24"/>
          <w:highlight w:val="none"/>
        </w:rPr>
      </w:pPr>
    </w:p>
    <w:p w14:paraId="2E9E70EA">
      <w:pPr>
        <w:shd w:val="clear"/>
        <w:adjustRightInd/>
        <w:spacing w:line="360" w:lineRule="auto"/>
        <w:jc w:val="center"/>
        <w:rPr>
          <w:rFonts w:ascii="宋体" w:hAnsi="宋体" w:cs="宋体"/>
          <w:b/>
          <w:color w:val="auto"/>
          <w:sz w:val="48"/>
          <w:szCs w:val="48"/>
          <w:highlight w:val="none"/>
        </w:rPr>
      </w:pPr>
    </w:p>
    <w:p w14:paraId="1ED6B2F6">
      <w:pPr>
        <w:shd w:val="clear"/>
        <w:adjustRightInd/>
        <w:spacing w:line="360" w:lineRule="auto"/>
        <w:jc w:val="center"/>
        <w:rPr>
          <w:rFonts w:hint="eastAsia" w:ascii="宋体" w:hAnsi="宋体" w:eastAsia="宋体" w:cs="宋体"/>
          <w:color w:val="auto"/>
          <w:sz w:val="44"/>
          <w:szCs w:val="44"/>
          <w:highlight w:val="none"/>
          <w:lang w:eastAsia="zh-CN"/>
        </w:rPr>
      </w:pPr>
      <w:r>
        <w:rPr>
          <w:rFonts w:hint="eastAsia" w:ascii="宋体" w:hAnsi="宋体" w:cs="宋体"/>
          <w:color w:val="auto"/>
          <w:sz w:val="36"/>
          <w:szCs w:val="36"/>
          <w:highlight w:val="none"/>
          <w:lang w:eastAsia="zh-CN"/>
        </w:rPr>
        <w:t>2024年大运河数智未来城高新云梯暖企通平台建设项目</w:t>
      </w:r>
    </w:p>
    <w:p w14:paraId="22DC72A6">
      <w:pPr>
        <w:shd w:val="clea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 xml:space="preserve">招标文件 </w:t>
      </w:r>
    </w:p>
    <w:p w14:paraId="397E3915">
      <w:pPr>
        <w:shd w:val="clea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14:paraId="185203F6">
      <w:pPr>
        <w:shd w:val="clear"/>
        <w:snapToGrid w:val="0"/>
        <w:spacing w:line="360" w:lineRule="auto"/>
        <w:jc w:val="center"/>
        <w:rPr>
          <w:rFonts w:hint="eastAsia" w:ascii="宋体" w:hAnsi="宋体" w:eastAsia="宋体" w:cs="宋体"/>
          <w:color w:val="auto"/>
          <w:sz w:val="30"/>
          <w:szCs w:val="30"/>
          <w:highlight w:val="none"/>
          <w:lang w:eastAsia="zh-CN"/>
        </w:rPr>
      </w:pPr>
      <w:r>
        <w:rPr>
          <w:rFonts w:hint="eastAsia" w:ascii="宋体" w:hAnsi="宋体" w:cs="宋体"/>
          <w:color w:val="auto"/>
          <w:sz w:val="30"/>
          <w:szCs w:val="30"/>
          <w:highlight w:val="none"/>
        </w:rPr>
        <w:t>编号:</w:t>
      </w:r>
      <w:r>
        <w:rPr>
          <w:rFonts w:hint="eastAsia" w:ascii="宋体" w:hAnsi="宋体" w:cs="宋体"/>
          <w:color w:val="auto"/>
          <w:sz w:val="30"/>
          <w:szCs w:val="30"/>
          <w:highlight w:val="none"/>
          <w:lang w:eastAsia="zh-CN"/>
        </w:rPr>
        <w:t>HCZB-2024070203009</w:t>
      </w:r>
    </w:p>
    <w:p w14:paraId="67F8CFFF">
      <w:pPr>
        <w:shd w:val="clear"/>
        <w:adjustRightInd/>
        <w:spacing w:line="360" w:lineRule="auto"/>
        <w:rPr>
          <w:rFonts w:ascii="宋体" w:hAnsi="宋体" w:cs="宋体"/>
          <w:color w:val="auto"/>
          <w:sz w:val="28"/>
          <w:szCs w:val="20"/>
          <w:highlight w:val="none"/>
        </w:rPr>
      </w:pPr>
    </w:p>
    <w:p w14:paraId="62852E14">
      <w:pPr>
        <w:shd w:val="clea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14:paraId="75C2F233">
      <w:pPr>
        <w:shd w:val="clear"/>
        <w:spacing w:line="360" w:lineRule="auto"/>
        <w:jc w:val="center"/>
        <w:rPr>
          <w:rFonts w:ascii="宋体" w:hAnsi="宋体" w:cs="宋体"/>
          <w:b/>
          <w:color w:val="auto"/>
          <w:sz w:val="44"/>
          <w:szCs w:val="44"/>
          <w:highlight w:val="none"/>
        </w:rPr>
      </w:pPr>
    </w:p>
    <w:p w14:paraId="6B8A291D">
      <w:pPr>
        <w:shd w:val="clear"/>
        <w:spacing w:line="360" w:lineRule="auto"/>
        <w:jc w:val="center"/>
        <w:rPr>
          <w:rFonts w:ascii="宋体" w:hAnsi="宋体" w:cs="宋体"/>
          <w:color w:val="auto"/>
          <w:sz w:val="24"/>
          <w:highlight w:val="none"/>
        </w:rPr>
      </w:pPr>
    </w:p>
    <w:p w14:paraId="6BE80ADF">
      <w:pPr>
        <w:shd w:val="clear"/>
        <w:spacing w:line="360" w:lineRule="auto"/>
        <w:jc w:val="center"/>
        <w:rPr>
          <w:rFonts w:ascii="宋体" w:hAnsi="宋体" w:cs="宋体"/>
          <w:color w:val="auto"/>
          <w:sz w:val="24"/>
          <w:highlight w:val="none"/>
        </w:rPr>
      </w:pPr>
    </w:p>
    <w:p w14:paraId="328C6CAF">
      <w:pPr>
        <w:shd w:val="clear"/>
        <w:spacing w:line="360" w:lineRule="auto"/>
        <w:rPr>
          <w:rFonts w:ascii="宋体" w:hAnsi="宋体" w:cs="宋体"/>
          <w:color w:val="auto"/>
          <w:sz w:val="32"/>
          <w:szCs w:val="32"/>
          <w:highlight w:val="none"/>
        </w:rPr>
      </w:pPr>
    </w:p>
    <w:p w14:paraId="18A14E41">
      <w:pPr>
        <w:shd w:val="clear"/>
        <w:snapToGrid w:val="0"/>
        <w:spacing w:line="360" w:lineRule="auto"/>
        <w:jc w:val="center"/>
        <w:rPr>
          <w:rFonts w:hint="eastAsia" w:ascii="宋体" w:hAnsi="宋体" w:cs="宋体"/>
          <w:color w:val="auto"/>
          <w:sz w:val="32"/>
          <w:szCs w:val="32"/>
          <w:highlight w:val="none"/>
          <w:lang w:eastAsia="zh-CN"/>
        </w:rPr>
      </w:pPr>
    </w:p>
    <w:p w14:paraId="12FE110C">
      <w:pPr>
        <w:shd w:val="clear"/>
        <w:snapToGrid w:val="0"/>
        <w:spacing w:line="360" w:lineRule="auto"/>
        <w:jc w:val="center"/>
        <w:rPr>
          <w:rFonts w:hint="eastAsia" w:ascii="宋体" w:hAnsi="宋体" w:cs="宋体"/>
          <w:color w:val="auto"/>
          <w:sz w:val="32"/>
          <w:szCs w:val="32"/>
          <w:highlight w:val="none"/>
          <w:lang w:eastAsia="zh-CN"/>
        </w:rPr>
      </w:pPr>
    </w:p>
    <w:p w14:paraId="439B3B3F">
      <w:pPr>
        <w:shd w:val="clear"/>
        <w:snapToGrid w:val="0"/>
        <w:spacing w:line="360" w:lineRule="auto"/>
        <w:jc w:val="center"/>
        <w:rPr>
          <w:rFonts w:hint="eastAsia" w:ascii="宋体" w:hAnsi="宋体" w:cs="宋体"/>
          <w:color w:val="auto"/>
          <w:sz w:val="32"/>
          <w:szCs w:val="32"/>
          <w:highlight w:val="none"/>
          <w:lang w:eastAsia="zh-CN"/>
        </w:rPr>
      </w:pPr>
    </w:p>
    <w:p w14:paraId="4E6073F9">
      <w:pPr>
        <w:shd w:val="clear"/>
        <w:snapToGrid w:val="0"/>
        <w:spacing w:line="360" w:lineRule="auto"/>
        <w:jc w:val="center"/>
        <w:rPr>
          <w:rFonts w:hint="eastAsia" w:ascii="宋体" w:hAnsi="宋体" w:eastAsia="宋体" w:cs="宋体"/>
          <w:color w:val="auto"/>
          <w:sz w:val="32"/>
          <w:szCs w:val="32"/>
          <w:highlight w:val="none"/>
          <w:lang w:eastAsia="zh-CN"/>
        </w:rPr>
      </w:pPr>
      <w:r>
        <w:rPr>
          <w:rFonts w:hint="eastAsia" w:ascii="宋体" w:hAnsi="宋体" w:cs="宋体"/>
          <w:color w:val="auto"/>
          <w:sz w:val="32"/>
          <w:szCs w:val="32"/>
          <w:highlight w:val="none"/>
          <w:lang w:eastAsia="zh-CN"/>
        </w:rPr>
        <w:t>杭州大运河数智未来城管理委员会</w:t>
      </w:r>
    </w:p>
    <w:p w14:paraId="63215398">
      <w:pPr>
        <w:shd w:val="clear"/>
        <w:spacing w:line="360" w:lineRule="auto"/>
        <w:jc w:val="center"/>
        <w:rPr>
          <w:rFonts w:hint="eastAsia" w:ascii="宋体" w:hAnsi="宋体" w:eastAsia="宋体" w:cs="宋体"/>
          <w:bCs/>
          <w:color w:val="auto"/>
          <w:sz w:val="32"/>
          <w:szCs w:val="32"/>
          <w:highlight w:val="none"/>
          <w:lang w:eastAsia="zh-CN"/>
        </w:rPr>
      </w:pPr>
      <w:r>
        <w:rPr>
          <w:rFonts w:hint="eastAsia" w:ascii="宋体" w:hAnsi="宋体" w:cs="宋体"/>
          <w:bCs/>
          <w:color w:val="auto"/>
          <w:sz w:val="32"/>
          <w:szCs w:val="32"/>
          <w:highlight w:val="none"/>
          <w:lang w:eastAsia="zh-CN"/>
        </w:rPr>
        <w:t>华诚工程咨询集团有限公司</w:t>
      </w:r>
    </w:p>
    <w:p w14:paraId="6564814A">
      <w:pPr>
        <w:shd w:val="clear"/>
        <w:snapToGrid w:val="0"/>
        <w:spacing w:line="360" w:lineRule="auto"/>
        <w:jc w:val="center"/>
        <w:rPr>
          <w:rFonts w:hint="eastAsia" w:ascii="宋体" w:hAnsi="宋体" w:eastAsia="宋体" w:cs="宋体"/>
          <w:bCs/>
          <w:color w:val="auto"/>
          <w:sz w:val="32"/>
          <w:szCs w:val="32"/>
          <w:highlight w:val="none"/>
          <w:lang w:eastAsia="zh-CN"/>
        </w:rPr>
      </w:pPr>
      <w:r>
        <w:rPr>
          <w:rFonts w:hint="eastAsia" w:ascii="宋体" w:hAnsi="宋体" w:cs="宋体"/>
          <w:bCs/>
          <w:color w:val="auto"/>
          <w:sz w:val="32"/>
          <w:szCs w:val="32"/>
          <w:highlight w:val="none"/>
          <w:lang w:eastAsia="zh-CN"/>
        </w:rPr>
        <w:t>二〇二四年</w:t>
      </w:r>
      <w:r>
        <w:rPr>
          <w:rFonts w:hint="eastAsia" w:ascii="宋体" w:hAnsi="宋体" w:cs="宋体"/>
          <w:bCs/>
          <w:color w:val="auto"/>
          <w:sz w:val="32"/>
          <w:szCs w:val="32"/>
          <w:highlight w:val="none"/>
          <w:lang w:val="en-US" w:eastAsia="zh-CN"/>
        </w:rPr>
        <w:t>七</w:t>
      </w:r>
      <w:r>
        <w:rPr>
          <w:rFonts w:hint="eastAsia" w:ascii="宋体" w:hAnsi="宋体" w:cs="宋体"/>
          <w:bCs/>
          <w:color w:val="auto"/>
          <w:sz w:val="32"/>
          <w:szCs w:val="32"/>
          <w:highlight w:val="none"/>
          <w:lang w:eastAsia="zh-CN"/>
        </w:rPr>
        <w:t>月</w:t>
      </w:r>
      <w:r>
        <w:rPr>
          <w:rFonts w:hint="eastAsia" w:ascii="宋体" w:hAnsi="宋体" w:cs="宋体"/>
          <w:bCs/>
          <w:color w:val="auto"/>
          <w:sz w:val="32"/>
          <w:szCs w:val="32"/>
          <w:highlight w:val="none"/>
          <w:lang w:val="en-US" w:eastAsia="zh-CN"/>
        </w:rPr>
        <w:t>三十一</w:t>
      </w:r>
      <w:r>
        <w:rPr>
          <w:rFonts w:hint="eastAsia" w:ascii="宋体" w:hAnsi="宋体" w:cs="宋体"/>
          <w:bCs/>
          <w:color w:val="auto"/>
          <w:sz w:val="32"/>
          <w:szCs w:val="32"/>
          <w:highlight w:val="none"/>
          <w:lang w:eastAsia="zh-CN"/>
        </w:rPr>
        <w:t>日</w:t>
      </w:r>
    </w:p>
    <w:p w14:paraId="63B78DEB">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14:paraId="16C24150">
      <w:pPr>
        <w:pStyle w:val="636"/>
        <w:shd w:val="clear"/>
        <w:rPr>
          <w:color w:val="auto"/>
          <w:highlight w:val="none"/>
        </w:rPr>
      </w:pPr>
    </w:p>
    <w:p w14:paraId="139A00DB">
      <w:pPr>
        <w:shd w:val="clea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459F89CC">
      <w:pPr>
        <w:shd w:val="clear"/>
        <w:spacing w:line="360" w:lineRule="auto"/>
        <w:rPr>
          <w:rFonts w:ascii="宋体" w:hAnsi="宋体" w:cs="宋体"/>
          <w:color w:val="auto"/>
          <w:sz w:val="32"/>
          <w:szCs w:val="32"/>
          <w:highlight w:val="none"/>
        </w:rPr>
      </w:pPr>
    </w:p>
    <w:p w14:paraId="36A624C0">
      <w:pPr>
        <w:shd w:val="clear"/>
        <w:spacing w:line="360" w:lineRule="auto"/>
        <w:rPr>
          <w:rFonts w:ascii="宋体" w:hAnsi="宋体" w:cs="宋体"/>
          <w:color w:val="auto"/>
          <w:sz w:val="32"/>
          <w:szCs w:val="32"/>
          <w:highlight w:val="none"/>
        </w:rPr>
      </w:pPr>
    </w:p>
    <w:p w14:paraId="175A2551">
      <w:pPr>
        <w:shd w:val="clea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14:paraId="73132DCF">
      <w:pPr>
        <w:shd w:val="clea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14:paraId="652585B2">
      <w:pPr>
        <w:shd w:val="clea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3BED138F">
      <w:pPr>
        <w:shd w:val="clea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14:paraId="430E6D1C">
      <w:pPr>
        <w:shd w:val="clea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6E9371E6">
      <w:pPr>
        <w:shd w:val="clea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26EAF179">
      <w:pPr>
        <w:shd w:val="clear"/>
        <w:spacing w:line="360" w:lineRule="auto"/>
        <w:ind w:firstLine="549" w:firstLineChars="229"/>
        <w:rPr>
          <w:rFonts w:ascii="宋体" w:hAnsi="宋体" w:cs="宋体"/>
          <w:color w:val="auto"/>
          <w:sz w:val="24"/>
          <w:highlight w:val="none"/>
        </w:rPr>
      </w:pPr>
      <w:bookmarkStart w:id="1" w:name="_Hlt91233176"/>
      <w:bookmarkEnd w:id="1"/>
      <w:bookmarkStart w:id="2" w:name="_Toc91899869"/>
    </w:p>
    <w:p w14:paraId="496CFE11">
      <w:pPr>
        <w:shd w:val="clear"/>
        <w:spacing w:line="360" w:lineRule="auto"/>
        <w:ind w:firstLine="549" w:firstLineChars="229"/>
        <w:rPr>
          <w:rFonts w:ascii="宋体" w:hAnsi="宋体" w:cs="宋体"/>
          <w:color w:val="auto"/>
          <w:sz w:val="24"/>
          <w:highlight w:val="none"/>
        </w:rPr>
      </w:pPr>
    </w:p>
    <w:p w14:paraId="157E7C5E">
      <w:pPr>
        <w:shd w:val="clear"/>
        <w:spacing w:line="360" w:lineRule="auto"/>
        <w:ind w:firstLine="549" w:firstLineChars="229"/>
        <w:rPr>
          <w:rFonts w:ascii="宋体" w:hAnsi="宋体" w:cs="宋体"/>
          <w:color w:val="auto"/>
          <w:sz w:val="24"/>
          <w:highlight w:val="none"/>
        </w:rPr>
      </w:pPr>
    </w:p>
    <w:p w14:paraId="0093E064">
      <w:pPr>
        <w:shd w:val="clear"/>
        <w:spacing w:line="360" w:lineRule="auto"/>
        <w:ind w:firstLine="549" w:firstLineChars="229"/>
        <w:rPr>
          <w:rFonts w:ascii="宋体" w:hAnsi="宋体" w:cs="宋体"/>
          <w:color w:val="auto"/>
          <w:sz w:val="24"/>
          <w:highlight w:val="none"/>
        </w:rPr>
      </w:pPr>
    </w:p>
    <w:p w14:paraId="2C3B1EA5">
      <w:pPr>
        <w:shd w:val="clear"/>
        <w:spacing w:line="360" w:lineRule="auto"/>
        <w:ind w:firstLine="549" w:firstLineChars="229"/>
        <w:rPr>
          <w:rFonts w:ascii="宋体" w:hAnsi="宋体" w:cs="宋体"/>
          <w:color w:val="auto"/>
          <w:sz w:val="24"/>
          <w:highlight w:val="none"/>
        </w:rPr>
      </w:pPr>
    </w:p>
    <w:p w14:paraId="2FA6FBEA">
      <w:pPr>
        <w:shd w:val="clear"/>
        <w:spacing w:line="360" w:lineRule="auto"/>
        <w:ind w:firstLine="549" w:firstLineChars="229"/>
        <w:rPr>
          <w:rFonts w:ascii="宋体" w:hAnsi="宋体" w:cs="宋体"/>
          <w:color w:val="auto"/>
          <w:sz w:val="24"/>
          <w:highlight w:val="none"/>
        </w:rPr>
      </w:pPr>
    </w:p>
    <w:p w14:paraId="58C9F1D7">
      <w:pPr>
        <w:shd w:val="clear"/>
        <w:spacing w:line="360" w:lineRule="auto"/>
        <w:ind w:firstLine="549" w:firstLineChars="229"/>
        <w:rPr>
          <w:rFonts w:ascii="宋体" w:hAnsi="宋体" w:cs="宋体"/>
          <w:color w:val="auto"/>
          <w:sz w:val="24"/>
          <w:highlight w:val="none"/>
        </w:rPr>
      </w:pPr>
    </w:p>
    <w:p w14:paraId="643360FD">
      <w:pPr>
        <w:shd w:val="clear"/>
        <w:spacing w:line="360" w:lineRule="auto"/>
        <w:ind w:firstLine="549" w:firstLineChars="229"/>
        <w:rPr>
          <w:rFonts w:ascii="宋体" w:hAnsi="宋体" w:cs="宋体"/>
          <w:color w:val="auto"/>
          <w:sz w:val="24"/>
          <w:highlight w:val="none"/>
        </w:rPr>
      </w:pPr>
    </w:p>
    <w:p w14:paraId="559FF9C9">
      <w:pPr>
        <w:shd w:val="clear"/>
        <w:spacing w:line="360" w:lineRule="auto"/>
        <w:ind w:firstLine="549" w:firstLineChars="229"/>
        <w:rPr>
          <w:rFonts w:ascii="宋体" w:hAnsi="宋体" w:cs="宋体"/>
          <w:color w:val="auto"/>
          <w:sz w:val="24"/>
          <w:highlight w:val="none"/>
        </w:rPr>
      </w:pPr>
    </w:p>
    <w:p w14:paraId="1AC10C8B">
      <w:pPr>
        <w:shd w:val="clear"/>
        <w:spacing w:line="360" w:lineRule="auto"/>
        <w:ind w:firstLine="549" w:firstLineChars="229"/>
        <w:rPr>
          <w:rFonts w:ascii="宋体" w:hAnsi="宋体" w:cs="宋体"/>
          <w:color w:val="auto"/>
          <w:sz w:val="24"/>
          <w:highlight w:val="none"/>
        </w:rPr>
      </w:pPr>
    </w:p>
    <w:p w14:paraId="7475CB57">
      <w:pPr>
        <w:shd w:val="clear"/>
        <w:spacing w:line="360" w:lineRule="auto"/>
        <w:ind w:firstLine="549" w:firstLineChars="229"/>
        <w:rPr>
          <w:rFonts w:ascii="宋体" w:hAnsi="宋体" w:cs="宋体"/>
          <w:color w:val="auto"/>
          <w:sz w:val="24"/>
          <w:highlight w:val="none"/>
        </w:rPr>
      </w:pPr>
    </w:p>
    <w:p w14:paraId="0514B3CD">
      <w:pPr>
        <w:shd w:val="clear"/>
        <w:spacing w:line="360" w:lineRule="auto"/>
        <w:ind w:firstLine="549" w:firstLineChars="229"/>
        <w:rPr>
          <w:rFonts w:ascii="宋体" w:hAnsi="宋体" w:cs="宋体"/>
          <w:color w:val="auto"/>
          <w:sz w:val="24"/>
          <w:highlight w:val="none"/>
        </w:rPr>
      </w:pPr>
    </w:p>
    <w:p w14:paraId="0553CAD5">
      <w:pPr>
        <w:shd w:val="clear"/>
        <w:spacing w:line="360" w:lineRule="auto"/>
        <w:ind w:firstLine="549" w:firstLineChars="229"/>
        <w:rPr>
          <w:rFonts w:ascii="宋体" w:hAnsi="宋体" w:cs="宋体"/>
          <w:color w:val="auto"/>
          <w:sz w:val="24"/>
          <w:highlight w:val="none"/>
        </w:rPr>
      </w:pPr>
    </w:p>
    <w:p w14:paraId="607502AB">
      <w:pPr>
        <w:shd w:val="clear"/>
        <w:spacing w:line="360" w:lineRule="auto"/>
        <w:rPr>
          <w:rFonts w:ascii="宋体" w:hAnsi="宋体" w:cs="宋体"/>
          <w:color w:val="auto"/>
          <w:sz w:val="24"/>
          <w:highlight w:val="none"/>
        </w:rPr>
      </w:pPr>
    </w:p>
    <w:p w14:paraId="11F67DB6">
      <w:pPr>
        <w:shd w:val="clear"/>
        <w:adjustRightInd/>
        <w:spacing w:line="360" w:lineRule="auto"/>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728647"/>
      <w:bookmarkEnd w:id="4"/>
      <w:bookmarkStart w:id="5" w:name="_Hlt74649545"/>
      <w:bookmarkEnd w:id="5"/>
      <w:bookmarkStart w:id="6" w:name="_Hlt74707423"/>
      <w:bookmarkEnd w:id="6"/>
      <w:bookmarkStart w:id="7" w:name="_Hlt74729822"/>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招标公告</w:t>
      </w:r>
    </w:p>
    <w:p w14:paraId="55E608E4">
      <w:pPr>
        <w:pBdr>
          <w:top w:val="single" w:color="auto" w:sz="4" w:space="1"/>
          <w:left w:val="single" w:color="auto" w:sz="4" w:space="4"/>
          <w:bottom w:val="single" w:color="auto" w:sz="4" w:space="1"/>
          <w:right w:val="single" w:color="auto" w:sz="4" w:space="4"/>
        </w:pBd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项目概况</w:t>
      </w:r>
    </w:p>
    <w:p w14:paraId="6E42C258">
      <w:pPr>
        <w:pBdr>
          <w:top w:val="single" w:color="auto" w:sz="4" w:space="1"/>
          <w:left w:val="single" w:color="auto" w:sz="4" w:space="4"/>
          <w:bottom w:val="single" w:color="auto" w:sz="4" w:space="1"/>
          <w:right w:val="single" w:color="auto" w:sz="4" w:space="4"/>
        </w:pBdr>
        <w:shd w:val="clea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lang w:eastAsia="zh-CN"/>
        </w:rPr>
        <w:t>2024年大运河数智未来城高新云梯暖企通平台建设项目</w:t>
      </w:r>
      <w:r>
        <w:rPr>
          <w:rFonts w:hint="eastAsia" w:ascii="宋体" w:hAnsi="宋体" w:cs="宋体"/>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8"/>
          <w:rFonts w:hint="eastAsia" w:ascii="宋体" w:hAnsi="宋体" w:eastAsia="宋体" w:cs="宋体"/>
          <w:color w:val="auto"/>
          <w:kern w:val="2"/>
          <w:sz w:val="24"/>
          <w:szCs w:val="24"/>
          <w:highlight w:val="none"/>
        </w:rPr>
        <w:t>https://www.zcygov.cn/）获取（下载）招标文件，并于202</w:t>
      </w:r>
      <w:r>
        <w:rPr>
          <w:rStyle w:val="78"/>
          <w:rFonts w:hint="eastAsia" w:ascii="宋体" w:hAnsi="宋体" w:cs="宋体"/>
          <w:color w:val="auto"/>
          <w:kern w:val="2"/>
          <w:sz w:val="24"/>
          <w:szCs w:val="24"/>
          <w:highlight w:val="none"/>
          <w:lang w:val="en-US" w:eastAsia="zh-CN"/>
        </w:rPr>
        <w:t>4</w:t>
      </w:r>
      <w:r>
        <w:rPr>
          <w:rStyle w:val="78"/>
          <w:rFonts w:hint="eastAsia" w:ascii="宋体" w:hAnsi="宋体" w:eastAsia="宋体" w:cs="宋体"/>
          <w:color w:val="auto"/>
          <w:kern w:val="2"/>
          <w:sz w:val="24"/>
          <w:szCs w:val="24"/>
          <w:highlight w:val="none"/>
        </w:rPr>
        <w:t>年</w:t>
      </w:r>
      <w:r>
        <w:rPr>
          <w:rStyle w:val="78"/>
          <w:rFonts w:hint="eastAsia" w:ascii="宋体" w:hAnsi="宋体" w:cs="宋体"/>
          <w:color w:val="auto"/>
          <w:kern w:val="2"/>
          <w:sz w:val="24"/>
          <w:szCs w:val="24"/>
          <w:highlight w:val="none"/>
          <w:lang w:val="en-US" w:eastAsia="zh-CN"/>
        </w:rPr>
        <w:t>08</w:t>
      </w:r>
      <w:r>
        <w:rPr>
          <w:rStyle w:val="78"/>
          <w:rFonts w:hint="eastAsia" w:ascii="宋体" w:hAnsi="宋体" w:eastAsia="宋体" w:cs="宋体"/>
          <w:color w:val="auto"/>
          <w:kern w:val="2"/>
          <w:sz w:val="24"/>
          <w:szCs w:val="24"/>
          <w:highlight w:val="none"/>
        </w:rPr>
        <w:t>月</w:t>
      </w:r>
      <w:r>
        <w:rPr>
          <w:rStyle w:val="78"/>
          <w:rFonts w:hint="eastAsia" w:ascii="宋体" w:hAnsi="宋体" w:cs="宋体"/>
          <w:color w:val="auto"/>
          <w:kern w:val="2"/>
          <w:sz w:val="24"/>
          <w:szCs w:val="24"/>
          <w:highlight w:val="none"/>
          <w:lang w:val="en-US" w:eastAsia="zh-CN"/>
        </w:rPr>
        <w:t>20</w:t>
      </w:r>
      <w:r>
        <w:rPr>
          <w:rStyle w:val="78"/>
          <w:rFonts w:hint="eastAsia" w:ascii="宋体" w:hAnsi="宋体" w:eastAsia="宋体" w:cs="宋体"/>
          <w:color w:val="auto"/>
          <w:kern w:val="2"/>
          <w:sz w:val="24"/>
          <w:szCs w:val="24"/>
          <w:highlight w:val="none"/>
        </w:rPr>
        <w:t>日</w:t>
      </w:r>
      <w:r>
        <w:rPr>
          <w:rStyle w:val="78"/>
          <w:rFonts w:hint="eastAsia" w:ascii="宋体" w:hAnsi="宋体" w:cs="宋体"/>
          <w:color w:val="auto"/>
          <w:kern w:val="2"/>
          <w:sz w:val="24"/>
          <w:szCs w:val="24"/>
          <w:highlight w:val="none"/>
          <w:lang w:eastAsia="zh-CN"/>
        </w:rPr>
        <w:t>13</w:t>
      </w:r>
      <w:r>
        <w:rPr>
          <w:rStyle w:val="78"/>
          <w:rFonts w:hint="eastAsia" w:ascii="宋体" w:hAnsi="宋体" w:eastAsia="宋体" w:cs="宋体"/>
          <w:color w:val="auto"/>
          <w:kern w:val="2"/>
          <w:sz w:val="24"/>
          <w:szCs w:val="24"/>
          <w:highlight w:val="none"/>
        </w:rPr>
        <w:t>点</w:t>
      </w:r>
      <w:r>
        <w:rPr>
          <w:rStyle w:val="78"/>
          <w:rFonts w:hint="eastAsia" w:ascii="宋体" w:hAnsi="宋体" w:cs="宋体"/>
          <w:color w:val="auto"/>
          <w:kern w:val="2"/>
          <w:sz w:val="24"/>
          <w:szCs w:val="24"/>
          <w:highlight w:val="none"/>
          <w:lang w:eastAsia="zh-CN"/>
        </w:rPr>
        <w:t>30</w:t>
      </w:r>
      <w:r>
        <w:rPr>
          <w:rStyle w:val="78"/>
          <w:rFonts w:hint="eastAsia" w:ascii="宋体" w:hAnsi="宋体" w:eastAsia="宋体" w:cs="宋体"/>
          <w:color w:val="auto"/>
          <w:kern w:val="2"/>
          <w:sz w:val="24"/>
          <w:szCs w:val="24"/>
          <w:highlight w:val="none"/>
        </w:rPr>
        <w:t>分</w:t>
      </w:r>
      <w:r>
        <w:rPr>
          <w:rStyle w:val="78"/>
          <w:rFonts w:hint="eastAsia" w:ascii="宋体" w:hAnsi="宋体" w:eastAsia="宋体" w:cs="宋体"/>
          <w:bCs/>
          <w:color w:val="auto"/>
          <w:kern w:val="2"/>
          <w:sz w:val="24"/>
          <w:szCs w:val="24"/>
          <w:highlight w:val="none"/>
        </w:rPr>
        <w:t>00秒</w:t>
      </w:r>
      <w:r>
        <w:rPr>
          <w:rStyle w:val="78"/>
          <w:rFonts w:hint="eastAsia" w:ascii="宋体" w:hAnsi="宋体" w:eastAsia="宋体" w:cs="宋体"/>
          <w:bCs/>
          <w:color w:val="auto"/>
          <w:kern w:val="2"/>
          <w:sz w:val="24"/>
          <w:szCs w:val="24"/>
          <w:highlight w:val="none"/>
        </w:rPr>
        <w:fldChar w:fldCharType="end"/>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递交（上传）投标文件。</w:t>
      </w:r>
    </w:p>
    <w:p w14:paraId="3E8B9C2B">
      <w:pPr>
        <w:shd w:val="clea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7CD33B05">
      <w:pPr>
        <w:shd w:val="clea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宋体" w:hAnsi="宋体" w:cs="宋体"/>
          <w:color w:val="auto"/>
          <w:sz w:val="24"/>
          <w:highlight w:val="none"/>
          <w:lang w:eastAsia="zh-CN"/>
        </w:rPr>
        <w:t>HCZB-2024070203009</w:t>
      </w:r>
    </w:p>
    <w:p w14:paraId="361F565B">
      <w:pPr>
        <w:shd w:val="clea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r>
        <w:rPr>
          <w:rFonts w:hint="eastAsia" w:ascii="宋体" w:hAnsi="宋体" w:cs="宋体"/>
          <w:color w:val="auto"/>
          <w:sz w:val="24"/>
          <w:highlight w:val="none"/>
          <w:lang w:eastAsia="zh-CN"/>
        </w:rPr>
        <w:t>2024年大运河数智未来城高新云梯暖企通平台建设项目</w:t>
      </w:r>
    </w:p>
    <w:p w14:paraId="661DEFA7">
      <w:pPr>
        <w:shd w:val="clea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预算金额（元）：</w:t>
      </w:r>
      <w:r>
        <w:rPr>
          <w:rFonts w:hint="eastAsia" w:ascii="宋体" w:hAnsi="宋体" w:cs="宋体"/>
          <w:b/>
          <w:color w:val="auto"/>
          <w:sz w:val="24"/>
          <w:highlight w:val="none"/>
          <w:lang w:val="en-US" w:eastAsia="zh-CN"/>
        </w:rPr>
        <w:t>1300000</w:t>
      </w:r>
    </w:p>
    <w:p w14:paraId="56F4896F">
      <w:pPr>
        <w:shd w:val="clear"/>
        <w:spacing w:line="360" w:lineRule="auto"/>
        <w:ind w:firstLine="480"/>
        <w:rPr>
          <w:rFonts w:ascii="宋体" w:hAnsi="宋体" w:cs="宋体"/>
          <w:color w:val="auto"/>
          <w:sz w:val="24"/>
          <w:highlight w:val="none"/>
        </w:rPr>
      </w:pPr>
      <w:r>
        <w:rPr>
          <w:rFonts w:hint="eastAsia" w:ascii="宋体" w:hAnsi="宋体" w:cs="宋体"/>
          <w:b/>
          <w:color w:val="auto"/>
          <w:sz w:val="24"/>
          <w:highlight w:val="none"/>
        </w:rPr>
        <w:t>最高限价（元）：</w:t>
      </w:r>
      <w:r>
        <w:rPr>
          <w:rFonts w:hint="eastAsia" w:ascii="宋体" w:hAnsi="宋体" w:cs="宋体"/>
          <w:b/>
          <w:color w:val="auto"/>
          <w:sz w:val="24"/>
          <w:highlight w:val="none"/>
          <w:lang w:val="en-US" w:eastAsia="zh-CN"/>
        </w:rPr>
        <w:t>1300000</w:t>
      </w:r>
      <w:r>
        <w:rPr>
          <w:rFonts w:ascii="宋体" w:hAnsi="宋体" w:cs="宋体"/>
          <w:color w:val="auto"/>
          <w:sz w:val="24"/>
          <w:highlight w:val="none"/>
        </w:rPr>
        <w:t xml:space="preserve"> </w:t>
      </w:r>
    </w:p>
    <w:p w14:paraId="0E61D79F">
      <w:pPr>
        <w:pStyle w:val="6"/>
        <w:shd w:val="clear"/>
        <w:spacing w:line="360" w:lineRule="auto"/>
        <w:ind w:firstLine="480"/>
        <w:rPr>
          <w:rFonts w:hAnsi="宋体" w:cs="宋体"/>
          <w:bCs/>
          <w:color w:val="auto"/>
          <w:kern w:val="2"/>
          <w:sz w:val="24"/>
          <w:szCs w:val="24"/>
          <w:highlight w:val="none"/>
        </w:rPr>
      </w:pPr>
      <w:r>
        <w:rPr>
          <w:rFonts w:hint="eastAsia" w:hAnsi="宋体" w:cs="宋体"/>
          <w:b/>
          <w:color w:val="auto"/>
          <w:sz w:val="24"/>
          <w:highlight w:val="none"/>
        </w:rPr>
        <w:t>采购需求：</w:t>
      </w:r>
      <w:r>
        <w:rPr>
          <w:rFonts w:hint="eastAsia" w:hAnsi="宋体" w:cs="宋体"/>
          <w:bCs/>
          <w:color w:val="auto"/>
          <w:kern w:val="2"/>
          <w:sz w:val="24"/>
          <w:szCs w:val="24"/>
          <w:highlight w:val="none"/>
          <w:lang w:eastAsia="zh-CN"/>
        </w:rPr>
        <w:t>2024年大运河数智未来城高新云梯暖企通平台建设项目</w:t>
      </w:r>
      <w:r>
        <w:rPr>
          <w:rFonts w:hint="eastAsia" w:hAnsi="宋体" w:cs="宋体"/>
          <w:bCs/>
          <w:color w:val="auto"/>
          <w:kern w:val="2"/>
          <w:sz w:val="24"/>
          <w:szCs w:val="24"/>
          <w:highlight w:val="none"/>
        </w:rPr>
        <w:t>主要内容：审批服务、政策服务、诉求服务、项目服务、金融服务、人才服务、法治服务、科创服务、外创服务、产业服务、特色服务和商务社区。同时打造企业诉求一类事、企业入驻一类事、企业成长一类事、项目建设一类事和特色产业一类事。</w:t>
      </w:r>
      <w:r>
        <w:rPr>
          <w:rFonts w:hint="eastAsia" w:asciiTheme="minorEastAsia" w:hAnsiTheme="minorEastAsia" w:eastAsiaTheme="minorEastAsia"/>
          <w:color w:val="auto"/>
          <w:kern w:val="2"/>
          <w:sz w:val="24"/>
          <w:szCs w:val="24"/>
          <w:highlight w:val="none"/>
        </w:rPr>
        <w:t>具体以招标文件第三部分采购需求为准，供应商可点击本公告下方“浏览采购文件”查看采购需求。</w:t>
      </w:r>
    </w:p>
    <w:p w14:paraId="615CCE9B">
      <w:pPr>
        <w:pStyle w:val="131"/>
        <w:shd w:val="clear"/>
        <w:ind w:firstLine="482"/>
        <w:outlineLvl w:val="2"/>
        <w:rPr>
          <w:rFonts w:ascii="宋体" w:hAnsi="宋体" w:cs="宋体"/>
          <w:color w:val="auto"/>
          <w:highlight w:val="none"/>
        </w:rPr>
      </w:pPr>
      <w:r>
        <w:rPr>
          <w:rFonts w:hint="eastAsia" w:ascii="宋体" w:hAnsi="宋体" w:cs="宋体"/>
          <w:b/>
          <w:color w:val="auto"/>
          <w:highlight w:val="none"/>
        </w:rPr>
        <w:t>合同履约期限：</w:t>
      </w:r>
      <w:r>
        <w:rPr>
          <w:rFonts w:hint="eastAsia" w:ascii="宋体" w:hAnsi="宋体" w:cs="宋体"/>
          <w:b w:val="0"/>
          <w:bCs/>
          <w:color w:val="auto"/>
          <w:highlight w:val="none"/>
        </w:rPr>
        <w:t>总工期为4个月，其中建设工期为3个月，试运行1个月</w:t>
      </w:r>
      <w:r>
        <w:rPr>
          <w:rFonts w:hint="eastAsia" w:ascii="宋体" w:hAnsi="宋体" w:cs="宋体"/>
          <w:b w:val="0"/>
          <w:bCs/>
          <w:color w:val="auto"/>
          <w:highlight w:val="none"/>
        </w:rPr>
        <w:t>；</w:t>
      </w:r>
      <w:r>
        <w:rPr>
          <w:rFonts w:ascii="宋体" w:hAnsi="宋体" w:cs="宋体"/>
          <w:color w:val="auto"/>
          <w:highlight w:val="none"/>
        </w:rPr>
        <w:t xml:space="preserve"> </w:t>
      </w:r>
    </w:p>
    <w:p w14:paraId="484C5CDE">
      <w:pPr>
        <w:pStyle w:val="6"/>
        <w:shd w:val="clear"/>
        <w:spacing w:line="360" w:lineRule="auto"/>
        <w:ind w:firstLine="480"/>
        <w:rPr>
          <w:rFonts w:hAnsi="宋体" w:cs="宋体"/>
          <w:b/>
          <w:color w:val="auto"/>
          <w:highlight w:val="none"/>
        </w:rPr>
      </w:pPr>
      <w:r>
        <w:rPr>
          <w:rFonts w:hint="eastAsia" w:hAnsi="宋体" w:cs="宋体"/>
          <w:b/>
          <w:color w:val="auto"/>
          <w:sz w:val="24"/>
          <w:highlight w:val="none"/>
        </w:rPr>
        <w:t>本项目接受联合体投标：</w:t>
      </w:r>
      <w:r>
        <w:rPr>
          <w:rFonts w:hAnsi="宋体" w:cs="宋体"/>
          <w:color w:val="auto"/>
          <w:kern w:val="0"/>
          <w:sz w:val="24"/>
          <w:highlight w:val="none"/>
        </w:rPr>
        <w:t xml:space="preserve"> </w:t>
      </w:r>
      <w:sdt>
        <w:sdtPr>
          <w:rPr>
            <w:rFonts w:hAnsi="宋体" w:cs="宋体"/>
            <w:color w:val="auto"/>
            <w:kern w:val="0"/>
            <w:sz w:val="24"/>
            <w:highlight w:val="none"/>
          </w:rPr>
          <w:id w:val="-1"/>
          <w14:checkbox>
            <w14:checked w14:val="1"/>
            <w14:checkedState w14:val="00FE" w14:font="Wingdings"/>
            <w14:uncheckedState w14:val="2610" w14:font="MS Gothic"/>
          </w14:checkbox>
        </w:sdtPr>
        <w:sdtEndPr>
          <w:rPr>
            <w:rFonts w:hAnsi="宋体" w:cs="宋体"/>
            <w:color w:val="auto"/>
            <w:kern w:val="0"/>
            <w:sz w:val="24"/>
            <w:highlight w:val="none"/>
          </w:rPr>
        </w:sdtEndPr>
        <w:sdtContent>
          <w:r>
            <w:rPr>
              <w:rFonts w:hAnsi="宋体" w:cs="宋体"/>
              <w:color w:val="auto"/>
              <w:kern w:val="0"/>
              <w:sz w:val="24"/>
              <w:highlight w:val="none"/>
            </w:rPr>
            <w:sym w:font="Wingdings" w:char="F0FE"/>
          </w:r>
        </w:sdtContent>
      </w:sdt>
      <w:r>
        <w:rPr>
          <w:rFonts w:hint="eastAsia" w:hAnsi="宋体" w:cs="宋体"/>
          <w:b/>
          <w:color w:val="auto"/>
          <w:sz w:val="24"/>
          <w:highlight w:val="none"/>
        </w:rPr>
        <w:t>是</w:t>
      </w:r>
      <w:r>
        <w:rPr>
          <w:rFonts w:hint="eastAsia" w:hAnsi="宋体" w:cs="宋体"/>
          <w:color w:val="auto"/>
          <w:kern w:val="0"/>
          <w:sz w:val="24"/>
          <w:highlight w:val="none"/>
        </w:rPr>
        <w:t>。</w:t>
      </w:r>
    </w:p>
    <w:p w14:paraId="1EE9F2C3">
      <w:pPr>
        <w:shd w:val="clear"/>
        <w:spacing w:line="360" w:lineRule="auto"/>
        <w:rPr>
          <w:rFonts w:ascii="宋体" w:hAnsi="宋体" w:cs="宋体"/>
          <w:b/>
          <w:color w:val="auto"/>
          <w:sz w:val="24"/>
          <w:highlight w:val="none"/>
        </w:rPr>
      </w:pPr>
      <w:r>
        <w:rPr>
          <w:rFonts w:hint="eastAsia" w:ascii="宋体" w:hAnsi="宋体" w:cs="宋体"/>
          <w:b/>
          <w:color w:val="auto"/>
          <w:sz w:val="24"/>
          <w:highlight w:val="none"/>
        </w:rPr>
        <w:t>二、申请人的资格要求：</w:t>
      </w:r>
    </w:p>
    <w:p w14:paraId="7BF36597">
      <w:pPr>
        <w:shd w:val="clea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121DF929">
      <w:pPr>
        <w:shd w:val="clea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14:paraId="7DCDA1E2">
      <w:pPr>
        <w:shd w:val="clea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14:paraId="5B8FB792">
      <w:pPr>
        <w:shd w:val="clea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247BCF8D">
      <w:pPr>
        <w:shd w:val="clea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1"/>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sz w:val="24"/>
          <w:highlight w:val="none"/>
        </w:rPr>
        <w:t>服务全部由符合政策要求的中小企业承接，提供中小企业声明函；</w:t>
      </w:r>
    </w:p>
    <w:p w14:paraId="2424AC23">
      <w:pPr>
        <w:shd w:val="clea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.本项目的特定资格要求：无；</w:t>
      </w:r>
    </w:p>
    <w:p w14:paraId="40AD2952">
      <w:pPr>
        <w:shd w:val="clea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1E1CD379">
      <w:pPr>
        <w:shd w:val="clea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4410C361">
      <w:pPr>
        <w:shd w:val="clea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/至提交投标文件截止时间，每天上午00:00至12:00 ，下午12:00至23:59（北京时间，线上获取法定节假日均可，线下获取文件法定节假日除外）</w:t>
      </w:r>
    </w:p>
    <w:p w14:paraId="306F1254">
      <w:pPr>
        <w:shd w:val="clea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41351E17">
      <w:pPr>
        <w:shd w:val="clea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14FFD900">
      <w:pPr>
        <w:shd w:val="clea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2F56A926">
      <w:pPr>
        <w:shd w:val="clea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789BCE45">
      <w:pPr>
        <w:shd w:val="clea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Style w:val="78"/>
          <w:rFonts w:hint="eastAsia" w:ascii="宋体" w:hAnsi="宋体" w:eastAsia="宋体" w:cs="宋体"/>
          <w:color w:val="auto"/>
          <w:kern w:val="2"/>
          <w:sz w:val="24"/>
          <w:szCs w:val="24"/>
          <w:highlight w:val="none"/>
        </w:rPr>
        <w:t>202</w:t>
      </w:r>
      <w:r>
        <w:rPr>
          <w:rStyle w:val="78"/>
          <w:rFonts w:hint="eastAsia" w:ascii="宋体" w:hAnsi="宋体" w:cs="宋体"/>
          <w:color w:val="auto"/>
          <w:kern w:val="2"/>
          <w:sz w:val="24"/>
          <w:szCs w:val="24"/>
          <w:highlight w:val="none"/>
          <w:lang w:val="en-US" w:eastAsia="zh-CN"/>
        </w:rPr>
        <w:t>4</w:t>
      </w:r>
      <w:r>
        <w:rPr>
          <w:rStyle w:val="78"/>
          <w:rFonts w:hint="eastAsia" w:ascii="宋体" w:hAnsi="宋体" w:eastAsia="宋体" w:cs="宋体"/>
          <w:color w:val="auto"/>
          <w:kern w:val="2"/>
          <w:sz w:val="24"/>
          <w:szCs w:val="24"/>
          <w:highlight w:val="none"/>
        </w:rPr>
        <w:t>年</w:t>
      </w:r>
      <w:r>
        <w:rPr>
          <w:rStyle w:val="78"/>
          <w:rFonts w:hint="eastAsia" w:ascii="宋体" w:hAnsi="宋体" w:cs="宋体"/>
          <w:color w:val="auto"/>
          <w:kern w:val="2"/>
          <w:sz w:val="24"/>
          <w:szCs w:val="24"/>
          <w:highlight w:val="none"/>
          <w:lang w:val="en-US" w:eastAsia="zh-CN"/>
        </w:rPr>
        <w:t>08</w:t>
      </w:r>
      <w:r>
        <w:rPr>
          <w:rStyle w:val="78"/>
          <w:rFonts w:hint="eastAsia" w:ascii="宋体" w:hAnsi="宋体" w:eastAsia="宋体" w:cs="宋体"/>
          <w:color w:val="auto"/>
          <w:kern w:val="2"/>
          <w:sz w:val="24"/>
          <w:szCs w:val="24"/>
          <w:highlight w:val="none"/>
        </w:rPr>
        <w:t>月</w:t>
      </w:r>
      <w:r>
        <w:rPr>
          <w:rStyle w:val="78"/>
          <w:rFonts w:hint="eastAsia" w:ascii="宋体" w:hAnsi="宋体" w:cs="宋体"/>
          <w:color w:val="auto"/>
          <w:kern w:val="2"/>
          <w:sz w:val="24"/>
          <w:szCs w:val="24"/>
          <w:highlight w:val="none"/>
          <w:lang w:val="en-US" w:eastAsia="zh-CN"/>
        </w:rPr>
        <w:t>20</w:t>
      </w:r>
      <w:r>
        <w:rPr>
          <w:rStyle w:val="78"/>
          <w:rFonts w:hint="eastAsia" w:ascii="宋体" w:hAnsi="宋体" w:eastAsia="宋体" w:cs="宋体"/>
          <w:color w:val="auto"/>
          <w:kern w:val="2"/>
          <w:sz w:val="24"/>
          <w:szCs w:val="24"/>
          <w:highlight w:val="none"/>
        </w:rPr>
        <w:t>日</w:t>
      </w:r>
      <w:r>
        <w:rPr>
          <w:rStyle w:val="78"/>
          <w:rFonts w:hint="eastAsia" w:ascii="宋体" w:hAnsi="宋体" w:cs="宋体"/>
          <w:color w:val="auto"/>
          <w:kern w:val="2"/>
          <w:sz w:val="24"/>
          <w:szCs w:val="24"/>
          <w:highlight w:val="none"/>
          <w:lang w:eastAsia="zh-CN"/>
        </w:rPr>
        <w:t>13</w:t>
      </w:r>
      <w:r>
        <w:rPr>
          <w:rStyle w:val="78"/>
          <w:rFonts w:hint="eastAsia" w:ascii="宋体" w:hAnsi="宋体" w:eastAsia="宋体" w:cs="宋体"/>
          <w:color w:val="auto"/>
          <w:kern w:val="2"/>
          <w:sz w:val="24"/>
          <w:szCs w:val="24"/>
          <w:highlight w:val="none"/>
        </w:rPr>
        <w:t>点</w:t>
      </w:r>
      <w:r>
        <w:rPr>
          <w:rStyle w:val="78"/>
          <w:rFonts w:hint="eastAsia" w:ascii="宋体" w:hAnsi="宋体" w:cs="宋体"/>
          <w:color w:val="auto"/>
          <w:kern w:val="2"/>
          <w:sz w:val="24"/>
          <w:szCs w:val="24"/>
          <w:highlight w:val="none"/>
          <w:lang w:eastAsia="zh-CN"/>
        </w:rPr>
        <w:t>30</w:t>
      </w:r>
      <w:r>
        <w:rPr>
          <w:rStyle w:val="78"/>
          <w:rFonts w:hint="eastAsia" w:ascii="宋体" w:hAnsi="宋体" w:eastAsia="宋体" w:cs="宋体"/>
          <w:color w:val="auto"/>
          <w:kern w:val="2"/>
          <w:sz w:val="24"/>
          <w:szCs w:val="24"/>
          <w:highlight w:val="none"/>
        </w:rPr>
        <w:t>分</w:t>
      </w:r>
      <w:r>
        <w:rPr>
          <w:rStyle w:val="78"/>
          <w:rFonts w:hint="eastAsia" w:ascii="宋体" w:hAnsi="宋体" w:eastAsia="宋体" w:cs="宋体"/>
          <w:bCs/>
          <w:color w:val="auto"/>
          <w:kern w:val="2"/>
          <w:sz w:val="24"/>
          <w:szCs w:val="24"/>
          <w:highlight w:val="none"/>
        </w:rPr>
        <w:t>00秒</w:t>
      </w:r>
      <w:r>
        <w:rPr>
          <w:rFonts w:hint="eastAsia" w:ascii="宋体" w:hAnsi="宋体" w:cs="宋体"/>
          <w:color w:val="auto"/>
          <w:sz w:val="24"/>
          <w:highlight w:val="none"/>
        </w:rPr>
        <w:t>（北京时间）</w:t>
      </w:r>
    </w:p>
    <w:p w14:paraId="25709B65">
      <w:pPr>
        <w:shd w:val="clea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14:paraId="2A37A9E9">
      <w:pPr>
        <w:shd w:val="clea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Style w:val="78"/>
          <w:rFonts w:hint="eastAsia" w:ascii="宋体" w:hAnsi="宋体" w:eastAsia="宋体" w:cs="宋体"/>
          <w:color w:val="auto"/>
          <w:kern w:val="2"/>
          <w:sz w:val="24"/>
          <w:szCs w:val="24"/>
          <w:highlight w:val="none"/>
        </w:rPr>
        <w:t>202</w:t>
      </w:r>
      <w:r>
        <w:rPr>
          <w:rStyle w:val="78"/>
          <w:rFonts w:hint="eastAsia" w:ascii="宋体" w:hAnsi="宋体" w:cs="宋体"/>
          <w:color w:val="auto"/>
          <w:kern w:val="2"/>
          <w:sz w:val="24"/>
          <w:szCs w:val="24"/>
          <w:highlight w:val="none"/>
          <w:lang w:val="en-US" w:eastAsia="zh-CN"/>
        </w:rPr>
        <w:t>4</w:t>
      </w:r>
      <w:r>
        <w:rPr>
          <w:rStyle w:val="78"/>
          <w:rFonts w:hint="eastAsia" w:ascii="宋体" w:hAnsi="宋体" w:eastAsia="宋体" w:cs="宋体"/>
          <w:color w:val="auto"/>
          <w:kern w:val="2"/>
          <w:sz w:val="24"/>
          <w:szCs w:val="24"/>
          <w:highlight w:val="none"/>
        </w:rPr>
        <w:t>年</w:t>
      </w:r>
      <w:r>
        <w:rPr>
          <w:rStyle w:val="78"/>
          <w:rFonts w:hint="eastAsia" w:ascii="宋体" w:hAnsi="宋体" w:cs="宋体"/>
          <w:color w:val="auto"/>
          <w:kern w:val="2"/>
          <w:sz w:val="24"/>
          <w:szCs w:val="24"/>
          <w:highlight w:val="none"/>
          <w:lang w:val="en-US" w:eastAsia="zh-CN"/>
        </w:rPr>
        <w:t>08</w:t>
      </w:r>
      <w:r>
        <w:rPr>
          <w:rStyle w:val="78"/>
          <w:rFonts w:hint="eastAsia" w:ascii="宋体" w:hAnsi="宋体" w:eastAsia="宋体" w:cs="宋体"/>
          <w:color w:val="auto"/>
          <w:kern w:val="2"/>
          <w:sz w:val="24"/>
          <w:szCs w:val="24"/>
          <w:highlight w:val="none"/>
        </w:rPr>
        <w:t>月</w:t>
      </w:r>
      <w:r>
        <w:rPr>
          <w:rStyle w:val="78"/>
          <w:rFonts w:hint="eastAsia" w:ascii="宋体" w:hAnsi="宋体" w:cs="宋体"/>
          <w:color w:val="auto"/>
          <w:kern w:val="2"/>
          <w:sz w:val="24"/>
          <w:szCs w:val="24"/>
          <w:highlight w:val="none"/>
          <w:lang w:val="en-US" w:eastAsia="zh-CN"/>
        </w:rPr>
        <w:t>20</w:t>
      </w:r>
      <w:r>
        <w:rPr>
          <w:rStyle w:val="78"/>
          <w:rFonts w:hint="eastAsia" w:ascii="宋体" w:hAnsi="宋体" w:eastAsia="宋体" w:cs="宋体"/>
          <w:color w:val="auto"/>
          <w:kern w:val="2"/>
          <w:sz w:val="24"/>
          <w:szCs w:val="24"/>
          <w:highlight w:val="none"/>
        </w:rPr>
        <w:t>日</w:t>
      </w:r>
      <w:r>
        <w:rPr>
          <w:rStyle w:val="78"/>
          <w:rFonts w:hint="eastAsia" w:ascii="宋体" w:hAnsi="宋体" w:cs="宋体"/>
          <w:color w:val="auto"/>
          <w:kern w:val="2"/>
          <w:sz w:val="24"/>
          <w:szCs w:val="24"/>
          <w:highlight w:val="none"/>
          <w:lang w:eastAsia="zh-CN"/>
        </w:rPr>
        <w:t>13</w:t>
      </w:r>
      <w:r>
        <w:rPr>
          <w:rStyle w:val="78"/>
          <w:rFonts w:hint="eastAsia" w:ascii="宋体" w:hAnsi="宋体" w:eastAsia="宋体" w:cs="宋体"/>
          <w:color w:val="auto"/>
          <w:kern w:val="2"/>
          <w:sz w:val="24"/>
          <w:szCs w:val="24"/>
          <w:highlight w:val="none"/>
        </w:rPr>
        <w:t>点</w:t>
      </w:r>
      <w:r>
        <w:rPr>
          <w:rStyle w:val="78"/>
          <w:rFonts w:hint="eastAsia" w:ascii="宋体" w:hAnsi="宋体" w:cs="宋体"/>
          <w:color w:val="auto"/>
          <w:kern w:val="2"/>
          <w:sz w:val="24"/>
          <w:szCs w:val="24"/>
          <w:highlight w:val="none"/>
          <w:lang w:eastAsia="zh-CN"/>
        </w:rPr>
        <w:t>30</w:t>
      </w:r>
      <w:r>
        <w:rPr>
          <w:rStyle w:val="78"/>
          <w:rFonts w:hint="eastAsia" w:ascii="宋体" w:hAnsi="宋体" w:eastAsia="宋体" w:cs="宋体"/>
          <w:color w:val="auto"/>
          <w:kern w:val="2"/>
          <w:sz w:val="24"/>
          <w:szCs w:val="24"/>
          <w:highlight w:val="none"/>
        </w:rPr>
        <w:t>分</w:t>
      </w:r>
      <w:r>
        <w:rPr>
          <w:rStyle w:val="78"/>
          <w:rFonts w:hint="eastAsia" w:ascii="宋体" w:hAnsi="宋体" w:eastAsia="宋体" w:cs="宋体"/>
          <w:bCs/>
          <w:color w:val="auto"/>
          <w:kern w:val="2"/>
          <w:sz w:val="24"/>
          <w:szCs w:val="24"/>
          <w:highlight w:val="none"/>
        </w:rPr>
        <w:t>00秒</w:t>
      </w:r>
    </w:p>
    <w:p w14:paraId="70D91C1A">
      <w:pPr>
        <w:shd w:val="clea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14:paraId="605888F6">
      <w:pPr>
        <w:shd w:val="clea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五、采购意向公告链接</w:t>
      </w:r>
    </w:p>
    <w:p w14:paraId="24076955">
      <w:pPr>
        <w:shd w:val="clear"/>
        <w:spacing w:line="360" w:lineRule="auto"/>
        <w:ind w:firstLine="480" w:firstLineChars="200"/>
        <w:jc w:val="left"/>
        <w:rPr>
          <w:rFonts w:hint="eastAsia" w:ascii="宋体" w:hAnsi="宋体" w:cs="宋体"/>
          <w:b w:val="0"/>
          <w:bCs/>
          <w:color w:val="auto"/>
          <w:sz w:val="24"/>
          <w:highlight w:val="none"/>
        </w:rPr>
      </w:pPr>
      <w:r>
        <w:rPr>
          <w:rFonts w:hint="eastAsia" w:ascii="宋体" w:hAnsi="宋体" w:cs="宋体"/>
          <w:b w:val="0"/>
          <w:bCs/>
          <w:color w:val="auto"/>
          <w:sz w:val="24"/>
          <w:highlight w:val="none"/>
        </w:rPr>
        <w:t>杭州大运河数智未来城管理委员会2024年4月政府采购意向</w:t>
      </w:r>
      <w:r>
        <w:rPr>
          <w:rFonts w:hint="eastAsia" w:ascii="宋体" w:hAnsi="宋体" w:cs="宋体"/>
          <w:b w:val="0"/>
          <w:bCs/>
          <w:color w:val="auto"/>
          <w:sz w:val="24"/>
          <w:highlight w:val="none"/>
          <w:lang w:eastAsia="zh-CN"/>
        </w:rPr>
        <w:t>：</w:t>
      </w:r>
      <w:r>
        <w:rPr>
          <w:rFonts w:hint="eastAsia" w:ascii="宋体" w:hAnsi="宋体" w:cs="宋体"/>
          <w:b w:val="0"/>
          <w:bCs/>
          <w:color w:val="auto"/>
          <w:sz w:val="24"/>
          <w:highlight w:val="none"/>
        </w:rPr>
        <w:t xml:space="preserve">  https://zfcg.czt.zj.gov.cn/site/detail?parentId=600007&amp;articleId=Ltb7QsiaJa79Vh9BUAKMMQ%3D%3D</w:t>
      </w:r>
    </w:p>
    <w:p w14:paraId="14B2061B">
      <w:pPr>
        <w:shd w:val="clea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六、公告期限 </w:t>
      </w:r>
    </w:p>
    <w:p w14:paraId="0F1600A6">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14:paraId="1E11DA20">
      <w:pPr>
        <w:shd w:val="clear"/>
        <w:spacing w:line="360" w:lineRule="auto"/>
        <w:rPr>
          <w:rFonts w:ascii="宋体" w:hAnsi="宋体" w:cs="宋体"/>
          <w:b/>
          <w:color w:val="auto"/>
          <w:sz w:val="24"/>
          <w:highlight w:val="none"/>
        </w:rPr>
      </w:pPr>
      <w:r>
        <w:rPr>
          <w:rFonts w:hint="eastAsia" w:ascii="宋体" w:hAnsi="宋体" w:cs="宋体"/>
          <w:b/>
          <w:color w:val="auto"/>
          <w:sz w:val="24"/>
          <w:highlight w:val="none"/>
          <w:lang w:val="en-US" w:eastAsia="zh-CN"/>
        </w:rPr>
        <w:t>七、</w:t>
      </w:r>
      <w:r>
        <w:rPr>
          <w:rFonts w:hint="eastAsia" w:ascii="宋体" w:hAnsi="宋体" w:cs="宋体"/>
          <w:b/>
          <w:color w:val="auto"/>
          <w:sz w:val="24"/>
          <w:highlight w:val="none"/>
        </w:rPr>
        <w:t>其他补充事宜</w:t>
      </w:r>
    </w:p>
    <w:p w14:paraId="4CDD794D">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1.</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14:paraId="2E4CA840">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28A4BBC">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23B261BC">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39E37114">
      <w:pPr>
        <w:shd w:val="clear"/>
        <w:spacing w:line="360" w:lineRule="auto"/>
        <w:rPr>
          <w:rFonts w:ascii="宋体" w:hAnsi="宋体" w:cs="宋体"/>
          <w:b/>
          <w:color w:val="auto"/>
          <w:sz w:val="24"/>
          <w:highlight w:val="none"/>
        </w:rPr>
      </w:pPr>
      <w:r>
        <w:rPr>
          <w:rFonts w:hint="eastAsia" w:ascii="宋体" w:hAnsi="宋体" w:cs="宋体"/>
          <w:b/>
          <w:color w:val="auto"/>
          <w:sz w:val="24"/>
          <w:highlight w:val="none"/>
          <w:lang w:val="en-US" w:eastAsia="zh-CN"/>
        </w:rPr>
        <w:t>八</w:t>
      </w:r>
      <w:r>
        <w:rPr>
          <w:rFonts w:hint="eastAsia" w:ascii="宋体" w:hAnsi="宋体" w:cs="宋体"/>
          <w:b/>
          <w:color w:val="auto"/>
          <w:sz w:val="24"/>
          <w:highlight w:val="none"/>
        </w:rPr>
        <w:t>、对本次采购提出询问、质疑、投诉，请按以下方式联系</w:t>
      </w:r>
    </w:p>
    <w:p w14:paraId="5A0162B4">
      <w:pPr>
        <w:shd w:val="clear"/>
        <w:spacing w:line="360" w:lineRule="auto"/>
        <w:rPr>
          <w:rFonts w:ascii="宋体" w:hAnsi="宋体" w:cs="宋体"/>
          <w:color w:val="auto"/>
          <w:sz w:val="24"/>
          <w:highlight w:val="none"/>
        </w:rPr>
      </w:pPr>
      <w:r>
        <w:rPr>
          <w:rFonts w:hint="eastAsia" w:ascii="宋体" w:hAnsi="宋体" w:cs="宋体"/>
          <w:color w:val="auto"/>
          <w:sz w:val="24"/>
          <w:highlight w:val="none"/>
        </w:rPr>
        <w:t xml:space="preserve">    1.采购人信息</w:t>
      </w:r>
    </w:p>
    <w:p w14:paraId="331C595C">
      <w:pPr>
        <w:shd w:val="clea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w:t>
      </w:r>
      <w:r>
        <w:rPr>
          <w:rFonts w:hint="eastAsia" w:ascii="宋体" w:hAnsi="宋体" w:cs="宋体"/>
          <w:color w:val="auto"/>
          <w:sz w:val="24"/>
          <w:highlight w:val="none"/>
          <w:lang w:eastAsia="zh-CN"/>
        </w:rPr>
        <w:t>杭州大运河数智未来城管理委员会</w:t>
      </w:r>
      <w:r>
        <w:rPr>
          <w:rFonts w:hint="eastAsia" w:ascii="宋体" w:hAnsi="宋体" w:cs="宋体"/>
          <w:color w:val="auto"/>
          <w:sz w:val="24"/>
          <w:highlight w:val="none"/>
        </w:rPr>
        <w:t xml:space="preserve"> </w:t>
      </w:r>
    </w:p>
    <w:p w14:paraId="45596284">
      <w:pPr>
        <w:shd w:val="clea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址：浙江省杭州市拱墅区祥园路99号2号楼2楼      </w:t>
      </w:r>
    </w:p>
    <w:p w14:paraId="4FF58275">
      <w:pPr>
        <w:shd w:val="clear"/>
        <w:spacing w:line="360" w:lineRule="auto"/>
        <w:ind w:firstLine="480"/>
        <w:rPr>
          <w:rFonts w:ascii="宋体" w:hAnsi="宋体" w:cs="宋体"/>
          <w:color w:val="auto"/>
          <w:sz w:val="24"/>
          <w:highlight w:val="none"/>
        </w:rPr>
      </w:pPr>
      <w:r>
        <w:rPr>
          <w:rFonts w:hint="eastAsia" w:ascii="宋体" w:hAnsi="宋体" w:cs="宋体"/>
          <w:color w:val="auto"/>
          <w:sz w:val="24"/>
          <w:highlight w:val="none"/>
        </w:rPr>
        <w:t>传    真： /</w:t>
      </w:r>
    </w:p>
    <w:p w14:paraId="74352B81">
      <w:pPr>
        <w:shd w:val="clear"/>
        <w:spacing w:line="360" w:lineRule="auto"/>
        <w:ind w:firstLine="48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项目联系人（询问）：</w:t>
      </w:r>
      <w:r>
        <w:rPr>
          <w:rFonts w:hint="eastAsia" w:ascii="宋体" w:hAnsi="宋体" w:cs="宋体"/>
          <w:color w:val="auto"/>
          <w:sz w:val="24"/>
          <w:highlight w:val="none"/>
          <w:lang w:val="en-US" w:eastAsia="zh-CN"/>
        </w:rPr>
        <w:t xml:space="preserve">吴燕飞  </w:t>
      </w:r>
    </w:p>
    <w:p w14:paraId="445080CA">
      <w:pPr>
        <w:shd w:val="clea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 xml:space="preserve">    项目联系方式（询问）：</w:t>
      </w:r>
      <w:r>
        <w:rPr>
          <w:rFonts w:hint="eastAsia" w:ascii="宋体" w:hAnsi="宋体" w:cs="宋体"/>
          <w:color w:val="auto"/>
          <w:sz w:val="24"/>
          <w:highlight w:val="none"/>
          <w:lang w:val="en-US" w:eastAsia="zh-CN"/>
        </w:rPr>
        <w:t xml:space="preserve">15968103095  </w:t>
      </w:r>
    </w:p>
    <w:p w14:paraId="1DFD9473">
      <w:pPr>
        <w:shd w:val="clea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 xml:space="preserve">    质疑联系人：</w:t>
      </w:r>
      <w:r>
        <w:rPr>
          <w:rFonts w:hint="eastAsia" w:ascii="宋体" w:hAnsi="宋体" w:cs="宋体"/>
          <w:color w:val="auto"/>
          <w:sz w:val="24"/>
          <w:highlight w:val="none"/>
          <w:lang w:val="en-US" w:eastAsia="zh-CN"/>
        </w:rPr>
        <w:t xml:space="preserve"> 冯晓</w:t>
      </w:r>
    </w:p>
    <w:p w14:paraId="27E39955">
      <w:pPr>
        <w:shd w:val="clea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 xml:space="preserve">    质疑联系方式：19857002092</w:t>
      </w:r>
    </w:p>
    <w:p w14:paraId="748D182F">
      <w:pPr>
        <w:shd w:val="clear"/>
        <w:spacing w:line="360" w:lineRule="auto"/>
        <w:rPr>
          <w:rFonts w:ascii="宋体" w:hAnsi="宋体" w:cs="宋体"/>
          <w:color w:val="auto"/>
          <w:sz w:val="24"/>
          <w:highlight w:val="none"/>
        </w:rPr>
      </w:pPr>
      <w:r>
        <w:rPr>
          <w:rFonts w:hint="eastAsia" w:ascii="宋体" w:hAnsi="宋体" w:cs="宋体"/>
          <w:color w:val="auto"/>
          <w:sz w:val="24"/>
          <w:highlight w:val="none"/>
        </w:rPr>
        <w:t xml:space="preserve">    2.采购代理机构信息            </w:t>
      </w:r>
    </w:p>
    <w:p w14:paraId="7586A784">
      <w:pPr>
        <w:shd w:val="clear"/>
        <w:spacing w:line="360" w:lineRule="auto"/>
        <w:ind w:firstLine="480"/>
        <w:rPr>
          <w:rFonts w:hint="eastAsia" w:ascii="宋体" w:hAnsi="宋体" w:eastAsia="宋体" w:cs="宋体"/>
          <w:color w:val="auto"/>
          <w:sz w:val="24"/>
          <w:highlight w:val="none"/>
          <w:lang w:eastAsia="zh-CN"/>
        </w:rPr>
      </w:pPr>
      <w:r>
        <w:rPr>
          <w:rFonts w:hint="eastAsia" w:ascii="宋体" w:hAnsi="宋体" w:cs="宋体"/>
          <w:color w:val="auto"/>
          <w:sz w:val="24"/>
          <w:highlight w:val="none"/>
        </w:rPr>
        <w:t>名    称：</w:t>
      </w:r>
      <w:r>
        <w:rPr>
          <w:rFonts w:hint="eastAsia" w:ascii="宋体" w:hAnsi="宋体" w:cs="宋体"/>
          <w:color w:val="auto"/>
          <w:sz w:val="24"/>
          <w:highlight w:val="none"/>
          <w:lang w:eastAsia="zh-CN"/>
        </w:rPr>
        <w:t>华诚工程咨询集团有限公司</w:t>
      </w:r>
    </w:p>
    <w:p w14:paraId="3576ABEA">
      <w:pPr>
        <w:shd w:val="clea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地    址：杭州市拱墅区学院北路50号1幢401室</w:t>
      </w:r>
    </w:p>
    <w:p w14:paraId="0AF5FCCA">
      <w:pPr>
        <w:shd w:val="clea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 xml:space="preserve"> </w:t>
      </w:r>
    </w:p>
    <w:p w14:paraId="3E5453FD">
      <w:pPr>
        <w:shd w:val="clea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项目联系人（询问）：</w:t>
      </w:r>
      <w:r>
        <w:rPr>
          <w:rFonts w:hint="eastAsia" w:ascii="宋体" w:hAnsi="宋体" w:cs="宋体"/>
          <w:color w:val="auto"/>
          <w:sz w:val="24"/>
          <w:highlight w:val="none"/>
          <w:lang w:val="en-US" w:eastAsia="zh-CN"/>
        </w:rPr>
        <w:t>潘</w:t>
      </w:r>
      <w:r>
        <w:rPr>
          <w:rFonts w:hint="eastAsia" w:ascii="宋体" w:hAnsi="宋体" w:cs="宋体"/>
          <w:color w:val="auto"/>
          <w:sz w:val="24"/>
          <w:highlight w:val="none"/>
        </w:rPr>
        <w:t xml:space="preserve">工 </w:t>
      </w:r>
    </w:p>
    <w:p w14:paraId="4F8F3807">
      <w:pPr>
        <w:shd w:val="clea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 xml:space="preserve">    项目联系方式（询问）：</w:t>
      </w:r>
      <w:r>
        <w:rPr>
          <w:rFonts w:hint="eastAsia" w:ascii="宋体" w:hAnsi="宋体" w:cs="宋体"/>
          <w:color w:val="auto"/>
          <w:sz w:val="24"/>
          <w:highlight w:val="none"/>
          <w:lang w:val="en-US" w:eastAsia="zh-CN"/>
        </w:rPr>
        <w:t>18767130849</w:t>
      </w:r>
    </w:p>
    <w:p w14:paraId="7E8458D1">
      <w:pPr>
        <w:shd w:val="clea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质疑联系人：何泓 </w:t>
      </w:r>
    </w:p>
    <w:p w14:paraId="18E091F9">
      <w:pPr>
        <w:shd w:val="clea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质疑联系方式：13868115978</w:t>
      </w:r>
    </w:p>
    <w:p w14:paraId="4D497927">
      <w:pPr>
        <w:shd w:val="clear"/>
        <w:spacing w:line="360" w:lineRule="auto"/>
        <w:rPr>
          <w:rFonts w:ascii="宋体" w:hAnsi="宋体" w:cs="宋体"/>
          <w:color w:val="auto"/>
          <w:sz w:val="24"/>
          <w:highlight w:val="none"/>
        </w:rPr>
      </w:pPr>
      <w:r>
        <w:rPr>
          <w:rFonts w:hint="eastAsia" w:ascii="宋体" w:hAnsi="宋体" w:cs="宋体"/>
          <w:color w:val="auto"/>
          <w:sz w:val="24"/>
          <w:highlight w:val="none"/>
        </w:rPr>
        <w:t xml:space="preserve">    3.同级政府采购监督管理部门            </w:t>
      </w:r>
    </w:p>
    <w:p w14:paraId="40DFDF82">
      <w:pPr>
        <w:shd w:val="clea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名    称：杭州市拱墅区财政局（政府采购监管科）</w:t>
      </w:r>
    </w:p>
    <w:p w14:paraId="5D841370">
      <w:pPr>
        <w:shd w:val="clea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址：拱墅区祥符街道北城街55号人防大厦1017室 </w:t>
      </w:r>
    </w:p>
    <w:p w14:paraId="107CB8B9">
      <w:pPr>
        <w:shd w:val="clea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 /</w:t>
      </w:r>
    </w:p>
    <w:p w14:paraId="08CF96DF">
      <w:pPr>
        <w:shd w:val="clear"/>
        <w:spacing w:line="360" w:lineRule="auto"/>
        <w:rPr>
          <w:rFonts w:ascii="宋体" w:hAnsi="宋体" w:cs="宋体"/>
          <w:color w:val="auto"/>
          <w:sz w:val="24"/>
          <w:highlight w:val="none"/>
        </w:rPr>
      </w:pPr>
      <w:r>
        <w:rPr>
          <w:rFonts w:hint="eastAsia" w:ascii="宋体" w:hAnsi="宋体" w:cs="宋体"/>
          <w:color w:val="auto"/>
          <w:sz w:val="24"/>
          <w:highlight w:val="none"/>
        </w:rPr>
        <w:t xml:space="preserve">    联</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系</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人：彭先生</w:t>
      </w:r>
    </w:p>
    <w:p w14:paraId="0CB1667E">
      <w:pPr>
        <w:shd w:val="clear"/>
        <w:spacing w:line="360" w:lineRule="auto"/>
        <w:ind w:firstLine="480"/>
        <w:rPr>
          <w:rFonts w:ascii="宋体" w:hAnsi="宋体" w:cs="宋体"/>
          <w:color w:val="auto"/>
          <w:sz w:val="24"/>
          <w:highlight w:val="none"/>
        </w:rPr>
      </w:pPr>
      <w:r>
        <w:rPr>
          <w:rFonts w:hint="eastAsia" w:ascii="宋体" w:hAnsi="宋体" w:cs="宋体"/>
          <w:color w:val="auto"/>
          <w:sz w:val="24"/>
          <w:highlight w:val="none"/>
        </w:rPr>
        <w:t xml:space="preserve">监督投诉电话：0571-89505676   </w:t>
      </w:r>
    </w:p>
    <w:p w14:paraId="1C4E56B4">
      <w:pPr>
        <w:shd w:val="clear"/>
        <w:spacing w:line="360" w:lineRule="auto"/>
        <w:ind w:firstLine="480"/>
        <w:rPr>
          <w:rFonts w:ascii="宋体" w:hAnsi="宋体" w:cs="宋体"/>
          <w:color w:val="auto"/>
          <w:sz w:val="24"/>
          <w:highlight w:val="none"/>
        </w:rPr>
      </w:pPr>
      <w:r>
        <w:rPr>
          <w:rFonts w:hint="eastAsia" w:ascii="宋体" w:hAnsi="宋体" w:cs="宋体"/>
          <w:color w:val="auto"/>
          <w:sz w:val="24"/>
          <w:highlight w:val="none"/>
        </w:rPr>
        <w:t>政策咨询：彭先生，0571-89505675</w:t>
      </w:r>
    </w:p>
    <w:p w14:paraId="4CDFDF05">
      <w:pPr>
        <w:shd w:val="clear"/>
        <w:spacing w:line="360" w:lineRule="auto"/>
        <w:ind w:firstLine="480"/>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50A5D06D">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14:paraId="75302560">
      <w:pPr>
        <w:widowControl/>
        <w:shd w:val="clear"/>
        <w:adjustRightInd/>
        <w:jc w:val="left"/>
        <w:rPr>
          <w:rFonts w:ascii="宋体" w:hAnsi="宋体" w:cs="宋体"/>
          <w:b/>
          <w:color w:val="auto"/>
          <w:sz w:val="36"/>
          <w:szCs w:val="20"/>
          <w:highlight w:val="none"/>
        </w:rPr>
      </w:pPr>
      <w:r>
        <w:rPr>
          <w:rFonts w:ascii="宋体" w:hAnsi="宋体" w:cs="宋体"/>
          <w:b/>
          <w:color w:val="auto"/>
          <w:sz w:val="36"/>
          <w:szCs w:val="20"/>
          <w:highlight w:val="none"/>
        </w:rPr>
        <w:br w:type="page"/>
      </w:r>
    </w:p>
    <w:p w14:paraId="729CD579">
      <w:pPr>
        <w:shd w:val="clea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8"/>
      <w:r>
        <w:rPr>
          <w:rFonts w:hint="eastAsia" w:ascii="宋体" w:hAnsi="宋体" w:cs="宋体"/>
          <w:b/>
          <w:color w:val="auto"/>
          <w:sz w:val="36"/>
          <w:szCs w:val="20"/>
          <w:highlight w:val="none"/>
        </w:rPr>
        <w:t xml:space="preserve"> 投标人须知</w:t>
      </w:r>
      <w:bookmarkEnd w:id="9"/>
    </w:p>
    <w:p w14:paraId="3E8A2FEF">
      <w:pPr>
        <w:shd w:val="clea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4"/>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63D956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49"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EE2D4EA">
            <w:pPr>
              <w:shd w:val="clear"/>
              <w:snapToGrid w:val="0"/>
              <w:spacing w:line="24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4DCBDC92">
            <w:pPr>
              <w:shd w:val="clear"/>
              <w:snapToGrid w:val="0"/>
              <w:spacing w:line="24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1B490A07">
            <w:pPr>
              <w:shd w:val="clear"/>
              <w:snapToGrid w:val="0"/>
              <w:spacing w:line="24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14:paraId="7CA79A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83805EE">
            <w:pPr>
              <w:shd w:val="clear"/>
              <w:snapToGrid w:val="0"/>
              <w:spacing w:line="360" w:lineRule="auto"/>
              <w:jc w:val="center"/>
              <w:rPr>
                <w:rFonts w:ascii="宋体" w:hAnsi="宋体" w:cs="宋体"/>
                <w:color w:val="auto"/>
                <w:sz w:val="24"/>
                <w:highlight w:val="none"/>
              </w:rPr>
            </w:pPr>
          </w:p>
          <w:p w14:paraId="50895D6B">
            <w:pPr>
              <w:shd w:val="clea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47183553">
            <w:pPr>
              <w:shd w:val="clea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0AD17322">
            <w:pPr>
              <w:shd w:val="clear"/>
              <w:spacing w:line="360" w:lineRule="auto"/>
              <w:rPr>
                <w:rFonts w:ascii="宋体" w:hAnsi="宋体" w:cs="宋体"/>
                <w:color w:val="auto"/>
                <w:sz w:val="24"/>
                <w:highlight w:val="none"/>
              </w:rPr>
            </w:pPr>
            <w:r>
              <w:rPr>
                <w:rFonts w:hint="eastAsia" w:ascii="宋体" w:hAnsi="宋体" w:cs="宋体"/>
                <w:color w:val="auto"/>
                <w:sz w:val="24"/>
                <w:highlight w:val="none"/>
              </w:rPr>
              <w:t>服务类。</w:t>
            </w:r>
          </w:p>
        </w:tc>
      </w:tr>
      <w:tr w14:paraId="0BD8C0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C1ACEE8">
            <w:pPr>
              <w:shd w:val="clear"/>
              <w:snapToGrid w:val="0"/>
              <w:spacing w:line="360" w:lineRule="auto"/>
              <w:jc w:val="center"/>
              <w:rPr>
                <w:rFonts w:ascii="宋体" w:hAnsi="宋体" w:cs="宋体"/>
                <w:color w:val="auto"/>
                <w:sz w:val="24"/>
                <w:highlight w:val="none"/>
              </w:rPr>
            </w:pPr>
          </w:p>
          <w:p w14:paraId="024B01A7">
            <w:pPr>
              <w:shd w:val="clea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70DF0550">
            <w:pPr>
              <w:shd w:val="clea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21C1CA7E">
            <w:pPr>
              <w:pStyle w:val="2"/>
              <w:keepNext/>
              <w:keepLines/>
              <w:pageBreakBefore w:val="0"/>
              <w:widowControl w:val="0"/>
              <w:shd w:val="clear"/>
              <w:kinsoku/>
              <w:wordWrap/>
              <w:overflowPunct/>
              <w:topLinePunct w:val="0"/>
              <w:autoSpaceDE/>
              <w:autoSpaceDN/>
              <w:bidi w:val="0"/>
              <w:adjustRightInd w:val="0"/>
              <w:snapToGrid w:val="0"/>
              <w:ind w:left="0" w:leftChars="0" w:firstLine="0"/>
              <w:textAlignment w:val="auto"/>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（1）标的：</w:t>
            </w:r>
            <w:r>
              <w:rPr>
                <w:rFonts w:hint="eastAsia" w:ascii="宋体" w:hAnsi="宋体" w:eastAsia="宋体" w:cs="宋体"/>
                <w:b w:val="0"/>
                <w:bCs w:val="0"/>
                <w:color w:val="auto"/>
                <w:kern w:val="0"/>
                <w:sz w:val="24"/>
                <w:szCs w:val="24"/>
                <w:highlight w:val="none"/>
                <w:u w:val="single"/>
                <w:lang w:val="en-US" w:eastAsia="zh-CN" w:bidi="ar-SA"/>
              </w:rPr>
              <w:t>2024年大运河数智未来城高新云梯暖企通平台建设项目</w:t>
            </w:r>
            <w:r>
              <w:rPr>
                <w:rFonts w:hint="eastAsia" w:ascii="宋体" w:hAnsi="宋体" w:eastAsia="宋体" w:cs="宋体"/>
                <w:b w:val="0"/>
                <w:bCs w:val="0"/>
                <w:color w:val="auto"/>
                <w:kern w:val="0"/>
                <w:sz w:val="24"/>
                <w:szCs w:val="24"/>
                <w:highlight w:val="none"/>
                <w:lang w:val="en-US" w:eastAsia="zh-CN" w:bidi="ar-SA"/>
              </w:rPr>
              <w:t>，属于</w:t>
            </w:r>
            <w:r>
              <w:rPr>
                <w:rFonts w:hint="eastAsia" w:ascii="宋体" w:hAnsi="宋体" w:eastAsia="宋体" w:cs="宋体"/>
                <w:b w:val="0"/>
                <w:bCs w:val="0"/>
                <w:color w:val="auto"/>
                <w:kern w:val="0"/>
                <w:sz w:val="24"/>
                <w:szCs w:val="24"/>
                <w:highlight w:val="none"/>
                <w:u w:val="single"/>
                <w:lang w:val="en-US" w:eastAsia="zh-CN" w:bidi="ar-SA"/>
              </w:rPr>
              <w:t>软件和信息技术服务业</w:t>
            </w:r>
            <w:r>
              <w:rPr>
                <w:rFonts w:hint="eastAsia" w:ascii="宋体" w:hAnsi="宋体" w:eastAsia="宋体" w:cs="宋体"/>
                <w:b w:val="0"/>
                <w:bCs w:val="0"/>
                <w:color w:val="auto"/>
                <w:kern w:val="0"/>
                <w:sz w:val="24"/>
                <w:szCs w:val="24"/>
                <w:highlight w:val="none"/>
                <w:lang w:val="en-US" w:eastAsia="zh-CN" w:bidi="ar-SA"/>
              </w:rPr>
              <w:t>；</w:t>
            </w:r>
          </w:p>
          <w:p w14:paraId="21FEEE1C">
            <w:pPr>
              <w:pStyle w:val="2"/>
              <w:keepNext/>
              <w:keepLines/>
              <w:pageBreakBefore w:val="0"/>
              <w:widowControl w:val="0"/>
              <w:shd w:val="clear"/>
              <w:kinsoku/>
              <w:wordWrap/>
              <w:overflowPunct/>
              <w:topLinePunct w:val="0"/>
              <w:autoSpaceDE/>
              <w:autoSpaceDN/>
              <w:bidi w:val="0"/>
              <w:adjustRightInd w:val="0"/>
              <w:snapToGrid w:val="0"/>
              <w:ind w:left="0" w:leftChars="0" w:firstLine="0"/>
              <w:textAlignment w:val="auto"/>
              <w:rPr>
                <w:rFonts w:ascii="宋体" w:hAnsi="宋体" w:eastAsia="宋体" w:cs="宋体"/>
                <w:color w:val="auto"/>
                <w:highlight w:val="none"/>
                <w:lang w:val="en-US"/>
              </w:rPr>
            </w:pPr>
            <w:r>
              <w:rPr>
                <w:rFonts w:hint="eastAsia" w:ascii="宋体" w:hAnsi="宋体" w:eastAsia="宋体" w:cs="宋体"/>
                <w:b w:val="0"/>
                <w:bCs w:val="0"/>
                <w:color w:val="auto"/>
                <w:kern w:val="0"/>
                <w:sz w:val="24"/>
                <w:szCs w:val="24"/>
                <w:highlight w:val="none"/>
                <w:lang w:val="en-US" w:eastAsia="zh-CN" w:bidi="ar-SA"/>
              </w:rPr>
              <w:t>中小企业的划分标准依据《关于印发中小企业划型标准规定的通知》（工信部联企业〔2011〕300号）文件执行</w:t>
            </w:r>
          </w:p>
        </w:tc>
      </w:tr>
      <w:tr w14:paraId="58B95A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5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43DF33B">
            <w:pPr>
              <w:shd w:val="clea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19E5C200">
            <w:pPr>
              <w:shd w:val="clea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1C66F8E6">
            <w:pPr>
              <w:shd w:val="clear"/>
              <w:spacing w:line="360" w:lineRule="auto"/>
              <w:rPr>
                <w:rFonts w:ascii="宋体" w:hAnsi="宋体" w:cs="宋体"/>
                <w:color w:val="auto"/>
                <w:highlight w:val="none"/>
              </w:rPr>
            </w:pPr>
            <w:sdt>
              <w:sdtPr>
                <w:rPr>
                  <w:rFonts w:hint="eastAsia" w:ascii="宋体" w:hAnsi="宋体" w:cs="宋体"/>
                  <w:color w:val="auto"/>
                  <w:kern w:val="0"/>
                  <w:sz w:val="24"/>
                  <w:highlight w:val="none"/>
                </w:rPr>
                <w:id w:val="-1"/>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本项目不允许采购进口产品。</w:t>
            </w:r>
          </w:p>
        </w:tc>
      </w:tr>
      <w:tr w14:paraId="2B72CD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1CFA01A">
            <w:pPr>
              <w:shd w:val="clea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708C1629">
            <w:pPr>
              <w:shd w:val="clear"/>
              <w:snapToGrid w:val="0"/>
              <w:spacing w:line="360" w:lineRule="auto"/>
              <w:ind w:firstLine="482" w:firstLineChars="200"/>
              <w:jc w:val="center"/>
              <w:rPr>
                <w:rFonts w:ascii="宋体" w:hAnsi="宋体" w:cs="宋体"/>
                <w:b/>
                <w:color w:val="auto"/>
                <w:sz w:val="24"/>
                <w:highlight w:val="none"/>
              </w:rPr>
            </w:pPr>
            <w:r>
              <w:rPr>
                <w:rFonts w:hint="eastAsia" w:ascii="宋体" w:hAnsi="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1E036AF0">
            <w:pPr>
              <w:shd w:val="clear"/>
              <w:spacing w:line="360" w:lineRule="auto"/>
              <w:rPr>
                <w:rFonts w:hint="eastAsia" w:ascii="宋体" w:hAnsi="宋体" w:eastAsia="宋体" w:cs="宋体"/>
                <w:color w:val="auto"/>
                <w:sz w:val="24"/>
                <w:highlight w:val="none"/>
                <w:shd w:val="clear" w:fill="FFFF00"/>
                <w:lang w:eastAsia="zh-CN"/>
              </w:rPr>
            </w:pPr>
            <w:sdt>
              <w:sdtPr>
                <w:rPr>
                  <w:rFonts w:hint="eastAsia" w:ascii="宋体" w:hAnsi="宋体" w:cs="宋体"/>
                  <w:color w:val="auto"/>
                  <w:kern w:val="0"/>
                  <w:sz w:val="24"/>
                  <w:highlight w:val="none"/>
                </w:rPr>
                <w:id w:val="-1"/>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同意将非主体、非关键性的工作分包。</w:t>
            </w:r>
          </w:p>
          <w:p w14:paraId="08614DA7">
            <w:pPr>
              <w:shd w:val="clear"/>
              <w:spacing w:line="360" w:lineRule="auto"/>
              <w:rPr>
                <w:rFonts w:hint="eastAsia" w:ascii="宋体" w:hAnsi="宋体" w:eastAsia="宋体" w:cs="宋体"/>
                <w:b/>
                <w:bCs/>
                <w:color w:val="auto"/>
                <w:sz w:val="24"/>
                <w:highlight w:val="none"/>
                <w:lang w:eastAsia="zh-CN"/>
              </w:rPr>
            </w:pPr>
            <w:sdt>
              <w:sdtPr>
                <w:rPr>
                  <w:rFonts w:hint="eastAsia" w:ascii="宋体" w:hAnsi="宋体" w:cs="宋体"/>
                  <w:color w:val="auto"/>
                  <w:kern w:val="0"/>
                  <w:sz w:val="24"/>
                  <w:highlight w:val="none"/>
                </w:rPr>
                <w:id w:val="-1"/>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kern w:val="0"/>
                <w:sz w:val="24"/>
                <w:highlight w:val="none"/>
                <w:lang w:val="en-US" w:eastAsia="zh-CN"/>
              </w:rPr>
              <w:t>B</w:t>
            </w:r>
            <w:r>
              <w:rPr>
                <w:rFonts w:hint="eastAsia" w:ascii="宋体" w:hAnsi="宋体" w:cs="宋体"/>
                <w:color w:val="auto"/>
                <w:sz w:val="24"/>
                <w:highlight w:val="none"/>
              </w:rPr>
              <w:t>不同意分包。</w:t>
            </w:r>
          </w:p>
          <w:p w14:paraId="73C07602">
            <w:pPr>
              <w:shd w:val="clear"/>
              <w:spacing w:line="360" w:lineRule="auto"/>
              <w:rPr>
                <w:rFonts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14:paraId="6DBD7A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88"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5380722">
            <w:pPr>
              <w:shd w:val="clea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014E2A8C">
            <w:pPr>
              <w:shd w:val="clea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48D6C073">
            <w:pPr>
              <w:shd w:val="clear"/>
              <w:spacing w:line="360" w:lineRule="auto"/>
              <w:jc w:val="left"/>
              <w:rPr>
                <w:rFonts w:ascii="宋体" w:hAnsi="宋体" w:cs="宋体"/>
                <w:color w:val="auto"/>
                <w:sz w:val="24"/>
                <w:szCs w:val="20"/>
                <w:highlight w:val="none"/>
              </w:rPr>
            </w:pPr>
            <w:sdt>
              <w:sdtPr>
                <w:rPr>
                  <w:rFonts w:hint="eastAsia" w:ascii="宋体" w:hAnsi="宋体" w:cs="宋体"/>
                  <w:color w:val="auto"/>
                  <w:kern w:val="0"/>
                  <w:sz w:val="24"/>
                  <w:highlight w:val="none"/>
                </w:rPr>
                <w:id w:val="-1"/>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tc>
      </w:tr>
      <w:tr w14:paraId="05390F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02"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183335D">
            <w:pPr>
              <w:shd w:val="clea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0F18E725">
            <w:pPr>
              <w:shd w:val="clea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7F405F0A">
            <w:pPr>
              <w:shd w:val="clear"/>
              <w:spacing w:line="360" w:lineRule="auto"/>
              <w:rPr>
                <w:rFonts w:ascii="宋体" w:hAnsi="宋体" w:cs="宋体"/>
                <w:b/>
                <w:color w:val="auto"/>
                <w:sz w:val="24"/>
                <w:highlight w:val="none"/>
              </w:rPr>
            </w:pPr>
            <w:sdt>
              <w:sdtPr>
                <w:rPr>
                  <w:rFonts w:hint="eastAsia" w:ascii="宋体" w:hAnsi="宋体" w:cs="宋体"/>
                  <w:color w:val="auto"/>
                  <w:kern w:val="0"/>
                  <w:sz w:val="24"/>
                  <w:highlight w:val="none"/>
                </w:rPr>
                <w:id w:val="-1"/>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tc>
      </w:tr>
      <w:tr w14:paraId="0B48DD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88"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05037A1">
            <w:pPr>
              <w:shd w:val="clea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5A85C010">
            <w:pPr>
              <w:shd w:val="clea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61F57C7F">
            <w:pPr>
              <w:shd w:val="clear"/>
              <w:spacing w:line="360" w:lineRule="auto"/>
              <w:rPr>
                <w:rFonts w:ascii="宋体" w:hAnsi="宋体" w:cs="宋体"/>
                <w:b/>
                <w:color w:val="auto"/>
                <w:kern w:val="0"/>
                <w:sz w:val="24"/>
                <w:highlight w:val="none"/>
                <w:lang w:val="zh-CN"/>
              </w:rPr>
            </w:pPr>
            <w:sdt>
              <w:sdtPr>
                <w:rPr>
                  <w:rFonts w:hint="eastAsia" w:ascii="宋体" w:hAnsi="宋体" w:cs="宋体"/>
                  <w:color w:val="auto"/>
                  <w:kern w:val="0"/>
                  <w:sz w:val="24"/>
                  <w:highlight w:val="none"/>
                </w:rPr>
                <w:id w:val="-1"/>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tc>
      </w:tr>
      <w:tr w14:paraId="79DAEF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14:paraId="590124CB">
            <w:pPr>
              <w:shd w:val="clear"/>
              <w:snapToGrid w:val="0"/>
              <w:spacing w:line="360" w:lineRule="auto"/>
              <w:jc w:val="center"/>
              <w:rPr>
                <w:rFonts w:ascii="宋体" w:hAnsi="宋体" w:cs="宋体"/>
                <w:color w:val="auto"/>
                <w:sz w:val="24"/>
                <w:highlight w:val="none"/>
              </w:rPr>
            </w:pPr>
          </w:p>
          <w:p w14:paraId="00C4FC4E">
            <w:pPr>
              <w:shd w:val="clear"/>
              <w:snapToGrid w:val="0"/>
              <w:spacing w:line="360" w:lineRule="auto"/>
              <w:jc w:val="center"/>
              <w:rPr>
                <w:rFonts w:ascii="宋体" w:hAnsi="宋体" w:cs="宋体"/>
                <w:color w:val="auto"/>
                <w:sz w:val="24"/>
                <w:highlight w:val="none"/>
              </w:rPr>
            </w:pPr>
          </w:p>
          <w:p w14:paraId="32C13E02">
            <w:pPr>
              <w:shd w:val="clea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2071CFAA">
            <w:pPr>
              <w:shd w:val="clea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7F12C937">
            <w:pPr>
              <w:shd w:val="clea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14:paraId="333419B4">
            <w:pPr>
              <w:shd w:val="clea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14:paraId="6364BD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vAlign w:val="center"/>
          </w:tcPr>
          <w:p w14:paraId="3352EB5B">
            <w:pPr>
              <w:shd w:val="clear"/>
              <w:snapToGrid w:val="0"/>
              <w:spacing w:line="360" w:lineRule="auto"/>
              <w:jc w:val="center"/>
              <w:rPr>
                <w:rFonts w:ascii="宋体" w:hAnsi="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22F40BDD">
            <w:pPr>
              <w:shd w:val="clear"/>
              <w:snapToGrid w:val="0"/>
              <w:spacing w:line="360" w:lineRule="auto"/>
              <w:jc w:val="center"/>
              <w:rPr>
                <w:rFonts w:ascii="宋体" w:hAnsi="宋体" w:cs="宋体"/>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24ED9FA8">
            <w:pPr>
              <w:shd w:val="clea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14:paraId="35B668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794048AB">
            <w:pPr>
              <w:shd w:val="clear"/>
              <w:snapToGrid w:val="0"/>
              <w:spacing w:line="360" w:lineRule="auto"/>
              <w:jc w:val="center"/>
              <w:rPr>
                <w:rFonts w:ascii="宋体" w:hAnsi="宋体" w:cs="宋体"/>
                <w:color w:val="auto"/>
                <w:sz w:val="24"/>
                <w:highlight w:val="none"/>
              </w:rPr>
            </w:pPr>
          </w:p>
          <w:p w14:paraId="79CD4BBC">
            <w:pPr>
              <w:shd w:val="clear"/>
              <w:snapToGrid w:val="0"/>
              <w:spacing w:line="360" w:lineRule="auto"/>
              <w:jc w:val="center"/>
              <w:rPr>
                <w:rFonts w:ascii="宋体" w:hAnsi="宋体" w:cs="宋体"/>
                <w:color w:val="auto"/>
                <w:sz w:val="24"/>
                <w:highlight w:val="none"/>
              </w:rPr>
            </w:pPr>
          </w:p>
          <w:p w14:paraId="16C18C78">
            <w:pPr>
              <w:shd w:val="clea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2EDF693F">
            <w:pPr>
              <w:shd w:val="clea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334D84AB">
            <w:pPr>
              <w:shd w:val="clear"/>
              <w:snapToGrid w:val="0"/>
              <w:spacing w:line="360" w:lineRule="auto"/>
              <w:rPr>
                <w:rFonts w:ascii="宋体" w:hAnsi="宋体" w:cs="宋体"/>
                <w:color w:val="auto"/>
                <w:highlight w:val="none"/>
              </w:rPr>
            </w:pPr>
            <w:r>
              <w:rPr>
                <w:rFonts w:hint="eastAsia" w:ascii="宋体" w:hAnsi="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1B870A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77786676">
            <w:pPr>
              <w:shd w:val="clear"/>
              <w:snapToGrid w:val="0"/>
              <w:spacing w:line="360" w:lineRule="auto"/>
              <w:jc w:val="center"/>
              <w:rPr>
                <w:rFonts w:ascii="宋体" w:hAnsi="宋体" w:cs="宋体"/>
                <w:color w:val="auto"/>
                <w:sz w:val="24"/>
                <w:highlight w:val="none"/>
              </w:rPr>
            </w:pPr>
          </w:p>
          <w:p w14:paraId="122CD03A">
            <w:pPr>
              <w:shd w:val="clear"/>
              <w:snapToGrid w:val="0"/>
              <w:spacing w:line="360" w:lineRule="auto"/>
              <w:jc w:val="center"/>
              <w:rPr>
                <w:rFonts w:ascii="宋体" w:hAnsi="宋体" w:cs="宋体"/>
                <w:color w:val="auto"/>
                <w:sz w:val="24"/>
                <w:highlight w:val="none"/>
              </w:rPr>
            </w:pPr>
          </w:p>
          <w:p w14:paraId="25ED6227">
            <w:pPr>
              <w:shd w:val="clear"/>
              <w:snapToGrid w:val="0"/>
              <w:spacing w:line="360" w:lineRule="auto"/>
              <w:jc w:val="center"/>
              <w:rPr>
                <w:rFonts w:ascii="宋体" w:hAnsi="宋体" w:cs="宋体"/>
                <w:color w:val="auto"/>
                <w:sz w:val="24"/>
                <w:highlight w:val="none"/>
              </w:rPr>
            </w:pPr>
          </w:p>
          <w:p w14:paraId="3B07C3D7">
            <w:pPr>
              <w:shd w:val="clear"/>
              <w:snapToGrid w:val="0"/>
              <w:spacing w:line="360" w:lineRule="auto"/>
              <w:jc w:val="center"/>
              <w:rPr>
                <w:rFonts w:ascii="宋体" w:hAnsi="宋体" w:cs="宋体"/>
                <w:color w:val="auto"/>
                <w:sz w:val="24"/>
                <w:highlight w:val="none"/>
              </w:rPr>
            </w:pPr>
          </w:p>
          <w:p w14:paraId="4D40515C">
            <w:pPr>
              <w:shd w:val="clear"/>
              <w:snapToGrid w:val="0"/>
              <w:spacing w:line="360" w:lineRule="auto"/>
              <w:jc w:val="center"/>
              <w:rPr>
                <w:rFonts w:ascii="宋体" w:hAnsi="宋体" w:cs="宋体"/>
                <w:color w:val="auto"/>
                <w:sz w:val="24"/>
                <w:highlight w:val="none"/>
              </w:rPr>
            </w:pPr>
          </w:p>
          <w:p w14:paraId="2D618C4B">
            <w:pPr>
              <w:shd w:val="clea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38837424">
            <w:pPr>
              <w:shd w:val="clea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6F95AC9D">
            <w:pPr>
              <w:shd w:val="clear"/>
              <w:snapToGrid w:val="0"/>
              <w:spacing w:line="360" w:lineRule="auto"/>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cs="宋体"/>
                <w:b/>
                <w:color w:val="auto"/>
                <w:kern w:val="0"/>
                <w:sz w:val="24"/>
                <w:highlight w:val="none"/>
                <w:lang w:val="zh-CN"/>
              </w:rPr>
              <w:t>提醒：验收时检测费用由采购人承担，不包含在投标总价中。</w:t>
            </w:r>
          </w:p>
          <w:p w14:paraId="6A0AD9D5">
            <w:pPr>
              <w:shd w:val="clea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14:paraId="75218FBB">
            <w:pPr>
              <w:shd w:val="clea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14:paraId="26A8E0C4">
            <w:pPr>
              <w:shd w:val="clear"/>
              <w:snapToGrid w:val="0"/>
              <w:spacing w:line="360" w:lineRule="auto"/>
              <w:ind w:firstLine="241" w:firstLineChars="100"/>
              <w:jc w:val="left"/>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14:paraId="3FF413CF">
            <w:pPr>
              <w:shd w:val="clear"/>
              <w:spacing w:line="360" w:lineRule="auto"/>
              <w:ind w:firstLine="241" w:firstLineChars="100"/>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14:paraId="7BC02C57">
            <w:pPr>
              <w:shd w:val="clear"/>
              <w:spacing w:line="360" w:lineRule="auto"/>
              <w:ind w:firstLine="241" w:firstLineChars="100"/>
              <w:rPr>
                <w:rFonts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14:paraId="1E4B91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041" w:hRule="atLeast"/>
          <w:tblHeader/>
        </w:trPr>
        <w:tc>
          <w:tcPr>
            <w:tcW w:w="629" w:type="dxa"/>
            <w:tcBorders>
              <w:top w:val="single" w:color="auto" w:sz="4" w:space="0"/>
              <w:left w:val="single" w:color="000000" w:sz="8" w:space="0"/>
              <w:right w:val="single" w:color="000000" w:sz="2" w:space="0"/>
            </w:tcBorders>
            <w:vAlign w:val="center"/>
          </w:tcPr>
          <w:p w14:paraId="2B0FF7E0">
            <w:pPr>
              <w:shd w:val="clear"/>
              <w:snapToGrid w:val="0"/>
              <w:spacing w:line="360" w:lineRule="auto"/>
              <w:jc w:val="center"/>
              <w:rPr>
                <w:rFonts w:ascii="宋体" w:hAnsi="宋体" w:cs="宋体"/>
                <w:color w:val="auto"/>
                <w:sz w:val="24"/>
                <w:highlight w:val="none"/>
              </w:rPr>
            </w:pPr>
          </w:p>
          <w:p w14:paraId="1C1224CC">
            <w:pPr>
              <w:shd w:val="clea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14:paraId="02D42F75">
            <w:pPr>
              <w:shd w:val="clea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7D957AAF">
            <w:pPr>
              <w:shd w:val="clear"/>
              <w:spacing w:line="360" w:lineRule="auto"/>
              <w:ind w:firstLine="480" w:firstLineChars="200"/>
              <w:rPr>
                <w:rFonts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341F2D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00587CCF">
            <w:pPr>
              <w:shd w:val="clea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2AD0B4D7">
            <w:pPr>
              <w:shd w:val="clea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备份投标文件送达地点和签收人员</w:t>
            </w:r>
          </w:p>
        </w:tc>
        <w:tc>
          <w:tcPr>
            <w:tcW w:w="6095" w:type="dxa"/>
            <w:tcBorders>
              <w:top w:val="single" w:color="000000" w:sz="8" w:space="0"/>
              <w:left w:val="single" w:color="000000" w:sz="2" w:space="0"/>
              <w:bottom w:val="single" w:color="000000" w:sz="8" w:space="0"/>
              <w:right w:val="single" w:color="000000" w:sz="8" w:space="0"/>
            </w:tcBorders>
            <w:vAlign w:val="center"/>
          </w:tcPr>
          <w:p w14:paraId="68FFEDBA">
            <w:pPr>
              <w:pStyle w:val="35"/>
              <w:shd w:val="clear"/>
              <w:spacing w:line="360" w:lineRule="auto"/>
              <w:rPr>
                <w:rFonts w:hAnsi="宋体" w:cs="宋体"/>
                <w:color w:val="auto"/>
                <w:kern w:val="28"/>
                <w:sz w:val="24"/>
                <w:highlight w:val="none"/>
              </w:rPr>
            </w:pPr>
            <w:r>
              <w:rPr>
                <w:rFonts w:hint="eastAsia" w:hAnsi="宋体" w:cs="宋体"/>
                <w:color w:val="auto"/>
                <w:kern w:val="28"/>
                <w:sz w:val="24"/>
                <w:szCs w:val="24"/>
                <w:highlight w:val="none"/>
              </w:rPr>
              <w:t>备份投标文件送达地点：</w:t>
            </w:r>
            <w:r>
              <w:rPr>
                <w:rFonts w:hint="eastAsia" w:hAnsi="宋体" w:cs="宋体"/>
                <w:color w:val="auto"/>
                <w:sz w:val="24"/>
                <w:highlight w:val="none"/>
                <w:u w:val="single"/>
              </w:rPr>
              <w:t>杭州市拱墅区学院北路50号1幢401室</w:t>
            </w:r>
            <w:r>
              <w:rPr>
                <w:rFonts w:hint="eastAsia" w:hAnsi="宋体" w:cs="宋体"/>
                <w:color w:val="auto"/>
                <w:kern w:val="28"/>
                <w:sz w:val="24"/>
                <w:szCs w:val="24"/>
                <w:highlight w:val="none"/>
              </w:rPr>
              <w:t>；备份投标文件签收人员联系电话：</w:t>
            </w:r>
            <w:r>
              <w:rPr>
                <w:rFonts w:hint="eastAsia" w:hAnsi="宋体" w:cs="宋体"/>
                <w:color w:val="auto"/>
                <w:sz w:val="24"/>
                <w:highlight w:val="none"/>
                <w:u w:val="single"/>
                <w:lang w:val="en-US" w:eastAsia="zh-CN"/>
              </w:rPr>
              <w:t>18767130849</w:t>
            </w:r>
            <w:r>
              <w:rPr>
                <w:rFonts w:hint="eastAsia" w:hAnsi="宋体" w:cs="宋体"/>
                <w:color w:val="auto"/>
                <w:sz w:val="24"/>
                <w:szCs w:val="24"/>
                <w:highlight w:val="none"/>
              </w:rPr>
              <w:t>。</w:t>
            </w:r>
            <w:r>
              <w:rPr>
                <w:rFonts w:hint="eastAsia" w:hAnsi="宋体" w:cs="宋体"/>
                <w:b/>
                <w:color w:val="auto"/>
                <w:sz w:val="24"/>
                <w:szCs w:val="24"/>
                <w:highlight w:val="none"/>
              </w:rPr>
              <w:t>采购人、采购代理机构不强制或变相强制投标人提交备份投标文件。</w:t>
            </w:r>
          </w:p>
        </w:tc>
      </w:tr>
      <w:tr w14:paraId="3AB74B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4BDA4791">
            <w:pPr>
              <w:shd w:val="clea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13</w:t>
            </w:r>
          </w:p>
        </w:tc>
        <w:tc>
          <w:tcPr>
            <w:tcW w:w="1843" w:type="dxa"/>
            <w:tcBorders>
              <w:top w:val="single" w:color="000000" w:sz="8" w:space="0"/>
              <w:left w:val="single" w:color="000000" w:sz="2" w:space="0"/>
              <w:bottom w:val="single" w:color="000000" w:sz="8" w:space="0"/>
              <w:right w:val="single" w:color="000000" w:sz="8" w:space="0"/>
            </w:tcBorders>
            <w:vAlign w:val="center"/>
          </w:tcPr>
          <w:p w14:paraId="1BDC7413">
            <w:pPr>
              <w:shd w:val="clea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采购代理服务费</w:t>
            </w:r>
          </w:p>
        </w:tc>
        <w:tc>
          <w:tcPr>
            <w:tcW w:w="6095" w:type="dxa"/>
            <w:tcBorders>
              <w:top w:val="single" w:color="000000" w:sz="8" w:space="0"/>
              <w:left w:val="single" w:color="000000" w:sz="2" w:space="0"/>
              <w:bottom w:val="single" w:color="000000" w:sz="8" w:space="0"/>
              <w:right w:val="single" w:color="000000" w:sz="8" w:space="0"/>
            </w:tcBorders>
            <w:vAlign w:val="center"/>
          </w:tcPr>
          <w:p w14:paraId="6675C298">
            <w:pPr>
              <w:shd w:val="clear"/>
              <w:spacing w:line="360" w:lineRule="auto"/>
              <w:rPr>
                <w:rFonts w:hint="eastAsia" w:ascii="宋体" w:hAnsi="宋体" w:cs="宋体"/>
                <w:snapToGrid w:val="0"/>
                <w:color w:val="auto"/>
                <w:kern w:val="28"/>
                <w:sz w:val="24"/>
                <w:highlight w:val="none"/>
              </w:rPr>
            </w:pPr>
            <w:r>
              <w:rPr>
                <w:rFonts w:hint="eastAsia" w:ascii="宋体" w:hAnsi="宋体" w:cs="宋体"/>
                <w:snapToGrid w:val="0"/>
                <w:color w:val="auto"/>
                <w:kern w:val="28"/>
                <w:sz w:val="24"/>
                <w:highlight w:val="none"/>
              </w:rPr>
              <w:t>采购代理服务费金额：</w:t>
            </w:r>
            <w:r>
              <w:rPr>
                <w:rFonts w:hint="eastAsia" w:ascii="宋体" w:hAnsi="宋体" w:cs="宋体"/>
                <w:snapToGrid w:val="0"/>
                <w:color w:val="auto"/>
                <w:kern w:val="28"/>
                <w:sz w:val="24"/>
                <w:highlight w:val="none"/>
                <w:lang w:val="en-US" w:eastAsia="zh-CN"/>
              </w:rPr>
              <w:t>按计价格【2002】1980号文件标准的50%计取，</w:t>
            </w:r>
            <w:r>
              <w:rPr>
                <w:rFonts w:hint="eastAsia" w:ascii="宋体" w:hAnsi="宋体" w:cs="宋体"/>
                <w:snapToGrid w:val="0"/>
                <w:color w:val="auto"/>
                <w:kern w:val="28"/>
                <w:sz w:val="24"/>
                <w:highlight w:val="none"/>
              </w:rPr>
              <w:t>以标项中标金额为计算基数，按以下标准费率计算值收取。费率标准如下：</w:t>
            </w:r>
          </w:p>
          <w:tbl>
            <w:tblPr>
              <w:tblStyle w:val="6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14"/>
              <w:gridCol w:w="3015"/>
            </w:tblGrid>
            <w:tr w14:paraId="009FC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14" w:type="dxa"/>
                  <w:vAlign w:val="center"/>
                </w:tcPr>
                <w:p w14:paraId="30FA157C">
                  <w:pPr>
                    <w:shd w:val="clear"/>
                    <w:adjustRightInd/>
                    <w:rPr>
                      <w:rFonts w:cs="Calibri"/>
                      <w:color w:val="auto"/>
                      <w:sz w:val="24"/>
                      <w:highlight w:val="none"/>
                    </w:rPr>
                  </w:pPr>
                  <w:r>
                    <w:rPr>
                      <w:rFonts w:cs="Calibri"/>
                      <w:color w:val="auto"/>
                      <w:sz w:val="24"/>
                      <w:highlight w:val="none"/>
                    </w:rPr>
                    <w:t>金额（万元）</w:t>
                  </w:r>
                </w:p>
              </w:tc>
              <w:tc>
                <w:tcPr>
                  <w:tcW w:w="3015" w:type="dxa"/>
                  <w:vAlign w:val="center"/>
                </w:tcPr>
                <w:p w14:paraId="6BF380E5">
                  <w:pPr>
                    <w:shd w:val="clear"/>
                    <w:adjustRightInd/>
                    <w:rPr>
                      <w:rFonts w:cs="Calibri"/>
                      <w:color w:val="auto"/>
                      <w:sz w:val="24"/>
                      <w:highlight w:val="none"/>
                    </w:rPr>
                  </w:pPr>
                  <w:r>
                    <w:rPr>
                      <w:rFonts w:cs="Calibri"/>
                      <w:color w:val="auto"/>
                      <w:sz w:val="24"/>
                      <w:highlight w:val="none"/>
                    </w:rPr>
                    <w:t>费率</w:t>
                  </w:r>
                </w:p>
              </w:tc>
            </w:tr>
            <w:tr w14:paraId="0D7EE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14" w:type="dxa"/>
                  <w:vAlign w:val="center"/>
                </w:tcPr>
                <w:p w14:paraId="29B70022">
                  <w:pPr>
                    <w:shd w:val="clear"/>
                    <w:adjustRightInd/>
                    <w:rPr>
                      <w:rFonts w:eastAsia="宋体" w:cs="Calibri"/>
                      <w:color w:val="auto"/>
                      <w:sz w:val="24"/>
                      <w:highlight w:val="none"/>
                    </w:rPr>
                  </w:pPr>
                  <w:r>
                    <w:rPr>
                      <w:rFonts w:eastAsia="宋体" w:cs="Calibri"/>
                      <w:color w:val="auto"/>
                      <w:sz w:val="24"/>
                      <w:highlight w:val="none"/>
                    </w:rPr>
                    <w:t>100以下部分</w:t>
                  </w:r>
                </w:p>
              </w:tc>
              <w:tc>
                <w:tcPr>
                  <w:tcW w:w="3015" w:type="dxa"/>
                  <w:vAlign w:val="center"/>
                </w:tcPr>
                <w:p w14:paraId="61877D1E">
                  <w:pPr>
                    <w:shd w:val="clear"/>
                    <w:adjustRightInd/>
                    <w:rPr>
                      <w:rFonts w:eastAsia="宋体" w:cs="Calibri"/>
                      <w:color w:val="auto"/>
                      <w:sz w:val="24"/>
                      <w:highlight w:val="none"/>
                    </w:rPr>
                  </w:pPr>
                  <w:r>
                    <w:rPr>
                      <w:rFonts w:eastAsia="宋体" w:cs="Calibri"/>
                      <w:color w:val="auto"/>
                      <w:sz w:val="24"/>
                      <w:highlight w:val="none"/>
                    </w:rPr>
                    <w:t>1.5%</w:t>
                  </w:r>
                </w:p>
              </w:tc>
            </w:tr>
            <w:tr w14:paraId="75ABB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14" w:type="dxa"/>
                  <w:vAlign w:val="center"/>
                </w:tcPr>
                <w:p w14:paraId="21AC6FE7">
                  <w:pPr>
                    <w:shd w:val="clear"/>
                    <w:adjustRightInd/>
                    <w:rPr>
                      <w:rFonts w:eastAsia="宋体" w:cs="Calibri"/>
                      <w:color w:val="auto"/>
                      <w:sz w:val="24"/>
                      <w:highlight w:val="none"/>
                    </w:rPr>
                  </w:pPr>
                  <w:r>
                    <w:rPr>
                      <w:rFonts w:eastAsia="宋体" w:cs="Calibri"/>
                      <w:color w:val="auto"/>
                      <w:sz w:val="24"/>
                      <w:highlight w:val="none"/>
                    </w:rPr>
                    <w:t>100~500（含）之间部分</w:t>
                  </w:r>
                </w:p>
              </w:tc>
              <w:tc>
                <w:tcPr>
                  <w:tcW w:w="3015" w:type="dxa"/>
                  <w:vAlign w:val="center"/>
                </w:tcPr>
                <w:p w14:paraId="706FD4D9">
                  <w:pPr>
                    <w:shd w:val="clear"/>
                    <w:adjustRightInd/>
                    <w:rPr>
                      <w:rFonts w:eastAsia="宋体" w:cs="Calibri"/>
                      <w:color w:val="auto"/>
                      <w:sz w:val="24"/>
                      <w:highlight w:val="none"/>
                    </w:rPr>
                  </w:pPr>
                  <w:r>
                    <w:rPr>
                      <w:rFonts w:eastAsia="宋体" w:cs="Calibri"/>
                      <w:color w:val="auto"/>
                      <w:sz w:val="24"/>
                      <w:highlight w:val="none"/>
                    </w:rPr>
                    <w:t>0.8%</w:t>
                  </w:r>
                </w:p>
              </w:tc>
            </w:tr>
            <w:tr w14:paraId="12233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14" w:type="dxa"/>
                  <w:vAlign w:val="center"/>
                </w:tcPr>
                <w:p w14:paraId="7FF982B5">
                  <w:pPr>
                    <w:shd w:val="clear"/>
                    <w:adjustRightInd/>
                    <w:rPr>
                      <w:rFonts w:eastAsia="宋体" w:cs="Calibri"/>
                      <w:color w:val="auto"/>
                      <w:sz w:val="24"/>
                      <w:highlight w:val="none"/>
                    </w:rPr>
                  </w:pPr>
                  <w:r>
                    <w:rPr>
                      <w:rFonts w:hint="eastAsia" w:cs="Calibri"/>
                      <w:color w:val="auto"/>
                      <w:sz w:val="24"/>
                      <w:highlight w:val="none"/>
                      <w:lang w:val="en-US" w:eastAsia="zh-CN"/>
                    </w:rPr>
                    <w:t>5</w:t>
                  </w:r>
                  <w:r>
                    <w:rPr>
                      <w:rFonts w:eastAsia="宋体" w:cs="Calibri"/>
                      <w:color w:val="auto"/>
                      <w:sz w:val="24"/>
                      <w:highlight w:val="none"/>
                    </w:rPr>
                    <w:t>00~</w:t>
                  </w:r>
                  <w:r>
                    <w:rPr>
                      <w:rFonts w:hint="eastAsia" w:cs="Calibri"/>
                      <w:color w:val="auto"/>
                      <w:sz w:val="24"/>
                      <w:highlight w:val="none"/>
                      <w:lang w:val="en-US" w:eastAsia="zh-CN"/>
                    </w:rPr>
                    <w:t>10</w:t>
                  </w:r>
                  <w:r>
                    <w:rPr>
                      <w:rFonts w:eastAsia="宋体" w:cs="Calibri"/>
                      <w:color w:val="auto"/>
                      <w:sz w:val="24"/>
                      <w:highlight w:val="none"/>
                    </w:rPr>
                    <w:t>00（含）之间部分</w:t>
                  </w:r>
                </w:p>
              </w:tc>
              <w:tc>
                <w:tcPr>
                  <w:tcW w:w="3015" w:type="dxa"/>
                  <w:vAlign w:val="center"/>
                </w:tcPr>
                <w:p w14:paraId="76A172CB">
                  <w:pPr>
                    <w:shd w:val="clear"/>
                    <w:adjustRightInd/>
                    <w:rPr>
                      <w:rFonts w:hint="default" w:eastAsia="宋体" w:cs="Calibri"/>
                      <w:color w:val="auto"/>
                      <w:sz w:val="24"/>
                      <w:highlight w:val="none"/>
                      <w:lang w:val="en-US" w:eastAsia="zh-CN"/>
                    </w:rPr>
                  </w:pPr>
                  <w:r>
                    <w:rPr>
                      <w:rFonts w:hint="eastAsia" w:cs="Calibri"/>
                      <w:color w:val="auto"/>
                      <w:sz w:val="24"/>
                      <w:highlight w:val="none"/>
                      <w:lang w:val="en-US" w:eastAsia="zh-CN"/>
                    </w:rPr>
                    <w:t>0.45%</w:t>
                  </w:r>
                </w:p>
              </w:tc>
            </w:tr>
            <w:tr w14:paraId="456A4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14" w:type="dxa"/>
                  <w:vAlign w:val="center"/>
                </w:tcPr>
                <w:p w14:paraId="57B3BDA1">
                  <w:pPr>
                    <w:shd w:val="clear"/>
                    <w:adjustRightInd/>
                    <w:rPr>
                      <w:rFonts w:eastAsia="宋体" w:cs="Calibri"/>
                      <w:color w:val="auto"/>
                      <w:sz w:val="24"/>
                      <w:highlight w:val="none"/>
                    </w:rPr>
                  </w:pPr>
                  <w:r>
                    <w:rPr>
                      <w:rFonts w:hint="eastAsia" w:cs="Calibri"/>
                      <w:color w:val="auto"/>
                      <w:sz w:val="24"/>
                      <w:highlight w:val="none"/>
                      <w:lang w:val="en-US" w:eastAsia="zh-CN"/>
                    </w:rPr>
                    <w:t>10</w:t>
                  </w:r>
                  <w:r>
                    <w:rPr>
                      <w:rFonts w:eastAsia="宋体" w:cs="Calibri"/>
                      <w:color w:val="auto"/>
                      <w:sz w:val="24"/>
                      <w:highlight w:val="none"/>
                    </w:rPr>
                    <w:t>00~</w:t>
                  </w:r>
                  <w:r>
                    <w:rPr>
                      <w:rFonts w:hint="eastAsia" w:cs="Calibri"/>
                      <w:color w:val="auto"/>
                      <w:sz w:val="24"/>
                      <w:highlight w:val="none"/>
                      <w:lang w:val="en-US" w:eastAsia="zh-CN"/>
                    </w:rPr>
                    <w:t>50</w:t>
                  </w:r>
                  <w:r>
                    <w:rPr>
                      <w:rFonts w:eastAsia="宋体" w:cs="Calibri"/>
                      <w:color w:val="auto"/>
                      <w:sz w:val="24"/>
                      <w:highlight w:val="none"/>
                    </w:rPr>
                    <w:t>00（含）之间部分</w:t>
                  </w:r>
                </w:p>
              </w:tc>
              <w:tc>
                <w:tcPr>
                  <w:tcW w:w="3015" w:type="dxa"/>
                  <w:vAlign w:val="center"/>
                </w:tcPr>
                <w:p w14:paraId="02DFCA75">
                  <w:pPr>
                    <w:shd w:val="clear"/>
                    <w:adjustRightInd/>
                    <w:rPr>
                      <w:rFonts w:hint="default" w:eastAsia="宋体" w:cs="Calibri"/>
                      <w:color w:val="auto"/>
                      <w:sz w:val="24"/>
                      <w:highlight w:val="none"/>
                      <w:lang w:val="en-US" w:eastAsia="zh-CN"/>
                    </w:rPr>
                  </w:pPr>
                  <w:r>
                    <w:rPr>
                      <w:rFonts w:hint="eastAsia" w:cs="Calibri"/>
                      <w:color w:val="auto"/>
                      <w:sz w:val="24"/>
                      <w:highlight w:val="none"/>
                      <w:lang w:val="en-US" w:eastAsia="zh-CN"/>
                    </w:rPr>
                    <w:t>0.25%</w:t>
                  </w:r>
                </w:p>
              </w:tc>
            </w:tr>
          </w:tbl>
          <w:p w14:paraId="4237754D">
            <w:pPr>
              <w:shd w:val="clear"/>
              <w:spacing w:line="360" w:lineRule="auto"/>
              <w:rPr>
                <w:rFonts w:hint="eastAsia" w:ascii="宋体" w:hAnsi="宋体" w:cs="宋体"/>
                <w:snapToGrid w:val="0"/>
                <w:color w:val="auto"/>
                <w:kern w:val="28"/>
                <w:sz w:val="24"/>
                <w:highlight w:val="none"/>
              </w:rPr>
            </w:pPr>
            <w:r>
              <w:rPr>
                <w:rFonts w:hint="eastAsia" w:ascii="宋体" w:hAnsi="宋体" w:cs="宋体"/>
                <w:snapToGrid w:val="0"/>
                <w:color w:val="auto"/>
                <w:kern w:val="28"/>
                <w:sz w:val="24"/>
                <w:highlight w:val="none"/>
              </w:rPr>
              <w:t>采购代理服务费交纳形式：汇票/支票/电汇</w:t>
            </w:r>
          </w:p>
          <w:p w14:paraId="75D9DF67">
            <w:pPr>
              <w:shd w:val="clear"/>
              <w:spacing w:line="360" w:lineRule="auto"/>
              <w:rPr>
                <w:rFonts w:hint="eastAsia" w:ascii="宋体" w:hAnsi="宋体" w:cs="宋体"/>
                <w:snapToGrid w:val="0"/>
                <w:color w:val="auto"/>
                <w:kern w:val="28"/>
                <w:sz w:val="24"/>
                <w:highlight w:val="none"/>
              </w:rPr>
            </w:pPr>
            <w:r>
              <w:rPr>
                <w:rFonts w:hint="eastAsia" w:ascii="宋体" w:hAnsi="宋体" w:cs="宋体"/>
                <w:snapToGrid w:val="0"/>
                <w:color w:val="auto"/>
                <w:kern w:val="28"/>
                <w:sz w:val="24"/>
                <w:highlight w:val="none"/>
              </w:rPr>
              <w:t>采购代理服务费由中标人在收到中标通知书时以人民币方式向采购代理机构支付。汇入以下账户：</w:t>
            </w:r>
          </w:p>
          <w:p w14:paraId="295CE789">
            <w:pPr>
              <w:shd w:val="clear"/>
              <w:spacing w:line="360" w:lineRule="auto"/>
              <w:rPr>
                <w:rFonts w:hint="eastAsia" w:ascii="宋体" w:hAnsi="宋体" w:cs="宋体"/>
                <w:snapToGrid w:val="0"/>
                <w:color w:val="auto"/>
                <w:kern w:val="28"/>
                <w:sz w:val="24"/>
                <w:highlight w:val="none"/>
              </w:rPr>
            </w:pPr>
            <w:r>
              <w:rPr>
                <w:rFonts w:hint="eastAsia" w:ascii="宋体" w:hAnsi="宋体" w:cs="宋体"/>
                <w:snapToGrid w:val="0"/>
                <w:color w:val="auto"/>
                <w:kern w:val="28"/>
                <w:sz w:val="24"/>
                <w:highlight w:val="none"/>
              </w:rPr>
              <w:t>户名：</w:t>
            </w:r>
            <w:r>
              <w:rPr>
                <w:rFonts w:hint="eastAsia"/>
                <w:color w:val="auto"/>
                <w:sz w:val="24"/>
                <w:szCs w:val="24"/>
                <w:highlight w:val="none"/>
                <w:lang w:val="en-US" w:eastAsia="zh-CN"/>
              </w:rPr>
              <w:t>华诚工程咨询集团有限公司</w:t>
            </w:r>
          </w:p>
          <w:p w14:paraId="30D1CAF3">
            <w:pPr>
              <w:shd w:val="clear"/>
              <w:spacing w:line="360" w:lineRule="auto"/>
              <w:rPr>
                <w:rFonts w:hint="eastAsia" w:ascii="宋体" w:hAnsi="宋体" w:cs="宋体"/>
                <w:snapToGrid w:val="0"/>
                <w:color w:val="auto"/>
                <w:kern w:val="28"/>
                <w:sz w:val="24"/>
                <w:highlight w:val="none"/>
              </w:rPr>
            </w:pPr>
            <w:r>
              <w:rPr>
                <w:rFonts w:hint="eastAsia" w:ascii="宋体" w:hAnsi="宋体" w:cs="宋体"/>
                <w:snapToGrid w:val="0"/>
                <w:color w:val="auto"/>
                <w:kern w:val="28"/>
                <w:sz w:val="24"/>
                <w:highlight w:val="none"/>
              </w:rPr>
              <w:t>开户行：</w:t>
            </w:r>
            <w:r>
              <w:rPr>
                <w:rFonts w:hint="eastAsia"/>
                <w:color w:val="auto"/>
                <w:sz w:val="24"/>
                <w:szCs w:val="24"/>
                <w:highlight w:val="none"/>
                <w:lang w:val="en-US" w:eastAsia="zh-CN"/>
              </w:rPr>
              <w:t>中国光大银行杭州朝晖支行</w:t>
            </w:r>
          </w:p>
          <w:p w14:paraId="3F64986D">
            <w:pPr>
              <w:shd w:val="clear"/>
              <w:spacing w:line="360" w:lineRule="auto"/>
              <w:rPr>
                <w:rFonts w:hint="eastAsia" w:hAnsi="宋体" w:cs="宋体"/>
                <w:color w:val="auto"/>
                <w:kern w:val="28"/>
                <w:sz w:val="24"/>
                <w:szCs w:val="24"/>
                <w:highlight w:val="none"/>
              </w:rPr>
            </w:pPr>
            <w:r>
              <w:rPr>
                <w:rFonts w:hint="eastAsia" w:ascii="宋体" w:hAnsi="宋体" w:cs="宋体"/>
                <w:snapToGrid w:val="0"/>
                <w:color w:val="auto"/>
                <w:kern w:val="28"/>
                <w:sz w:val="24"/>
                <w:highlight w:val="none"/>
              </w:rPr>
              <w:t>账号：</w:t>
            </w:r>
            <w:r>
              <w:rPr>
                <w:rFonts w:hint="eastAsia"/>
                <w:color w:val="auto"/>
                <w:sz w:val="24"/>
                <w:szCs w:val="24"/>
                <w:highlight w:val="none"/>
                <w:lang w:val="en-US" w:eastAsia="zh-CN"/>
              </w:rPr>
              <w:t>76780188000052391</w:t>
            </w:r>
          </w:p>
        </w:tc>
      </w:tr>
      <w:tr w14:paraId="2B80C2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center"/>
          </w:tcPr>
          <w:p w14:paraId="3175EE5F">
            <w:pPr>
              <w:shd w:val="clear"/>
              <w:snapToGrid w:val="0"/>
              <w:spacing w:line="360"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4</w:t>
            </w:r>
          </w:p>
        </w:tc>
        <w:tc>
          <w:tcPr>
            <w:tcW w:w="1843" w:type="dxa"/>
            <w:vMerge w:val="restart"/>
            <w:tcBorders>
              <w:top w:val="single" w:color="000000" w:sz="8" w:space="0"/>
              <w:left w:val="single" w:color="000000" w:sz="2" w:space="0"/>
              <w:right w:val="single" w:color="000000" w:sz="8" w:space="0"/>
            </w:tcBorders>
            <w:vAlign w:val="center"/>
          </w:tcPr>
          <w:p w14:paraId="2EE54E61">
            <w:pPr>
              <w:shd w:val="clear"/>
              <w:snapToGrid w:val="0"/>
              <w:spacing w:line="360" w:lineRule="auto"/>
              <w:jc w:val="center"/>
              <w:rPr>
                <w:rFonts w:ascii="宋体" w:hAnsi="宋体" w:cs="宋体"/>
                <w:b/>
                <w:color w:val="auto"/>
                <w:sz w:val="24"/>
                <w:highlight w:val="none"/>
              </w:rPr>
            </w:pPr>
            <w:r>
              <w:rPr>
                <w:rFonts w:hint="eastAsia" w:cs="仿宋_GB2312" w:asciiTheme="minorEastAsia" w:hAnsiTheme="minorEastAsia" w:eastAsiaTheme="minorEastAsia"/>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0EF55FC7">
            <w:pPr>
              <w:shd w:val="clea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2D7149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vAlign w:val="center"/>
          </w:tcPr>
          <w:p w14:paraId="14238C8A">
            <w:pPr>
              <w:shd w:val="clea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bottom w:val="single" w:color="000000" w:sz="8" w:space="0"/>
              <w:right w:val="single" w:color="000000" w:sz="8" w:space="0"/>
            </w:tcBorders>
            <w:vAlign w:val="center"/>
          </w:tcPr>
          <w:p w14:paraId="1E0B2F9F">
            <w:pPr>
              <w:shd w:val="clear"/>
              <w:snapToGrid w:val="0"/>
              <w:spacing w:line="360" w:lineRule="auto"/>
              <w:jc w:val="center"/>
              <w:rPr>
                <w:rFonts w:ascii="宋体" w:hAnsi="宋体" w:cs="宋体"/>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39F996E3">
            <w:pPr>
              <w:shd w:val="clea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Gothic" w:hAnsi="MS Gothic" w:eastAsia="MS Mincho" w:cs="MS Mincho"/>
                    <w:color w:val="auto"/>
                    <w:kern w:val="0"/>
                    <w:sz w:val="24"/>
                    <w:szCs w:val="24"/>
                    <w:highlight w:val="none"/>
                    <w:lang w:val="en-US" w:eastAsia="zh-CN" w:bidi="ar-SA"/>
                  </w:rPr>
                  <w:t>☐</w:t>
                </w:r>
              </w:sdtContent>
            </w:sdt>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w:t>
            </w:r>
          </w:p>
          <w:p w14:paraId="5E0058A6">
            <w:pPr>
              <w:shd w:val="clea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cs="Arial" w:asciiTheme="minorEastAsia" w:hAnsiTheme="minorEastAsia" w:eastAsiaTheme="minorEastAsia"/>
                    <w:color w:val="auto"/>
                    <w:kern w:val="0"/>
                    <w:sz w:val="24"/>
                    <w:highlight w:val="none"/>
                  </w:rPr>
                  <w:sym w:font="Wingdings" w:char="F0FE"/>
                </w:r>
              </w:sdtContent>
            </w:sdt>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bl>
    <w:p w14:paraId="6AE9F0A7">
      <w:pPr>
        <w:shd w:val="clear"/>
        <w:snapToGrid w:val="0"/>
        <w:spacing w:line="360" w:lineRule="auto"/>
        <w:jc w:val="center"/>
        <w:rPr>
          <w:rFonts w:ascii="宋体" w:hAnsi="宋体" w:cs="宋体"/>
          <w:b/>
          <w:color w:val="auto"/>
          <w:sz w:val="32"/>
          <w:szCs w:val="20"/>
          <w:highlight w:val="none"/>
        </w:rPr>
      </w:pPr>
    </w:p>
    <w:bookmarkEnd w:id="10"/>
    <w:p w14:paraId="429DF930">
      <w:pPr>
        <w:shd w:val="clear"/>
        <w:adjustRightInd/>
        <w:spacing w:line="360" w:lineRule="auto"/>
        <w:ind w:firstLine="3845" w:firstLineChars="1197"/>
        <w:outlineLvl w:val="0"/>
        <w:rPr>
          <w:rFonts w:ascii="宋体" w:hAnsi="宋体" w:cs="宋体"/>
          <w:b/>
          <w:color w:val="auto"/>
          <w:sz w:val="32"/>
          <w:szCs w:val="20"/>
          <w:highlight w:val="none"/>
        </w:rPr>
      </w:pPr>
      <w:bookmarkStart w:id="11" w:name="_Toc164416483"/>
      <w:bookmarkStart w:id="12" w:name="第三部分"/>
      <w:r>
        <w:rPr>
          <w:rFonts w:hint="eastAsia" w:ascii="宋体" w:hAnsi="宋体" w:cs="宋体"/>
          <w:b/>
          <w:color w:val="auto"/>
          <w:sz w:val="32"/>
          <w:szCs w:val="20"/>
          <w:highlight w:val="none"/>
        </w:rPr>
        <w:t>一、总则</w:t>
      </w:r>
    </w:p>
    <w:p w14:paraId="3CA690CD">
      <w:pPr>
        <w:shd w:val="clear"/>
        <w:snapToGrid w:val="0"/>
        <w:spacing w:line="360" w:lineRule="auto"/>
        <w:ind w:firstLine="361" w:firstLineChars="150"/>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14:paraId="744C3AC9">
      <w:pPr>
        <w:shd w:val="clea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406CC839">
      <w:pPr>
        <w:shd w:val="clea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 xml:space="preserve">   2.定义</w:t>
      </w:r>
    </w:p>
    <w:p w14:paraId="5662C4E3">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47716324">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“采购代理机构”系指招标公告中载明的本项目的采购代理机构。</w:t>
      </w:r>
    </w:p>
    <w:p w14:paraId="3ADD2BCE">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14:paraId="0680101E">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494CF97D">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5C946283">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2.6“电子交易平台”系指本项目政府采购活动所依托的政府采购云平台（https://www.zcygov.cn/）。</w:t>
      </w:r>
    </w:p>
    <w:p w14:paraId="09C34798">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14:paraId="7418C9B0">
      <w:pPr>
        <w:shd w:val="clea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09D48B2E">
      <w:pPr>
        <w:shd w:val="clea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33971DFF">
      <w:pPr>
        <w:shd w:val="clea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14:paraId="5F352CC5">
      <w:pPr>
        <w:shd w:val="clea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6C641258">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修缮、装修类项目采购建材的，采购人应将绿色建筑和绿色建材性能、指标等作为实质性条件纳入招标文件和合同。</w:t>
      </w:r>
    </w:p>
    <w:p w14:paraId="410C8180">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4D4AF2A8">
      <w:pPr>
        <w:shd w:val="clea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3.2.4 </w:t>
      </w:r>
      <w:r>
        <w:rPr>
          <w:rFonts w:hint="eastAsia" w:ascii="宋体" w:hAnsi="宋体" w:cs="宋体"/>
          <w:color w:val="auto"/>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45F6F504">
      <w:pPr>
        <w:shd w:val="clea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3.3支持中小企业发展</w:t>
      </w:r>
    </w:p>
    <w:p w14:paraId="4BB2AC47">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13AFFAB9">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053A8E8F">
      <w:pPr>
        <w:widowControl/>
        <w:shd w:val="clear"/>
        <w:spacing w:line="360" w:lineRule="auto"/>
        <w:ind w:firstLine="480" w:firstLineChars="200"/>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1C2C4223">
      <w:pPr>
        <w:widowControl/>
        <w:shd w:val="clear"/>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35A3C443">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3.3.3对于未预留份额专门面向中小企业的政府采购服务项目，以及预留份额政府采购服务项目中的非预留部分标项，对小型和微型企业的投标报价给予10%-</w:t>
      </w:r>
      <w:r>
        <w:rPr>
          <w:rFonts w:ascii="宋体" w:hAnsi="宋体" w:cs="宋体"/>
          <w:color w:val="auto"/>
          <w:sz w:val="24"/>
          <w:highlight w:val="none"/>
        </w:rPr>
        <w:t>20</w:t>
      </w:r>
      <w:r>
        <w:rPr>
          <w:rFonts w:hint="eastAsia" w:ascii="宋体" w:hAnsi="宋体" w:cs="宋体"/>
          <w:color w:val="auto"/>
          <w:sz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sz w:val="24"/>
          <w:highlight w:val="none"/>
        </w:rPr>
        <w:t>6</w:t>
      </w:r>
      <w:r>
        <w:rPr>
          <w:rFonts w:hint="eastAsia" w:ascii="宋体" w:hAnsi="宋体" w:cs="宋体"/>
          <w:color w:val="auto"/>
          <w:sz w:val="24"/>
          <w:highlight w:val="none"/>
        </w:rPr>
        <w:t>%的扣除，用扣除后的价格参加评审。组成联合体或者接受分包的小微企业与联合体内其他企业、分包企业之间存在直接控股、管理关系的，不享受价格扣除优惠政策。</w:t>
      </w:r>
    </w:p>
    <w:p w14:paraId="5E41700A">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644C22EA">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0567FA04">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444041C3">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0838CB10">
      <w:pPr>
        <w:shd w:val="clea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14:paraId="2A0E4D91">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3.4.1 采购人优先采购被认定为首台套产品和“制造精品”的自主创新产品。</w:t>
      </w:r>
    </w:p>
    <w:p w14:paraId="401447A2">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3.4.2首台套产品被纳入《首台套产品推广应用指导目录》之日起</w:t>
      </w:r>
      <w:r>
        <w:rPr>
          <w:rFonts w:ascii="宋体" w:hAnsi="宋体" w:cs="宋体"/>
          <w:color w:val="auto"/>
          <w:sz w:val="24"/>
          <w:highlight w:val="none"/>
        </w:rPr>
        <w:t>3</w:t>
      </w:r>
      <w:r>
        <w:rPr>
          <w:rFonts w:hint="eastAsia" w:ascii="宋体" w:hAnsi="宋体" w:cs="宋体"/>
          <w:color w:val="auto"/>
          <w:sz w:val="24"/>
          <w:highlight w:val="none"/>
        </w:rPr>
        <w:t>年内，以及产品核心技术高于国内领先水平，并具有明晰自主知识产权的“制造精品”产品，自认定之日起2年内视同已具备相应销售业绩，参加政府采购活动时业绩分值为满分。</w:t>
      </w:r>
    </w:p>
    <w:p w14:paraId="227A00C7">
      <w:pPr>
        <w:shd w:val="clea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14:paraId="4434A7F0">
      <w:pPr>
        <w:shd w:val="clear"/>
        <w:spacing w:line="360" w:lineRule="auto"/>
        <w:ind w:firstLine="240" w:firstLineChars="100"/>
        <w:rPr>
          <w:rFonts w:ascii="宋体" w:hAnsi="宋体" w:cs="宋体"/>
          <w:b/>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b/>
          <w:color w:val="auto"/>
          <w:sz w:val="24"/>
          <w:highlight w:val="none"/>
        </w:rPr>
        <w:t>4. 询问、质疑、投诉</w:t>
      </w:r>
    </w:p>
    <w:p w14:paraId="0A1EC7C2">
      <w:pPr>
        <w:shd w:val="clea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D7F9E82">
      <w:pPr>
        <w:shd w:val="clea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14:paraId="055A5BCD">
      <w:pPr>
        <w:shd w:val="clea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7514E325">
      <w:pPr>
        <w:shd w:val="clea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14:paraId="4D4011FD">
      <w:pPr>
        <w:pStyle w:val="35"/>
        <w:shd w:val="clear"/>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14:paraId="31819E49">
      <w:pPr>
        <w:pStyle w:val="35"/>
        <w:shd w:val="clear"/>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2C68FA1F">
      <w:pPr>
        <w:pStyle w:val="6"/>
        <w:shd w:val="clear"/>
        <w:spacing w:line="360" w:lineRule="auto"/>
        <w:ind w:firstLine="480" w:firstLineChars="200"/>
        <w:rPr>
          <w:rFonts w:hAnsi="宋体" w:cs="宋体"/>
          <w:color w:val="auto"/>
          <w:kern w:val="2"/>
          <w:sz w:val="24"/>
          <w:highlight w:val="none"/>
        </w:rPr>
      </w:pPr>
      <w:r>
        <w:rPr>
          <w:rFonts w:hint="eastAsia" w:hAnsi="宋体" w:cs="宋体"/>
          <w:color w:val="auto"/>
          <w:kern w:val="2"/>
          <w:sz w:val="24"/>
          <w:highlight w:val="none"/>
        </w:rPr>
        <w:t>4.3.2.1对招标文件提出质疑的，质疑期限为供应商获得招标文件之日或者招标文件公告期限届满之日起计算。</w:t>
      </w:r>
    </w:p>
    <w:p w14:paraId="3EE6072D">
      <w:pPr>
        <w:pStyle w:val="35"/>
        <w:shd w:val="clear"/>
        <w:spacing w:line="360" w:lineRule="auto"/>
        <w:ind w:left="479" w:leftChars="228"/>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14:paraId="6DFD8ADD">
      <w:pPr>
        <w:pStyle w:val="35"/>
        <w:shd w:val="clear"/>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14:paraId="24E3DE93">
      <w:pPr>
        <w:pStyle w:val="35"/>
        <w:shd w:val="clear"/>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14:paraId="41295287">
      <w:pPr>
        <w:pStyle w:val="35"/>
        <w:shd w:val="clear"/>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14:paraId="5E75770C">
      <w:pPr>
        <w:pStyle w:val="35"/>
        <w:shd w:val="clear"/>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14:paraId="732C0E9B">
      <w:pPr>
        <w:pStyle w:val="35"/>
        <w:shd w:val="clear"/>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4.3.3.4事实依据；</w:t>
      </w:r>
    </w:p>
    <w:p w14:paraId="7C730B71">
      <w:pPr>
        <w:pStyle w:val="35"/>
        <w:shd w:val="clear"/>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14:paraId="30E92C4D">
      <w:pPr>
        <w:pStyle w:val="35"/>
        <w:shd w:val="clear"/>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14:paraId="799B2E96">
      <w:pPr>
        <w:pStyle w:val="887"/>
        <w:shd w:val="clear" w:color="auto"/>
        <w:snapToGrid w:val="0"/>
        <w:spacing w:after="240" w:afterAutospacing="0" w:line="360" w:lineRule="auto"/>
        <w:ind w:firstLine="4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0C9FF634">
      <w:pPr>
        <w:pStyle w:val="887"/>
        <w:shd w:val="clear" w:color="auto"/>
        <w:snapToGrid w:val="0"/>
        <w:spacing w:after="240" w:afterAutospacing="0" w:line="360" w:lineRule="auto"/>
        <w:ind w:firstLine="400"/>
        <w:contextualSpacing/>
        <w:rPr>
          <w:color w:val="auto"/>
          <w:highlight w:val="none"/>
        </w:rPr>
      </w:pPr>
      <w:r>
        <w:rPr>
          <w:rFonts w:hint="eastAsia"/>
          <w:color w:val="auto"/>
          <w:highlight w:val="none"/>
        </w:rPr>
        <w:t>质疑函范本及制作说明详见附件2。</w:t>
      </w:r>
    </w:p>
    <w:p w14:paraId="5005B758">
      <w:pPr>
        <w:pStyle w:val="887"/>
        <w:shd w:val="clear" w:color="auto"/>
        <w:snapToGrid w:val="0"/>
        <w:spacing w:after="240" w:afterAutospacing="0" w:line="360" w:lineRule="auto"/>
        <w:ind w:firstLine="400"/>
        <w:contextualSpacing/>
        <w:rPr>
          <w:color w:val="auto"/>
          <w:highlight w:val="none"/>
        </w:rPr>
      </w:pPr>
      <w:r>
        <w:rPr>
          <w:rFonts w:hint="eastAsia"/>
          <w:color w:val="auto"/>
          <w:highlight w:val="none"/>
        </w:rPr>
        <w:t>4.3.4对同一采购程序环节的质疑，供应商须在法定质疑期内一次性提出。</w:t>
      </w:r>
    </w:p>
    <w:p w14:paraId="4021DD16">
      <w:pPr>
        <w:pStyle w:val="887"/>
        <w:shd w:val="clear" w:color="auto"/>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78CDF704">
      <w:pPr>
        <w:pStyle w:val="887"/>
        <w:shd w:val="clear" w:color="auto"/>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14:paraId="2C45F424">
      <w:pPr>
        <w:pStyle w:val="887"/>
        <w:shd w:val="clear" w:color="auto"/>
        <w:snapToGrid w:val="0"/>
        <w:spacing w:after="24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14:paraId="35C4B261">
      <w:pPr>
        <w:pStyle w:val="887"/>
        <w:shd w:val="clear" w:color="auto"/>
        <w:snapToGrid w:val="0"/>
        <w:spacing w:after="240" w:afterAutospacing="0" w:line="360" w:lineRule="auto"/>
        <w:ind w:firstLine="400"/>
        <w:contextualSpacing/>
        <w:rPr>
          <w:color w:val="auto"/>
          <w:highlight w:val="none"/>
        </w:rPr>
      </w:pPr>
      <w:r>
        <w:rPr>
          <w:rFonts w:hint="eastAsia"/>
          <w:color w:val="auto"/>
          <w:highlight w:val="none"/>
        </w:rPr>
        <w:t>4.4.1质疑供应商对采购人、采购代理机构的答复不满意或者采购人、采购代理机构未在规定的时间内作出答复的，可以在答复期满后十五个工作日内向同级政府采购监督管理部门提出投诉。</w:t>
      </w:r>
    </w:p>
    <w:p w14:paraId="0EE48A42">
      <w:pPr>
        <w:pStyle w:val="887"/>
        <w:shd w:val="clear" w:color="auto"/>
        <w:snapToGrid w:val="0"/>
        <w:spacing w:after="240" w:afterAutospacing="0" w:line="360" w:lineRule="auto"/>
        <w:ind w:firstLine="4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3301203E">
      <w:pPr>
        <w:pStyle w:val="887"/>
        <w:shd w:val="clear" w:color="auto"/>
        <w:snapToGrid w:val="0"/>
        <w:spacing w:after="240" w:afterAutospacing="0" w:line="360" w:lineRule="auto"/>
        <w:ind w:firstLine="400"/>
        <w:contextualSpacing/>
        <w:rPr>
          <w:color w:val="auto"/>
          <w:highlight w:val="none"/>
        </w:rPr>
      </w:pPr>
      <w:r>
        <w:rPr>
          <w:rFonts w:hint="eastAsia"/>
          <w:color w:val="auto"/>
          <w:highlight w:val="none"/>
        </w:rPr>
        <w:t>4.4.3供应商投诉应当有明确的请求和必要的证明材料。</w:t>
      </w:r>
    </w:p>
    <w:p w14:paraId="43CD9FFA">
      <w:pPr>
        <w:pStyle w:val="887"/>
        <w:shd w:val="clear" w:color="auto"/>
        <w:snapToGrid w:val="0"/>
        <w:spacing w:after="240" w:afterAutospacing="0" w:line="360" w:lineRule="auto"/>
        <w:ind w:firstLine="400"/>
        <w:contextualSpacing/>
        <w:rPr>
          <w:color w:val="auto"/>
          <w:highlight w:val="none"/>
        </w:rPr>
      </w:pPr>
      <w:r>
        <w:rPr>
          <w:rFonts w:hint="eastAsia"/>
          <w:color w:val="auto"/>
          <w:highlight w:val="none"/>
        </w:rPr>
        <w:t>4.4.4以联合体形式参加政府采购活动的，其投诉应当由组成联合体的所有供应商共同提出。</w:t>
      </w:r>
    </w:p>
    <w:p w14:paraId="4ED9EC78">
      <w:pPr>
        <w:pStyle w:val="887"/>
        <w:shd w:val="clear" w:color="auto"/>
        <w:snapToGrid w:val="0"/>
        <w:spacing w:after="240" w:afterAutospacing="0" w:line="360" w:lineRule="auto"/>
        <w:ind w:firstLine="400"/>
        <w:contextualSpacing/>
        <w:rPr>
          <w:color w:val="auto"/>
          <w:highlight w:val="none"/>
        </w:rPr>
      </w:pPr>
      <w:r>
        <w:rPr>
          <w:rFonts w:hint="eastAsia"/>
          <w:color w:val="auto"/>
          <w:highlight w:val="none"/>
        </w:rPr>
        <w:t>4.4.5根据政府采购行政裁决省市区三级联动试点工作安排，杭州市本级、拱墅区、富阳区政府采购项目投诉材料可寄送至浙江省政府采购行政裁决服务中心（杭州），地址：杭州市上城区四季青街道新业路市民之家G03办公室，收件人：朱女士、王女士，电话：0571-85252453。</w:t>
      </w:r>
    </w:p>
    <w:p w14:paraId="71199370">
      <w:pPr>
        <w:pStyle w:val="887"/>
        <w:shd w:val="clear" w:color="auto"/>
        <w:snapToGrid w:val="0"/>
        <w:spacing w:after="240" w:afterAutospacing="0" w:line="360" w:lineRule="auto"/>
        <w:ind w:firstLine="400"/>
        <w:contextualSpacing/>
        <w:rPr>
          <w:color w:val="auto"/>
          <w:highlight w:val="none"/>
        </w:rPr>
      </w:pPr>
      <w:r>
        <w:rPr>
          <w:rFonts w:hint="eastAsia"/>
          <w:color w:val="auto"/>
          <w:highlight w:val="none"/>
        </w:rPr>
        <w:t>投诉书范本及制作说明详见附件3。</w:t>
      </w:r>
    </w:p>
    <w:p w14:paraId="2BA16CC8">
      <w:pPr>
        <w:pStyle w:val="131"/>
        <w:shd w:val="clear"/>
        <w:snapToGrid w:val="0"/>
        <w:spacing w:before="0"/>
        <w:ind w:firstLine="360"/>
        <w:rPr>
          <w:rFonts w:ascii="宋体" w:hAnsi="宋体" w:cs="宋体"/>
          <w:color w:val="auto"/>
          <w:sz w:val="18"/>
          <w:szCs w:val="18"/>
          <w:highlight w:val="none"/>
        </w:rPr>
      </w:pPr>
    </w:p>
    <w:p w14:paraId="458B9FFA">
      <w:pPr>
        <w:shd w:val="clea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 xml:space="preserve">      二、招标文件的构成、澄清、修改</w:t>
      </w:r>
    </w:p>
    <w:p w14:paraId="39E6A5D5">
      <w:pPr>
        <w:pStyle w:val="35"/>
        <w:shd w:val="clear"/>
        <w:spacing w:line="360" w:lineRule="auto"/>
        <w:rPr>
          <w:rFonts w:hAnsi="宋体" w:cs="宋体"/>
          <w:b/>
          <w:color w:val="auto"/>
          <w:sz w:val="24"/>
          <w:szCs w:val="24"/>
          <w:highlight w:val="none"/>
        </w:rPr>
      </w:pPr>
      <w:r>
        <w:rPr>
          <w:rFonts w:hint="eastAsia" w:hAnsi="宋体" w:cs="宋体"/>
          <w:b/>
          <w:color w:val="auto"/>
          <w:sz w:val="24"/>
          <w:szCs w:val="24"/>
          <w:highlight w:val="none"/>
        </w:rPr>
        <w:t>5．招标文件的构成</w:t>
      </w:r>
    </w:p>
    <w:p w14:paraId="2DFA888A">
      <w:pPr>
        <w:pStyle w:val="35"/>
        <w:shd w:val="clear"/>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14:paraId="012F74D1">
      <w:pPr>
        <w:pStyle w:val="35"/>
        <w:shd w:val="clear"/>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14:paraId="779AB4F1">
      <w:pPr>
        <w:pStyle w:val="35"/>
        <w:shd w:val="clear"/>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14:paraId="1A66C090">
      <w:pPr>
        <w:pStyle w:val="35"/>
        <w:shd w:val="clear"/>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14:paraId="615AF457">
      <w:pPr>
        <w:pStyle w:val="35"/>
        <w:shd w:val="clear"/>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14:paraId="2301E06F">
      <w:pPr>
        <w:pStyle w:val="35"/>
        <w:shd w:val="clear"/>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14:paraId="3E00AE82">
      <w:pPr>
        <w:pStyle w:val="35"/>
        <w:shd w:val="clear"/>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4730FF4B">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07549C19">
      <w:pPr>
        <w:pStyle w:val="35"/>
        <w:shd w:val="clear"/>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14:paraId="0E6EAC39">
      <w:pPr>
        <w:pStyle w:val="131"/>
        <w:shd w:val="clear"/>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6.1已获取招标文件的潜在投标人，若有问题需要澄清，应于投标截止时间前，以书面形式向采购代理机构提出。</w:t>
      </w:r>
    </w:p>
    <w:p w14:paraId="24C3D881">
      <w:pPr>
        <w:pStyle w:val="131"/>
        <w:shd w:val="clear"/>
        <w:snapToGrid w:val="0"/>
        <w:spacing w:before="0"/>
        <w:ind w:firstLine="480"/>
        <w:rPr>
          <w:rFonts w:ascii="宋体" w:hAnsi="宋体" w:cs="宋体"/>
          <w:color w:val="auto"/>
          <w:highlight w:val="none"/>
        </w:rPr>
      </w:pPr>
      <w:r>
        <w:rPr>
          <w:rFonts w:hint="eastAsia" w:ascii="宋体" w:hAnsi="宋体" w:cs="宋体"/>
          <w:color w:val="auto"/>
          <w:highlight w:val="none"/>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6017095F">
      <w:pPr>
        <w:pStyle w:val="24"/>
        <w:shd w:val="clear"/>
        <w:rPr>
          <w:rFonts w:hAnsi="宋体" w:cs="宋体"/>
          <w:color w:val="auto"/>
          <w:sz w:val="18"/>
          <w:szCs w:val="18"/>
          <w:highlight w:val="none"/>
          <w:lang w:val="en-US"/>
        </w:rPr>
      </w:pPr>
      <w:r>
        <w:rPr>
          <w:rFonts w:hint="eastAsia" w:hAnsi="宋体" w:cs="宋体"/>
          <w:color w:val="auto"/>
          <w:szCs w:val="24"/>
          <w:highlight w:val="none"/>
          <w:lang w:val="en-US"/>
        </w:rPr>
        <w:t xml:space="preserve">    </w:t>
      </w:r>
    </w:p>
    <w:p w14:paraId="647588A5">
      <w:pPr>
        <w:shd w:val="clear"/>
        <w:adjustRightInd/>
        <w:spacing w:line="360" w:lineRule="auto"/>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14:paraId="4B25EF37">
      <w:pPr>
        <w:pStyle w:val="35"/>
        <w:shd w:val="clear"/>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14:paraId="3270F633">
      <w:pPr>
        <w:shd w:val="clea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107CCFC4">
      <w:pPr>
        <w:pStyle w:val="35"/>
        <w:shd w:val="clear"/>
        <w:spacing w:line="360" w:lineRule="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14:paraId="243FE641">
      <w:pPr>
        <w:pStyle w:val="35"/>
        <w:shd w:val="clear"/>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05B276EC">
      <w:pPr>
        <w:pStyle w:val="35"/>
        <w:shd w:val="clear"/>
        <w:spacing w:line="360" w:lineRule="auto"/>
        <w:rPr>
          <w:rFonts w:hAnsi="宋体" w:cs="宋体"/>
          <w:b/>
          <w:color w:val="auto"/>
          <w:szCs w:val="24"/>
          <w:highlight w:val="none"/>
        </w:rPr>
      </w:pPr>
      <w:r>
        <w:rPr>
          <w:rFonts w:hint="eastAsia" w:hAnsi="宋体" w:cs="宋体"/>
          <w:b/>
          <w:color w:val="auto"/>
          <w:kern w:val="28"/>
          <w:sz w:val="24"/>
          <w:szCs w:val="24"/>
          <w:highlight w:val="none"/>
        </w:rPr>
        <w:t>9.投标保证金</w:t>
      </w:r>
    </w:p>
    <w:p w14:paraId="660722DD">
      <w:pPr>
        <w:pStyle w:val="6"/>
        <w:shd w:val="clear"/>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14:paraId="7004DF7A">
      <w:pPr>
        <w:pStyle w:val="35"/>
        <w:shd w:val="clear"/>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14:paraId="18CF9B9B">
      <w:pPr>
        <w:shd w:val="clea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60BC7546">
      <w:pPr>
        <w:pStyle w:val="35"/>
        <w:shd w:val="clear"/>
        <w:spacing w:line="360" w:lineRule="auto"/>
        <w:rPr>
          <w:rFonts w:hAnsi="宋体" w:cs="宋体"/>
          <w:b/>
          <w:color w:val="auto"/>
          <w:sz w:val="24"/>
          <w:szCs w:val="24"/>
          <w:highlight w:val="none"/>
        </w:rPr>
      </w:pPr>
      <w:r>
        <w:rPr>
          <w:rFonts w:hint="eastAsia" w:hAnsi="宋体" w:cs="宋体"/>
          <w:b/>
          <w:color w:val="auto"/>
          <w:sz w:val="24"/>
          <w:szCs w:val="24"/>
          <w:highlight w:val="none"/>
        </w:rPr>
        <w:t>11. 投标文件的组成</w:t>
      </w:r>
    </w:p>
    <w:p w14:paraId="106E277B">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6BFAB8D0">
      <w:pPr>
        <w:shd w:val="clea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04BE5127">
      <w:pPr>
        <w:shd w:val="clea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r>
        <w:rPr>
          <w:rFonts w:hint="eastAsia" w:ascii="宋体" w:hAnsi="宋体" w:cs="宋体"/>
          <w:snapToGrid w:val="0"/>
          <w:color w:val="auto"/>
          <w:kern w:val="28"/>
          <w:sz w:val="24"/>
          <w:szCs w:val="20"/>
          <w:highlight w:val="none"/>
        </w:rPr>
        <w:t>联合协议（如果有)；</w:t>
      </w:r>
    </w:p>
    <w:p w14:paraId="33A31623">
      <w:pPr>
        <w:shd w:val="clea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07498688">
      <w:pPr>
        <w:shd w:val="clea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74C3C477">
      <w:pPr>
        <w:shd w:val="clea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2D848405">
      <w:pPr>
        <w:shd w:val="clea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14:paraId="26636D7D">
      <w:pPr>
        <w:shd w:val="clea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79CE9D8F">
      <w:pPr>
        <w:shd w:val="clea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1869F3CD">
      <w:pPr>
        <w:shd w:val="clea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67FFA3CF">
      <w:pPr>
        <w:shd w:val="clea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15EB6F2E">
      <w:pPr>
        <w:shd w:val="clea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14:paraId="0FA48EAA">
      <w:pPr>
        <w:shd w:val="clea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7E38D208">
      <w:pPr>
        <w:shd w:val="clea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6D2B0514">
      <w:pPr>
        <w:shd w:val="clea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38D71C6F">
      <w:pPr>
        <w:shd w:val="clea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11.3.1开标一览表（报价表）；</w:t>
      </w:r>
    </w:p>
    <w:p w14:paraId="4B8AD438">
      <w:pPr>
        <w:shd w:val="clear"/>
        <w:snapToGrid w:val="0"/>
        <w:spacing w:line="360" w:lineRule="auto"/>
        <w:ind w:firstLine="960" w:firstLineChars="400"/>
        <w:rPr>
          <w:rFonts w:hint="eastAsia" w:ascii="宋体" w:hAnsi="宋体" w:eastAsia="宋体" w:cs="宋体"/>
          <w:color w:val="auto"/>
          <w:sz w:val="24"/>
          <w:highlight w:val="none"/>
          <w:lang w:eastAsia="zh-CN"/>
        </w:rPr>
      </w:pPr>
      <w:r>
        <w:rPr>
          <w:rFonts w:hint="eastAsia" w:ascii="宋体" w:hAnsi="宋体" w:cs="宋体"/>
          <w:color w:val="auto"/>
          <w:sz w:val="24"/>
          <w:highlight w:val="none"/>
        </w:rPr>
        <w:t>11.3.2中小企业声明函</w:t>
      </w:r>
      <w:r>
        <w:rPr>
          <w:rFonts w:hint="eastAsia" w:ascii="宋体" w:hAnsi="宋体" w:cs="宋体"/>
          <w:color w:val="auto"/>
          <w:sz w:val="24"/>
          <w:highlight w:val="none"/>
          <w:lang w:eastAsia="zh-CN"/>
        </w:rPr>
        <w:t>；</w:t>
      </w:r>
    </w:p>
    <w:p w14:paraId="74966314">
      <w:pPr>
        <w:shd w:val="clea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11.3.3交纳采购代理服务费承诺书。</w:t>
      </w:r>
    </w:p>
    <w:p w14:paraId="26EEAF1D">
      <w:pPr>
        <w:shd w:val="clea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19F74151">
      <w:pPr>
        <w:shd w:val="clear"/>
        <w:spacing w:line="360" w:lineRule="auto"/>
        <w:ind w:firstLine="723" w:firstLineChars="300"/>
        <w:rPr>
          <w:rFonts w:ascii="宋体" w:hAnsi="宋体" w:cs="宋体"/>
          <w:b/>
          <w:color w:val="auto"/>
          <w:sz w:val="24"/>
          <w:szCs w:val="21"/>
          <w:highlight w:val="none"/>
        </w:rPr>
      </w:pPr>
      <w:r>
        <w:rPr>
          <w:rFonts w:hint="eastAsia" w:ascii="宋体" w:hAnsi="宋体" w:cs="宋体"/>
          <w:b/>
          <w:color w:val="auto"/>
          <w:sz w:val="24"/>
          <w:highlight w:val="none"/>
        </w:rPr>
        <w:t>投标人提供虚假材料投标的，投标无效。</w:t>
      </w:r>
    </w:p>
    <w:p w14:paraId="0B3ADAA8">
      <w:pPr>
        <w:pStyle w:val="131"/>
        <w:shd w:val="clear"/>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14:paraId="7639B653">
      <w:pPr>
        <w:shd w:val="clea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62B0EE0E">
      <w:pPr>
        <w:shd w:val="clea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14364067">
      <w:pPr>
        <w:shd w:val="clea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325EF5BF">
      <w:pPr>
        <w:shd w:val="clea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13.投标文件的签署、盖章</w:t>
      </w:r>
    </w:p>
    <w:p w14:paraId="731320D0">
      <w:pPr>
        <w:pStyle w:val="131"/>
        <w:shd w:val="clear"/>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14:paraId="75672779">
      <w:pPr>
        <w:pStyle w:val="131"/>
        <w:shd w:val="clear"/>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4560F0E9">
      <w:pPr>
        <w:pStyle w:val="131"/>
        <w:shd w:val="clear"/>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14:paraId="03749B1C">
      <w:pPr>
        <w:pStyle w:val="131"/>
        <w:shd w:val="clear"/>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14:paraId="75F6F8D3">
      <w:pPr>
        <w:pStyle w:val="131"/>
        <w:shd w:val="clear"/>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2396692B">
      <w:pPr>
        <w:pStyle w:val="131"/>
        <w:shd w:val="clear"/>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0F7759E3">
      <w:pPr>
        <w:pStyle w:val="131"/>
        <w:shd w:val="clear"/>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14:paraId="78B1B84B">
      <w:pPr>
        <w:pStyle w:val="35"/>
        <w:shd w:val="clear"/>
        <w:spacing w:line="360" w:lineRule="auto"/>
        <w:rPr>
          <w:rFonts w:hAnsi="宋体" w:cs="宋体"/>
          <w:b/>
          <w:color w:val="auto"/>
          <w:sz w:val="24"/>
          <w:szCs w:val="24"/>
          <w:highlight w:val="none"/>
        </w:rPr>
      </w:pPr>
      <w:r>
        <w:rPr>
          <w:rFonts w:hint="eastAsia" w:hAnsi="宋体" w:cs="宋体"/>
          <w:b/>
          <w:color w:val="auto"/>
          <w:sz w:val="24"/>
          <w:szCs w:val="24"/>
          <w:highlight w:val="none"/>
        </w:rPr>
        <w:t>15.备份投标文件</w:t>
      </w:r>
    </w:p>
    <w:p w14:paraId="68E8D0F8">
      <w:pPr>
        <w:pStyle w:val="35"/>
        <w:shd w:val="clear"/>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但采购人、采购代理机构不强制或变相强制投标人提交备份投标文件。</w:t>
      </w:r>
    </w:p>
    <w:p w14:paraId="1CA8FB26">
      <w:pPr>
        <w:pStyle w:val="35"/>
        <w:shd w:val="clear"/>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DVD光盘等存储介质</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14:paraId="156F2DF1">
      <w:pPr>
        <w:pStyle w:val="35"/>
        <w:shd w:val="clear"/>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15.3直接提交备份投标文件的，投标人应于投标截止时间前在招标公告中载明的开标地点将备份投标文件提交给采购代理机构，采购代理机构将拒绝接受逾期送达的备份投标文件。</w:t>
      </w:r>
    </w:p>
    <w:p w14:paraId="19BDD593">
      <w:pPr>
        <w:pStyle w:val="35"/>
        <w:shd w:val="clear"/>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代理机构将拒绝接受逾期送达的备份投标文件。邮寄过程中，电子备份投标文件发生泄露、遗失、损坏或延期送达等情况的，由投标人自行负责。</w:t>
      </w:r>
    </w:p>
    <w:p w14:paraId="7ADADF4A">
      <w:pPr>
        <w:pStyle w:val="35"/>
        <w:shd w:val="clear"/>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14:paraId="128851CF">
      <w:pPr>
        <w:pStyle w:val="131"/>
        <w:shd w:val="clear"/>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16.投标文件的无效处理</w:t>
      </w:r>
    </w:p>
    <w:p w14:paraId="76B0D66A">
      <w:pPr>
        <w:pStyle w:val="27"/>
        <w:shd w:val="clear"/>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cs="宋体"/>
          <w:color w:val="auto"/>
          <w:szCs w:val="21"/>
          <w:highlight w:val="none"/>
        </w:rPr>
        <w:t>4.2规定</w:t>
      </w:r>
      <w:r>
        <w:rPr>
          <w:rFonts w:hint="eastAsia" w:cs="宋体"/>
          <w:color w:val="auto"/>
          <w:szCs w:val="21"/>
          <w:highlight w:val="none"/>
        </w:rPr>
        <w:t>的情形之一的，投标无效：</w:t>
      </w:r>
    </w:p>
    <w:p w14:paraId="7D1A6DE7">
      <w:pPr>
        <w:pStyle w:val="131"/>
        <w:shd w:val="clear"/>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17.投标有效期</w:t>
      </w:r>
    </w:p>
    <w:p w14:paraId="28216C33">
      <w:pPr>
        <w:shd w:val="clea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14:paraId="678E2047">
      <w:pPr>
        <w:pStyle w:val="131"/>
        <w:shd w:val="clear"/>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0EDDCF0F">
      <w:pPr>
        <w:pStyle w:val="131"/>
        <w:shd w:val="clear"/>
        <w:spacing w:before="0"/>
        <w:ind w:firstLine="480"/>
        <w:rPr>
          <w:rFonts w:ascii="宋体" w:hAnsi="宋体" w:cs="宋体"/>
          <w:color w:val="auto"/>
          <w:highlight w:val="none"/>
        </w:rPr>
      </w:pPr>
      <w:r>
        <w:rPr>
          <w:rFonts w:hint="eastAsia" w:ascii="宋体" w:hAnsi="宋体" w:cs="宋体"/>
          <w:color w:val="auto"/>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14:paraId="0D3CE281">
      <w:pPr>
        <w:pStyle w:val="131"/>
        <w:shd w:val="clear"/>
        <w:spacing w:before="0"/>
        <w:ind w:firstLine="643"/>
        <w:rPr>
          <w:rFonts w:ascii="宋体" w:hAnsi="宋体" w:cs="宋体"/>
          <w:b/>
          <w:color w:val="auto"/>
          <w:sz w:val="32"/>
          <w:highlight w:val="none"/>
        </w:rPr>
      </w:pPr>
    </w:p>
    <w:p w14:paraId="0A184DB8">
      <w:pPr>
        <w:pStyle w:val="131"/>
        <w:shd w:val="clear"/>
        <w:spacing w:before="0"/>
        <w:ind w:firstLine="1928" w:firstLineChars="600"/>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14:paraId="3542784E">
      <w:pPr>
        <w:pStyle w:val="556"/>
        <w:shd w:val="clear"/>
        <w:spacing w:before="0" w:line="360" w:lineRule="auto"/>
        <w:ind w:left="0" w:firstLine="241" w:firstLineChars="100"/>
        <w:contextualSpacing/>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14:paraId="58FED861">
      <w:pPr>
        <w:pStyle w:val="556"/>
        <w:shd w:val="clear"/>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18.1采购代理机构按照招标文件规定的时间通过电子交易平台组织开标，所有投标人均应当准时在线参加。投标人不足3家的，不得开标。</w:t>
      </w:r>
    </w:p>
    <w:p w14:paraId="2F987ED8">
      <w:pPr>
        <w:pStyle w:val="556"/>
        <w:shd w:val="clear"/>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18.2开标时，电子交易平台按开标时间自动提取所有投标文件。采购代理机构依托电子交易平台发起开始解密指令，投标人按照平台提示和招标文件的规定在半小时内完成在线解密。</w:t>
      </w:r>
    </w:p>
    <w:p w14:paraId="3D5BCAD1">
      <w:pPr>
        <w:pStyle w:val="556"/>
        <w:shd w:val="clear"/>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6F0A283E">
      <w:pPr>
        <w:widowControl/>
        <w:shd w:val="clear"/>
        <w:spacing w:before="100" w:beforeAutospacing="1" w:after="240"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　19、资格审查</w:t>
      </w:r>
    </w:p>
    <w:p w14:paraId="6BC6CC50">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19.1</w:t>
      </w:r>
      <w:r>
        <w:rPr>
          <w:rFonts w:hint="eastAsia" w:ascii="宋体" w:hAnsi="宋体" w:cs="宋体"/>
          <w:color w:val="auto"/>
          <w:sz w:val="24"/>
          <w:highlight w:val="none"/>
        </w:rPr>
        <w:t>采购人或采购代理机构依据法律法规和招标文件的规定，对投标人的资格进行审查。</w:t>
      </w:r>
    </w:p>
    <w:p w14:paraId="2A038672">
      <w:pPr>
        <w:pStyle w:val="131"/>
        <w:shd w:val="clear"/>
        <w:spacing w:before="0"/>
        <w:ind w:firstLine="480"/>
        <w:rPr>
          <w:rFonts w:ascii="宋体" w:hAnsi="宋体" w:cs="宋体"/>
          <w:color w:val="auto"/>
          <w:highlight w:val="none"/>
        </w:rPr>
      </w:pPr>
      <w:r>
        <w:rPr>
          <w:rFonts w:hint="eastAsia" w:ascii="宋体" w:hAnsi="宋体" w:cs="宋体"/>
          <w:color w:val="auto"/>
          <w:kern w:val="0"/>
          <w:szCs w:val="24"/>
          <w:highlight w:val="none"/>
        </w:rPr>
        <w:t>19.2投标人未按照招标文件要求提供与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5D7E6A79">
      <w:pPr>
        <w:pStyle w:val="131"/>
        <w:shd w:val="clear"/>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3对未通过资格审查的投标人，采购人或采购代理机构告知其未通过的原因。</w:t>
      </w:r>
    </w:p>
    <w:p w14:paraId="7D0AF2CF">
      <w:pPr>
        <w:pStyle w:val="131"/>
        <w:shd w:val="clear"/>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4合格投标人不足3家的，不再评标。</w:t>
      </w:r>
    </w:p>
    <w:p w14:paraId="229BFF5A">
      <w:pPr>
        <w:pStyle w:val="131"/>
        <w:shd w:val="clear"/>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20、信用信息查询</w:t>
      </w:r>
    </w:p>
    <w:p w14:paraId="5A2E9064">
      <w:pPr>
        <w:pStyle w:val="131"/>
        <w:shd w:val="clear"/>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20.1信用信息查询渠道及截止时间：采购代理机构将在资格审查时通过“信用中国”网站(www.creditchina.gov.cn)、中国政府采购网(www.ccgp.gov.cn)渠道查询投标人接受资格时的信用记录。</w:t>
      </w:r>
    </w:p>
    <w:p w14:paraId="47A4C8F2">
      <w:pPr>
        <w:pStyle w:val="131"/>
        <w:shd w:val="clear"/>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14:paraId="465C60AC">
      <w:pPr>
        <w:pStyle w:val="131"/>
        <w:shd w:val="clear"/>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62BBDB84">
      <w:pPr>
        <w:pStyle w:val="131"/>
        <w:shd w:val="clear"/>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59EA58EA">
      <w:pPr>
        <w:pStyle w:val="131"/>
        <w:shd w:val="clear"/>
        <w:spacing w:before="0"/>
        <w:ind w:firstLine="0" w:firstLineChars="0"/>
        <w:rPr>
          <w:rFonts w:ascii="宋体" w:hAnsi="宋体" w:cs="宋体"/>
          <w:color w:val="auto"/>
          <w:kern w:val="0"/>
          <w:szCs w:val="24"/>
          <w:highlight w:val="none"/>
        </w:rPr>
      </w:pPr>
    </w:p>
    <w:p w14:paraId="74FCAD55">
      <w:pPr>
        <w:shd w:val="clea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14:paraId="79911B17">
      <w:pPr>
        <w:shd w:val="clear"/>
        <w:spacing w:line="360" w:lineRule="auto"/>
        <w:rPr>
          <w:rFonts w:ascii="宋体" w:hAnsi="宋体" w:cs="宋体"/>
          <w:b/>
          <w:color w:val="auto"/>
          <w:sz w:val="24"/>
          <w:highlight w:val="none"/>
        </w:rPr>
      </w:pPr>
      <w:bookmarkStart w:id="13"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14:paraId="02BE4BEF">
      <w:pPr>
        <w:shd w:val="clear"/>
        <w:spacing w:line="360" w:lineRule="auto"/>
        <w:rPr>
          <w:rFonts w:ascii="宋体" w:hAnsi="宋体" w:cs="宋体"/>
          <w:b/>
          <w:color w:val="auto"/>
          <w:sz w:val="24"/>
          <w:highlight w:val="none"/>
        </w:rPr>
      </w:pPr>
    </w:p>
    <w:p w14:paraId="066EFB33">
      <w:pPr>
        <w:shd w:val="clea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14:paraId="3259DD9D">
      <w:pPr>
        <w:pStyle w:val="27"/>
        <w:shd w:val="clear"/>
        <w:spacing w:line="360" w:lineRule="auto"/>
        <w:ind w:left="479" w:hanging="479" w:hangingChars="199"/>
        <w:rPr>
          <w:rFonts w:cs="宋体"/>
          <w:b/>
          <w:color w:val="auto"/>
          <w:highlight w:val="none"/>
        </w:rPr>
      </w:pPr>
      <w:r>
        <w:rPr>
          <w:rFonts w:hint="eastAsia" w:cs="宋体"/>
          <w:b/>
          <w:color w:val="auto"/>
          <w:highlight w:val="none"/>
        </w:rPr>
        <w:t>22. 确定中标供应商</w:t>
      </w:r>
    </w:p>
    <w:p w14:paraId="27AE0112">
      <w:pPr>
        <w:pStyle w:val="131"/>
        <w:shd w:val="clear"/>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62F272D6">
      <w:pPr>
        <w:pStyle w:val="131"/>
        <w:shd w:val="clear"/>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14:paraId="15C1061F">
      <w:pPr>
        <w:widowControl/>
        <w:shd w:val="clear" w:color="auto"/>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23.1自中标人确定之日起2个工作日内，采购代理机构通过电子交易平台向中标人发出中标通知书，同时编制发布采购结果公告。采购代理机构也可以以纸质形式进行中标通知。</w:t>
      </w:r>
    </w:p>
    <w:p w14:paraId="7177DAD2">
      <w:pPr>
        <w:widowControl/>
        <w:shd w:val="clear" w:color="auto"/>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23.2中标结果公告内容包括采购人及其委托的采购代理机构的名称、地址、联系方式，项目名称和项目编号，中标人名称、地址和中标金额，主要中标标的的名称、规格型号、数量、单价、服务要求，开标记录、</w:t>
      </w:r>
      <w:bookmarkStart w:id="14" w:name="_Hlk101184471"/>
      <w:r>
        <w:rPr>
          <w:rFonts w:hint="eastAsia" w:ascii="宋体" w:hAnsi="宋体" w:cs="宋体"/>
          <w:color w:val="auto"/>
          <w:sz w:val="24"/>
          <w:highlight w:val="none"/>
        </w:rPr>
        <w:t>资格审查情况、评审专家抽取规则、符合性审查情况、</w:t>
      </w:r>
      <w:bookmarkEnd w:id="14"/>
      <w:r>
        <w:rPr>
          <w:rFonts w:hint="eastAsia" w:ascii="宋体" w:hAnsi="宋体" w:cs="宋体"/>
          <w:color w:val="auto"/>
          <w:sz w:val="24"/>
          <w:highlight w:val="none"/>
        </w:rPr>
        <w:t>未中标情况说明、中标公告期限以及评审专家名单、评分汇总及明细。</w:t>
      </w:r>
    </w:p>
    <w:p w14:paraId="45A683AA">
      <w:pPr>
        <w:widowControl/>
        <w:shd w:val="clear" w:color="auto"/>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23.3公告期限为1个工作日。</w:t>
      </w:r>
    </w:p>
    <w:p w14:paraId="49BB5DF7">
      <w:pPr>
        <w:shd w:val="clear"/>
        <w:snapToGrid w:val="0"/>
        <w:spacing w:line="360" w:lineRule="auto"/>
        <w:ind w:left="120" w:leftChars="57" w:firstLine="482" w:firstLineChars="150"/>
        <w:jc w:val="center"/>
        <w:rPr>
          <w:rFonts w:ascii="宋体" w:hAnsi="宋体" w:cs="宋体"/>
          <w:b/>
          <w:color w:val="auto"/>
          <w:sz w:val="32"/>
          <w:highlight w:val="none"/>
        </w:rPr>
      </w:pPr>
    </w:p>
    <w:p w14:paraId="5C5436DE">
      <w:pPr>
        <w:shd w:val="clea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14:paraId="6809B405">
      <w:pPr>
        <w:pStyle w:val="27"/>
        <w:shd w:val="clear"/>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14:paraId="5EBEE418">
      <w:pPr>
        <w:pStyle w:val="27"/>
        <w:shd w:val="clear"/>
        <w:spacing w:line="360" w:lineRule="auto"/>
        <w:ind w:left="479" w:hanging="479" w:hangingChars="199"/>
        <w:rPr>
          <w:rFonts w:cs="宋体"/>
          <w:b/>
          <w:color w:val="auto"/>
          <w:highlight w:val="none"/>
        </w:rPr>
      </w:pPr>
      <w:r>
        <w:rPr>
          <w:rFonts w:hint="eastAsia" w:cs="宋体"/>
          <w:b/>
          <w:color w:val="auto"/>
          <w:highlight w:val="none"/>
        </w:rPr>
        <w:t>25. 合同的签订</w:t>
      </w:r>
    </w:p>
    <w:p w14:paraId="268C4E54">
      <w:pPr>
        <w:widowControl/>
        <w:shd w:val="clear" w:color="auto"/>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14903307">
      <w:pPr>
        <w:pStyle w:val="131"/>
        <w:shd w:val="clear"/>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39604B20">
      <w:pPr>
        <w:pStyle w:val="131"/>
        <w:shd w:val="clear"/>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14:paraId="6D0A244B">
      <w:pPr>
        <w:pStyle w:val="131"/>
        <w:shd w:val="clear"/>
        <w:snapToGrid w:val="0"/>
        <w:spacing w:before="0"/>
        <w:ind w:firstLine="480"/>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14:paraId="1D700CC7">
      <w:pPr>
        <w:pStyle w:val="131"/>
        <w:shd w:val="clear"/>
        <w:snapToGrid w:val="0"/>
        <w:spacing w:before="0" w:after="120"/>
        <w:ind w:firstLine="480"/>
        <w:rPr>
          <w:rFonts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14:paraId="64E06E4D">
      <w:pPr>
        <w:pStyle w:val="27"/>
        <w:shd w:val="clear"/>
        <w:spacing w:line="360" w:lineRule="auto"/>
        <w:ind w:left="479" w:hanging="479" w:hangingChars="199"/>
        <w:rPr>
          <w:rFonts w:cs="宋体"/>
          <w:b/>
          <w:color w:val="auto"/>
          <w:highlight w:val="none"/>
        </w:rPr>
      </w:pPr>
      <w:r>
        <w:rPr>
          <w:rFonts w:hint="eastAsia" w:cs="宋体"/>
          <w:b/>
          <w:color w:val="auto"/>
          <w:highlight w:val="none"/>
        </w:rPr>
        <w:t>26. 履约保证金</w:t>
      </w:r>
    </w:p>
    <w:p w14:paraId="2D867058">
      <w:pPr>
        <w:shd w:val="clear"/>
        <w:tabs>
          <w:tab w:val="left" w:pos="0"/>
        </w:tabs>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14:paraId="6F142EBC">
      <w:pPr>
        <w:pStyle w:val="2"/>
        <w:shd w:val="clear"/>
        <w:ind w:left="0" w:firstLine="480" w:firstLineChars="200"/>
        <w:rPr>
          <w:rFonts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191E2A71">
      <w:pPr>
        <w:pStyle w:val="2"/>
        <w:shd w:val="clear"/>
        <w:rPr>
          <w:color w:val="auto"/>
          <w:highlight w:val="none"/>
        </w:rPr>
      </w:pPr>
      <w:r>
        <w:rPr>
          <w:rFonts w:ascii="宋体" w:hAnsi="宋体" w:eastAsia="宋体"/>
          <w:color w:val="auto"/>
          <w:sz w:val="24"/>
          <w:highlight w:val="none"/>
          <w:lang w:val="en-US"/>
        </w:rPr>
        <w:t>27.预付款</w:t>
      </w:r>
    </w:p>
    <w:p w14:paraId="7D02910A">
      <w:pPr>
        <w:shd w:val="clear"/>
        <w:adjustRightInd/>
        <w:spacing w:line="360" w:lineRule="auto"/>
        <w:ind w:firstLine="480" w:firstLineChars="200"/>
        <w:rPr>
          <w:color w:val="auto"/>
          <w:highlight w:val="none"/>
        </w:rPr>
      </w:pPr>
      <w:r>
        <w:rPr>
          <w:rFonts w:hint="eastAsia" w:ascii="宋体" w:hAnsi="宋体"/>
          <w:color w:val="auto"/>
          <w:sz w:val="24"/>
          <w:highlight w:val="none"/>
        </w:rPr>
        <w:t>采购单位应当在政府采购合同中约定预付款，对中小企业合同预付款比例原则上不低于合同金额的</w:t>
      </w:r>
      <w:r>
        <w:rPr>
          <w:rFonts w:ascii="宋体" w:hAnsi="宋体"/>
          <w:color w:val="auto"/>
          <w:sz w:val="24"/>
          <w:highlight w:val="none"/>
        </w:rPr>
        <w:t>40％</w:t>
      </w:r>
      <w:r>
        <w:rPr>
          <w:rFonts w:hint="eastAsia" w:ascii="宋体" w:hAnsi="宋体"/>
          <w:color w:val="auto"/>
          <w:sz w:val="24"/>
          <w:highlight w:val="none"/>
        </w:rPr>
        <w:t>，不高于合同金额的</w:t>
      </w:r>
      <w:r>
        <w:rPr>
          <w:rFonts w:ascii="宋体" w:hAnsi="宋体"/>
          <w:color w:val="auto"/>
          <w:sz w:val="24"/>
          <w:highlight w:val="none"/>
        </w:rPr>
        <w:t>70%；项目分年安排预算的，每年预付款比例</w:t>
      </w:r>
      <w:r>
        <w:rPr>
          <w:rFonts w:hint="eastAsia" w:ascii="宋体" w:hAnsi="宋体"/>
          <w:color w:val="auto"/>
          <w:sz w:val="24"/>
          <w:highlight w:val="none"/>
        </w:rPr>
        <w:t>不低于</w:t>
      </w:r>
      <w:r>
        <w:rPr>
          <w:rFonts w:ascii="宋体" w:hAnsi="宋体"/>
          <w:color w:val="auto"/>
          <w:sz w:val="24"/>
          <w:highlight w:val="none"/>
        </w:rPr>
        <w:t>项目年度计划支付资金额的40％</w:t>
      </w:r>
      <w:r>
        <w:rPr>
          <w:rFonts w:hint="eastAsia" w:ascii="宋体" w:hAnsi="宋体"/>
          <w:color w:val="auto"/>
          <w:sz w:val="24"/>
          <w:highlight w:val="none"/>
        </w:rPr>
        <w:t>，不高于合同金额的</w:t>
      </w:r>
      <w:r>
        <w:rPr>
          <w:rFonts w:ascii="宋体" w:hAnsi="宋体"/>
          <w:color w:val="auto"/>
          <w:sz w:val="24"/>
          <w:highlight w:val="none"/>
        </w:rPr>
        <w:t>70%；采购项目实施以人工投入为主的，</w:t>
      </w:r>
      <w:r>
        <w:rPr>
          <w:rFonts w:hint="eastAsia" w:ascii="宋体" w:hAnsi="宋体"/>
          <w:color w:val="auto"/>
          <w:sz w:val="24"/>
          <w:highlight w:val="none"/>
        </w:rPr>
        <w:t>可适当降低预付款比例，但不得低于</w:t>
      </w:r>
      <w:r>
        <w:rPr>
          <w:rFonts w:ascii="宋体" w:hAnsi="宋体"/>
          <w:color w:val="auto"/>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olor w:val="auto"/>
          <w:sz w:val="24"/>
          <w:highlight w:val="none"/>
        </w:rPr>
        <w:t>供应商</w:t>
      </w:r>
      <w:r>
        <w:rPr>
          <w:rFonts w:ascii="宋体" w:hAnsi="宋体"/>
          <w:color w:val="auto"/>
          <w:sz w:val="24"/>
          <w:highlight w:val="none"/>
        </w:rPr>
        <w:t>明确表示无需预付款或者主动要求降低预付款比例的，</w:t>
      </w:r>
      <w:r>
        <w:rPr>
          <w:rFonts w:hint="eastAsia" w:ascii="宋体" w:hAnsi="宋体"/>
          <w:color w:val="auto"/>
          <w:sz w:val="24"/>
          <w:highlight w:val="none"/>
        </w:rPr>
        <w:t>采购单位</w:t>
      </w:r>
      <w:r>
        <w:rPr>
          <w:rFonts w:ascii="宋体" w:hAnsi="宋体"/>
          <w:color w:val="auto"/>
          <w:sz w:val="24"/>
          <w:highlight w:val="none"/>
        </w:rPr>
        <w:t>可不适用前述规定。</w:t>
      </w:r>
      <w:r>
        <w:rPr>
          <w:rFonts w:hint="eastAsia" w:ascii="宋体" w:hAnsi="宋体"/>
          <w:color w:val="auto"/>
          <w:sz w:val="24"/>
          <w:highlight w:val="none"/>
        </w:rPr>
        <w:t>采购单位</w:t>
      </w:r>
      <w:r>
        <w:rPr>
          <w:rFonts w:ascii="宋体" w:hAnsi="宋体"/>
          <w:color w:val="auto"/>
          <w:sz w:val="24"/>
          <w:highlight w:val="none"/>
        </w:rPr>
        <w:t>根据项目特点、供应商诚信等因素，可以要求</w:t>
      </w:r>
      <w:r>
        <w:rPr>
          <w:rFonts w:hint="eastAsia" w:ascii="宋体" w:hAnsi="宋体"/>
          <w:color w:val="auto"/>
          <w:sz w:val="24"/>
          <w:highlight w:val="none"/>
        </w:rPr>
        <w:t>供应商</w:t>
      </w:r>
      <w:r>
        <w:rPr>
          <w:rFonts w:ascii="宋体" w:hAnsi="宋体"/>
          <w:color w:val="auto"/>
          <w:sz w:val="24"/>
          <w:highlight w:val="none"/>
        </w:rPr>
        <w:t>提交银行、保险公司等金融机构出具的预付款保函或其他担保措施。政府采购预付款应在合同生效以及具备实施条件后5个工作日内支付。</w:t>
      </w:r>
      <w:r>
        <w:rPr>
          <w:rFonts w:hint="eastAsia" w:ascii="宋体" w:hAnsi="宋体"/>
          <w:color w:val="auto"/>
          <w:sz w:val="24"/>
          <w:highlight w:val="none"/>
        </w:rPr>
        <w:t>政府采购工程以及与工程建设有关的货物、服务，采用招标方式采购的，预付款从其相关规定。供应商可登录政采云前台大厅选择金融服务</w:t>
      </w:r>
      <w:r>
        <w:rPr>
          <w:rFonts w:ascii="宋体" w:hAnsi="宋体"/>
          <w:color w:val="auto"/>
          <w:sz w:val="24"/>
          <w:highlight w:val="none"/>
        </w:rPr>
        <w:t xml:space="preserve"> - </w:t>
      </w:r>
      <w:r>
        <w:rPr>
          <w:rFonts w:hint="eastAsia" w:ascii="宋体" w:hAnsi="宋体"/>
          <w:color w:val="auto"/>
          <w:sz w:val="24"/>
          <w:highlight w:val="none"/>
        </w:rPr>
        <w:t>【保函保险服务】出具预付款保函，具体步骤：选择产品—填写供应商信息—选择中标项目—确认信息—等待保险</w:t>
      </w:r>
      <w:r>
        <w:rPr>
          <w:rFonts w:ascii="宋体" w:hAnsi="宋体"/>
          <w:color w:val="auto"/>
          <w:sz w:val="24"/>
          <w:highlight w:val="none"/>
        </w:rPr>
        <w:t>/保函受理—确认保单—支付保费—成功出单。政</w:t>
      </w:r>
      <w:r>
        <w:rPr>
          <w:rFonts w:hint="eastAsia" w:ascii="宋体" w:hAnsi="宋体"/>
          <w:color w:val="auto"/>
          <w:sz w:val="24"/>
          <w:highlight w:val="none"/>
        </w:rPr>
        <w:t>采云金融专线</w:t>
      </w:r>
      <w:r>
        <w:rPr>
          <w:rFonts w:ascii="宋体" w:hAnsi="宋体"/>
          <w:color w:val="auto"/>
          <w:sz w:val="24"/>
          <w:highlight w:val="none"/>
        </w:rPr>
        <w:t>400-903-9583。</w:t>
      </w:r>
    </w:p>
    <w:p w14:paraId="019E2E2E">
      <w:pPr>
        <w:shd w:val="clear"/>
        <w:rPr>
          <w:color w:val="auto"/>
          <w:highlight w:val="none"/>
        </w:rPr>
      </w:pPr>
    </w:p>
    <w:p w14:paraId="7176F8E1">
      <w:pPr>
        <w:shd w:val="clear"/>
        <w:snapToGrid w:val="0"/>
        <w:spacing w:line="360" w:lineRule="auto"/>
        <w:ind w:firstLine="3357" w:firstLineChars="1045"/>
        <w:rPr>
          <w:rFonts w:ascii="宋体" w:hAnsi="宋体" w:cs="宋体"/>
          <w:b/>
          <w:color w:val="auto"/>
          <w:sz w:val="32"/>
          <w:highlight w:val="none"/>
        </w:rPr>
      </w:pPr>
    </w:p>
    <w:p w14:paraId="0466EFEC">
      <w:pPr>
        <w:shd w:val="clear"/>
        <w:snapToGrid w:val="0"/>
        <w:spacing w:line="360" w:lineRule="auto"/>
        <w:ind w:firstLine="3357" w:firstLineChars="1045"/>
        <w:rPr>
          <w:rFonts w:ascii="宋体" w:hAnsi="宋体" w:cs="宋体"/>
          <w:b/>
          <w:color w:val="auto"/>
          <w:sz w:val="24"/>
          <w:highlight w:val="none"/>
        </w:rPr>
      </w:pPr>
      <w:r>
        <w:rPr>
          <w:rFonts w:hint="eastAsia" w:ascii="宋体" w:hAnsi="宋体" w:cs="宋体"/>
          <w:b/>
          <w:color w:val="auto"/>
          <w:sz w:val="32"/>
          <w:highlight w:val="none"/>
        </w:rPr>
        <w:t>八、电子交易活动的中止</w:t>
      </w:r>
    </w:p>
    <w:p w14:paraId="7FF3664C">
      <w:pPr>
        <w:pStyle w:val="131"/>
        <w:shd w:val="clear"/>
        <w:snapToGrid w:val="0"/>
        <w:spacing w:before="0"/>
        <w:ind w:firstLine="0" w:firstLineChars="0"/>
        <w:rPr>
          <w:rFonts w:ascii="宋体" w:hAnsi="宋体" w:cs="宋体"/>
          <w:color w:val="auto"/>
          <w:highlight w:val="none"/>
        </w:rPr>
      </w:pPr>
      <w:r>
        <w:rPr>
          <w:rFonts w:ascii="宋体" w:hAnsi="宋体" w:cs="宋体"/>
          <w:b/>
          <w:bCs/>
          <w:color w:val="auto"/>
          <w:highlight w:val="none"/>
        </w:rPr>
        <w:t>2</w:t>
      </w:r>
      <w:r>
        <w:rPr>
          <w:rFonts w:ascii="宋体" w:hAnsi="宋体" w:cs="宋体"/>
          <w:b/>
          <w:bCs/>
          <w:color w:val="auto"/>
          <w:szCs w:val="24"/>
          <w:highlight w:val="none"/>
        </w:rPr>
        <w:t>8</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采购过程中出现以下情形，导致电子交易平台无法正常运行，或者无法保证电子交易的公平、公正和安全时，采购代理机构可中止电子交易活动：</w:t>
      </w:r>
    </w:p>
    <w:p w14:paraId="765FE195">
      <w:pPr>
        <w:pStyle w:val="131"/>
        <w:shd w:val="clear"/>
        <w:snapToGrid w:val="0"/>
        <w:spacing w:before="0"/>
        <w:ind w:firstLine="480"/>
        <w:rPr>
          <w:rFonts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14:paraId="416F0922">
      <w:pPr>
        <w:pStyle w:val="131"/>
        <w:shd w:val="clear"/>
        <w:snapToGrid w:val="0"/>
        <w:spacing w:before="0"/>
        <w:ind w:firstLine="480"/>
        <w:rPr>
          <w:rFonts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14:paraId="62CC31CA">
      <w:pPr>
        <w:pStyle w:val="131"/>
        <w:shd w:val="clear"/>
        <w:snapToGrid w:val="0"/>
        <w:spacing w:before="0"/>
        <w:ind w:firstLine="480"/>
        <w:rPr>
          <w:rFonts w:ascii="宋体" w:hAnsi="宋体" w:cs="宋体"/>
          <w:color w:val="auto"/>
          <w:highlight w:val="none"/>
        </w:rPr>
      </w:pPr>
      <w:r>
        <w:rPr>
          <w:rFonts w:hint="eastAsia" w:ascii="宋体" w:hAnsi="宋体" w:cs="宋体"/>
          <w:color w:val="auto"/>
          <w:highlight w:val="none"/>
        </w:rPr>
        <w:t>28.3电子交易平台发现严重安全漏洞，有潜在泄密危险的；</w:t>
      </w:r>
    </w:p>
    <w:p w14:paraId="4B657494">
      <w:pPr>
        <w:pStyle w:val="131"/>
        <w:shd w:val="clear"/>
        <w:snapToGrid w:val="0"/>
        <w:spacing w:before="0"/>
        <w:ind w:firstLine="480"/>
        <w:rPr>
          <w:rFonts w:ascii="宋体" w:hAnsi="宋体" w:cs="宋体"/>
          <w:color w:val="auto"/>
          <w:highlight w:val="none"/>
        </w:rPr>
      </w:pPr>
      <w:r>
        <w:rPr>
          <w:rFonts w:hint="eastAsia" w:ascii="宋体" w:hAnsi="宋体" w:cs="宋体"/>
          <w:color w:val="auto"/>
          <w:highlight w:val="none"/>
        </w:rPr>
        <w:t xml:space="preserve">28.4病毒发作导致不能进行正常操作的； </w:t>
      </w:r>
    </w:p>
    <w:p w14:paraId="32EF4782">
      <w:pPr>
        <w:pStyle w:val="131"/>
        <w:shd w:val="clear"/>
        <w:snapToGrid w:val="0"/>
        <w:spacing w:before="0"/>
        <w:ind w:firstLine="480"/>
        <w:rPr>
          <w:rFonts w:ascii="宋体" w:hAnsi="宋体" w:cs="宋体"/>
          <w:color w:val="auto"/>
          <w:highlight w:val="none"/>
        </w:rPr>
      </w:pPr>
      <w:r>
        <w:rPr>
          <w:rFonts w:hint="eastAsia" w:ascii="宋体" w:hAnsi="宋体" w:cs="宋体"/>
          <w:color w:val="auto"/>
          <w:highlight w:val="none"/>
        </w:rPr>
        <w:t>28.5其他无法保证电子交易的公平、公正和安全的情况。</w:t>
      </w:r>
    </w:p>
    <w:p w14:paraId="5620046A">
      <w:pPr>
        <w:pStyle w:val="131"/>
        <w:shd w:val="clear"/>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0B96BAB2">
      <w:pPr>
        <w:shd w:val="clear"/>
        <w:tabs>
          <w:tab w:val="left" w:pos="0"/>
        </w:tabs>
        <w:spacing w:line="360" w:lineRule="auto"/>
        <w:ind w:firstLine="480"/>
        <w:rPr>
          <w:rFonts w:ascii="宋体" w:hAnsi="宋体" w:cs="宋体"/>
          <w:color w:val="auto"/>
          <w:sz w:val="24"/>
          <w:highlight w:val="none"/>
        </w:rPr>
      </w:pPr>
    </w:p>
    <w:p w14:paraId="31EC7A6F">
      <w:pPr>
        <w:shd w:val="clea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九、验收</w:t>
      </w:r>
    </w:p>
    <w:p w14:paraId="01E3BFA2">
      <w:pPr>
        <w:pStyle w:val="27"/>
        <w:shd w:val="clear"/>
        <w:spacing w:line="360" w:lineRule="auto"/>
        <w:ind w:firstLine="0" w:firstLineChars="0"/>
        <w:rPr>
          <w:rFonts w:cs="宋体"/>
          <w:b/>
          <w:color w:val="auto"/>
          <w:highlight w:val="none"/>
        </w:rPr>
      </w:pPr>
      <w:r>
        <w:rPr>
          <w:rFonts w:hint="eastAsia" w:cs="宋体"/>
          <w:b/>
          <w:color w:val="auto"/>
          <w:highlight w:val="none"/>
        </w:rPr>
        <w:t>30.验收</w:t>
      </w:r>
    </w:p>
    <w:p w14:paraId="6CCA96C9">
      <w:pPr>
        <w:shd w:val="clea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670094F3">
      <w:pPr>
        <w:shd w:val="clea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14:paraId="309B805C">
      <w:pPr>
        <w:shd w:val="clea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23C4503E">
      <w:pPr>
        <w:shd w:val="clear"/>
        <w:tabs>
          <w:tab w:val="left" w:pos="0"/>
        </w:tabs>
        <w:spacing w:line="360" w:lineRule="auto"/>
        <w:ind w:firstLine="480"/>
        <w:rPr>
          <w:rFonts w:ascii="宋体" w:hAnsi="宋体" w:cs="宋体"/>
          <w:color w:val="auto"/>
          <w:sz w:val="18"/>
          <w:szCs w:val="18"/>
          <w:highlight w:val="none"/>
        </w:rPr>
      </w:pPr>
      <w:r>
        <w:rPr>
          <w:rFonts w:hint="eastAsia" w:ascii="宋体" w:hAnsi="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14:paraId="466FD904">
      <w:pPr>
        <w:shd w:val="clear"/>
        <w:tabs>
          <w:tab w:val="left" w:pos="0"/>
        </w:tabs>
        <w:spacing w:line="360" w:lineRule="auto"/>
        <w:ind w:firstLine="480"/>
        <w:rPr>
          <w:rFonts w:ascii="宋体" w:hAnsi="宋体" w:cs="宋体"/>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5" w:name="_Hlt75236011"/>
      <w:bookmarkEnd w:id="15"/>
      <w:bookmarkStart w:id="16" w:name="_Hlt74707468"/>
      <w:bookmarkEnd w:id="16"/>
      <w:bookmarkStart w:id="17" w:name="_Hlt68057669"/>
      <w:bookmarkEnd w:id="17"/>
      <w:bookmarkStart w:id="18" w:name="_Hlt68072998"/>
      <w:bookmarkEnd w:id="18"/>
      <w:bookmarkStart w:id="19" w:name="_Hlt74714665"/>
      <w:bookmarkEnd w:id="19"/>
      <w:bookmarkStart w:id="20" w:name="_Hlt68403820"/>
      <w:bookmarkEnd w:id="20"/>
      <w:bookmarkStart w:id="21" w:name="_Hlt74730295"/>
      <w:bookmarkEnd w:id="21"/>
      <w:bookmarkStart w:id="22" w:name="_Hlt68072990"/>
      <w:bookmarkEnd w:id="22"/>
      <w:bookmarkStart w:id="23" w:name="_Hlt75236290"/>
      <w:bookmarkEnd w:id="23"/>
      <w:bookmarkStart w:id="24" w:name="_Hlt74729768"/>
      <w:bookmarkEnd w:id="24"/>
      <w:bookmarkStart w:id="25" w:name="_Hlt75236101"/>
      <w:bookmarkEnd w:id="25"/>
      <w:bookmarkStart w:id="26" w:name="_Hlt68073093"/>
      <w:bookmarkEnd w:id="26"/>
    </w:p>
    <w:bookmarkEnd w:id="11"/>
    <w:bookmarkEnd w:id="12"/>
    <w:p w14:paraId="029D9446">
      <w:pPr>
        <w:shd w:val="clear"/>
        <w:spacing w:line="360" w:lineRule="auto"/>
        <w:jc w:val="center"/>
        <w:outlineLvl w:val="0"/>
        <w:rPr>
          <w:rFonts w:ascii="宋体" w:hAnsi="宋体" w:cs="宋体"/>
          <w:b/>
          <w:color w:val="auto"/>
          <w:sz w:val="36"/>
          <w:szCs w:val="36"/>
          <w:highlight w:val="none"/>
        </w:rPr>
      </w:pPr>
      <w:bookmarkStart w:id="27" w:name="第四部分"/>
      <w:r>
        <w:rPr>
          <w:rFonts w:hint="eastAsia" w:ascii="宋体" w:hAnsi="宋体" w:cs="宋体"/>
          <w:b/>
          <w:color w:val="auto"/>
          <w:sz w:val="36"/>
          <w:szCs w:val="36"/>
          <w:highlight w:val="none"/>
        </w:rPr>
        <w:t>第三部分   采购需求</w:t>
      </w:r>
    </w:p>
    <w:p w14:paraId="567E6611">
      <w:pPr>
        <w:pStyle w:val="3"/>
        <w:pageBreakBefore w:val="0"/>
        <w:widowControl w:val="0"/>
        <w:tabs>
          <w:tab w:val="left" w:pos="420"/>
          <w:tab w:val="clear" w:pos="432"/>
        </w:tabs>
        <w:kinsoku/>
        <w:wordWrap/>
        <w:overflowPunct/>
        <w:topLinePunct w:val="0"/>
        <w:autoSpaceDE/>
        <w:autoSpaceDN/>
        <w:bidi w:val="0"/>
        <w:adjustRightInd w:val="0"/>
        <w:snapToGrid w:val="0"/>
        <w:spacing w:before="0" w:after="0" w:line="360" w:lineRule="auto"/>
        <w:textAlignment w:val="auto"/>
        <w:rPr>
          <w:rFonts w:hint="eastAsia" w:ascii="宋体" w:hAnsi="宋体" w:cs="宋体"/>
          <w:color w:val="auto"/>
          <w:sz w:val="24"/>
          <w:szCs w:val="24"/>
          <w:highlight w:val="none"/>
          <w:lang w:val="en-US" w:eastAsia="zh-CN"/>
        </w:rPr>
      </w:pPr>
    </w:p>
    <w:p w14:paraId="30EE5360">
      <w:pPr>
        <w:pStyle w:val="3"/>
        <w:pageBreakBefore w:val="0"/>
        <w:widowControl w:val="0"/>
        <w:tabs>
          <w:tab w:val="left" w:pos="420"/>
          <w:tab w:val="clear" w:pos="432"/>
        </w:tabs>
        <w:kinsoku/>
        <w:wordWrap/>
        <w:overflowPunct/>
        <w:topLinePunct w:val="0"/>
        <w:autoSpaceDE/>
        <w:autoSpaceDN/>
        <w:bidi w:val="0"/>
        <w:adjustRightInd w:val="0"/>
        <w:snapToGrid w:val="0"/>
        <w:spacing w:before="0" w:after="0" w:line="360" w:lineRule="auto"/>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一、</w:t>
      </w:r>
      <w:r>
        <w:rPr>
          <w:rFonts w:hint="eastAsia" w:ascii="宋体" w:hAnsi="宋体" w:eastAsia="宋体" w:cs="宋体"/>
          <w:color w:val="auto"/>
          <w:sz w:val="24"/>
          <w:szCs w:val="24"/>
          <w:highlight w:val="none"/>
        </w:rPr>
        <w:t>项目的基本概述</w:t>
      </w:r>
    </w:p>
    <w:p w14:paraId="3E35C1AD">
      <w:pPr>
        <w:pStyle w:val="2"/>
        <w:pageBreakBefore w:val="0"/>
        <w:widowControl w:val="0"/>
        <w:tabs>
          <w:tab w:val="left" w:pos="420"/>
          <w:tab w:val="clear" w:pos="432"/>
        </w:tabs>
        <w:kinsoku/>
        <w:wordWrap/>
        <w:overflowPunct/>
        <w:topLinePunct w:val="0"/>
        <w:autoSpaceDE/>
        <w:autoSpaceDN/>
        <w:bidi w:val="0"/>
        <w:adjustRightInd w:val="0"/>
        <w:snapToGrid w:val="0"/>
        <w:spacing w:line="360" w:lineRule="auto"/>
        <w:ind w:left="0" w:firstLine="482" w:firstLineChars="200"/>
        <w:textAlignment w:val="auto"/>
        <w:rPr>
          <w:rFonts w:hint="eastAsia" w:ascii="宋体" w:hAnsi="宋体" w:eastAsia="宋体" w:cs="宋体"/>
          <w:color w:val="auto"/>
          <w:sz w:val="24"/>
          <w:szCs w:val="24"/>
          <w:highlight w:val="none"/>
        </w:rPr>
      </w:pPr>
      <w:bookmarkStart w:id="28" w:name="_Toc14707"/>
      <w:bookmarkStart w:id="29" w:name="_Toc15824"/>
      <w:bookmarkStart w:id="30" w:name="_Toc32698"/>
      <w:bookmarkStart w:id="31" w:name="_Toc21230"/>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项目建设</w:t>
      </w:r>
      <w:bookmarkEnd w:id="28"/>
      <w:bookmarkEnd w:id="29"/>
      <w:bookmarkEnd w:id="30"/>
      <w:bookmarkEnd w:id="31"/>
      <w:r>
        <w:rPr>
          <w:rFonts w:hint="eastAsia" w:ascii="宋体" w:hAnsi="宋体" w:eastAsia="宋体" w:cs="宋体"/>
          <w:color w:val="auto"/>
          <w:sz w:val="24"/>
          <w:szCs w:val="24"/>
          <w:highlight w:val="none"/>
        </w:rPr>
        <w:t>背景</w:t>
      </w:r>
    </w:p>
    <w:p w14:paraId="3CE21AD4">
      <w:pPr>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 2023 年浙江省政府工作报告、浙江省《关于打造数字经济“一号工程”升级版的实施意见》、《浙江省营商环境优化提升行动方案》和《关于推进政务服务增值化改革的实施意见》的精神，大运河数智未来城将在现有的数字化基础上，深入贯彻省市区实施营商环境优化提升“一号改革工程”工作部署，坚持党建统领、系统集成、需求导向、数字赋能，聚焦企业群众办事需求痛点难点堵点问题，以“降低成本、增加收益、强化功能、赋能发展”为目标，坚持政府、社会、企业三方协同、多元参与，围绕“五个一”供给侧需求侧双向发力，在政务服务增值化改革试点上谋求突破。</w:t>
      </w:r>
    </w:p>
    <w:p w14:paraId="329F89DE">
      <w:pPr>
        <w:pStyle w:val="2"/>
        <w:pageBreakBefore w:val="0"/>
        <w:widowControl w:val="0"/>
        <w:tabs>
          <w:tab w:val="left" w:pos="420"/>
          <w:tab w:val="clear" w:pos="432"/>
        </w:tabs>
        <w:kinsoku/>
        <w:wordWrap/>
        <w:overflowPunct/>
        <w:topLinePunct w:val="0"/>
        <w:autoSpaceDE/>
        <w:autoSpaceDN/>
        <w:bidi w:val="0"/>
        <w:adjustRightInd w:val="0"/>
        <w:snapToGrid w:val="0"/>
        <w:spacing w:line="360" w:lineRule="auto"/>
        <w:ind w:left="0" w:firstLine="482"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2、项目建设目标</w:t>
      </w:r>
    </w:p>
    <w:p w14:paraId="4E0631FF">
      <w:pPr>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本项目主要建设目标是以涉企服务“一类事”为抓手，并围绕高新区产业</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3</w:t>
      </w: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的产业特色，满足企业全生命周期各个阶段、产业链特定节点的重大需求， 在延伸拓展基本政务服务“一件事”基础上，不影响公平竞争前提下，叠加关联度高的金融、人才、科技、法律等增值服务事项,建立高新区产业智能体的数据支撑底座、应用支撑底座、功能服务底座，构建</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1+8+N</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全方位的增值服务体系，打造订制化、套餐式、模块化、线上线下相融合的为企服务新场景，打响“凡企所想，必有回响”高新区为企服务品牌形象。</w:t>
      </w:r>
    </w:p>
    <w:p w14:paraId="5A110FAA">
      <w:pPr>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eastAsia="宋体" w:cs="宋体"/>
          <w:color w:val="auto"/>
          <w:sz w:val="24"/>
          <w:szCs w:val="24"/>
          <w:highlight w:val="none"/>
        </w:rPr>
      </w:pPr>
      <w:bookmarkStart w:id="32" w:name="_Toc7729"/>
      <w:bookmarkStart w:id="33" w:name="_Toc20920"/>
      <w:bookmarkStart w:id="34" w:name="_Toc2360"/>
      <w:bookmarkStart w:id="35" w:name="_Toc17352"/>
      <w:r>
        <w:rPr>
          <w:rFonts w:hint="eastAsia" w:ascii="宋体" w:hAnsi="宋体" w:eastAsia="宋体" w:cs="宋体"/>
          <w:color w:val="auto"/>
          <w:sz w:val="24"/>
          <w:szCs w:val="24"/>
          <w:highlight w:val="none"/>
        </w:rPr>
        <w:t>项目建设规范依据</w:t>
      </w:r>
      <w:bookmarkEnd w:id="32"/>
      <w:bookmarkEnd w:id="33"/>
      <w:bookmarkEnd w:id="34"/>
      <w:bookmarkEnd w:id="35"/>
    </w:p>
    <w:p w14:paraId="4C07C14B">
      <w:pPr>
        <w:pStyle w:val="258"/>
        <w:pageBreakBefore w:val="0"/>
        <w:widowControl w:val="0"/>
        <w:numPr>
          <w:ilvl w:val="0"/>
          <w:numId w:val="1"/>
        </w:numPr>
        <w:kinsoku/>
        <w:wordWrap/>
        <w:overflowPunct/>
        <w:topLinePunct w:val="0"/>
        <w:autoSpaceDE/>
        <w:autoSpaceDN/>
        <w:bidi w:val="0"/>
        <w:adjustRightInd w:val="0"/>
        <w:snapToGrid w:val="0"/>
        <w:spacing w:line="360" w:lineRule="auto"/>
        <w:ind w:left="840" w:leftChars="0" w:hanging="42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《关于打造数字经济“一号工程”升级版的实施意见》</w:t>
      </w:r>
    </w:p>
    <w:p w14:paraId="64415DC8">
      <w:pPr>
        <w:pStyle w:val="258"/>
        <w:pageBreakBefore w:val="0"/>
        <w:widowControl w:val="0"/>
        <w:numPr>
          <w:ilvl w:val="0"/>
          <w:numId w:val="1"/>
        </w:numPr>
        <w:kinsoku/>
        <w:wordWrap/>
        <w:overflowPunct/>
        <w:topLinePunct w:val="0"/>
        <w:autoSpaceDE/>
        <w:autoSpaceDN/>
        <w:bidi w:val="0"/>
        <w:adjustRightInd w:val="0"/>
        <w:snapToGrid w:val="0"/>
        <w:spacing w:line="360" w:lineRule="auto"/>
        <w:ind w:left="840" w:leftChars="0" w:hanging="42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《浙江省营商环境优化提升行动方案》</w:t>
      </w:r>
    </w:p>
    <w:p w14:paraId="4A4DAA2E">
      <w:pPr>
        <w:pStyle w:val="258"/>
        <w:pageBreakBefore w:val="0"/>
        <w:widowControl w:val="0"/>
        <w:numPr>
          <w:ilvl w:val="0"/>
          <w:numId w:val="1"/>
        </w:numPr>
        <w:kinsoku/>
        <w:wordWrap/>
        <w:overflowPunct/>
        <w:topLinePunct w:val="0"/>
        <w:autoSpaceDE/>
        <w:autoSpaceDN/>
        <w:bidi w:val="0"/>
        <w:adjustRightInd w:val="0"/>
        <w:snapToGrid w:val="0"/>
        <w:spacing w:line="360" w:lineRule="auto"/>
        <w:ind w:left="840" w:leftChars="0" w:hanging="42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《关于推进政务服务增值化改革的实施意见》</w:t>
      </w:r>
    </w:p>
    <w:p w14:paraId="6577FF95">
      <w:pPr>
        <w:pStyle w:val="258"/>
        <w:pageBreakBefore w:val="0"/>
        <w:widowControl w:val="0"/>
        <w:numPr>
          <w:ilvl w:val="0"/>
          <w:numId w:val="1"/>
        </w:numPr>
        <w:kinsoku/>
        <w:wordWrap/>
        <w:overflowPunct/>
        <w:topLinePunct w:val="0"/>
        <w:autoSpaceDE/>
        <w:autoSpaceDN/>
        <w:bidi w:val="0"/>
        <w:adjustRightInd w:val="0"/>
        <w:snapToGrid w:val="0"/>
        <w:spacing w:line="360" w:lineRule="auto"/>
        <w:ind w:left="840" w:leftChars="0" w:hanging="42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DB3301/T0169-2018</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智慧电子政务数据资源共享管理规范</w:t>
      </w:r>
    </w:p>
    <w:p w14:paraId="5127C5D9">
      <w:pPr>
        <w:pStyle w:val="258"/>
        <w:pageBreakBefore w:val="0"/>
        <w:widowControl w:val="0"/>
        <w:numPr>
          <w:ilvl w:val="0"/>
          <w:numId w:val="1"/>
        </w:numPr>
        <w:kinsoku/>
        <w:wordWrap/>
        <w:overflowPunct/>
        <w:topLinePunct w:val="0"/>
        <w:autoSpaceDE/>
        <w:autoSpaceDN/>
        <w:bidi w:val="0"/>
        <w:adjustRightInd w:val="0"/>
        <w:snapToGrid w:val="0"/>
        <w:spacing w:line="360" w:lineRule="auto"/>
        <w:ind w:left="840" w:leftChars="0" w:hanging="42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GB17859-1999《计算机信息系统安全保护等级划分准则》</w:t>
      </w:r>
    </w:p>
    <w:p w14:paraId="777A3E79">
      <w:pPr>
        <w:pStyle w:val="258"/>
        <w:pageBreakBefore w:val="0"/>
        <w:widowControl w:val="0"/>
        <w:numPr>
          <w:ilvl w:val="0"/>
          <w:numId w:val="1"/>
        </w:numPr>
        <w:kinsoku/>
        <w:wordWrap/>
        <w:overflowPunct/>
        <w:topLinePunct w:val="0"/>
        <w:autoSpaceDE/>
        <w:autoSpaceDN/>
        <w:bidi w:val="0"/>
        <w:adjustRightInd w:val="0"/>
        <w:snapToGrid w:val="0"/>
        <w:spacing w:line="360" w:lineRule="auto"/>
        <w:ind w:left="840" w:leftChars="0" w:hanging="42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GB/T22239-2019《信息安全技术网络安全等级保护基本要求》</w:t>
      </w:r>
    </w:p>
    <w:p w14:paraId="737364DC">
      <w:pPr>
        <w:pStyle w:val="258"/>
        <w:pageBreakBefore w:val="0"/>
        <w:widowControl w:val="0"/>
        <w:numPr>
          <w:ilvl w:val="0"/>
          <w:numId w:val="1"/>
        </w:numPr>
        <w:kinsoku/>
        <w:wordWrap/>
        <w:overflowPunct/>
        <w:topLinePunct w:val="0"/>
        <w:autoSpaceDE/>
        <w:autoSpaceDN/>
        <w:bidi w:val="0"/>
        <w:adjustRightInd w:val="0"/>
        <w:snapToGrid w:val="0"/>
        <w:spacing w:line="360" w:lineRule="auto"/>
        <w:ind w:left="840" w:leftChars="0" w:hanging="42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GB/T25070-2019《信息安全技术网络安全等级保护设计技术要求》</w:t>
      </w:r>
    </w:p>
    <w:p w14:paraId="547C0ACB">
      <w:pPr>
        <w:pStyle w:val="258"/>
        <w:pageBreakBefore w:val="0"/>
        <w:widowControl w:val="0"/>
        <w:numPr>
          <w:ilvl w:val="0"/>
          <w:numId w:val="1"/>
        </w:numPr>
        <w:kinsoku/>
        <w:wordWrap/>
        <w:overflowPunct/>
        <w:topLinePunct w:val="0"/>
        <w:autoSpaceDE/>
        <w:autoSpaceDN/>
        <w:bidi w:val="0"/>
        <w:adjustRightInd w:val="0"/>
        <w:snapToGrid w:val="0"/>
        <w:spacing w:line="360" w:lineRule="auto"/>
        <w:ind w:left="840" w:leftChars="0" w:hanging="42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GB/T28448-2019《信息安全技术网络安全等级保护测评要求》</w:t>
      </w:r>
    </w:p>
    <w:p w14:paraId="37A5D13C">
      <w:pPr>
        <w:pStyle w:val="258"/>
        <w:pageBreakBefore w:val="0"/>
        <w:widowControl w:val="0"/>
        <w:numPr>
          <w:ilvl w:val="0"/>
          <w:numId w:val="1"/>
        </w:numPr>
        <w:kinsoku/>
        <w:wordWrap/>
        <w:overflowPunct/>
        <w:topLinePunct w:val="0"/>
        <w:autoSpaceDE/>
        <w:autoSpaceDN/>
        <w:bidi w:val="0"/>
        <w:adjustRightInd w:val="0"/>
        <w:snapToGrid w:val="0"/>
        <w:spacing w:line="360" w:lineRule="auto"/>
        <w:ind w:left="840" w:leftChars="0" w:hanging="42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GB/T20269-2006《信息安全技术信息系统安全管理要求》</w:t>
      </w:r>
    </w:p>
    <w:p w14:paraId="6EFD0C5F">
      <w:pPr>
        <w:pStyle w:val="258"/>
        <w:pageBreakBefore w:val="0"/>
        <w:widowControl w:val="0"/>
        <w:numPr>
          <w:ilvl w:val="0"/>
          <w:numId w:val="1"/>
        </w:numPr>
        <w:kinsoku/>
        <w:wordWrap/>
        <w:overflowPunct/>
        <w:topLinePunct w:val="0"/>
        <w:autoSpaceDE/>
        <w:autoSpaceDN/>
        <w:bidi w:val="0"/>
        <w:adjustRightInd w:val="0"/>
        <w:snapToGrid w:val="0"/>
        <w:spacing w:line="360" w:lineRule="auto"/>
        <w:ind w:left="840" w:leftChars="0" w:hanging="42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GB/T20272-2019《信息安全技术操作系统安全技术要求》</w:t>
      </w:r>
    </w:p>
    <w:p w14:paraId="122F1992">
      <w:pPr>
        <w:pStyle w:val="258"/>
        <w:pageBreakBefore w:val="0"/>
        <w:widowControl w:val="0"/>
        <w:numPr>
          <w:ilvl w:val="0"/>
          <w:numId w:val="1"/>
        </w:numPr>
        <w:kinsoku/>
        <w:wordWrap/>
        <w:overflowPunct/>
        <w:topLinePunct w:val="0"/>
        <w:autoSpaceDE/>
        <w:autoSpaceDN/>
        <w:bidi w:val="0"/>
        <w:adjustRightInd w:val="0"/>
        <w:snapToGrid w:val="0"/>
        <w:spacing w:line="360" w:lineRule="auto"/>
        <w:ind w:left="840" w:leftChars="0" w:hanging="42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GB/T20273-2019《信息安全技术数据库管理系统安全技术要求》</w:t>
      </w:r>
      <w:bookmarkStart w:id="36" w:name="_Toc22354"/>
      <w:bookmarkStart w:id="37" w:name="_Toc15389"/>
    </w:p>
    <w:p w14:paraId="4CFF435C">
      <w:pPr>
        <w:pStyle w:val="3"/>
        <w:pageBreakBefore w:val="0"/>
        <w:widowControl w:val="0"/>
        <w:tabs>
          <w:tab w:val="left" w:pos="420"/>
          <w:tab w:val="clear" w:pos="432"/>
        </w:tabs>
        <w:kinsoku/>
        <w:wordWrap/>
        <w:overflowPunct/>
        <w:topLinePunct w:val="0"/>
        <w:autoSpaceDE/>
        <w:autoSpaceDN/>
        <w:bidi w:val="0"/>
        <w:adjustRightInd w:val="0"/>
        <w:snapToGrid w:val="0"/>
        <w:spacing w:before="0" w:after="0" w:line="360" w:lineRule="auto"/>
        <w:textAlignment w:val="auto"/>
        <w:rPr>
          <w:rFonts w:hint="eastAsia" w:ascii="宋体" w:hAnsi="宋体" w:eastAsia="宋体" w:cs="宋体"/>
          <w:color w:val="auto"/>
          <w:sz w:val="24"/>
          <w:szCs w:val="24"/>
          <w:highlight w:val="none"/>
        </w:rPr>
      </w:pPr>
      <w:bookmarkStart w:id="38" w:name="_Toc13776"/>
      <w:bookmarkStart w:id="39" w:name="_Toc10308"/>
      <w:r>
        <w:rPr>
          <w:rFonts w:hint="eastAsia" w:asciiTheme="minorEastAsia" w:hAnsiTheme="minorEastAsia" w:eastAsiaTheme="minorEastAsia" w:cstheme="minorEastAsia"/>
          <w:b w:val="0"/>
          <w:bCs w:val="0"/>
          <w:color w:val="auto"/>
          <w:sz w:val="24"/>
          <w:szCs w:val="24"/>
          <w:highlight w:val="none"/>
          <w:lang w:val="en-US" w:eastAsia="zh-CN"/>
        </w:rPr>
        <w:t>▲</w:t>
      </w:r>
      <w:r>
        <w:rPr>
          <w:rFonts w:hint="eastAsia" w:ascii="宋体" w:hAnsi="宋体" w:cs="宋体"/>
          <w:color w:val="auto"/>
          <w:sz w:val="24"/>
          <w:szCs w:val="24"/>
          <w:highlight w:val="none"/>
          <w:lang w:val="en-US" w:eastAsia="zh-CN"/>
        </w:rPr>
        <w:t>二、</w:t>
      </w:r>
      <w:r>
        <w:rPr>
          <w:rFonts w:hint="eastAsia" w:ascii="宋体" w:hAnsi="宋体" w:eastAsia="宋体" w:cs="宋体"/>
          <w:color w:val="auto"/>
          <w:sz w:val="24"/>
          <w:szCs w:val="24"/>
          <w:highlight w:val="none"/>
        </w:rPr>
        <w:t>项目建设内容</w:t>
      </w:r>
      <w:bookmarkEnd w:id="36"/>
      <w:bookmarkEnd w:id="37"/>
      <w:bookmarkEnd w:id="38"/>
      <w:bookmarkEnd w:id="39"/>
    </w:p>
    <w:p w14:paraId="49A9B76A">
      <w:pPr>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主要建设内容包括审批服务、政策服务、诉求服务、项目服务、金融服务、人才服务、法治服务、科创服务、外创服务、产业服务、特色服务和商务社区。同时打造企业诉求一类事、企业入驻一类事、企业成长一类事、项目建设一类事和特色产业一类事。具体建设清单如下：</w:t>
      </w:r>
    </w:p>
    <w:p w14:paraId="0FBAD486">
      <w:pPr>
        <w:pStyle w:val="2"/>
        <w:pageBreakBefore w:val="0"/>
        <w:widowControl w:val="0"/>
        <w:tabs>
          <w:tab w:val="left" w:pos="420"/>
          <w:tab w:val="clear" w:pos="432"/>
        </w:tabs>
        <w:kinsoku/>
        <w:wordWrap/>
        <w:overflowPunct/>
        <w:topLinePunct w:val="0"/>
        <w:autoSpaceDE/>
        <w:autoSpaceDN/>
        <w:bidi w:val="0"/>
        <w:adjustRightInd w:val="0"/>
        <w:snapToGrid w:val="0"/>
        <w:spacing w:line="360" w:lineRule="auto"/>
        <w:ind w:left="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软件功能清单</w:t>
      </w:r>
    </w:p>
    <w:tbl>
      <w:tblPr>
        <w:tblStyle w:val="64"/>
        <w:tblW w:w="0" w:type="auto"/>
        <w:tblInd w:w="0" w:type="dxa"/>
        <w:tblLayout w:type="fixed"/>
        <w:tblCellMar>
          <w:top w:w="0" w:type="dxa"/>
          <w:left w:w="108" w:type="dxa"/>
          <w:bottom w:w="0" w:type="dxa"/>
          <w:right w:w="108" w:type="dxa"/>
        </w:tblCellMar>
      </w:tblPr>
      <w:tblGrid>
        <w:gridCol w:w="968"/>
        <w:gridCol w:w="1154"/>
        <w:gridCol w:w="1696"/>
        <w:gridCol w:w="4541"/>
      </w:tblGrid>
      <w:tr w14:paraId="69634FD4">
        <w:tblPrEx>
          <w:tblCellMar>
            <w:top w:w="0" w:type="dxa"/>
            <w:left w:w="108" w:type="dxa"/>
            <w:bottom w:w="0" w:type="dxa"/>
            <w:right w:w="108" w:type="dxa"/>
          </w:tblCellMar>
        </w:tblPrEx>
        <w:trPr>
          <w:trHeight w:val="340" w:hRule="atLeast"/>
        </w:trPr>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8488F">
            <w:pPr>
              <w:pStyle w:val="482"/>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系统名称</w:t>
            </w:r>
          </w:p>
        </w:tc>
        <w:tc>
          <w:tcPr>
            <w:tcW w:w="11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BE56E">
            <w:pPr>
              <w:pStyle w:val="482"/>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一级功能</w:t>
            </w:r>
          </w:p>
        </w:tc>
        <w:tc>
          <w:tcPr>
            <w:tcW w:w="1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4279A">
            <w:pPr>
              <w:pStyle w:val="482"/>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二级功能</w:t>
            </w:r>
          </w:p>
        </w:tc>
        <w:tc>
          <w:tcPr>
            <w:tcW w:w="4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A22DB">
            <w:pPr>
              <w:pStyle w:val="482"/>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功能描述</w:t>
            </w:r>
          </w:p>
        </w:tc>
      </w:tr>
      <w:tr w14:paraId="1EBA4CC2">
        <w:tblPrEx>
          <w:tblCellMar>
            <w:top w:w="0" w:type="dxa"/>
            <w:left w:w="108" w:type="dxa"/>
            <w:bottom w:w="0" w:type="dxa"/>
            <w:right w:w="108" w:type="dxa"/>
          </w:tblCellMar>
        </w:tblPrEx>
        <w:trPr>
          <w:trHeight w:val="340" w:hRule="atLeast"/>
        </w:trPr>
        <w:tc>
          <w:tcPr>
            <w:tcW w:w="96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6A34C">
            <w:pPr>
              <w:pStyle w:val="482"/>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企业与公众端平台</w:t>
            </w:r>
          </w:p>
        </w:tc>
        <w:tc>
          <w:tcPr>
            <w:tcW w:w="115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AB9AA">
            <w:pPr>
              <w:pStyle w:val="482"/>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特色“一类事”集成服务场景</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D5A71">
            <w:pPr>
              <w:pStyle w:val="482"/>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企业诉求一类事</w:t>
            </w:r>
          </w:p>
        </w:tc>
        <w:tc>
          <w:tcPr>
            <w:tcW w:w="4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11552">
            <w:pPr>
              <w:pStyle w:val="482"/>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打造诉求一类事，集中提供企业和个人的诉求服务。</w:t>
            </w:r>
          </w:p>
        </w:tc>
      </w:tr>
      <w:tr w14:paraId="33879523">
        <w:tblPrEx>
          <w:tblCellMar>
            <w:top w:w="0" w:type="dxa"/>
            <w:left w:w="108" w:type="dxa"/>
            <w:bottom w:w="0" w:type="dxa"/>
            <w:right w:w="108" w:type="dxa"/>
          </w:tblCellMar>
        </w:tblPrEx>
        <w:trPr>
          <w:trHeight w:val="340" w:hRule="atLeast"/>
        </w:trPr>
        <w:tc>
          <w:tcPr>
            <w:tcW w:w="96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769E6">
            <w:pPr>
              <w:pStyle w:val="482"/>
              <w:rPr>
                <w:rFonts w:hint="eastAsia" w:ascii="宋体" w:hAnsi="宋体" w:eastAsia="宋体" w:cs="宋体"/>
                <w:color w:val="auto"/>
                <w:sz w:val="18"/>
                <w:szCs w:val="18"/>
                <w:highlight w:val="none"/>
              </w:rPr>
            </w:pPr>
          </w:p>
        </w:tc>
        <w:tc>
          <w:tcPr>
            <w:tcW w:w="11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0C713">
            <w:pPr>
              <w:pStyle w:val="482"/>
              <w:rPr>
                <w:rFonts w:hint="eastAsia" w:ascii="宋体" w:hAnsi="宋体" w:eastAsia="宋体" w:cs="宋体"/>
                <w:color w:val="auto"/>
                <w:sz w:val="18"/>
                <w:szCs w:val="18"/>
                <w:highlight w:val="none"/>
              </w:rPr>
            </w:pP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FCE7F">
            <w:pPr>
              <w:pStyle w:val="482"/>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企业入驻一类事</w:t>
            </w:r>
          </w:p>
        </w:tc>
        <w:tc>
          <w:tcPr>
            <w:tcW w:w="4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7673A">
            <w:pPr>
              <w:pStyle w:val="482"/>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围绕企业入驻，梳理企业入驻过程的各个环节，根据企业的智能标签推荐该企业需要的入驻服务。</w:t>
            </w:r>
          </w:p>
        </w:tc>
      </w:tr>
      <w:tr w14:paraId="60C963EA">
        <w:tblPrEx>
          <w:tblCellMar>
            <w:top w:w="0" w:type="dxa"/>
            <w:left w:w="108" w:type="dxa"/>
            <w:bottom w:w="0" w:type="dxa"/>
            <w:right w:w="108" w:type="dxa"/>
          </w:tblCellMar>
        </w:tblPrEx>
        <w:trPr>
          <w:trHeight w:val="340" w:hRule="atLeast"/>
        </w:trPr>
        <w:tc>
          <w:tcPr>
            <w:tcW w:w="96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431A5">
            <w:pPr>
              <w:pStyle w:val="482"/>
              <w:rPr>
                <w:rFonts w:hint="eastAsia" w:ascii="宋体" w:hAnsi="宋体" w:eastAsia="宋体" w:cs="宋体"/>
                <w:color w:val="auto"/>
                <w:sz w:val="18"/>
                <w:szCs w:val="18"/>
                <w:highlight w:val="none"/>
              </w:rPr>
            </w:pPr>
          </w:p>
        </w:tc>
        <w:tc>
          <w:tcPr>
            <w:tcW w:w="11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38691">
            <w:pPr>
              <w:pStyle w:val="482"/>
              <w:rPr>
                <w:rFonts w:hint="eastAsia" w:ascii="宋体" w:hAnsi="宋体" w:eastAsia="宋体" w:cs="宋体"/>
                <w:color w:val="auto"/>
                <w:sz w:val="18"/>
                <w:szCs w:val="18"/>
                <w:highlight w:val="none"/>
              </w:rPr>
            </w:pP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1EA23">
            <w:pPr>
              <w:pStyle w:val="482"/>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企业成长一类事</w:t>
            </w:r>
          </w:p>
        </w:tc>
        <w:tc>
          <w:tcPr>
            <w:tcW w:w="4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AC871">
            <w:pPr>
              <w:pStyle w:val="482"/>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围绕企业成长，梳理企业成长过程的各个环节</w:t>
            </w:r>
            <w:r>
              <w:rPr>
                <w:rFonts w:hint="eastAsia" w:ascii="宋体" w:hAnsi="宋体" w:cs="宋体"/>
                <w:color w:val="auto"/>
                <w:sz w:val="18"/>
                <w:szCs w:val="18"/>
                <w:highlight w:val="none"/>
                <w:lang w:eastAsia="zh-CN"/>
              </w:rPr>
              <w:t>，</w:t>
            </w:r>
            <w:r>
              <w:rPr>
                <w:rFonts w:hint="eastAsia" w:ascii="宋体" w:hAnsi="宋体" w:cs="宋体"/>
                <w:color w:val="auto"/>
                <w:sz w:val="18"/>
                <w:szCs w:val="18"/>
                <w:highlight w:val="none"/>
                <w:lang w:val="en-US" w:eastAsia="zh-CN"/>
              </w:rPr>
              <w:t>并根据环节特征构建</w:t>
            </w:r>
            <w:r>
              <w:rPr>
                <w:rFonts w:hint="eastAsia" w:ascii="宋体" w:hAnsi="宋体" w:eastAsia="宋体" w:cs="宋体"/>
                <w:color w:val="auto"/>
                <w:sz w:val="18"/>
                <w:szCs w:val="18"/>
                <w:highlight w:val="none"/>
              </w:rPr>
              <w:t>数据模型，根据企业的智能标签推荐该企业需要的服务。</w:t>
            </w:r>
          </w:p>
        </w:tc>
      </w:tr>
      <w:tr w14:paraId="3387C8F5">
        <w:tblPrEx>
          <w:tblCellMar>
            <w:top w:w="0" w:type="dxa"/>
            <w:left w:w="108" w:type="dxa"/>
            <w:bottom w:w="0" w:type="dxa"/>
            <w:right w:w="108" w:type="dxa"/>
          </w:tblCellMar>
        </w:tblPrEx>
        <w:trPr>
          <w:trHeight w:val="340" w:hRule="atLeast"/>
        </w:trPr>
        <w:tc>
          <w:tcPr>
            <w:tcW w:w="96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C4B59">
            <w:pPr>
              <w:pStyle w:val="482"/>
              <w:rPr>
                <w:rFonts w:hint="eastAsia" w:ascii="宋体" w:hAnsi="宋体" w:eastAsia="宋体" w:cs="宋体"/>
                <w:color w:val="auto"/>
                <w:sz w:val="18"/>
                <w:szCs w:val="18"/>
                <w:highlight w:val="none"/>
              </w:rPr>
            </w:pPr>
          </w:p>
        </w:tc>
        <w:tc>
          <w:tcPr>
            <w:tcW w:w="11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6438D">
            <w:pPr>
              <w:pStyle w:val="482"/>
              <w:rPr>
                <w:rFonts w:hint="eastAsia" w:ascii="宋体" w:hAnsi="宋体" w:eastAsia="宋体" w:cs="宋体"/>
                <w:color w:val="auto"/>
                <w:sz w:val="18"/>
                <w:szCs w:val="18"/>
                <w:highlight w:val="none"/>
              </w:rPr>
            </w:pP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439B6">
            <w:pPr>
              <w:pStyle w:val="482"/>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项目建设一类事</w:t>
            </w:r>
          </w:p>
        </w:tc>
        <w:tc>
          <w:tcPr>
            <w:tcW w:w="4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BD1E2">
            <w:pPr>
              <w:pStyle w:val="482"/>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围绕项目建设的全流程，梳理各个环节需要的服务，提供企业项目建设一类事的全服务。</w:t>
            </w:r>
          </w:p>
        </w:tc>
      </w:tr>
      <w:tr w14:paraId="50BC7CE9">
        <w:tblPrEx>
          <w:tblCellMar>
            <w:top w:w="0" w:type="dxa"/>
            <w:left w:w="108" w:type="dxa"/>
            <w:bottom w:w="0" w:type="dxa"/>
            <w:right w:w="108" w:type="dxa"/>
          </w:tblCellMar>
        </w:tblPrEx>
        <w:trPr>
          <w:trHeight w:val="340" w:hRule="atLeast"/>
        </w:trPr>
        <w:tc>
          <w:tcPr>
            <w:tcW w:w="96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444DE">
            <w:pPr>
              <w:pStyle w:val="482"/>
              <w:rPr>
                <w:rFonts w:hint="eastAsia" w:ascii="宋体" w:hAnsi="宋体" w:eastAsia="宋体" w:cs="宋体"/>
                <w:color w:val="auto"/>
                <w:sz w:val="18"/>
                <w:szCs w:val="18"/>
                <w:highlight w:val="none"/>
              </w:rPr>
            </w:pPr>
          </w:p>
        </w:tc>
        <w:tc>
          <w:tcPr>
            <w:tcW w:w="11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00DBE">
            <w:pPr>
              <w:pStyle w:val="482"/>
              <w:rPr>
                <w:rFonts w:hint="eastAsia" w:ascii="宋体" w:hAnsi="宋体" w:eastAsia="宋体" w:cs="宋体"/>
                <w:color w:val="auto"/>
                <w:sz w:val="18"/>
                <w:szCs w:val="18"/>
                <w:highlight w:val="none"/>
              </w:rPr>
            </w:pP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5E11D">
            <w:pPr>
              <w:pStyle w:val="482"/>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特色产业一类事</w:t>
            </w:r>
          </w:p>
        </w:tc>
        <w:tc>
          <w:tcPr>
            <w:tcW w:w="4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0A2D3">
            <w:pPr>
              <w:pStyle w:val="482"/>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根据医疗、电竞等特色产业，匹配数据大模型，智能推荐特色行业服务</w:t>
            </w:r>
          </w:p>
        </w:tc>
      </w:tr>
      <w:tr w14:paraId="75C581E5">
        <w:tblPrEx>
          <w:tblCellMar>
            <w:top w:w="0" w:type="dxa"/>
            <w:left w:w="108" w:type="dxa"/>
            <w:bottom w:w="0" w:type="dxa"/>
            <w:right w:w="108" w:type="dxa"/>
          </w:tblCellMar>
        </w:tblPrEx>
        <w:trPr>
          <w:trHeight w:val="340" w:hRule="atLeast"/>
        </w:trPr>
        <w:tc>
          <w:tcPr>
            <w:tcW w:w="96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38126">
            <w:pPr>
              <w:pStyle w:val="482"/>
              <w:rPr>
                <w:rFonts w:hint="eastAsia" w:ascii="宋体" w:hAnsi="宋体" w:eastAsia="宋体" w:cs="宋体"/>
                <w:color w:val="auto"/>
                <w:sz w:val="18"/>
                <w:szCs w:val="18"/>
                <w:highlight w:val="none"/>
              </w:rPr>
            </w:pPr>
          </w:p>
        </w:tc>
        <w:tc>
          <w:tcPr>
            <w:tcW w:w="11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3CD371">
            <w:pPr>
              <w:pStyle w:val="482"/>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审批服务</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68FDB">
            <w:pPr>
              <w:pStyle w:val="482"/>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服务事项展示</w:t>
            </w:r>
          </w:p>
        </w:tc>
        <w:tc>
          <w:tcPr>
            <w:tcW w:w="4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29A26">
            <w:pPr>
              <w:pStyle w:val="482"/>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审批服务事项的内容查询，展示</w:t>
            </w:r>
            <w:r>
              <w:rPr>
                <w:rFonts w:hint="eastAsia" w:ascii="宋体" w:hAnsi="宋体" w:cs="宋体"/>
                <w:color w:val="auto"/>
                <w:sz w:val="18"/>
                <w:szCs w:val="18"/>
                <w:highlight w:val="none"/>
                <w:lang w:eastAsia="zh-CN"/>
              </w:rPr>
              <w:t>，</w:t>
            </w:r>
            <w:r>
              <w:rPr>
                <w:rFonts w:hint="eastAsia" w:ascii="宋体" w:hAnsi="宋体" w:cs="宋体"/>
                <w:color w:val="auto"/>
                <w:sz w:val="18"/>
                <w:szCs w:val="18"/>
                <w:highlight w:val="none"/>
                <w:lang w:val="en-US" w:eastAsia="zh-CN"/>
              </w:rPr>
              <w:t>接入浙里办“一网通办”进行办理</w:t>
            </w:r>
            <w:r>
              <w:rPr>
                <w:rFonts w:hint="eastAsia" w:ascii="宋体" w:hAnsi="宋体" w:eastAsia="宋体" w:cs="宋体"/>
                <w:color w:val="auto"/>
                <w:sz w:val="18"/>
                <w:szCs w:val="18"/>
                <w:highlight w:val="none"/>
              </w:rPr>
              <w:t>。</w:t>
            </w:r>
          </w:p>
        </w:tc>
      </w:tr>
      <w:tr w14:paraId="0FE05E36">
        <w:tblPrEx>
          <w:tblCellMar>
            <w:top w:w="0" w:type="dxa"/>
            <w:left w:w="108" w:type="dxa"/>
            <w:bottom w:w="0" w:type="dxa"/>
            <w:right w:w="108" w:type="dxa"/>
          </w:tblCellMar>
        </w:tblPrEx>
        <w:trPr>
          <w:trHeight w:val="340" w:hRule="atLeast"/>
        </w:trPr>
        <w:tc>
          <w:tcPr>
            <w:tcW w:w="96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B5D1E">
            <w:pPr>
              <w:pStyle w:val="482"/>
              <w:rPr>
                <w:rFonts w:hint="eastAsia" w:ascii="宋体" w:hAnsi="宋体" w:eastAsia="宋体" w:cs="宋体"/>
                <w:color w:val="auto"/>
                <w:sz w:val="18"/>
                <w:szCs w:val="18"/>
                <w:highlight w:val="none"/>
              </w:rPr>
            </w:pPr>
          </w:p>
        </w:tc>
        <w:tc>
          <w:tcPr>
            <w:tcW w:w="11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EE1CB8">
            <w:pPr>
              <w:pStyle w:val="482"/>
              <w:rPr>
                <w:rFonts w:hint="eastAsia" w:ascii="宋体" w:hAnsi="宋体" w:eastAsia="宋体" w:cs="宋体"/>
                <w:color w:val="auto"/>
                <w:sz w:val="18"/>
                <w:szCs w:val="18"/>
                <w:highlight w:val="none"/>
              </w:rPr>
            </w:pP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3FE39">
            <w:pPr>
              <w:pStyle w:val="482"/>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服务事项办理进度查询</w:t>
            </w:r>
          </w:p>
        </w:tc>
        <w:tc>
          <w:tcPr>
            <w:tcW w:w="4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0BAFD">
            <w:pPr>
              <w:pStyle w:val="482"/>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集成浙里办服务事项办理进度查询。</w:t>
            </w:r>
          </w:p>
        </w:tc>
      </w:tr>
      <w:tr w14:paraId="54FAC5EB">
        <w:tblPrEx>
          <w:tblCellMar>
            <w:top w:w="0" w:type="dxa"/>
            <w:left w:w="108" w:type="dxa"/>
            <w:bottom w:w="0" w:type="dxa"/>
            <w:right w:w="108" w:type="dxa"/>
          </w:tblCellMar>
        </w:tblPrEx>
        <w:trPr>
          <w:trHeight w:val="340" w:hRule="atLeast"/>
        </w:trPr>
        <w:tc>
          <w:tcPr>
            <w:tcW w:w="96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328B6">
            <w:pPr>
              <w:pStyle w:val="482"/>
              <w:rPr>
                <w:rFonts w:hint="eastAsia" w:ascii="宋体" w:hAnsi="宋体" w:eastAsia="宋体" w:cs="宋体"/>
                <w:color w:val="auto"/>
                <w:sz w:val="18"/>
                <w:szCs w:val="18"/>
                <w:highlight w:val="none"/>
              </w:rPr>
            </w:pPr>
          </w:p>
        </w:tc>
        <w:tc>
          <w:tcPr>
            <w:tcW w:w="11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9B9EF5">
            <w:pPr>
              <w:pStyle w:val="482"/>
              <w:rPr>
                <w:rFonts w:hint="eastAsia" w:ascii="宋体" w:hAnsi="宋体" w:eastAsia="宋体" w:cs="宋体"/>
                <w:color w:val="auto"/>
                <w:sz w:val="18"/>
                <w:szCs w:val="18"/>
                <w:highlight w:val="none"/>
              </w:rPr>
            </w:pP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44C14">
            <w:pPr>
              <w:pStyle w:val="482"/>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服务热线查询</w:t>
            </w:r>
          </w:p>
        </w:tc>
        <w:tc>
          <w:tcPr>
            <w:tcW w:w="4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38546">
            <w:pPr>
              <w:pStyle w:val="482"/>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提供服务事项办理商务社区服务热线查询。</w:t>
            </w:r>
          </w:p>
        </w:tc>
      </w:tr>
      <w:tr w14:paraId="514CA191">
        <w:tblPrEx>
          <w:tblCellMar>
            <w:top w:w="0" w:type="dxa"/>
            <w:left w:w="108" w:type="dxa"/>
            <w:bottom w:w="0" w:type="dxa"/>
            <w:right w:w="108" w:type="dxa"/>
          </w:tblCellMar>
        </w:tblPrEx>
        <w:trPr>
          <w:trHeight w:val="340" w:hRule="atLeast"/>
        </w:trPr>
        <w:tc>
          <w:tcPr>
            <w:tcW w:w="96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FBB90">
            <w:pPr>
              <w:pStyle w:val="482"/>
              <w:rPr>
                <w:rFonts w:hint="eastAsia" w:ascii="宋体" w:hAnsi="宋体" w:eastAsia="宋体" w:cs="宋体"/>
                <w:color w:val="auto"/>
                <w:sz w:val="18"/>
                <w:szCs w:val="18"/>
                <w:highlight w:val="none"/>
              </w:rPr>
            </w:pPr>
          </w:p>
        </w:tc>
        <w:tc>
          <w:tcPr>
            <w:tcW w:w="11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084ACB">
            <w:pPr>
              <w:pStyle w:val="482"/>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政策服务</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5EA02">
            <w:pPr>
              <w:pStyle w:val="482"/>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政策搜索</w:t>
            </w:r>
          </w:p>
        </w:tc>
        <w:tc>
          <w:tcPr>
            <w:tcW w:w="4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2C9DD">
            <w:pPr>
              <w:pStyle w:val="482"/>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提供国家级、省级、市级、区级</w:t>
            </w:r>
            <w:r>
              <w:rPr>
                <w:rFonts w:hint="eastAsia" w:ascii="宋体" w:hAnsi="宋体" w:cs="宋体"/>
                <w:color w:val="auto"/>
                <w:sz w:val="18"/>
                <w:szCs w:val="18"/>
                <w:highlight w:val="none"/>
                <w:lang w:val="en-US" w:eastAsia="zh-CN"/>
              </w:rPr>
              <w:t>产业、人才、青年等</w:t>
            </w:r>
            <w:r>
              <w:rPr>
                <w:rFonts w:hint="eastAsia" w:ascii="宋体" w:hAnsi="宋体" w:eastAsia="宋体" w:cs="宋体"/>
                <w:color w:val="auto"/>
                <w:sz w:val="18"/>
                <w:szCs w:val="18"/>
                <w:highlight w:val="none"/>
              </w:rPr>
              <w:t>政策的分类展示和集中发布及查询服务</w:t>
            </w:r>
          </w:p>
        </w:tc>
      </w:tr>
      <w:tr w14:paraId="581382DB">
        <w:tblPrEx>
          <w:tblCellMar>
            <w:top w:w="0" w:type="dxa"/>
            <w:left w:w="108" w:type="dxa"/>
            <w:bottom w:w="0" w:type="dxa"/>
            <w:right w:w="108" w:type="dxa"/>
          </w:tblCellMar>
        </w:tblPrEx>
        <w:trPr>
          <w:trHeight w:val="340" w:hRule="atLeast"/>
        </w:trPr>
        <w:tc>
          <w:tcPr>
            <w:tcW w:w="96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778BA">
            <w:pPr>
              <w:pStyle w:val="482"/>
              <w:rPr>
                <w:rFonts w:hint="eastAsia" w:ascii="宋体" w:hAnsi="宋体" w:eastAsia="宋体" w:cs="宋体"/>
                <w:color w:val="auto"/>
                <w:sz w:val="18"/>
                <w:szCs w:val="18"/>
                <w:highlight w:val="none"/>
              </w:rPr>
            </w:pPr>
          </w:p>
        </w:tc>
        <w:tc>
          <w:tcPr>
            <w:tcW w:w="11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7CDB81">
            <w:pPr>
              <w:pStyle w:val="482"/>
              <w:rPr>
                <w:rFonts w:hint="eastAsia" w:ascii="宋体" w:hAnsi="宋体" w:eastAsia="宋体" w:cs="宋体"/>
                <w:color w:val="auto"/>
                <w:sz w:val="18"/>
                <w:szCs w:val="18"/>
                <w:highlight w:val="none"/>
              </w:rPr>
            </w:pP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BDADD">
            <w:pPr>
              <w:pStyle w:val="482"/>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政策计算器</w:t>
            </w:r>
          </w:p>
        </w:tc>
        <w:tc>
          <w:tcPr>
            <w:tcW w:w="4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1326E">
            <w:pPr>
              <w:pStyle w:val="482"/>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企业用户在系统中输入企业相关数据后，经过政策计算器AI算法可以快速计算出符合输入条件的政策。</w:t>
            </w:r>
          </w:p>
        </w:tc>
      </w:tr>
      <w:tr w14:paraId="10600478">
        <w:tblPrEx>
          <w:tblCellMar>
            <w:top w:w="0" w:type="dxa"/>
            <w:left w:w="108" w:type="dxa"/>
            <w:bottom w:w="0" w:type="dxa"/>
            <w:right w:w="108" w:type="dxa"/>
          </w:tblCellMar>
        </w:tblPrEx>
        <w:trPr>
          <w:trHeight w:val="340" w:hRule="atLeast"/>
        </w:trPr>
        <w:tc>
          <w:tcPr>
            <w:tcW w:w="96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7718B">
            <w:pPr>
              <w:pStyle w:val="482"/>
              <w:rPr>
                <w:rFonts w:hint="eastAsia" w:ascii="宋体" w:hAnsi="宋体" w:eastAsia="宋体" w:cs="宋体"/>
                <w:color w:val="auto"/>
                <w:sz w:val="18"/>
                <w:szCs w:val="18"/>
                <w:highlight w:val="none"/>
              </w:rPr>
            </w:pPr>
          </w:p>
        </w:tc>
        <w:tc>
          <w:tcPr>
            <w:tcW w:w="11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33C310">
            <w:pPr>
              <w:pStyle w:val="482"/>
              <w:rPr>
                <w:rFonts w:hint="eastAsia" w:ascii="宋体" w:hAnsi="宋体" w:eastAsia="宋体" w:cs="宋体"/>
                <w:color w:val="auto"/>
                <w:sz w:val="18"/>
                <w:szCs w:val="18"/>
                <w:highlight w:val="none"/>
              </w:rPr>
            </w:pP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E1B2D">
            <w:pPr>
              <w:pStyle w:val="482"/>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政策推荐</w:t>
            </w:r>
          </w:p>
        </w:tc>
        <w:tc>
          <w:tcPr>
            <w:tcW w:w="4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7FB2F">
            <w:pPr>
              <w:pStyle w:val="482"/>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结合企业大数据及政策标签实现政策的推荐服务，在显眼的位置根据企业的特点为企业提供最适合的政策。</w:t>
            </w:r>
          </w:p>
        </w:tc>
      </w:tr>
      <w:tr w14:paraId="04ED6567">
        <w:tblPrEx>
          <w:tblCellMar>
            <w:top w:w="0" w:type="dxa"/>
            <w:left w:w="108" w:type="dxa"/>
            <w:bottom w:w="0" w:type="dxa"/>
            <w:right w:w="108" w:type="dxa"/>
          </w:tblCellMar>
        </w:tblPrEx>
        <w:trPr>
          <w:trHeight w:val="340" w:hRule="atLeast"/>
        </w:trPr>
        <w:tc>
          <w:tcPr>
            <w:tcW w:w="96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A8213">
            <w:pPr>
              <w:pStyle w:val="482"/>
              <w:rPr>
                <w:rFonts w:hint="eastAsia" w:ascii="宋体" w:hAnsi="宋体" w:eastAsia="宋体" w:cs="宋体"/>
                <w:color w:val="auto"/>
                <w:sz w:val="18"/>
                <w:szCs w:val="18"/>
                <w:highlight w:val="none"/>
              </w:rPr>
            </w:pPr>
          </w:p>
        </w:tc>
        <w:tc>
          <w:tcPr>
            <w:tcW w:w="11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31330D">
            <w:pPr>
              <w:pStyle w:val="482"/>
              <w:rPr>
                <w:rFonts w:hint="eastAsia" w:ascii="宋体" w:hAnsi="宋体" w:eastAsia="宋体" w:cs="宋体"/>
                <w:color w:val="auto"/>
                <w:sz w:val="18"/>
                <w:szCs w:val="18"/>
                <w:highlight w:val="none"/>
              </w:rPr>
            </w:pP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2C04B">
            <w:pPr>
              <w:pStyle w:val="482"/>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匹配分析</w:t>
            </w:r>
          </w:p>
        </w:tc>
        <w:tc>
          <w:tcPr>
            <w:tcW w:w="4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4329E">
            <w:pPr>
              <w:pStyle w:val="482"/>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匹配分析为企业用户提供了政策项目申报要求与企业当前条件的对比功能，帮助企业用户快速了解两者间差异，辅助用户调整申报策略，调整企业相关资质，或为下一轮申报做准备。</w:t>
            </w:r>
          </w:p>
        </w:tc>
      </w:tr>
      <w:tr w14:paraId="61693F3F">
        <w:tblPrEx>
          <w:tblCellMar>
            <w:top w:w="0" w:type="dxa"/>
            <w:left w:w="108" w:type="dxa"/>
            <w:bottom w:w="0" w:type="dxa"/>
            <w:right w:w="108" w:type="dxa"/>
          </w:tblCellMar>
        </w:tblPrEx>
        <w:trPr>
          <w:trHeight w:val="340" w:hRule="atLeast"/>
        </w:trPr>
        <w:tc>
          <w:tcPr>
            <w:tcW w:w="96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8D136">
            <w:pPr>
              <w:pStyle w:val="482"/>
              <w:rPr>
                <w:rFonts w:hint="eastAsia" w:ascii="宋体" w:hAnsi="宋体" w:eastAsia="宋体" w:cs="宋体"/>
                <w:color w:val="auto"/>
                <w:sz w:val="18"/>
                <w:szCs w:val="18"/>
                <w:highlight w:val="none"/>
              </w:rPr>
            </w:pPr>
          </w:p>
        </w:tc>
        <w:tc>
          <w:tcPr>
            <w:tcW w:w="11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34BD19">
            <w:pPr>
              <w:pStyle w:val="482"/>
              <w:rPr>
                <w:rFonts w:hint="eastAsia" w:ascii="宋体" w:hAnsi="宋体" w:eastAsia="宋体" w:cs="宋体"/>
                <w:color w:val="auto"/>
                <w:sz w:val="18"/>
                <w:szCs w:val="18"/>
                <w:highlight w:val="none"/>
              </w:rPr>
            </w:pP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DF13E">
            <w:pPr>
              <w:pStyle w:val="482"/>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企业标签管理</w:t>
            </w:r>
          </w:p>
        </w:tc>
        <w:tc>
          <w:tcPr>
            <w:tcW w:w="4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04193">
            <w:pPr>
              <w:pStyle w:val="482"/>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平台会为所有企业基于企业画像信息计算企业标签，并将标签用于政策推荐、定向推送等功能中。</w:t>
            </w:r>
          </w:p>
        </w:tc>
      </w:tr>
      <w:tr w14:paraId="4D61BDB4">
        <w:tblPrEx>
          <w:tblCellMar>
            <w:top w:w="0" w:type="dxa"/>
            <w:left w:w="108" w:type="dxa"/>
            <w:bottom w:w="0" w:type="dxa"/>
            <w:right w:w="108" w:type="dxa"/>
          </w:tblCellMar>
        </w:tblPrEx>
        <w:trPr>
          <w:trHeight w:val="340" w:hRule="atLeast"/>
        </w:trPr>
        <w:tc>
          <w:tcPr>
            <w:tcW w:w="96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D5082">
            <w:pPr>
              <w:pStyle w:val="482"/>
              <w:rPr>
                <w:rFonts w:hint="eastAsia" w:ascii="宋体" w:hAnsi="宋体" w:eastAsia="宋体" w:cs="宋体"/>
                <w:color w:val="auto"/>
                <w:sz w:val="18"/>
                <w:szCs w:val="18"/>
                <w:highlight w:val="none"/>
              </w:rPr>
            </w:pPr>
          </w:p>
        </w:tc>
        <w:tc>
          <w:tcPr>
            <w:tcW w:w="11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FBBF88">
            <w:pPr>
              <w:pStyle w:val="482"/>
              <w:rPr>
                <w:rFonts w:hint="eastAsia" w:ascii="宋体" w:hAnsi="宋体" w:eastAsia="宋体" w:cs="宋体"/>
                <w:color w:val="auto"/>
                <w:sz w:val="18"/>
                <w:szCs w:val="18"/>
                <w:highlight w:val="none"/>
              </w:rPr>
            </w:pP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48013">
            <w:pPr>
              <w:pStyle w:val="482"/>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项目查看与申报</w:t>
            </w:r>
          </w:p>
        </w:tc>
        <w:tc>
          <w:tcPr>
            <w:tcW w:w="4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A97A5">
            <w:pPr>
              <w:pStyle w:val="482"/>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通过政策搜索、政策推荐、关联项目等功能中检索到的具体项目，企业用户可查看项目详情，包括项目主题、申报状态、浏览量收藏量、优惠内容、申报材料、申报条件、申报流程、相关政策文件及精选留言等内容，支持登录企业对项目进行收藏、留言与在线申报。</w:t>
            </w:r>
          </w:p>
        </w:tc>
      </w:tr>
      <w:tr w14:paraId="10F663D0">
        <w:tblPrEx>
          <w:tblCellMar>
            <w:top w:w="0" w:type="dxa"/>
            <w:left w:w="108" w:type="dxa"/>
            <w:bottom w:w="0" w:type="dxa"/>
            <w:right w:w="108" w:type="dxa"/>
          </w:tblCellMar>
        </w:tblPrEx>
        <w:trPr>
          <w:trHeight w:val="340" w:hRule="atLeast"/>
        </w:trPr>
        <w:tc>
          <w:tcPr>
            <w:tcW w:w="96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B2CD6">
            <w:pPr>
              <w:pStyle w:val="482"/>
              <w:rPr>
                <w:rFonts w:hint="eastAsia" w:ascii="宋体" w:hAnsi="宋体" w:eastAsia="宋体" w:cs="宋体"/>
                <w:color w:val="auto"/>
                <w:sz w:val="18"/>
                <w:szCs w:val="18"/>
                <w:highlight w:val="none"/>
              </w:rPr>
            </w:pPr>
          </w:p>
        </w:tc>
        <w:tc>
          <w:tcPr>
            <w:tcW w:w="11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C69682">
            <w:pPr>
              <w:pStyle w:val="482"/>
              <w:rPr>
                <w:rFonts w:hint="eastAsia" w:ascii="宋体" w:hAnsi="宋体" w:eastAsia="宋体" w:cs="宋体"/>
                <w:color w:val="auto"/>
                <w:sz w:val="18"/>
                <w:szCs w:val="18"/>
                <w:highlight w:val="none"/>
              </w:rPr>
            </w:pP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0975D">
            <w:pPr>
              <w:pStyle w:val="482"/>
              <w:rPr>
                <w:rFonts w:hint="default" w:ascii="宋体" w:hAnsi="宋体" w:eastAsia="宋体" w:cs="宋体"/>
                <w:color w:val="auto"/>
                <w:sz w:val="18"/>
                <w:szCs w:val="18"/>
                <w:highlight w:val="none"/>
              </w:rPr>
            </w:pPr>
            <w:r>
              <w:rPr>
                <w:rFonts w:hint="eastAsia" w:ascii="宋体" w:hAnsi="宋体" w:eastAsia="宋体" w:cs="宋体"/>
                <w:color w:val="auto"/>
                <w:sz w:val="18"/>
                <w:szCs w:val="18"/>
                <w:highlight w:val="none"/>
              </w:rPr>
              <w:t>免申即享</w:t>
            </w:r>
            <w:r>
              <w:rPr>
                <w:rFonts w:hint="eastAsia" w:ascii="宋体" w:hAnsi="宋体" w:cs="宋体"/>
                <w:color w:val="auto"/>
                <w:sz w:val="18"/>
                <w:szCs w:val="18"/>
                <w:highlight w:val="none"/>
                <w:lang w:val="en-US" w:eastAsia="zh-CN"/>
              </w:rPr>
              <w:t>政策推送</w:t>
            </w:r>
          </w:p>
        </w:tc>
        <w:tc>
          <w:tcPr>
            <w:tcW w:w="4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0EF3B">
            <w:pPr>
              <w:pStyle w:val="482"/>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结合地方政策设立的“免申即享”兑现项目，采用定向推送形式为符合资质的企业进行推送。</w:t>
            </w:r>
          </w:p>
        </w:tc>
      </w:tr>
      <w:tr w14:paraId="0EF98F43">
        <w:tblPrEx>
          <w:tblCellMar>
            <w:top w:w="0" w:type="dxa"/>
            <w:left w:w="108" w:type="dxa"/>
            <w:bottom w:w="0" w:type="dxa"/>
            <w:right w:w="108" w:type="dxa"/>
          </w:tblCellMar>
        </w:tblPrEx>
        <w:trPr>
          <w:trHeight w:val="340" w:hRule="atLeast"/>
        </w:trPr>
        <w:tc>
          <w:tcPr>
            <w:tcW w:w="96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142CA">
            <w:pPr>
              <w:pStyle w:val="482"/>
              <w:rPr>
                <w:rFonts w:hint="eastAsia" w:ascii="宋体" w:hAnsi="宋体" w:eastAsia="宋体" w:cs="宋体"/>
                <w:color w:val="auto"/>
                <w:sz w:val="18"/>
                <w:szCs w:val="18"/>
                <w:highlight w:val="none"/>
              </w:rPr>
            </w:pPr>
          </w:p>
        </w:tc>
        <w:tc>
          <w:tcPr>
            <w:tcW w:w="11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CB2D9C">
            <w:pPr>
              <w:pStyle w:val="482"/>
              <w:rPr>
                <w:rFonts w:hint="eastAsia" w:ascii="宋体" w:hAnsi="宋体" w:eastAsia="宋体" w:cs="宋体"/>
                <w:color w:val="auto"/>
                <w:sz w:val="18"/>
                <w:szCs w:val="18"/>
                <w:highlight w:val="none"/>
              </w:rPr>
            </w:pP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BE891">
            <w:pPr>
              <w:pStyle w:val="482"/>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政策文件</w:t>
            </w:r>
          </w:p>
        </w:tc>
        <w:tc>
          <w:tcPr>
            <w:tcW w:w="4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319FA">
            <w:pPr>
              <w:pStyle w:val="482"/>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平台为企业用户提供了地区政策文件的检索与查看功能，支持通过政策等级、发文部门及政策主题等信</w:t>
            </w:r>
            <w:r>
              <w:rPr>
                <w:rFonts w:hint="eastAsia" w:ascii="宋体" w:hAnsi="宋体" w:cs="宋体"/>
                <w:color w:val="auto"/>
                <w:sz w:val="18"/>
                <w:szCs w:val="18"/>
                <w:highlight w:val="none"/>
                <w:lang w:val="en-US" w:eastAsia="zh-CN"/>
              </w:rPr>
              <w:t>息标签</w:t>
            </w:r>
            <w:r>
              <w:rPr>
                <w:rFonts w:hint="eastAsia" w:ascii="宋体" w:hAnsi="宋体" w:eastAsia="宋体" w:cs="宋体"/>
                <w:color w:val="auto"/>
                <w:sz w:val="18"/>
                <w:szCs w:val="18"/>
                <w:highlight w:val="none"/>
              </w:rPr>
              <w:t>进行筛选，并使用关键词进行检索。</w:t>
            </w:r>
          </w:p>
        </w:tc>
      </w:tr>
      <w:tr w14:paraId="35732766">
        <w:tblPrEx>
          <w:tblCellMar>
            <w:top w:w="0" w:type="dxa"/>
            <w:left w:w="108" w:type="dxa"/>
            <w:bottom w:w="0" w:type="dxa"/>
            <w:right w:w="108" w:type="dxa"/>
          </w:tblCellMar>
        </w:tblPrEx>
        <w:trPr>
          <w:trHeight w:val="340" w:hRule="atLeast"/>
        </w:trPr>
        <w:tc>
          <w:tcPr>
            <w:tcW w:w="96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9323C">
            <w:pPr>
              <w:pStyle w:val="482"/>
              <w:rPr>
                <w:rFonts w:hint="eastAsia" w:ascii="宋体" w:hAnsi="宋体" w:eastAsia="宋体" w:cs="宋体"/>
                <w:color w:val="auto"/>
                <w:sz w:val="18"/>
                <w:szCs w:val="18"/>
                <w:highlight w:val="none"/>
              </w:rPr>
            </w:pPr>
          </w:p>
        </w:tc>
        <w:tc>
          <w:tcPr>
            <w:tcW w:w="11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4EB5DA">
            <w:pPr>
              <w:pStyle w:val="482"/>
              <w:rPr>
                <w:rFonts w:hint="eastAsia" w:ascii="宋体" w:hAnsi="宋体" w:eastAsia="宋体" w:cs="宋体"/>
                <w:color w:val="auto"/>
                <w:sz w:val="18"/>
                <w:szCs w:val="18"/>
                <w:highlight w:val="none"/>
              </w:rPr>
            </w:pP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E34E4">
            <w:pPr>
              <w:pStyle w:val="482"/>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政策留言</w:t>
            </w:r>
          </w:p>
        </w:tc>
        <w:tc>
          <w:tcPr>
            <w:tcW w:w="4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5D504">
            <w:pPr>
              <w:pStyle w:val="482"/>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持用户在政策项目以及政策文件下进行留言提问。留言会在政府端被负责部门看到，并可被相关用户进行答复。</w:t>
            </w:r>
          </w:p>
        </w:tc>
      </w:tr>
      <w:tr w14:paraId="30455E3A">
        <w:tblPrEx>
          <w:tblCellMar>
            <w:top w:w="0" w:type="dxa"/>
            <w:left w:w="108" w:type="dxa"/>
            <w:bottom w:w="0" w:type="dxa"/>
            <w:right w:w="108" w:type="dxa"/>
          </w:tblCellMar>
        </w:tblPrEx>
        <w:trPr>
          <w:trHeight w:val="340" w:hRule="atLeast"/>
        </w:trPr>
        <w:tc>
          <w:tcPr>
            <w:tcW w:w="96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2119A">
            <w:pPr>
              <w:pStyle w:val="482"/>
              <w:rPr>
                <w:rFonts w:hint="eastAsia" w:ascii="宋体" w:hAnsi="宋体" w:eastAsia="宋体" w:cs="宋体"/>
                <w:color w:val="auto"/>
                <w:sz w:val="18"/>
                <w:szCs w:val="18"/>
                <w:highlight w:val="none"/>
              </w:rPr>
            </w:pPr>
          </w:p>
        </w:tc>
        <w:tc>
          <w:tcPr>
            <w:tcW w:w="11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210E32">
            <w:pPr>
              <w:pStyle w:val="482"/>
              <w:rPr>
                <w:rFonts w:hint="eastAsia" w:ascii="宋体" w:hAnsi="宋体" w:eastAsia="宋体" w:cs="宋体"/>
                <w:color w:val="auto"/>
                <w:sz w:val="18"/>
                <w:szCs w:val="18"/>
                <w:highlight w:val="none"/>
              </w:rPr>
            </w:pP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7C83E">
            <w:pPr>
              <w:pStyle w:val="482"/>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政策解读</w:t>
            </w:r>
          </w:p>
        </w:tc>
        <w:tc>
          <w:tcPr>
            <w:tcW w:w="4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053AE">
            <w:pPr>
              <w:pStyle w:val="482"/>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政策解读均是与政策文件相关联的说明内容，包括文字、图片、视频等多种形式，用户可在浏览政策文件时查看关联的解读内容。</w:t>
            </w:r>
          </w:p>
        </w:tc>
      </w:tr>
      <w:tr w14:paraId="0B5FFEB3">
        <w:tblPrEx>
          <w:tblCellMar>
            <w:top w:w="0" w:type="dxa"/>
            <w:left w:w="108" w:type="dxa"/>
            <w:bottom w:w="0" w:type="dxa"/>
            <w:right w:w="108" w:type="dxa"/>
          </w:tblCellMar>
        </w:tblPrEx>
        <w:trPr>
          <w:trHeight w:val="340" w:hRule="atLeast"/>
        </w:trPr>
        <w:tc>
          <w:tcPr>
            <w:tcW w:w="96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58F89">
            <w:pPr>
              <w:pStyle w:val="482"/>
              <w:rPr>
                <w:rFonts w:hint="eastAsia" w:ascii="宋体" w:hAnsi="宋体" w:eastAsia="宋体" w:cs="宋体"/>
                <w:color w:val="auto"/>
                <w:sz w:val="18"/>
                <w:szCs w:val="18"/>
                <w:highlight w:val="none"/>
              </w:rPr>
            </w:pPr>
          </w:p>
        </w:tc>
        <w:tc>
          <w:tcPr>
            <w:tcW w:w="11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86FE85">
            <w:pPr>
              <w:pStyle w:val="482"/>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诉求服务</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B37F4">
            <w:pPr>
              <w:pStyle w:val="482"/>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诉求提交</w:t>
            </w:r>
          </w:p>
        </w:tc>
        <w:tc>
          <w:tcPr>
            <w:tcW w:w="4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6325B">
            <w:pPr>
              <w:pStyle w:val="482"/>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rPr>
              <w:t>支持多源诉求的提交，包括PC端和浙里办微信小程序，方便用户随时随地提交诉求</w:t>
            </w:r>
            <w:r>
              <w:rPr>
                <w:rFonts w:hint="eastAsia" w:ascii="宋体" w:hAnsi="宋体" w:cs="宋体"/>
                <w:color w:val="auto"/>
                <w:sz w:val="18"/>
                <w:szCs w:val="18"/>
                <w:highlight w:val="none"/>
                <w:lang w:eastAsia="zh-CN"/>
              </w:rPr>
              <w:t>。</w:t>
            </w:r>
          </w:p>
        </w:tc>
      </w:tr>
      <w:tr w14:paraId="6667F39E">
        <w:tblPrEx>
          <w:tblCellMar>
            <w:top w:w="0" w:type="dxa"/>
            <w:left w:w="108" w:type="dxa"/>
            <w:bottom w:w="0" w:type="dxa"/>
            <w:right w:w="108" w:type="dxa"/>
          </w:tblCellMar>
        </w:tblPrEx>
        <w:trPr>
          <w:trHeight w:val="340" w:hRule="atLeast"/>
        </w:trPr>
        <w:tc>
          <w:tcPr>
            <w:tcW w:w="96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DDD21">
            <w:pPr>
              <w:pStyle w:val="482"/>
              <w:rPr>
                <w:rFonts w:hint="eastAsia" w:ascii="宋体" w:hAnsi="宋体" w:eastAsia="宋体" w:cs="宋体"/>
                <w:color w:val="auto"/>
                <w:sz w:val="18"/>
                <w:szCs w:val="18"/>
                <w:highlight w:val="none"/>
              </w:rPr>
            </w:pPr>
          </w:p>
        </w:tc>
        <w:tc>
          <w:tcPr>
            <w:tcW w:w="1154" w:type="dxa"/>
            <w:vMerge w:val="continue"/>
            <w:tcBorders>
              <w:left w:val="single" w:color="000000" w:sz="4" w:space="0"/>
              <w:right w:val="single" w:color="000000" w:sz="4" w:space="0"/>
            </w:tcBorders>
            <w:shd w:val="clear" w:color="auto" w:fill="auto"/>
            <w:vAlign w:val="center"/>
          </w:tcPr>
          <w:p w14:paraId="46426CB7">
            <w:pPr>
              <w:pStyle w:val="482"/>
              <w:rPr>
                <w:rFonts w:hint="eastAsia" w:ascii="宋体" w:hAnsi="宋体" w:eastAsia="宋体" w:cs="宋体"/>
                <w:color w:val="auto"/>
                <w:sz w:val="18"/>
                <w:szCs w:val="18"/>
                <w:highlight w:val="none"/>
              </w:rPr>
            </w:pP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4098F">
            <w:pPr>
              <w:pStyle w:val="482"/>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电话接入</w:t>
            </w:r>
          </w:p>
        </w:tc>
        <w:tc>
          <w:tcPr>
            <w:tcW w:w="4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64938">
            <w:pPr>
              <w:pStyle w:val="482"/>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在企业端诉求通过语音电话接入到各个业务坐席，由坐席生成诉求单进行诉求工单流转。</w:t>
            </w:r>
          </w:p>
        </w:tc>
      </w:tr>
      <w:tr w14:paraId="415D98F1">
        <w:tblPrEx>
          <w:tblCellMar>
            <w:top w:w="0" w:type="dxa"/>
            <w:left w:w="108" w:type="dxa"/>
            <w:bottom w:w="0" w:type="dxa"/>
            <w:right w:w="108" w:type="dxa"/>
          </w:tblCellMar>
        </w:tblPrEx>
        <w:trPr>
          <w:trHeight w:val="340" w:hRule="atLeast"/>
        </w:trPr>
        <w:tc>
          <w:tcPr>
            <w:tcW w:w="96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818A6">
            <w:pPr>
              <w:pStyle w:val="482"/>
              <w:rPr>
                <w:rFonts w:hint="eastAsia" w:ascii="宋体" w:hAnsi="宋体" w:eastAsia="宋体" w:cs="宋体"/>
                <w:color w:val="auto"/>
                <w:sz w:val="18"/>
                <w:szCs w:val="18"/>
                <w:highlight w:val="none"/>
              </w:rPr>
            </w:pPr>
          </w:p>
        </w:tc>
        <w:tc>
          <w:tcPr>
            <w:tcW w:w="11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FDB3DB">
            <w:pPr>
              <w:pStyle w:val="482"/>
              <w:rPr>
                <w:rFonts w:hint="eastAsia" w:ascii="宋体" w:hAnsi="宋体" w:eastAsia="宋体" w:cs="宋体"/>
                <w:color w:val="auto"/>
                <w:sz w:val="18"/>
                <w:szCs w:val="18"/>
                <w:highlight w:val="none"/>
              </w:rPr>
            </w:pP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A929A">
            <w:pPr>
              <w:pStyle w:val="482"/>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诉求提醒</w:t>
            </w:r>
          </w:p>
        </w:tc>
        <w:tc>
          <w:tcPr>
            <w:tcW w:w="4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BE134">
            <w:pPr>
              <w:pStyle w:val="482"/>
              <w:rPr>
                <w:rFonts w:hint="default"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rPr>
              <w:t>根据诉求办理进度，对诉求人提供</w:t>
            </w:r>
            <w:r>
              <w:rPr>
                <w:rFonts w:hint="eastAsia" w:ascii="宋体" w:hAnsi="宋体" w:cs="宋体"/>
                <w:color w:val="auto"/>
                <w:sz w:val="18"/>
                <w:szCs w:val="18"/>
                <w:highlight w:val="none"/>
                <w:lang w:val="en-US" w:eastAsia="zh-CN"/>
              </w:rPr>
              <w:t>短信、网站等</w:t>
            </w:r>
            <w:r>
              <w:rPr>
                <w:rFonts w:hint="eastAsia" w:ascii="宋体" w:hAnsi="宋体" w:eastAsia="宋体" w:cs="宋体"/>
                <w:color w:val="auto"/>
                <w:sz w:val="18"/>
                <w:szCs w:val="18"/>
                <w:highlight w:val="none"/>
              </w:rPr>
              <w:t>多渠道进度实时通知提醒。</w:t>
            </w:r>
          </w:p>
        </w:tc>
      </w:tr>
      <w:tr w14:paraId="3D1FD580">
        <w:tblPrEx>
          <w:tblCellMar>
            <w:top w:w="0" w:type="dxa"/>
            <w:left w:w="108" w:type="dxa"/>
            <w:bottom w:w="0" w:type="dxa"/>
            <w:right w:w="108" w:type="dxa"/>
          </w:tblCellMar>
        </w:tblPrEx>
        <w:trPr>
          <w:trHeight w:val="340" w:hRule="atLeast"/>
        </w:trPr>
        <w:tc>
          <w:tcPr>
            <w:tcW w:w="96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7D0E0">
            <w:pPr>
              <w:pStyle w:val="482"/>
              <w:rPr>
                <w:rFonts w:hint="eastAsia" w:ascii="宋体" w:hAnsi="宋体" w:eastAsia="宋体" w:cs="宋体"/>
                <w:color w:val="auto"/>
                <w:sz w:val="18"/>
                <w:szCs w:val="18"/>
                <w:highlight w:val="none"/>
              </w:rPr>
            </w:pPr>
          </w:p>
        </w:tc>
        <w:tc>
          <w:tcPr>
            <w:tcW w:w="11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5CD73A">
            <w:pPr>
              <w:pStyle w:val="482"/>
              <w:rPr>
                <w:rFonts w:hint="eastAsia" w:ascii="宋体" w:hAnsi="宋体" w:eastAsia="宋体" w:cs="宋体"/>
                <w:color w:val="auto"/>
                <w:sz w:val="18"/>
                <w:szCs w:val="18"/>
                <w:highlight w:val="none"/>
              </w:rPr>
            </w:pP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55825">
            <w:pPr>
              <w:pStyle w:val="482"/>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常见问题</w:t>
            </w:r>
          </w:p>
        </w:tc>
        <w:tc>
          <w:tcPr>
            <w:tcW w:w="4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4341E">
            <w:pPr>
              <w:pStyle w:val="482"/>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便于用户查看官方发布的诉求常见问题，方便企业快速获取历史经验，便于结合自身情况进行后续操作。</w:t>
            </w:r>
          </w:p>
        </w:tc>
      </w:tr>
      <w:tr w14:paraId="35A183ED">
        <w:tblPrEx>
          <w:tblCellMar>
            <w:top w:w="0" w:type="dxa"/>
            <w:left w:w="108" w:type="dxa"/>
            <w:bottom w:w="0" w:type="dxa"/>
            <w:right w:w="108" w:type="dxa"/>
          </w:tblCellMar>
        </w:tblPrEx>
        <w:trPr>
          <w:trHeight w:val="340" w:hRule="atLeast"/>
        </w:trPr>
        <w:tc>
          <w:tcPr>
            <w:tcW w:w="96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06D8C">
            <w:pPr>
              <w:pStyle w:val="482"/>
              <w:rPr>
                <w:rFonts w:hint="eastAsia" w:ascii="宋体" w:hAnsi="宋体" w:eastAsia="宋体" w:cs="宋体"/>
                <w:color w:val="auto"/>
                <w:sz w:val="18"/>
                <w:szCs w:val="18"/>
                <w:highlight w:val="none"/>
              </w:rPr>
            </w:pPr>
          </w:p>
        </w:tc>
        <w:tc>
          <w:tcPr>
            <w:tcW w:w="11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28AFC2">
            <w:pPr>
              <w:pStyle w:val="482"/>
              <w:rPr>
                <w:rFonts w:hint="eastAsia" w:ascii="宋体" w:hAnsi="宋体" w:eastAsia="宋体" w:cs="宋体"/>
                <w:color w:val="auto"/>
                <w:sz w:val="18"/>
                <w:szCs w:val="18"/>
                <w:highlight w:val="none"/>
              </w:rPr>
            </w:pP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05ED7">
            <w:pPr>
              <w:pStyle w:val="482"/>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企服小管家</w:t>
            </w:r>
          </w:p>
        </w:tc>
        <w:tc>
          <w:tcPr>
            <w:tcW w:w="4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5054B">
            <w:pPr>
              <w:pStyle w:val="482"/>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实现对重点企业服务十项清单的内容在线填写，填写内容管理和填写内容分析</w:t>
            </w:r>
            <w:r>
              <w:rPr>
                <w:rFonts w:hint="eastAsia" w:ascii="宋体" w:hAnsi="宋体" w:cs="宋体"/>
                <w:color w:val="auto"/>
                <w:sz w:val="18"/>
                <w:szCs w:val="18"/>
                <w:highlight w:val="none"/>
                <w:lang w:eastAsia="zh-CN"/>
              </w:rPr>
              <w:t>，</w:t>
            </w:r>
            <w:r>
              <w:rPr>
                <w:rFonts w:hint="eastAsia" w:ascii="宋体" w:hAnsi="宋体" w:cs="宋体"/>
                <w:color w:val="auto"/>
                <w:sz w:val="18"/>
                <w:szCs w:val="18"/>
                <w:highlight w:val="none"/>
                <w:lang w:val="en-US" w:eastAsia="zh-CN"/>
              </w:rPr>
              <w:t>支持访问图片上传</w:t>
            </w:r>
            <w:r>
              <w:rPr>
                <w:rFonts w:hint="eastAsia" w:ascii="宋体" w:hAnsi="宋体" w:eastAsia="宋体" w:cs="宋体"/>
                <w:color w:val="auto"/>
                <w:sz w:val="18"/>
                <w:szCs w:val="18"/>
                <w:highlight w:val="none"/>
              </w:rPr>
              <w:t>。</w:t>
            </w:r>
          </w:p>
        </w:tc>
      </w:tr>
      <w:tr w14:paraId="67900E24">
        <w:tblPrEx>
          <w:tblCellMar>
            <w:top w:w="0" w:type="dxa"/>
            <w:left w:w="108" w:type="dxa"/>
            <w:bottom w:w="0" w:type="dxa"/>
            <w:right w:w="108" w:type="dxa"/>
          </w:tblCellMar>
        </w:tblPrEx>
        <w:trPr>
          <w:trHeight w:val="340" w:hRule="atLeast"/>
        </w:trPr>
        <w:tc>
          <w:tcPr>
            <w:tcW w:w="96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F6136">
            <w:pPr>
              <w:pStyle w:val="482"/>
              <w:rPr>
                <w:rFonts w:hint="eastAsia" w:ascii="宋体" w:hAnsi="宋体" w:eastAsia="宋体" w:cs="宋体"/>
                <w:color w:val="auto"/>
                <w:sz w:val="18"/>
                <w:szCs w:val="18"/>
                <w:highlight w:val="none"/>
              </w:rPr>
            </w:pP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66AD7">
            <w:pPr>
              <w:pStyle w:val="482"/>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项目服务</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0C80B">
            <w:pPr>
              <w:pStyle w:val="482"/>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项目服务信息展示</w:t>
            </w:r>
          </w:p>
        </w:tc>
        <w:tc>
          <w:tcPr>
            <w:tcW w:w="4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80711">
            <w:pPr>
              <w:pStyle w:val="482"/>
              <w:rPr>
                <w:rFonts w:hint="eastAsia" w:ascii="宋体" w:hAnsi="宋体" w:eastAsia="宋体" w:cs="宋体"/>
                <w:color w:val="auto"/>
                <w:sz w:val="18"/>
                <w:szCs w:val="18"/>
                <w:highlight w:val="none"/>
              </w:rPr>
            </w:pPr>
            <w:r>
              <w:rPr>
                <w:rFonts w:hint="eastAsia" w:ascii="宋体" w:hAnsi="宋体" w:cs="宋体"/>
                <w:color w:val="auto"/>
                <w:sz w:val="18"/>
                <w:szCs w:val="18"/>
                <w:highlight w:val="none"/>
                <w:lang w:val="en-US" w:eastAsia="zh-CN"/>
              </w:rPr>
              <w:t>根据场景整合项目建设所需配套性服务，包括关联性服务</w:t>
            </w:r>
            <w:r>
              <w:rPr>
                <w:rFonts w:hint="eastAsia" w:ascii="宋体" w:hAnsi="宋体" w:eastAsia="宋体" w:cs="宋体"/>
                <w:color w:val="auto"/>
                <w:sz w:val="18"/>
                <w:szCs w:val="18"/>
                <w:highlight w:val="none"/>
              </w:rPr>
              <w:t>服务链接</w:t>
            </w:r>
            <w:r>
              <w:rPr>
                <w:rFonts w:hint="eastAsia" w:ascii="宋体" w:hAnsi="宋体" w:cs="宋体"/>
                <w:color w:val="auto"/>
                <w:sz w:val="18"/>
                <w:szCs w:val="18"/>
                <w:highlight w:val="none"/>
                <w:lang w:val="en-US" w:eastAsia="zh-CN"/>
              </w:rPr>
              <w:t>上传，线下服务指引图示等</w:t>
            </w:r>
            <w:r>
              <w:rPr>
                <w:rFonts w:hint="eastAsia" w:ascii="宋体" w:hAnsi="宋体" w:eastAsia="宋体" w:cs="宋体"/>
                <w:color w:val="auto"/>
                <w:sz w:val="18"/>
                <w:szCs w:val="18"/>
                <w:highlight w:val="none"/>
              </w:rPr>
              <w:t>。</w:t>
            </w:r>
          </w:p>
        </w:tc>
      </w:tr>
      <w:tr w14:paraId="0622627C">
        <w:tblPrEx>
          <w:tblCellMar>
            <w:top w:w="0" w:type="dxa"/>
            <w:left w:w="108" w:type="dxa"/>
            <w:bottom w:w="0" w:type="dxa"/>
            <w:right w:w="108" w:type="dxa"/>
          </w:tblCellMar>
        </w:tblPrEx>
        <w:trPr>
          <w:trHeight w:val="340" w:hRule="atLeast"/>
        </w:trPr>
        <w:tc>
          <w:tcPr>
            <w:tcW w:w="96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2969B">
            <w:pPr>
              <w:pStyle w:val="482"/>
              <w:rPr>
                <w:rFonts w:hint="eastAsia" w:ascii="宋体" w:hAnsi="宋体" w:eastAsia="宋体" w:cs="宋体"/>
                <w:color w:val="auto"/>
                <w:sz w:val="18"/>
                <w:szCs w:val="18"/>
                <w:highlight w:val="none"/>
              </w:rPr>
            </w:pPr>
          </w:p>
        </w:tc>
        <w:tc>
          <w:tcPr>
            <w:tcW w:w="11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A80603">
            <w:pPr>
              <w:pStyle w:val="482"/>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金融服务</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9EB16">
            <w:pPr>
              <w:pStyle w:val="482"/>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金融服务展示</w:t>
            </w:r>
          </w:p>
        </w:tc>
        <w:tc>
          <w:tcPr>
            <w:tcW w:w="4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ADA28">
            <w:pPr>
              <w:pStyle w:val="482"/>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提供金融服务的展示，企业与公众自然人可以在暖企通查看金融服务信息。</w:t>
            </w:r>
          </w:p>
        </w:tc>
      </w:tr>
      <w:tr w14:paraId="1C66B148">
        <w:tblPrEx>
          <w:tblCellMar>
            <w:top w:w="0" w:type="dxa"/>
            <w:left w:w="108" w:type="dxa"/>
            <w:bottom w:w="0" w:type="dxa"/>
            <w:right w:w="108" w:type="dxa"/>
          </w:tblCellMar>
        </w:tblPrEx>
        <w:trPr>
          <w:trHeight w:val="340" w:hRule="atLeast"/>
        </w:trPr>
        <w:tc>
          <w:tcPr>
            <w:tcW w:w="96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53CB8">
            <w:pPr>
              <w:pStyle w:val="482"/>
              <w:rPr>
                <w:rFonts w:hint="eastAsia" w:ascii="宋体" w:hAnsi="宋体" w:eastAsia="宋体" w:cs="宋体"/>
                <w:color w:val="auto"/>
                <w:sz w:val="18"/>
                <w:szCs w:val="18"/>
                <w:highlight w:val="none"/>
              </w:rPr>
            </w:pPr>
          </w:p>
        </w:tc>
        <w:tc>
          <w:tcPr>
            <w:tcW w:w="11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BB977E">
            <w:pPr>
              <w:pStyle w:val="482"/>
              <w:rPr>
                <w:rFonts w:hint="eastAsia" w:ascii="宋体" w:hAnsi="宋体" w:eastAsia="宋体" w:cs="宋体"/>
                <w:color w:val="auto"/>
                <w:sz w:val="18"/>
                <w:szCs w:val="18"/>
                <w:highlight w:val="none"/>
              </w:rPr>
            </w:pP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CB7EA">
            <w:pPr>
              <w:pStyle w:val="482"/>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金融服务申请</w:t>
            </w:r>
          </w:p>
        </w:tc>
        <w:tc>
          <w:tcPr>
            <w:tcW w:w="4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0BDE8">
            <w:pPr>
              <w:pStyle w:val="482"/>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企业与公众自然人可以在暖企通平台进行服务申请，查看不用服务类型的办理条件与联系方式。</w:t>
            </w:r>
          </w:p>
        </w:tc>
      </w:tr>
      <w:tr w14:paraId="64BF8CF5">
        <w:tblPrEx>
          <w:tblCellMar>
            <w:top w:w="0" w:type="dxa"/>
            <w:left w:w="108" w:type="dxa"/>
            <w:bottom w:w="0" w:type="dxa"/>
            <w:right w:w="108" w:type="dxa"/>
          </w:tblCellMar>
        </w:tblPrEx>
        <w:trPr>
          <w:trHeight w:val="340" w:hRule="atLeast"/>
        </w:trPr>
        <w:tc>
          <w:tcPr>
            <w:tcW w:w="96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1E891">
            <w:pPr>
              <w:pStyle w:val="482"/>
              <w:rPr>
                <w:rFonts w:hint="eastAsia" w:ascii="宋体" w:hAnsi="宋体" w:eastAsia="宋体" w:cs="宋体"/>
                <w:color w:val="auto"/>
                <w:sz w:val="18"/>
                <w:szCs w:val="18"/>
                <w:highlight w:val="none"/>
              </w:rPr>
            </w:pPr>
          </w:p>
        </w:tc>
        <w:tc>
          <w:tcPr>
            <w:tcW w:w="11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C9D591">
            <w:pPr>
              <w:pStyle w:val="482"/>
              <w:rPr>
                <w:rFonts w:hint="eastAsia" w:ascii="宋体" w:hAnsi="宋体" w:eastAsia="宋体" w:cs="宋体"/>
                <w:color w:val="auto"/>
                <w:sz w:val="18"/>
                <w:szCs w:val="18"/>
                <w:highlight w:val="none"/>
              </w:rPr>
            </w:pP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87482">
            <w:pPr>
              <w:pStyle w:val="482"/>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金融服务评价</w:t>
            </w:r>
          </w:p>
        </w:tc>
        <w:tc>
          <w:tcPr>
            <w:tcW w:w="4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A098C">
            <w:pPr>
              <w:pStyle w:val="482"/>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用户在金融服务申请</w:t>
            </w:r>
            <w:r>
              <w:rPr>
                <w:rFonts w:hint="eastAsia" w:ascii="宋体" w:hAnsi="宋体" w:cs="宋体"/>
                <w:color w:val="auto"/>
                <w:sz w:val="18"/>
                <w:szCs w:val="18"/>
                <w:highlight w:val="none"/>
                <w:lang w:val="en-US" w:eastAsia="zh-CN"/>
              </w:rPr>
              <w:t>使用</w:t>
            </w:r>
            <w:r>
              <w:rPr>
                <w:rFonts w:hint="eastAsia" w:ascii="宋体" w:hAnsi="宋体" w:eastAsia="宋体" w:cs="宋体"/>
                <w:color w:val="auto"/>
                <w:sz w:val="18"/>
                <w:szCs w:val="18"/>
                <w:highlight w:val="none"/>
              </w:rPr>
              <w:t>后对服务进行评价。</w:t>
            </w:r>
          </w:p>
        </w:tc>
      </w:tr>
      <w:tr w14:paraId="3F4A8FE3">
        <w:tblPrEx>
          <w:tblCellMar>
            <w:top w:w="0" w:type="dxa"/>
            <w:left w:w="108" w:type="dxa"/>
            <w:bottom w:w="0" w:type="dxa"/>
            <w:right w:w="108" w:type="dxa"/>
          </w:tblCellMar>
        </w:tblPrEx>
        <w:trPr>
          <w:trHeight w:val="340" w:hRule="atLeast"/>
        </w:trPr>
        <w:tc>
          <w:tcPr>
            <w:tcW w:w="96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98A73">
            <w:pPr>
              <w:pStyle w:val="482"/>
              <w:rPr>
                <w:rFonts w:hint="eastAsia" w:ascii="宋体" w:hAnsi="宋体" w:eastAsia="宋体" w:cs="宋体"/>
                <w:color w:val="auto"/>
                <w:sz w:val="18"/>
                <w:szCs w:val="18"/>
                <w:highlight w:val="none"/>
              </w:rPr>
            </w:pPr>
          </w:p>
        </w:tc>
        <w:tc>
          <w:tcPr>
            <w:tcW w:w="11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EAA699">
            <w:pPr>
              <w:pStyle w:val="482"/>
              <w:rPr>
                <w:rFonts w:hint="eastAsia" w:ascii="宋体" w:hAnsi="宋体" w:eastAsia="宋体" w:cs="宋体"/>
                <w:color w:val="auto"/>
                <w:sz w:val="18"/>
                <w:szCs w:val="18"/>
                <w:highlight w:val="none"/>
              </w:rPr>
            </w:pP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68FF3">
            <w:pPr>
              <w:pStyle w:val="482"/>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企业金融风险提示</w:t>
            </w:r>
          </w:p>
        </w:tc>
        <w:tc>
          <w:tcPr>
            <w:tcW w:w="4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9BBEF">
            <w:pPr>
              <w:pStyle w:val="482"/>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针对园区</w:t>
            </w:r>
            <w:r>
              <w:rPr>
                <w:rFonts w:hint="eastAsia" w:ascii="宋体" w:hAnsi="宋体" w:cs="宋体"/>
                <w:color w:val="auto"/>
                <w:sz w:val="18"/>
                <w:szCs w:val="18"/>
                <w:highlight w:val="none"/>
                <w:lang w:val="en-US" w:eastAsia="zh-CN"/>
              </w:rPr>
              <w:t>企业存在的</w:t>
            </w:r>
            <w:r>
              <w:rPr>
                <w:rFonts w:hint="eastAsia" w:ascii="宋体" w:hAnsi="宋体" w:eastAsia="宋体" w:cs="宋体"/>
                <w:color w:val="auto"/>
                <w:sz w:val="18"/>
                <w:szCs w:val="18"/>
                <w:highlight w:val="none"/>
              </w:rPr>
              <w:t>高风险金融信息进行归集和提示。</w:t>
            </w:r>
          </w:p>
        </w:tc>
      </w:tr>
      <w:tr w14:paraId="33658DEF">
        <w:tblPrEx>
          <w:tblCellMar>
            <w:top w:w="0" w:type="dxa"/>
            <w:left w:w="108" w:type="dxa"/>
            <w:bottom w:w="0" w:type="dxa"/>
            <w:right w:w="108" w:type="dxa"/>
          </w:tblCellMar>
        </w:tblPrEx>
        <w:trPr>
          <w:trHeight w:val="340" w:hRule="atLeast"/>
        </w:trPr>
        <w:tc>
          <w:tcPr>
            <w:tcW w:w="96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5DA48">
            <w:pPr>
              <w:pStyle w:val="482"/>
              <w:rPr>
                <w:rFonts w:hint="eastAsia" w:ascii="宋体" w:hAnsi="宋体" w:eastAsia="宋体" w:cs="宋体"/>
                <w:color w:val="auto"/>
                <w:sz w:val="18"/>
                <w:szCs w:val="18"/>
                <w:highlight w:val="none"/>
              </w:rPr>
            </w:pPr>
          </w:p>
        </w:tc>
        <w:tc>
          <w:tcPr>
            <w:tcW w:w="11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5C8F40">
            <w:pPr>
              <w:pStyle w:val="482"/>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人才服务</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055BE">
            <w:pPr>
              <w:pStyle w:val="482"/>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人才公寓</w:t>
            </w:r>
          </w:p>
        </w:tc>
        <w:tc>
          <w:tcPr>
            <w:tcW w:w="4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07DCB">
            <w:pPr>
              <w:pStyle w:val="482"/>
              <w:rPr>
                <w:rFonts w:hint="eastAsia" w:ascii="宋体" w:hAnsi="宋体" w:eastAsia="宋体" w:cs="宋体"/>
                <w:color w:val="auto"/>
                <w:sz w:val="18"/>
                <w:szCs w:val="18"/>
                <w:highlight w:val="none"/>
              </w:rPr>
            </w:pPr>
            <w:r>
              <w:rPr>
                <w:rFonts w:hint="eastAsia" w:ascii="宋体" w:hAnsi="宋体" w:cs="宋体"/>
                <w:color w:val="auto"/>
                <w:sz w:val="18"/>
                <w:szCs w:val="18"/>
                <w:highlight w:val="none"/>
                <w:lang w:val="en-US" w:eastAsia="zh-CN"/>
              </w:rPr>
              <w:t>提</w:t>
            </w:r>
            <w:r>
              <w:rPr>
                <w:rFonts w:hint="eastAsia" w:ascii="宋体" w:hAnsi="宋体" w:eastAsia="宋体" w:cs="宋体"/>
                <w:color w:val="auto"/>
                <w:sz w:val="18"/>
                <w:szCs w:val="18"/>
                <w:highlight w:val="none"/>
              </w:rPr>
              <w:t>供人才公寓的查询功能，</w:t>
            </w:r>
            <w:r>
              <w:rPr>
                <w:rFonts w:hint="eastAsia" w:ascii="宋体" w:hAnsi="宋体" w:cs="宋体"/>
                <w:color w:val="auto"/>
                <w:sz w:val="18"/>
                <w:szCs w:val="18"/>
                <w:highlight w:val="none"/>
                <w:lang w:val="en-US" w:eastAsia="zh-CN"/>
              </w:rPr>
              <w:t>对空闲可用的公寓空间进行查询和展示，</w:t>
            </w:r>
            <w:r>
              <w:rPr>
                <w:rFonts w:hint="eastAsia" w:ascii="宋体" w:hAnsi="宋体" w:eastAsia="宋体" w:cs="宋体"/>
                <w:color w:val="auto"/>
                <w:sz w:val="18"/>
                <w:szCs w:val="18"/>
                <w:highlight w:val="none"/>
              </w:rPr>
              <w:t>对于人才公寓可以在线进行申请，公寓管理员可以进行在线审核。</w:t>
            </w:r>
          </w:p>
        </w:tc>
      </w:tr>
      <w:tr w14:paraId="666F31C1">
        <w:tblPrEx>
          <w:tblCellMar>
            <w:top w:w="0" w:type="dxa"/>
            <w:left w:w="108" w:type="dxa"/>
            <w:bottom w:w="0" w:type="dxa"/>
            <w:right w:w="108" w:type="dxa"/>
          </w:tblCellMar>
        </w:tblPrEx>
        <w:trPr>
          <w:trHeight w:val="340" w:hRule="atLeast"/>
        </w:trPr>
        <w:tc>
          <w:tcPr>
            <w:tcW w:w="96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30A40">
            <w:pPr>
              <w:pStyle w:val="482"/>
              <w:rPr>
                <w:rFonts w:hint="eastAsia" w:ascii="宋体" w:hAnsi="宋体" w:eastAsia="宋体" w:cs="宋体"/>
                <w:color w:val="auto"/>
                <w:sz w:val="18"/>
                <w:szCs w:val="18"/>
                <w:highlight w:val="none"/>
              </w:rPr>
            </w:pPr>
          </w:p>
        </w:tc>
        <w:tc>
          <w:tcPr>
            <w:tcW w:w="11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B50B84">
            <w:pPr>
              <w:pStyle w:val="482"/>
              <w:rPr>
                <w:rFonts w:hint="eastAsia" w:ascii="宋体" w:hAnsi="宋体" w:eastAsia="宋体" w:cs="宋体"/>
                <w:color w:val="auto"/>
                <w:sz w:val="18"/>
                <w:szCs w:val="18"/>
                <w:highlight w:val="none"/>
              </w:rPr>
            </w:pP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45461">
            <w:pPr>
              <w:pStyle w:val="482"/>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青年应聘</w:t>
            </w:r>
          </w:p>
        </w:tc>
        <w:tc>
          <w:tcPr>
            <w:tcW w:w="4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C1962">
            <w:pPr>
              <w:pStyle w:val="482"/>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提供发布青年招聘信息的入口，用户在门户可以及时的查看招聘信息，并可以对有意向的岗位进行简历的提交。</w:t>
            </w:r>
          </w:p>
        </w:tc>
      </w:tr>
      <w:tr w14:paraId="17856F23">
        <w:tblPrEx>
          <w:tblCellMar>
            <w:top w:w="0" w:type="dxa"/>
            <w:left w:w="108" w:type="dxa"/>
            <w:bottom w:w="0" w:type="dxa"/>
            <w:right w:w="108" w:type="dxa"/>
          </w:tblCellMar>
        </w:tblPrEx>
        <w:trPr>
          <w:trHeight w:val="340" w:hRule="atLeast"/>
        </w:trPr>
        <w:tc>
          <w:tcPr>
            <w:tcW w:w="96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3AE2C">
            <w:pPr>
              <w:pStyle w:val="482"/>
              <w:rPr>
                <w:rFonts w:hint="eastAsia" w:ascii="宋体" w:hAnsi="宋体" w:eastAsia="宋体" w:cs="宋体"/>
                <w:color w:val="auto"/>
                <w:sz w:val="18"/>
                <w:szCs w:val="18"/>
                <w:highlight w:val="none"/>
              </w:rPr>
            </w:pPr>
          </w:p>
        </w:tc>
        <w:tc>
          <w:tcPr>
            <w:tcW w:w="11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B70C0C">
            <w:pPr>
              <w:pStyle w:val="482"/>
              <w:rPr>
                <w:rFonts w:hint="eastAsia" w:ascii="宋体" w:hAnsi="宋体" w:eastAsia="宋体" w:cs="宋体"/>
                <w:color w:val="auto"/>
                <w:sz w:val="18"/>
                <w:szCs w:val="18"/>
                <w:highlight w:val="none"/>
              </w:rPr>
            </w:pP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1637C">
            <w:pPr>
              <w:pStyle w:val="482"/>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青年人才政策</w:t>
            </w:r>
          </w:p>
        </w:tc>
        <w:tc>
          <w:tcPr>
            <w:tcW w:w="4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477C3">
            <w:pPr>
              <w:pStyle w:val="482"/>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根据青年人才数据采集结果，汇集各级青年人才政策，对符合政策的青年人才予以提示通知提示，助力青年人才政策落实到位。</w:t>
            </w:r>
          </w:p>
        </w:tc>
      </w:tr>
      <w:tr w14:paraId="6FB7F117">
        <w:tblPrEx>
          <w:tblCellMar>
            <w:top w:w="0" w:type="dxa"/>
            <w:left w:w="108" w:type="dxa"/>
            <w:bottom w:w="0" w:type="dxa"/>
            <w:right w:w="108" w:type="dxa"/>
          </w:tblCellMar>
        </w:tblPrEx>
        <w:trPr>
          <w:trHeight w:val="340" w:hRule="atLeast"/>
        </w:trPr>
        <w:tc>
          <w:tcPr>
            <w:tcW w:w="96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B0337">
            <w:pPr>
              <w:pStyle w:val="482"/>
              <w:rPr>
                <w:rFonts w:hint="eastAsia" w:ascii="宋体" w:hAnsi="宋体" w:eastAsia="宋体" w:cs="宋体"/>
                <w:color w:val="auto"/>
                <w:sz w:val="18"/>
                <w:szCs w:val="18"/>
                <w:highlight w:val="none"/>
              </w:rPr>
            </w:pPr>
          </w:p>
        </w:tc>
        <w:tc>
          <w:tcPr>
            <w:tcW w:w="11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866FBB">
            <w:pPr>
              <w:pStyle w:val="482"/>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法律服务</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8692B">
            <w:pPr>
              <w:pStyle w:val="482"/>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法律服务展示</w:t>
            </w:r>
          </w:p>
        </w:tc>
        <w:tc>
          <w:tcPr>
            <w:tcW w:w="4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4ECCD">
            <w:pPr>
              <w:pStyle w:val="482"/>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在法律服务分类的详情页面展示相关的法律服务，包括民事纠纷、专项业务、权威机构三个类。</w:t>
            </w:r>
          </w:p>
        </w:tc>
      </w:tr>
      <w:tr w14:paraId="66AFFC15">
        <w:tblPrEx>
          <w:tblCellMar>
            <w:top w:w="0" w:type="dxa"/>
            <w:left w:w="108" w:type="dxa"/>
            <w:bottom w:w="0" w:type="dxa"/>
            <w:right w:w="108" w:type="dxa"/>
          </w:tblCellMar>
        </w:tblPrEx>
        <w:trPr>
          <w:trHeight w:val="340" w:hRule="atLeast"/>
        </w:trPr>
        <w:tc>
          <w:tcPr>
            <w:tcW w:w="96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6E870">
            <w:pPr>
              <w:pStyle w:val="482"/>
              <w:rPr>
                <w:rFonts w:hint="eastAsia" w:ascii="宋体" w:hAnsi="宋体" w:eastAsia="宋体" w:cs="宋体"/>
                <w:color w:val="auto"/>
                <w:sz w:val="18"/>
                <w:szCs w:val="18"/>
                <w:highlight w:val="none"/>
              </w:rPr>
            </w:pPr>
          </w:p>
        </w:tc>
        <w:tc>
          <w:tcPr>
            <w:tcW w:w="11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235968">
            <w:pPr>
              <w:pStyle w:val="482"/>
              <w:rPr>
                <w:rFonts w:hint="eastAsia" w:ascii="宋体" w:hAnsi="宋体" w:eastAsia="宋体" w:cs="宋体"/>
                <w:color w:val="auto"/>
                <w:sz w:val="18"/>
                <w:szCs w:val="18"/>
                <w:highlight w:val="none"/>
              </w:rPr>
            </w:pP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92FBF">
            <w:pPr>
              <w:pStyle w:val="482"/>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法律服务</w:t>
            </w:r>
            <w:r>
              <w:rPr>
                <w:rFonts w:hint="eastAsia" w:ascii="宋体" w:hAnsi="宋体" w:cs="宋体"/>
                <w:color w:val="auto"/>
                <w:sz w:val="18"/>
                <w:szCs w:val="18"/>
                <w:highlight w:val="none"/>
                <w:lang w:val="en-US" w:eastAsia="zh-CN"/>
              </w:rPr>
              <w:t>申请</w:t>
            </w:r>
          </w:p>
        </w:tc>
        <w:tc>
          <w:tcPr>
            <w:tcW w:w="4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1BDD4">
            <w:pPr>
              <w:pStyle w:val="482"/>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企业与公众可以在暖企通平台进行法律服务申请，查看不</w:t>
            </w:r>
            <w:r>
              <w:rPr>
                <w:rFonts w:hint="eastAsia" w:ascii="宋体" w:hAnsi="宋体" w:cs="宋体"/>
                <w:color w:val="auto"/>
                <w:sz w:val="18"/>
                <w:szCs w:val="18"/>
                <w:highlight w:val="none"/>
                <w:lang w:val="en-US" w:eastAsia="zh-CN"/>
              </w:rPr>
              <w:t>同</w:t>
            </w:r>
            <w:r>
              <w:rPr>
                <w:rFonts w:hint="eastAsia" w:ascii="宋体" w:hAnsi="宋体" w:eastAsia="宋体" w:cs="宋体"/>
                <w:color w:val="auto"/>
                <w:sz w:val="18"/>
                <w:szCs w:val="18"/>
                <w:highlight w:val="none"/>
              </w:rPr>
              <w:t>法律服务服务内容与联系方式，并线上提</w:t>
            </w:r>
            <w:r>
              <w:rPr>
                <w:rFonts w:hint="eastAsia" w:ascii="宋体" w:hAnsi="宋体" w:cs="宋体"/>
                <w:color w:val="auto"/>
                <w:sz w:val="18"/>
                <w:szCs w:val="18"/>
                <w:highlight w:val="none"/>
                <w:lang w:val="en-US" w:eastAsia="zh-CN"/>
              </w:rPr>
              <w:t>交</w:t>
            </w:r>
            <w:r>
              <w:rPr>
                <w:rFonts w:hint="eastAsia" w:ascii="宋体" w:hAnsi="宋体" w:eastAsia="宋体" w:cs="宋体"/>
                <w:color w:val="auto"/>
                <w:sz w:val="18"/>
                <w:szCs w:val="18"/>
                <w:highlight w:val="none"/>
              </w:rPr>
              <w:t>服务申请。</w:t>
            </w:r>
          </w:p>
        </w:tc>
      </w:tr>
      <w:tr w14:paraId="7063B5C5">
        <w:tblPrEx>
          <w:tblCellMar>
            <w:top w:w="0" w:type="dxa"/>
            <w:left w:w="108" w:type="dxa"/>
            <w:bottom w:w="0" w:type="dxa"/>
            <w:right w:w="108" w:type="dxa"/>
          </w:tblCellMar>
        </w:tblPrEx>
        <w:trPr>
          <w:trHeight w:val="340" w:hRule="atLeast"/>
        </w:trPr>
        <w:tc>
          <w:tcPr>
            <w:tcW w:w="96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7AE87">
            <w:pPr>
              <w:pStyle w:val="482"/>
              <w:rPr>
                <w:rFonts w:hint="eastAsia" w:ascii="宋体" w:hAnsi="宋体" w:eastAsia="宋体" w:cs="宋体"/>
                <w:color w:val="auto"/>
                <w:sz w:val="18"/>
                <w:szCs w:val="18"/>
                <w:highlight w:val="none"/>
              </w:rPr>
            </w:pPr>
          </w:p>
        </w:tc>
        <w:tc>
          <w:tcPr>
            <w:tcW w:w="11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7CE050">
            <w:pPr>
              <w:pStyle w:val="482"/>
              <w:rPr>
                <w:rFonts w:hint="eastAsia" w:ascii="宋体" w:hAnsi="宋体" w:eastAsia="宋体" w:cs="宋体"/>
                <w:color w:val="auto"/>
                <w:sz w:val="18"/>
                <w:szCs w:val="18"/>
                <w:highlight w:val="none"/>
              </w:rPr>
            </w:pP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FDD96">
            <w:pPr>
              <w:pStyle w:val="482"/>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法律服务评价</w:t>
            </w:r>
          </w:p>
        </w:tc>
        <w:tc>
          <w:tcPr>
            <w:tcW w:w="4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7C168">
            <w:pPr>
              <w:pStyle w:val="482"/>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用户在</w:t>
            </w:r>
            <w:r>
              <w:rPr>
                <w:rFonts w:hint="eastAsia" w:ascii="宋体" w:hAnsi="宋体" w:cs="宋体"/>
                <w:color w:val="auto"/>
                <w:sz w:val="18"/>
                <w:szCs w:val="18"/>
                <w:highlight w:val="none"/>
                <w:lang w:val="en-US" w:eastAsia="zh-CN"/>
              </w:rPr>
              <w:t>法律</w:t>
            </w:r>
            <w:r>
              <w:rPr>
                <w:rFonts w:hint="eastAsia" w:ascii="宋体" w:hAnsi="宋体" w:eastAsia="宋体" w:cs="宋体"/>
                <w:color w:val="auto"/>
                <w:sz w:val="18"/>
                <w:szCs w:val="18"/>
                <w:highlight w:val="none"/>
              </w:rPr>
              <w:t>服务申请</w:t>
            </w:r>
            <w:r>
              <w:rPr>
                <w:rFonts w:hint="eastAsia" w:ascii="宋体" w:hAnsi="宋体" w:cs="宋体"/>
                <w:color w:val="auto"/>
                <w:sz w:val="18"/>
                <w:szCs w:val="18"/>
                <w:highlight w:val="none"/>
                <w:lang w:val="en-US" w:eastAsia="zh-CN"/>
              </w:rPr>
              <w:t>使用</w:t>
            </w:r>
            <w:r>
              <w:rPr>
                <w:rFonts w:hint="eastAsia" w:ascii="宋体" w:hAnsi="宋体" w:eastAsia="宋体" w:cs="宋体"/>
                <w:color w:val="auto"/>
                <w:sz w:val="18"/>
                <w:szCs w:val="18"/>
                <w:highlight w:val="none"/>
              </w:rPr>
              <w:t>后对服务进行评价。</w:t>
            </w:r>
          </w:p>
        </w:tc>
      </w:tr>
      <w:tr w14:paraId="47896C7A">
        <w:tblPrEx>
          <w:tblCellMar>
            <w:top w:w="0" w:type="dxa"/>
            <w:left w:w="108" w:type="dxa"/>
            <w:bottom w:w="0" w:type="dxa"/>
            <w:right w:w="108" w:type="dxa"/>
          </w:tblCellMar>
        </w:tblPrEx>
        <w:trPr>
          <w:trHeight w:val="340" w:hRule="atLeast"/>
        </w:trPr>
        <w:tc>
          <w:tcPr>
            <w:tcW w:w="96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0BEE6">
            <w:pPr>
              <w:pStyle w:val="482"/>
              <w:rPr>
                <w:rFonts w:hint="eastAsia" w:ascii="宋体" w:hAnsi="宋体" w:eastAsia="宋体" w:cs="宋体"/>
                <w:color w:val="auto"/>
                <w:sz w:val="18"/>
                <w:szCs w:val="18"/>
                <w:highlight w:val="none"/>
              </w:rPr>
            </w:pPr>
          </w:p>
        </w:tc>
        <w:tc>
          <w:tcPr>
            <w:tcW w:w="11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F340F5">
            <w:pPr>
              <w:pStyle w:val="482"/>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科创服务</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3E5CF">
            <w:pPr>
              <w:pStyle w:val="482"/>
              <w:rPr>
                <w:rFonts w:hint="eastAsia" w:ascii="宋体" w:hAnsi="宋体" w:eastAsia="宋体" w:cs="宋体"/>
                <w:color w:val="auto"/>
                <w:sz w:val="18"/>
                <w:szCs w:val="18"/>
                <w:highlight w:val="none"/>
              </w:rPr>
            </w:pPr>
            <w:r>
              <w:rPr>
                <w:rFonts w:hint="eastAsia" w:ascii="宋体" w:hAnsi="宋体" w:cs="宋体"/>
                <w:color w:val="auto"/>
                <w:sz w:val="18"/>
                <w:szCs w:val="18"/>
                <w:highlight w:val="none"/>
                <w:lang w:eastAsia="zh-CN"/>
              </w:rPr>
              <w:t>“</w:t>
            </w:r>
            <w:r>
              <w:rPr>
                <w:rFonts w:hint="eastAsia" w:ascii="宋体" w:hAnsi="宋体" w:eastAsia="宋体" w:cs="宋体"/>
                <w:color w:val="auto"/>
                <w:sz w:val="18"/>
                <w:szCs w:val="18"/>
                <w:highlight w:val="none"/>
              </w:rPr>
              <w:t>专精特新”梯队培育</w:t>
            </w:r>
          </w:p>
        </w:tc>
        <w:tc>
          <w:tcPr>
            <w:tcW w:w="4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39334">
            <w:pPr>
              <w:pStyle w:val="482"/>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平台可以直通工信部“专精特新”申报网站，对于在申报期特定</w:t>
            </w:r>
            <w:r>
              <w:rPr>
                <w:rFonts w:hint="eastAsia" w:ascii="宋体" w:hAnsi="宋体" w:cs="宋体"/>
                <w:color w:val="auto"/>
                <w:sz w:val="18"/>
                <w:szCs w:val="18"/>
                <w:highlight w:val="none"/>
                <w:lang w:val="en-US" w:eastAsia="zh-CN"/>
              </w:rPr>
              <w:t>日期</w:t>
            </w:r>
            <w:r>
              <w:rPr>
                <w:rFonts w:hint="eastAsia" w:ascii="宋体" w:hAnsi="宋体" w:eastAsia="宋体" w:cs="宋体"/>
                <w:color w:val="auto"/>
                <w:sz w:val="18"/>
                <w:szCs w:val="18"/>
                <w:highlight w:val="none"/>
              </w:rPr>
              <w:t>范围内的申报意向</w:t>
            </w:r>
            <w:r>
              <w:rPr>
                <w:rFonts w:hint="eastAsia" w:ascii="宋体" w:hAnsi="宋体" w:cs="宋体"/>
                <w:color w:val="auto"/>
                <w:sz w:val="18"/>
                <w:szCs w:val="18"/>
                <w:highlight w:val="none"/>
                <w:lang w:val="en-US" w:eastAsia="zh-CN"/>
              </w:rPr>
              <w:t>进行</w:t>
            </w:r>
            <w:r>
              <w:rPr>
                <w:rFonts w:hint="eastAsia" w:ascii="宋体" w:hAnsi="宋体" w:eastAsia="宋体" w:cs="宋体"/>
                <w:color w:val="auto"/>
                <w:sz w:val="18"/>
                <w:szCs w:val="18"/>
                <w:highlight w:val="none"/>
              </w:rPr>
              <w:t>标识</w:t>
            </w:r>
            <w:r>
              <w:rPr>
                <w:rFonts w:hint="eastAsia" w:ascii="宋体" w:hAnsi="宋体" w:cs="宋体"/>
                <w:color w:val="auto"/>
                <w:sz w:val="18"/>
                <w:szCs w:val="18"/>
                <w:highlight w:val="none"/>
                <w:lang w:val="en-US" w:eastAsia="zh-CN"/>
              </w:rPr>
              <w:t>和跟踪</w:t>
            </w:r>
            <w:r>
              <w:rPr>
                <w:rFonts w:hint="eastAsia" w:ascii="宋体" w:hAnsi="宋体" w:eastAsia="宋体" w:cs="宋体"/>
                <w:color w:val="auto"/>
                <w:sz w:val="18"/>
                <w:szCs w:val="18"/>
                <w:highlight w:val="none"/>
              </w:rPr>
              <w:t>，系统智能分析后推送该企业信息给专精特新培育专员，可由专员主动发起</w:t>
            </w:r>
            <w:r>
              <w:rPr>
                <w:rFonts w:hint="eastAsia" w:ascii="宋体" w:hAnsi="宋体" w:cs="宋体"/>
                <w:color w:val="auto"/>
                <w:sz w:val="18"/>
                <w:szCs w:val="18"/>
                <w:highlight w:val="none"/>
                <w:lang w:val="en-US" w:eastAsia="zh-CN"/>
              </w:rPr>
              <w:t>培育辅导</w:t>
            </w:r>
            <w:r>
              <w:rPr>
                <w:rFonts w:hint="eastAsia" w:ascii="宋体" w:hAnsi="宋体" w:eastAsia="宋体" w:cs="宋体"/>
                <w:color w:val="auto"/>
                <w:sz w:val="18"/>
                <w:szCs w:val="18"/>
                <w:highlight w:val="none"/>
              </w:rPr>
              <w:t>服务。</w:t>
            </w:r>
          </w:p>
        </w:tc>
      </w:tr>
      <w:tr w14:paraId="799C6F75">
        <w:tblPrEx>
          <w:tblCellMar>
            <w:top w:w="0" w:type="dxa"/>
            <w:left w:w="108" w:type="dxa"/>
            <w:bottom w:w="0" w:type="dxa"/>
            <w:right w:w="108" w:type="dxa"/>
          </w:tblCellMar>
        </w:tblPrEx>
        <w:trPr>
          <w:trHeight w:val="340" w:hRule="atLeast"/>
        </w:trPr>
        <w:tc>
          <w:tcPr>
            <w:tcW w:w="96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FE178">
            <w:pPr>
              <w:pStyle w:val="482"/>
              <w:rPr>
                <w:rFonts w:hint="eastAsia" w:ascii="宋体" w:hAnsi="宋体" w:eastAsia="宋体" w:cs="宋体"/>
                <w:color w:val="auto"/>
                <w:sz w:val="18"/>
                <w:szCs w:val="18"/>
                <w:highlight w:val="none"/>
              </w:rPr>
            </w:pPr>
          </w:p>
        </w:tc>
        <w:tc>
          <w:tcPr>
            <w:tcW w:w="11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59897F">
            <w:pPr>
              <w:pStyle w:val="482"/>
              <w:rPr>
                <w:rFonts w:hint="eastAsia" w:ascii="宋体" w:hAnsi="宋体" w:eastAsia="宋体" w:cs="宋体"/>
                <w:color w:val="auto"/>
                <w:sz w:val="18"/>
                <w:szCs w:val="18"/>
                <w:highlight w:val="none"/>
              </w:rPr>
            </w:pP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D8407">
            <w:pPr>
              <w:pStyle w:val="482"/>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知识产权服务</w:t>
            </w:r>
          </w:p>
        </w:tc>
        <w:tc>
          <w:tcPr>
            <w:tcW w:w="4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880B5">
            <w:pPr>
              <w:pStyle w:val="482"/>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知识产权服务的服务推荐、服务申请、服务对接和服务评价。</w:t>
            </w:r>
          </w:p>
        </w:tc>
      </w:tr>
      <w:tr w14:paraId="03548447">
        <w:tblPrEx>
          <w:tblCellMar>
            <w:top w:w="0" w:type="dxa"/>
            <w:left w:w="108" w:type="dxa"/>
            <w:bottom w:w="0" w:type="dxa"/>
            <w:right w:w="108" w:type="dxa"/>
          </w:tblCellMar>
        </w:tblPrEx>
        <w:trPr>
          <w:trHeight w:val="340" w:hRule="atLeast"/>
        </w:trPr>
        <w:tc>
          <w:tcPr>
            <w:tcW w:w="96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D6F34">
            <w:pPr>
              <w:pStyle w:val="482"/>
              <w:rPr>
                <w:rFonts w:hint="eastAsia" w:ascii="宋体" w:hAnsi="宋体" w:eastAsia="宋体" w:cs="宋体"/>
                <w:color w:val="auto"/>
                <w:sz w:val="18"/>
                <w:szCs w:val="18"/>
                <w:highlight w:val="none"/>
              </w:rPr>
            </w:pPr>
          </w:p>
        </w:tc>
        <w:tc>
          <w:tcPr>
            <w:tcW w:w="11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F2326D">
            <w:pPr>
              <w:pStyle w:val="482"/>
              <w:rPr>
                <w:rFonts w:hint="eastAsia" w:ascii="宋体" w:hAnsi="宋体" w:eastAsia="宋体" w:cs="宋体"/>
                <w:color w:val="auto"/>
                <w:sz w:val="18"/>
                <w:szCs w:val="18"/>
                <w:highlight w:val="none"/>
              </w:rPr>
            </w:pP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1CFE9">
            <w:pPr>
              <w:pStyle w:val="482"/>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上市服务-上市知识图谱解析</w:t>
            </w:r>
          </w:p>
        </w:tc>
        <w:tc>
          <w:tcPr>
            <w:tcW w:w="4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E3D00">
            <w:pPr>
              <w:pStyle w:val="482"/>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详细介绍上市的各个环节的知识，从上市筹备、中介机构选择、尽调及规范、股份制改革、上市辅导、上市审核、发行上市等各个环节说明上市流程</w:t>
            </w:r>
          </w:p>
        </w:tc>
      </w:tr>
      <w:tr w14:paraId="17A36238">
        <w:tblPrEx>
          <w:tblCellMar>
            <w:top w:w="0" w:type="dxa"/>
            <w:left w:w="108" w:type="dxa"/>
            <w:bottom w:w="0" w:type="dxa"/>
            <w:right w:w="108" w:type="dxa"/>
          </w:tblCellMar>
        </w:tblPrEx>
        <w:trPr>
          <w:trHeight w:val="340" w:hRule="atLeast"/>
        </w:trPr>
        <w:tc>
          <w:tcPr>
            <w:tcW w:w="96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BBCAD">
            <w:pPr>
              <w:pStyle w:val="482"/>
              <w:rPr>
                <w:rFonts w:hint="eastAsia" w:ascii="宋体" w:hAnsi="宋体" w:eastAsia="宋体" w:cs="宋体"/>
                <w:color w:val="auto"/>
                <w:sz w:val="18"/>
                <w:szCs w:val="18"/>
                <w:highlight w:val="none"/>
              </w:rPr>
            </w:pPr>
          </w:p>
        </w:tc>
        <w:tc>
          <w:tcPr>
            <w:tcW w:w="11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7F3D2D">
            <w:pPr>
              <w:pStyle w:val="482"/>
              <w:rPr>
                <w:rFonts w:hint="eastAsia" w:ascii="宋体" w:hAnsi="宋体" w:eastAsia="宋体" w:cs="宋体"/>
                <w:color w:val="auto"/>
                <w:sz w:val="18"/>
                <w:szCs w:val="18"/>
                <w:highlight w:val="none"/>
              </w:rPr>
            </w:pP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F93AD">
            <w:pPr>
              <w:pStyle w:val="482"/>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上市服务-中介机构服务</w:t>
            </w:r>
          </w:p>
        </w:tc>
        <w:tc>
          <w:tcPr>
            <w:tcW w:w="4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DF3C7">
            <w:pPr>
              <w:pStyle w:val="482"/>
              <w:rPr>
                <w:rFonts w:hint="eastAsia" w:ascii="宋体" w:hAnsi="宋体" w:eastAsia="宋体" w:cs="宋体"/>
                <w:color w:val="auto"/>
                <w:sz w:val="18"/>
                <w:szCs w:val="18"/>
                <w:highlight w:val="none"/>
              </w:rPr>
            </w:pPr>
            <w:r>
              <w:rPr>
                <w:rFonts w:hint="eastAsia" w:ascii="宋体" w:hAnsi="宋体" w:cs="宋体"/>
                <w:color w:val="auto"/>
                <w:sz w:val="18"/>
                <w:szCs w:val="18"/>
                <w:highlight w:val="none"/>
                <w:lang w:val="en-US" w:eastAsia="zh-CN"/>
              </w:rPr>
              <w:t>上市相关</w:t>
            </w:r>
            <w:r>
              <w:rPr>
                <w:rFonts w:hint="eastAsia" w:ascii="宋体" w:hAnsi="宋体" w:eastAsia="宋体" w:cs="宋体"/>
                <w:color w:val="auto"/>
                <w:sz w:val="18"/>
                <w:szCs w:val="18"/>
                <w:highlight w:val="none"/>
              </w:rPr>
              <w:t>中介机构的服务发布、服务推荐、服务申请、服务对接和服务评价</w:t>
            </w:r>
          </w:p>
        </w:tc>
      </w:tr>
      <w:tr w14:paraId="4626838F">
        <w:tblPrEx>
          <w:tblCellMar>
            <w:top w:w="0" w:type="dxa"/>
            <w:left w:w="108" w:type="dxa"/>
            <w:bottom w:w="0" w:type="dxa"/>
            <w:right w:w="108" w:type="dxa"/>
          </w:tblCellMar>
        </w:tblPrEx>
        <w:trPr>
          <w:trHeight w:val="340" w:hRule="atLeast"/>
        </w:trPr>
        <w:tc>
          <w:tcPr>
            <w:tcW w:w="96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0357E">
            <w:pPr>
              <w:pStyle w:val="482"/>
              <w:rPr>
                <w:rFonts w:hint="eastAsia" w:ascii="宋体" w:hAnsi="宋体" w:eastAsia="宋体" w:cs="宋体"/>
                <w:color w:val="auto"/>
                <w:sz w:val="18"/>
                <w:szCs w:val="18"/>
                <w:highlight w:val="none"/>
              </w:rPr>
            </w:pPr>
          </w:p>
        </w:tc>
        <w:tc>
          <w:tcPr>
            <w:tcW w:w="11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8F8C4D">
            <w:pPr>
              <w:pStyle w:val="482"/>
              <w:rPr>
                <w:rFonts w:hint="eastAsia" w:ascii="宋体" w:hAnsi="宋体" w:eastAsia="宋体" w:cs="宋体"/>
                <w:color w:val="auto"/>
                <w:sz w:val="18"/>
                <w:szCs w:val="18"/>
                <w:highlight w:val="none"/>
              </w:rPr>
            </w:pP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273FF">
            <w:pPr>
              <w:pStyle w:val="482"/>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上规服务</w:t>
            </w:r>
          </w:p>
        </w:tc>
        <w:tc>
          <w:tcPr>
            <w:tcW w:w="4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0B231">
            <w:pPr>
              <w:pStyle w:val="482"/>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按照上规的要求提供服务，包括服务推荐、服务申请、服务对接和服务评价</w:t>
            </w:r>
          </w:p>
        </w:tc>
      </w:tr>
      <w:tr w14:paraId="64937B8E">
        <w:tblPrEx>
          <w:tblCellMar>
            <w:top w:w="0" w:type="dxa"/>
            <w:left w:w="108" w:type="dxa"/>
            <w:bottom w:w="0" w:type="dxa"/>
            <w:right w:w="108" w:type="dxa"/>
          </w:tblCellMar>
        </w:tblPrEx>
        <w:trPr>
          <w:trHeight w:val="340" w:hRule="atLeast"/>
        </w:trPr>
        <w:tc>
          <w:tcPr>
            <w:tcW w:w="96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EB5B9">
            <w:pPr>
              <w:pStyle w:val="482"/>
              <w:rPr>
                <w:rFonts w:hint="eastAsia" w:ascii="宋体" w:hAnsi="宋体" w:eastAsia="宋体" w:cs="宋体"/>
                <w:color w:val="auto"/>
                <w:sz w:val="18"/>
                <w:szCs w:val="18"/>
                <w:highlight w:val="none"/>
              </w:rPr>
            </w:pPr>
          </w:p>
        </w:tc>
        <w:tc>
          <w:tcPr>
            <w:tcW w:w="11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7DBDC0D">
            <w:pPr>
              <w:pStyle w:val="482"/>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外创服务</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FE371">
            <w:pPr>
              <w:pStyle w:val="482"/>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外创服务展示</w:t>
            </w:r>
          </w:p>
        </w:tc>
        <w:tc>
          <w:tcPr>
            <w:tcW w:w="4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A11AE">
            <w:pPr>
              <w:pStyle w:val="482"/>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按工作居留许可办理、人才项目申报、人才政策指引、工商注册的维度对服务事项内容查询、展示。</w:t>
            </w:r>
          </w:p>
        </w:tc>
      </w:tr>
      <w:tr w14:paraId="0F61BBEE">
        <w:tblPrEx>
          <w:tblCellMar>
            <w:top w:w="0" w:type="dxa"/>
            <w:left w:w="108" w:type="dxa"/>
            <w:bottom w:w="0" w:type="dxa"/>
            <w:right w:w="108" w:type="dxa"/>
          </w:tblCellMar>
        </w:tblPrEx>
        <w:trPr>
          <w:trHeight w:val="340" w:hRule="atLeast"/>
        </w:trPr>
        <w:tc>
          <w:tcPr>
            <w:tcW w:w="96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7D2FE">
            <w:pPr>
              <w:pStyle w:val="482"/>
              <w:rPr>
                <w:rFonts w:hint="eastAsia" w:ascii="宋体" w:hAnsi="宋体" w:eastAsia="宋体" w:cs="宋体"/>
                <w:color w:val="auto"/>
                <w:sz w:val="18"/>
                <w:szCs w:val="18"/>
                <w:highlight w:val="none"/>
              </w:rPr>
            </w:pPr>
          </w:p>
        </w:tc>
        <w:tc>
          <w:tcPr>
            <w:tcW w:w="11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8C7149">
            <w:pPr>
              <w:pStyle w:val="482"/>
              <w:rPr>
                <w:rFonts w:hint="eastAsia" w:ascii="宋体" w:hAnsi="宋体" w:eastAsia="宋体" w:cs="宋体"/>
                <w:color w:val="auto"/>
                <w:sz w:val="18"/>
                <w:szCs w:val="18"/>
                <w:highlight w:val="none"/>
              </w:rPr>
            </w:pP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F0F07">
            <w:pPr>
              <w:pStyle w:val="482"/>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外创服务办理</w:t>
            </w:r>
          </w:p>
        </w:tc>
        <w:tc>
          <w:tcPr>
            <w:tcW w:w="4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348F2">
            <w:pPr>
              <w:pStyle w:val="482"/>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对接浙里办的用户体系，无缝衔接浙里办的对应的服务事项办理。</w:t>
            </w:r>
          </w:p>
        </w:tc>
      </w:tr>
      <w:tr w14:paraId="3EEB93C7">
        <w:tblPrEx>
          <w:tblCellMar>
            <w:top w:w="0" w:type="dxa"/>
            <w:left w:w="108" w:type="dxa"/>
            <w:bottom w:w="0" w:type="dxa"/>
            <w:right w:w="108" w:type="dxa"/>
          </w:tblCellMar>
        </w:tblPrEx>
        <w:trPr>
          <w:trHeight w:val="340" w:hRule="atLeast"/>
        </w:trPr>
        <w:tc>
          <w:tcPr>
            <w:tcW w:w="96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05110">
            <w:pPr>
              <w:pStyle w:val="482"/>
              <w:rPr>
                <w:rFonts w:hint="eastAsia" w:ascii="宋体" w:hAnsi="宋体" w:eastAsia="宋体" w:cs="宋体"/>
                <w:color w:val="auto"/>
                <w:sz w:val="18"/>
                <w:szCs w:val="18"/>
                <w:highlight w:val="none"/>
              </w:rPr>
            </w:pPr>
          </w:p>
        </w:tc>
        <w:tc>
          <w:tcPr>
            <w:tcW w:w="11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F4E564">
            <w:pPr>
              <w:pStyle w:val="482"/>
              <w:rPr>
                <w:rFonts w:hint="eastAsia" w:ascii="宋体" w:hAnsi="宋体" w:eastAsia="宋体" w:cs="宋体"/>
                <w:color w:val="auto"/>
                <w:sz w:val="18"/>
                <w:szCs w:val="18"/>
                <w:highlight w:val="none"/>
              </w:rPr>
            </w:pP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16B26">
            <w:pPr>
              <w:pStyle w:val="482"/>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办理进度查询</w:t>
            </w:r>
          </w:p>
        </w:tc>
        <w:tc>
          <w:tcPr>
            <w:tcW w:w="4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27165">
            <w:pPr>
              <w:pStyle w:val="482"/>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集成浙里办服务事项办理进度查询。</w:t>
            </w:r>
          </w:p>
        </w:tc>
      </w:tr>
      <w:tr w14:paraId="19E3FF91">
        <w:tblPrEx>
          <w:tblCellMar>
            <w:top w:w="0" w:type="dxa"/>
            <w:left w:w="108" w:type="dxa"/>
            <w:bottom w:w="0" w:type="dxa"/>
            <w:right w:w="108" w:type="dxa"/>
          </w:tblCellMar>
        </w:tblPrEx>
        <w:trPr>
          <w:trHeight w:val="340" w:hRule="atLeast"/>
        </w:trPr>
        <w:tc>
          <w:tcPr>
            <w:tcW w:w="96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3E4E5">
            <w:pPr>
              <w:pStyle w:val="482"/>
              <w:rPr>
                <w:rFonts w:hint="eastAsia" w:ascii="宋体" w:hAnsi="宋体" w:eastAsia="宋体" w:cs="宋体"/>
                <w:color w:val="auto"/>
                <w:sz w:val="18"/>
                <w:szCs w:val="18"/>
                <w:highlight w:val="none"/>
              </w:rPr>
            </w:pPr>
          </w:p>
        </w:tc>
        <w:tc>
          <w:tcPr>
            <w:tcW w:w="11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8144596">
            <w:pPr>
              <w:pStyle w:val="482"/>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特色服务</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3624C">
            <w:pPr>
              <w:pStyle w:val="482"/>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我要找楼宇</w:t>
            </w:r>
          </w:p>
        </w:tc>
        <w:tc>
          <w:tcPr>
            <w:tcW w:w="4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30517">
            <w:pPr>
              <w:pStyle w:val="482"/>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根据园区名称进行检索，还可以按照各个维度进行标签筛选，包括用途分类（研发办公、标准厂房）、楼宇属性、楼宇性质、特色楼宇、可租面积、所属街道/平台等。</w:t>
            </w:r>
          </w:p>
        </w:tc>
      </w:tr>
      <w:tr w14:paraId="733B5FE3">
        <w:tblPrEx>
          <w:tblCellMar>
            <w:top w:w="0" w:type="dxa"/>
            <w:left w:w="108" w:type="dxa"/>
            <w:bottom w:w="0" w:type="dxa"/>
            <w:right w:w="108" w:type="dxa"/>
          </w:tblCellMar>
        </w:tblPrEx>
        <w:trPr>
          <w:trHeight w:val="340" w:hRule="atLeast"/>
        </w:trPr>
        <w:tc>
          <w:tcPr>
            <w:tcW w:w="96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7BED6">
            <w:pPr>
              <w:pStyle w:val="482"/>
              <w:rPr>
                <w:rFonts w:hint="eastAsia" w:ascii="宋体" w:hAnsi="宋体" w:eastAsia="宋体" w:cs="宋体"/>
                <w:color w:val="auto"/>
                <w:sz w:val="18"/>
                <w:szCs w:val="18"/>
                <w:highlight w:val="none"/>
              </w:rPr>
            </w:pPr>
          </w:p>
        </w:tc>
        <w:tc>
          <w:tcPr>
            <w:tcW w:w="11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BBC671">
            <w:pPr>
              <w:pStyle w:val="482"/>
              <w:rPr>
                <w:rFonts w:hint="eastAsia" w:ascii="宋体" w:hAnsi="宋体" w:eastAsia="宋体" w:cs="宋体"/>
                <w:color w:val="auto"/>
                <w:sz w:val="18"/>
                <w:szCs w:val="18"/>
                <w:highlight w:val="none"/>
              </w:rPr>
            </w:pP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B883F">
            <w:pPr>
              <w:pStyle w:val="482"/>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园区信息管理</w:t>
            </w:r>
          </w:p>
        </w:tc>
        <w:tc>
          <w:tcPr>
            <w:tcW w:w="4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08021">
            <w:pPr>
              <w:pStyle w:val="482"/>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园区管理员可以对园区相关信息进行维护和管理，包括园区名称、所属街道、入驻率、自用总面积、出租总面积、可供出租面积（研发办公、标准厂房）、出租价格、联系方式、地址、物业服务、交通出行、周边配套、所属行业、经纬度等。</w:t>
            </w:r>
          </w:p>
        </w:tc>
      </w:tr>
      <w:tr w14:paraId="3B075861">
        <w:tblPrEx>
          <w:tblCellMar>
            <w:top w:w="0" w:type="dxa"/>
            <w:left w:w="108" w:type="dxa"/>
            <w:bottom w:w="0" w:type="dxa"/>
            <w:right w:w="108" w:type="dxa"/>
          </w:tblCellMar>
        </w:tblPrEx>
        <w:trPr>
          <w:trHeight w:val="340" w:hRule="atLeast"/>
        </w:trPr>
        <w:tc>
          <w:tcPr>
            <w:tcW w:w="96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D581D">
            <w:pPr>
              <w:pStyle w:val="482"/>
              <w:rPr>
                <w:rFonts w:hint="eastAsia" w:ascii="宋体" w:hAnsi="宋体" w:eastAsia="宋体" w:cs="宋体"/>
                <w:color w:val="auto"/>
                <w:sz w:val="18"/>
                <w:szCs w:val="18"/>
                <w:highlight w:val="none"/>
              </w:rPr>
            </w:pPr>
          </w:p>
        </w:tc>
        <w:tc>
          <w:tcPr>
            <w:tcW w:w="11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F93E10">
            <w:pPr>
              <w:pStyle w:val="482"/>
              <w:rPr>
                <w:rFonts w:hint="eastAsia" w:ascii="宋体" w:hAnsi="宋体" w:eastAsia="宋体" w:cs="宋体"/>
                <w:color w:val="auto"/>
                <w:sz w:val="18"/>
                <w:szCs w:val="18"/>
                <w:highlight w:val="none"/>
              </w:rPr>
            </w:pP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A2F94">
            <w:pPr>
              <w:pStyle w:val="482"/>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我要找场地</w:t>
            </w:r>
          </w:p>
        </w:tc>
        <w:tc>
          <w:tcPr>
            <w:tcW w:w="4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073AF">
            <w:pPr>
              <w:pStyle w:val="482"/>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支持用户，根据楼宇名称进行搜索，并可以根据期望区域、面积、特色等标签进行精准的场地匹配。</w:t>
            </w:r>
          </w:p>
        </w:tc>
      </w:tr>
      <w:tr w14:paraId="74E46431">
        <w:tblPrEx>
          <w:tblCellMar>
            <w:top w:w="0" w:type="dxa"/>
            <w:left w:w="108" w:type="dxa"/>
            <w:bottom w:w="0" w:type="dxa"/>
            <w:right w:w="108" w:type="dxa"/>
          </w:tblCellMar>
        </w:tblPrEx>
        <w:trPr>
          <w:trHeight w:val="340" w:hRule="atLeast"/>
        </w:trPr>
        <w:tc>
          <w:tcPr>
            <w:tcW w:w="96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81AEB">
            <w:pPr>
              <w:pStyle w:val="482"/>
              <w:rPr>
                <w:rFonts w:hint="eastAsia" w:ascii="宋体" w:hAnsi="宋体" w:eastAsia="宋体" w:cs="宋体"/>
                <w:color w:val="auto"/>
                <w:sz w:val="18"/>
                <w:szCs w:val="18"/>
                <w:highlight w:val="none"/>
              </w:rPr>
            </w:pPr>
          </w:p>
        </w:tc>
        <w:tc>
          <w:tcPr>
            <w:tcW w:w="11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5D4673">
            <w:pPr>
              <w:pStyle w:val="482"/>
              <w:rPr>
                <w:rFonts w:hint="eastAsia" w:ascii="宋体" w:hAnsi="宋体" w:eastAsia="宋体" w:cs="宋体"/>
                <w:color w:val="auto"/>
                <w:sz w:val="18"/>
                <w:szCs w:val="18"/>
                <w:highlight w:val="none"/>
              </w:rPr>
            </w:pP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68603">
            <w:pPr>
              <w:pStyle w:val="482"/>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楼宇信息管理</w:t>
            </w:r>
          </w:p>
        </w:tc>
        <w:tc>
          <w:tcPr>
            <w:tcW w:w="4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259AE">
            <w:pPr>
              <w:pStyle w:val="482"/>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园区管理员可以对园区内的楼宇信息进行维护和管理，包括楼层、承重、层高、装修情况、出租价格、物业服务、交通出行、周边配套、地址、房型照片等。</w:t>
            </w:r>
          </w:p>
        </w:tc>
      </w:tr>
      <w:tr w14:paraId="489E7F44">
        <w:tblPrEx>
          <w:tblCellMar>
            <w:top w:w="0" w:type="dxa"/>
            <w:left w:w="108" w:type="dxa"/>
            <w:bottom w:w="0" w:type="dxa"/>
            <w:right w:w="108" w:type="dxa"/>
          </w:tblCellMar>
        </w:tblPrEx>
        <w:trPr>
          <w:trHeight w:val="340" w:hRule="atLeast"/>
        </w:trPr>
        <w:tc>
          <w:tcPr>
            <w:tcW w:w="96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B8C96">
            <w:pPr>
              <w:pStyle w:val="482"/>
              <w:rPr>
                <w:rFonts w:hint="eastAsia" w:ascii="宋体" w:hAnsi="宋体" w:eastAsia="宋体" w:cs="宋体"/>
                <w:color w:val="auto"/>
                <w:sz w:val="18"/>
                <w:szCs w:val="18"/>
                <w:highlight w:val="none"/>
              </w:rPr>
            </w:pPr>
          </w:p>
        </w:tc>
        <w:tc>
          <w:tcPr>
            <w:tcW w:w="11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0C9390">
            <w:pPr>
              <w:pStyle w:val="482"/>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产业服务-企业供需服务</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55EA1">
            <w:pPr>
              <w:pStyle w:val="482"/>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供需发布</w:t>
            </w:r>
          </w:p>
        </w:tc>
        <w:tc>
          <w:tcPr>
            <w:tcW w:w="4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431BF">
            <w:pPr>
              <w:pStyle w:val="482"/>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企业在线发布供需，通过行业供需生态的搭建，建立企业间交流互动，增加企业曝光度。</w:t>
            </w:r>
          </w:p>
        </w:tc>
      </w:tr>
      <w:tr w14:paraId="41D2C6EB">
        <w:tblPrEx>
          <w:tblCellMar>
            <w:top w:w="0" w:type="dxa"/>
            <w:left w:w="108" w:type="dxa"/>
            <w:bottom w:w="0" w:type="dxa"/>
            <w:right w:w="108" w:type="dxa"/>
          </w:tblCellMar>
        </w:tblPrEx>
        <w:trPr>
          <w:trHeight w:val="340" w:hRule="atLeast"/>
        </w:trPr>
        <w:tc>
          <w:tcPr>
            <w:tcW w:w="96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580B1">
            <w:pPr>
              <w:pStyle w:val="482"/>
              <w:rPr>
                <w:rFonts w:hint="eastAsia" w:ascii="宋体" w:hAnsi="宋体" w:eastAsia="宋体" w:cs="宋体"/>
                <w:color w:val="auto"/>
                <w:sz w:val="18"/>
                <w:szCs w:val="18"/>
                <w:highlight w:val="none"/>
              </w:rPr>
            </w:pPr>
          </w:p>
        </w:tc>
        <w:tc>
          <w:tcPr>
            <w:tcW w:w="11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098E69">
            <w:pPr>
              <w:pStyle w:val="482"/>
              <w:rPr>
                <w:rFonts w:hint="eastAsia" w:ascii="宋体" w:hAnsi="宋体" w:eastAsia="宋体" w:cs="宋体"/>
                <w:color w:val="auto"/>
                <w:sz w:val="18"/>
                <w:szCs w:val="18"/>
                <w:highlight w:val="none"/>
              </w:rPr>
            </w:pP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83BC1">
            <w:pPr>
              <w:pStyle w:val="482"/>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供需智能匹配</w:t>
            </w:r>
          </w:p>
        </w:tc>
        <w:tc>
          <w:tcPr>
            <w:tcW w:w="4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002F9">
            <w:pPr>
              <w:pStyle w:val="482"/>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企业供需服务模块通过智能化语义分析技术手段，由传统手动搜索供需信息，升级为被动接收信息。</w:t>
            </w:r>
          </w:p>
        </w:tc>
      </w:tr>
      <w:tr w14:paraId="51268323">
        <w:tblPrEx>
          <w:tblCellMar>
            <w:top w:w="0" w:type="dxa"/>
            <w:left w:w="108" w:type="dxa"/>
            <w:bottom w:w="0" w:type="dxa"/>
            <w:right w:w="108" w:type="dxa"/>
          </w:tblCellMar>
        </w:tblPrEx>
        <w:trPr>
          <w:trHeight w:val="340" w:hRule="atLeast"/>
        </w:trPr>
        <w:tc>
          <w:tcPr>
            <w:tcW w:w="96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F34F4">
            <w:pPr>
              <w:pStyle w:val="482"/>
              <w:rPr>
                <w:rFonts w:hint="eastAsia" w:ascii="宋体" w:hAnsi="宋体" w:eastAsia="宋体" w:cs="宋体"/>
                <w:color w:val="auto"/>
                <w:sz w:val="18"/>
                <w:szCs w:val="18"/>
                <w:highlight w:val="none"/>
              </w:rPr>
            </w:pPr>
          </w:p>
        </w:tc>
        <w:tc>
          <w:tcPr>
            <w:tcW w:w="11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63ED93">
            <w:pPr>
              <w:pStyle w:val="482"/>
              <w:rPr>
                <w:rFonts w:hint="eastAsia" w:ascii="宋体" w:hAnsi="宋体" w:eastAsia="宋体" w:cs="宋体"/>
                <w:color w:val="auto"/>
                <w:sz w:val="18"/>
                <w:szCs w:val="18"/>
                <w:highlight w:val="none"/>
              </w:rPr>
            </w:pP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69B6A">
            <w:pPr>
              <w:pStyle w:val="482"/>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供需智能推荐</w:t>
            </w:r>
          </w:p>
        </w:tc>
        <w:tc>
          <w:tcPr>
            <w:tcW w:w="4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6AE25">
            <w:pPr>
              <w:pStyle w:val="482"/>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供需推荐即可通过企业的标签及企业供需标签为企业推送相关的供应和需求信息。</w:t>
            </w:r>
          </w:p>
        </w:tc>
      </w:tr>
      <w:tr w14:paraId="098E464B">
        <w:tblPrEx>
          <w:tblCellMar>
            <w:top w:w="0" w:type="dxa"/>
            <w:left w:w="108" w:type="dxa"/>
            <w:bottom w:w="0" w:type="dxa"/>
            <w:right w:w="108" w:type="dxa"/>
          </w:tblCellMar>
        </w:tblPrEx>
        <w:trPr>
          <w:trHeight w:val="340" w:hRule="atLeast"/>
        </w:trPr>
        <w:tc>
          <w:tcPr>
            <w:tcW w:w="96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9EE09">
            <w:pPr>
              <w:pStyle w:val="482"/>
              <w:rPr>
                <w:rFonts w:hint="eastAsia" w:ascii="宋体" w:hAnsi="宋体" w:eastAsia="宋体" w:cs="宋体"/>
                <w:color w:val="auto"/>
                <w:sz w:val="18"/>
                <w:szCs w:val="18"/>
                <w:highlight w:val="none"/>
              </w:rPr>
            </w:pPr>
          </w:p>
        </w:tc>
        <w:tc>
          <w:tcPr>
            <w:tcW w:w="11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769E15">
            <w:pPr>
              <w:pStyle w:val="482"/>
              <w:rPr>
                <w:rFonts w:hint="eastAsia" w:ascii="宋体" w:hAnsi="宋体" w:eastAsia="宋体" w:cs="宋体"/>
                <w:color w:val="auto"/>
                <w:sz w:val="18"/>
                <w:szCs w:val="18"/>
                <w:highlight w:val="none"/>
              </w:rPr>
            </w:pP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85494">
            <w:pPr>
              <w:pStyle w:val="482"/>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供需大厅</w:t>
            </w:r>
          </w:p>
        </w:tc>
        <w:tc>
          <w:tcPr>
            <w:tcW w:w="4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7B2F3">
            <w:pPr>
              <w:pStyle w:val="482"/>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为区内企业的供需信息仓库。为区内外在册以及未在册企业提供智能化查询服务。</w:t>
            </w:r>
          </w:p>
        </w:tc>
      </w:tr>
      <w:tr w14:paraId="7B0DEB89">
        <w:tblPrEx>
          <w:tblCellMar>
            <w:top w:w="0" w:type="dxa"/>
            <w:left w:w="108" w:type="dxa"/>
            <w:bottom w:w="0" w:type="dxa"/>
            <w:right w:w="108" w:type="dxa"/>
          </w:tblCellMar>
        </w:tblPrEx>
        <w:trPr>
          <w:trHeight w:val="340" w:hRule="atLeast"/>
        </w:trPr>
        <w:tc>
          <w:tcPr>
            <w:tcW w:w="96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EED13">
            <w:pPr>
              <w:pStyle w:val="482"/>
              <w:rPr>
                <w:rFonts w:hint="eastAsia" w:ascii="宋体" w:hAnsi="宋体" w:eastAsia="宋体" w:cs="宋体"/>
                <w:color w:val="auto"/>
                <w:sz w:val="18"/>
                <w:szCs w:val="18"/>
                <w:highlight w:val="none"/>
              </w:rPr>
            </w:pPr>
          </w:p>
        </w:tc>
        <w:tc>
          <w:tcPr>
            <w:tcW w:w="11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5FA295">
            <w:pPr>
              <w:pStyle w:val="482"/>
              <w:rPr>
                <w:rFonts w:hint="eastAsia" w:ascii="宋体" w:hAnsi="宋体" w:eastAsia="宋体" w:cs="宋体"/>
                <w:color w:val="auto"/>
                <w:sz w:val="18"/>
                <w:szCs w:val="18"/>
                <w:highlight w:val="none"/>
              </w:rPr>
            </w:pP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D4B3F">
            <w:pPr>
              <w:pStyle w:val="482"/>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产品发布</w:t>
            </w:r>
          </w:p>
        </w:tc>
        <w:tc>
          <w:tcPr>
            <w:tcW w:w="4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6B4B0">
            <w:pPr>
              <w:pStyle w:val="482"/>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企业可以维护自身的产品信息，包括产品名称、型号、产品说明、产品图片等。</w:t>
            </w:r>
          </w:p>
        </w:tc>
      </w:tr>
      <w:tr w14:paraId="3CF304B8">
        <w:tblPrEx>
          <w:tblCellMar>
            <w:top w:w="0" w:type="dxa"/>
            <w:left w:w="108" w:type="dxa"/>
            <w:bottom w:w="0" w:type="dxa"/>
            <w:right w:w="108" w:type="dxa"/>
          </w:tblCellMar>
        </w:tblPrEx>
        <w:trPr>
          <w:trHeight w:val="340" w:hRule="atLeast"/>
        </w:trPr>
        <w:tc>
          <w:tcPr>
            <w:tcW w:w="96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1B30B">
            <w:pPr>
              <w:pStyle w:val="482"/>
              <w:rPr>
                <w:rFonts w:hint="eastAsia" w:ascii="宋体" w:hAnsi="宋体" w:eastAsia="宋体" w:cs="宋体"/>
                <w:color w:val="auto"/>
                <w:sz w:val="18"/>
                <w:szCs w:val="18"/>
                <w:highlight w:val="none"/>
              </w:rPr>
            </w:pPr>
          </w:p>
        </w:tc>
        <w:tc>
          <w:tcPr>
            <w:tcW w:w="11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6E017D">
            <w:pPr>
              <w:pStyle w:val="482"/>
              <w:rPr>
                <w:rFonts w:hint="eastAsia" w:ascii="宋体" w:hAnsi="宋体" w:eastAsia="宋体" w:cs="宋体"/>
                <w:color w:val="auto"/>
                <w:sz w:val="18"/>
                <w:szCs w:val="18"/>
                <w:highlight w:val="none"/>
              </w:rPr>
            </w:pP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3FAC1">
            <w:pPr>
              <w:pStyle w:val="482"/>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企业名片</w:t>
            </w:r>
          </w:p>
        </w:tc>
        <w:tc>
          <w:tcPr>
            <w:tcW w:w="4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3FB0B">
            <w:pPr>
              <w:pStyle w:val="482"/>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企业可自行维护各自的企业名片，作为企业宣传自身品牌和服务的载体。当企业针对一条供需内容留言后，对方企业可根据访客信息和留言内容找到留言企业，通过企业名片查看具体联系方式，方便企业间相互联系。</w:t>
            </w:r>
          </w:p>
        </w:tc>
      </w:tr>
      <w:tr w14:paraId="0742A3F5">
        <w:tblPrEx>
          <w:tblCellMar>
            <w:top w:w="0" w:type="dxa"/>
            <w:left w:w="108" w:type="dxa"/>
            <w:bottom w:w="0" w:type="dxa"/>
            <w:right w:w="108" w:type="dxa"/>
          </w:tblCellMar>
        </w:tblPrEx>
        <w:trPr>
          <w:trHeight w:val="340" w:hRule="atLeast"/>
        </w:trPr>
        <w:tc>
          <w:tcPr>
            <w:tcW w:w="96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AC01F">
            <w:pPr>
              <w:pStyle w:val="482"/>
              <w:rPr>
                <w:rFonts w:hint="eastAsia" w:ascii="宋体" w:hAnsi="宋体" w:eastAsia="宋体" w:cs="宋体"/>
                <w:color w:val="auto"/>
                <w:sz w:val="18"/>
                <w:szCs w:val="18"/>
                <w:highlight w:val="none"/>
              </w:rPr>
            </w:pPr>
          </w:p>
        </w:tc>
        <w:tc>
          <w:tcPr>
            <w:tcW w:w="11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855E96">
            <w:pPr>
              <w:pStyle w:val="482"/>
              <w:rPr>
                <w:rFonts w:hint="eastAsia" w:ascii="宋体" w:hAnsi="宋体" w:eastAsia="宋体" w:cs="宋体"/>
                <w:color w:val="auto"/>
                <w:sz w:val="18"/>
                <w:szCs w:val="18"/>
                <w:highlight w:val="none"/>
              </w:rPr>
            </w:pP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789D9">
            <w:pPr>
              <w:pStyle w:val="482"/>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企业工作台</w:t>
            </w:r>
          </w:p>
        </w:tc>
        <w:tc>
          <w:tcPr>
            <w:tcW w:w="4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5464F">
            <w:pPr>
              <w:pStyle w:val="482"/>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企业集中处理工作的线上办公桌。查阅消息、留言跟踪、供需维护等等均可在统一处理。方便企业集中对互动信息进行查看和跟踪。</w:t>
            </w:r>
          </w:p>
        </w:tc>
      </w:tr>
      <w:tr w14:paraId="3623F3FD">
        <w:tblPrEx>
          <w:tblCellMar>
            <w:top w:w="0" w:type="dxa"/>
            <w:left w:w="108" w:type="dxa"/>
            <w:bottom w:w="0" w:type="dxa"/>
            <w:right w:w="108" w:type="dxa"/>
          </w:tblCellMar>
        </w:tblPrEx>
        <w:trPr>
          <w:trHeight w:val="340" w:hRule="atLeast"/>
        </w:trPr>
        <w:tc>
          <w:tcPr>
            <w:tcW w:w="96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8A8C1">
            <w:pPr>
              <w:pStyle w:val="482"/>
              <w:rPr>
                <w:rFonts w:hint="eastAsia" w:ascii="宋体" w:hAnsi="宋体" w:eastAsia="宋体" w:cs="宋体"/>
                <w:color w:val="auto"/>
                <w:sz w:val="18"/>
                <w:szCs w:val="18"/>
                <w:highlight w:val="none"/>
              </w:rPr>
            </w:pPr>
          </w:p>
        </w:tc>
        <w:tc>
          <w:tcPr>
            <w:tcW w:w="11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CAD4D86">
            <w:pPr>
              <w:pStyle w:val="482"/>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产业服务-产业分析</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1FFE4">
            <w:pPr>
              <w:pStyle w:val="482"/>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数字经济</w:t>
            </w:r>
          </w:p>
        </w:tc>
        <w:tc>
          <w:tcPr>
            <w:tcW w:w="4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662AF">
            <w:pPr>
              <w:pStyle w:val="482"/>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提供数据分析工具，包括数据可视化、数据挖掘等功能，帮助用户理解数字经济产业的发展趋势、市场规模和竞争格局。</w:t>
            </w:r>
          </w:p>
        </w:tc>
      </w:tr>
      <w:tr w14:paraId="3D279505">
        <w:tblPrEx>
          <w:tblCellMar>
            <w:top w:w="0" w:type="dxa"/>
            <w:left w:w="108" w:type="dxa"/>
            <w:bottom w:w="0" w:type="dxa"/>
            <w:right w:w="108" w:type="dxa"/>
          </w:tblCellMar>
        </w:tblPrEx>
        <w:trPr>
          <w:trHeight w:val="340" w:hRule="atLeast"/>
        </w:trPr>
        <w:tc>
          <w:tcPr>
            <w:tcW w:w="96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316EF">
            <w:pPr>
              <w:pStyle w:val="482"/>
              <w:rPr>
                <w:rFonts w:hint="eastAsia" w:ascii="宋体" w:hAnsi="宋体" w:eastAsia="宋体" w:cs="宋体"/>
                <w:color w:val="auto"/>
                <w:sz w:val="18"/>
                <w:szCs w:val="18"/>
                <w:highlight w:val="none"/>
              </w:rPr>
            </w:pPr>
          </w:p>
        </w:tc>
        <w:tc>
          <w:tcPr>
            <w:tcW w:w="11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888877">
            <w:pPr>
              <w:pStyle w:val="482"/>
              <w:rPr>
                <w:rFonts w:hint="eastAsia" w:ascii="宋体" w:hAnsi="宋体" w:eastAsia="宋体" w:cs="宋体"/>
                <w:color w:val="auto"/>
                <w:sz w:val="18"/>
                <w:szCs w:val="18"/>
                <w:highlight w:val="none"/>
              </w:rPr>
            </w:pP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2BCC1">
            <w:pPr>
              <w:pStyle w:val="482"/>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生命健康</w:t>
            </w:r>
          </w:p>
        </w:tc>
        <w:tc>
          <w:tcPr>
            <w:tcW w:w="4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43E6B">
            <w:pPr>
              <w:pStyle w:val="482"/>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提供生命健康产业的市场调研报告、行业分析和竞争对手分析等功能，帮助用户了解生命健康产业的市场情况和发展趋势。</w:t>
            </w:r>
          </w:p>
        </w:tc>
      </w:tr>
      <w:tr w14:paraId="5D120BBB">
        <w:tblPrEx>
          <w:tblCellMar>
            <w:top w:w="0" w:type="dxa"/>
            <w:left w:w="108" w:type="dxa"/>
            <w:bottom w:w="0" w:type="dxa"/>
            <w:right w:w="108" w:type="dxa"/>
          </w:tblCellMar>
        </w:tblPrEx>
        <w:trPr>
          <w:trHeight w:val="340" w:hRule="atLeast"/>
        </w:trPr>
        <w:tc>
          <w:tcPr>
            <w:tcW w:w="96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19BF6">
            <w:pPr>
              <w:pStyle w:val="482"/>
              <w:rPr>
                <w:rFonts w:hint="eastAsia" w:ascii="宋体" w:hAnsi="宋体" w:eastAsia="宋体" w:cs="宋体"/>
                <w:color w:val="auto"/>
                <w:sz w:val="18"/>
                <w:szCs w:val="18"/>
                <w:highlight w:val="none"/>
              </w:rPr>
            </w:pPr>
          </w:p>
        </w:tc>
        <w:tc>
          <w:tcPr>
            <w:tcW w:w="11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977381">
            <w:pPr>
              <w:pStyle w:val="482"/>
              <w:rPr>
                <w:rFonts w:hint="eastAsia" w:ascii="宋体" w:hAnsi="宋体" w:eastAsia="宋体" w:cs="宋体"/>
                <w:color w:val="auto"/>
                <w:sz w:val="18"/>
                <w:szCs w:val="18"/>
                <w:highlight w:val="none"/>
              </w:rPr>
            </w:pP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6F301">
            <w:pPr>
              <w:pStyle w:val="482"/>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智能制造</w:t>
            </w:r>
          </w:p>
        </w:tc>
        <w:tc>
          <w:tcPr>
            <w:tcW w:w="4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4EC5E">
            <w:pPr>
              <w:pStyle w:val="482"/>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提供智能制造产业的企业排行榜、行业报告和趋势预测等功能，帮助用户了解智能制造产业的市场格局和竞争态势。</w:t>
            </w:r>
          </w:p>
        </w:tc>
      </w:tr>
      <w:tr w14:paraId="26EE773E">
        <w:tblPrEx>
          <w:tblCellMar>
            <w:top w:w="0" w:type="dxa"/>
            <w:left w:w="108" w:type="dxa"/>
            <w:bottom w:w="0" w:type="dxa"/>
            <w:right w:w="108" w:type="dxa"/>
          </w:tblCellMar>
        </w:tblPrEx>
        <w:trPr>
          <w:trHeight w:val="340" w:hRule="atLeast"/>
        </w:trPr>
        <w:tc>
          <w:tcPr>
            <w:tcW w:w="96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6AD50">
            <w:pPr>
              <w:pStyle w:val="482"/>
              <w:rPr>
                <w:rFonts w:hint="eastAsia" w:ascii="宋体" w:hAnsi="宋体" w:eastAsia="宋体" w:cs="宋体"/>
                <w:color w:val="auto"/>
                <w:sz w:val="18"/>
                <w:szCs w:val="18"/>
                <w:highlight w:val="none"/>
              </w:rPr>
            </w:pPr>
          </w:p>
        </w:tc>
        <w:tc>
          <w:tcPr>
            <w:tcW w:w="1154"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14:paraId="30B98709">
            <w:pPr>
              <w:pStyle w:val="482"/>
              <w:rPr>
                <w:rFonts w:hint="eastAsia" w:ascii="宋体" w:hAnsi="宋体" w:eastAsia="宋体" w:cs="宋体"/>
                <w:color w:val="auto"/>
                <w:sz w:val="18"/>
                <w:szCs w:val="18"/>
                <w:highlight w:val="none"/>
              </w:rPr>
            </w:pPr>
          </w:p>
        </w:tc>
        <w:tc>
          <w:tcPr>
            <w:tcW w:w="1696" w:type="dxa"/>
            <w:tcBorders>
              <w:top w:val="single" w:color="000000" w:sz="4" w:space="0"/>
              <w:left w:val="single" w:color="000000" w:sz="4" w:space="0"/>
              <w:bottom w:val="single" w:color="auto" w:sz="4" w:space="0"/>
              <w:right w:val="single" w:color="000000" w:sz="4" w:space="0"/>
            </w:tcBorders>
            <w:shd w:val="clear" w:color="auto" w:fill="auto"/>
            <w:vAlign w:val="center"/>
          </w:tcPr>
          <w:p w14:paraId="61040355">
            <w:pPr>
              <w:pStyle w:val="482"/>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电竞文娱</w:t>
            </w:r>
          </w:p>
        </w:tc>
        <w:tc>
          <w:tcPr>
            <w:tcW w:w="4541" w:type="dxa"/>
            <w:tcBorders>
              <w:top w:val="single" w:color="000000" w:sz="4" w:space="0"/>
              <w:left w:val="single" w:color="000000" w:sz="4" w:space="0"/>
              <w:bottom w:val="single" w:color="auto" w:sz="4" w:space="0"/>
              <w:right w:val="single" w:color="000000" w:sz="4" w:space="0"/>
            </w:tcBorders>
            <w:shd w:val="clear" w:color="auto" w:fill="auto"/>
            <w:vAlign w:val="center"/>
          </w:tcPr>
          <w:p w14:paraId="3D320676">
            <w:pPr>
              <w:pStyle w:val="482"/>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提供电竞文娱产业的市场数据、用户调研和竞争分析等功能，帮助用户了解电竞文娱产业的市场规模和发展趋势。</w:t>
            </w:r>
          </w:p>
        </w:tc>
      </w:tr>
      <w:tr w14:paraId="19142C69">
        <w:tblPrEx>
          <w:tblCellMar>
            <w:top w:w="0" w:type="dxa"/>
            <w:left w:w="108" w:type="dxa"/>
            <w:bottom w:w="0" w:type="dxa"/>
            <w:right w:w="108" w:type="dxa"/>
          </w:tblCellMar>
        </w:tblPrEx>
        <w:trPr>
          <w:trHeight w:val="340" w:hRule="atLeast"/>
        </w:trPr>
        <w:tc>
          <w:tcPr>
            <w:tcW w:w="968" w:type="dxa"/>
            <w:vMerge w:val="continue"/>
            <w:tcBorders>
              <w:top w:val="single" w:color="000000" w:sz="4" w:space="0"/>
              <w:left w:val="single" w:color="000000" w:sz="4" w:space="0"/>
              <w:bottom w:val="single" w:color="000000" w:sz="4" w:space="0"/>
              <w:right w:val="single" w:color="auto" w:sz="4" w:space="0"/>
            </w:tcBorders>
            <w:shd w:val="clear" w:color="auto" w:fill="auto"/>
            <w:noWrap/>
            <w:vAlign w:val="center"/>
          </w:tcPr>
          <w:p w14:paraId="441494DB">
            <w:pPr>
              <w:pStyle w:val="482"/>
              <w:rPr>
                <w:rFonts w:hint="eastAsia" w:ascii="宋体" w:hAnsi="宋体" w:eastAsia="宋体" w:cs="宋体"/>
                <w:color w:val="auto"/>
                <w:sz w:val="18"/>
                <w:szCs w:val="18"/>
                <w:highlight w:val="none"/>
              </w:rPr>
            </w:pPr>
          </w:p>
        </w:tc>
        <w:tc>
          <w:tcPr>
            <w:tcW w:w="115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0886D05">
            <w:pPr>
              <w:pStyle w:val="482"/>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商务社区</w:t>
            </w:r>
          </w:p>
          <w:p w14:paraId="04C42E93">
            <w:pPr>
              <w:pStyle w:val="482"/>
              <w:rPr>
                <w:rFonts w:hint="eastAsia" w:ascii="宋体" w:hAnsi="宋体" w:eastAsia="宋体" w:cs="宋体"/>
                <w:color w:val="auto"/>
                <w:sz w:val="18"/>
                <w:szCs w:val="18"/>
                <w:highlight w:val="none"/>
              </w:rPr>
            </w:pPr>
          </w:p>
        </w:tc>
        <w:tc>
          <w:tcPr>
            <w:tcW w:w="1696" w:type="dxa"/>
            <w:tcBorders>
              <w:top w:val="single" w:color="auto" w:sz="4" w:space="0"/>
              <w:left w:val="single" w:color="auto" w:sz="4" w:space="0"/>
              <w:bottom w:val="single" w:color="auto" w:sz="4" w:space="0"/>
              <w:right w:val="single" w:color="auto" w:sz="4" w:space="0"/>
            </w:tcBorders>
            <w:shd w:val="clear" w:color="auto" w:fill="auto"/>
            <w:vAlign w:val="center"/>
          </w:tcPr>
          <w:p w14:paraId="73272E56">
            <w:pPr>
              <w:pStyle w:val="482"/>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兴趣社管理</w:t>
            </w:r>
          </w:p>
        </w:tc>
        <w:tc>
          <w:tcPr>
            <w:tcW w:w="4541" w:type="dxa"/>
            <w:tcBorders>
              <w:top w:val="single" w:color="auto" w:sz="4" w:space="0"/>
              <w:left w:val="single" w:color="auto" w:sz="4" w:space="0"/>
              <w:bottom w:val="single" w:color="auto" w:sz="4" w:space="0"/>
              <w:right w:val="single" w:color="auto" w:sz="4" w:space="0"/>
            </w:tcBorders>
            <w:shd w:val="clear" w:color="auto" w:fill="auto"/>
            <w:vAlign w:val="center"/>
          </w:tcPr>
          <w:p w14:paraId="680D0949">
            <w:pPr>
              <w:pStyle w:val="482"/>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兴趣社信息管理、兴趣社信息审核、兴趣社信息展示</w:t>
            </w:r>
          </w:p>
        </w:tc>
      </w:tr>
      <w:tr w14:paraId="0FB9EDE2">
        <w:tblPrEx>
          <w:tblCellMar>
            <w:top w:w="0" w:type="dxa"/>
            <w:left w:w="108" w:type="dxa"/>
            <w:bottom w:w="0" w:type="dxa"/>
            <w:right w:w="108" w:type="dxa"/>
          </w:tblCellMar>
        </w:tblPrEx>
        <w:trPr>
          <w:trHeight w:val="340" w:hRule="atLeast"/>
        </w:trPr>
        <w:tc>
          <w:tcPr>
            <w:tcW w:w="968" w:type="dxa"/>
            <w:vMerge w:val="continue"/>
            <w:tcBorders>
              <w:top w:val="single" w:color="000000" w:sz="4" w:space="0"/>
              <w:left w:val="single" w:color="000000" w:sz="4" w:space="0"/>
              <w:bottom w:val="single" w:color="000000" w:sz="4" w:space="0"/>
              <w:right w:val="single" w:color="auto" w:sz="4" w:space="0"/>
            </w:tcBorders>
            <w:shd w:val="clear" w:color="auto" w:fill="auto"/>
            <w:noWrap/>
            <w:vAlign w:val="center"/>
          </w:tcPr>
          <w:p w14:paraId="1CA3FA70">
            <w:pPr>
              <w:pStyle w:val="482"/>
              <w:rPr>
                <w:rFonts w:hint="eastAsia" w:ascii="宋体" w:hAnsi="宋体" w:eastAsia="宋体" w:cs="宋体"/>
                <w:color w:val="auto"/>
                <w:sz w:val="18"/>
                <w:szCs w:val="18"/>
                <w:highlight w:val="none"/>
              </w:rPr>
            </w:pPr>
          </w:p>
        </w:tc>
        <w:tc>
          <w:tcPr>
            <w:tcW w:w="115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0094F6D">
            <w:pPr>
              <w:pStyle w:val="482"/>
              <w:rPr>
                <w:rFonts w:hint="eastAsia" w:ascii="宋体" w:hAnsi="宋体" w:eastAsia="宋体" w:cs="宋体"/>
                <w:color w:val="auto"/>
                <w:sz w:val="18"/>
                <w:szCs w:val="18"/>
                <w:highlight w:val="none"/>
              </w:rPr>
            </w:pPr>
          </w:p>
        </w:tc>
        <w:tc>
          <w:tcPr>
            <w:tcW w:w="1696" w:type="dxa"/>
            <w:tcBorders>
              <w:top w:val="single" w:color="auto" w:sz="4" w:space="0"/>
              <w:left w:val="single" w:color="auto" w:sz="4" w:space="0"/>
              <w:bottom w:val="single" w:color="auto" w:sz="4" w:space="0"/>
              <w:right w:val="single" w:color="auto" w:sz="4" w:space="0"/>
            </w:tcBorders>
            <w:shd w:val="clear" w:color="auto" w:fill="auto"/>
            <w:vAlign w:val="center"/>
          </w:tcPr>
          <w:p w14:paraId="0DF22D33">
            <w:pPr>
              <w:pStyle w:val="482"/>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兴趣社活动</w:t>
            </w:r>
          </w:p>
        </w:tc>
        <w:tc>
          <w:tcPr>
            <w:tcW w:w="4541" w:type="dxa"/>
            <w:tcBorders>
              <w:top w:val="single" w:color="auto" w:sz="4" w:space="0"/>
              <w:left w:val="single" w:color="auto" w:sz="4" w:space="0"/>
              <w:bottom w:val="single" w:color="auto" w:sz="4" w:space="0"/>
              <w:right w:val="single" w:color="auto" w:sz="4" w:space="0"/>
            </w:tcBorders>
            <w:shd w:val="clear" w:color="auto" w:fill="auto"/>
            <w:vAlign w:val="center"/>
          </w:tcPr>
          <w:p w14:paraId="392F8C33">
            <w:pPr>
              <w:pStyle w:val="482"/>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兴趣社活动管理、兴趣社活动审核、兴趣社活动展示、兴趣社活动报名、兴趣社活动评价</w:t>
            </w:r>
          </w:p>
        </w:tc>
      </w:tr>
      <w:tr w14:paraId="05A5B660">
        <w:tblPrEx>
          <w:tblCellMar>
            <w:top w:w="0" w:type="dxa"/>
            <w:left w:w="108" w:type="dxa"/>
            <w:bottom w:w="0" w:type="dxa"/>
            <w:right w:w="108" w:type="dxa"/>
          </w:tblCellMar>
        </w:tblPrEx>
        <w:trPr>
          <w:trHeight w:val="340" w:hRule="atLeast"/>
        </w:trPr>
        <w:tc>
          <w:tcPr>
            <w:tcW w:w="968" w:type="dxa"/>
            <w:vMerge w:val="continue"/>
            <w:tcBorders>
              <w:top w:val="single" w:color="000000" w:sz="4" w:space="0"/>
              <w:left w:val="single" w:color="000000" w:sz="4" w:space="0"/>
              <w:bottom w:val="single" w:color="000000" w:sz="4" w:space="0"/>
              <w:right w:val="single" w:color="auto" w:sz="4" w:space="0"/>
            </w:tcBorders>
            <w:shd w:val="clear" w:color="auto" w:fill="auto"/>
            <w:noWrap/>
            <w:vAlign w:val="center"/>
          </w:tcPr>
          <w:p w14:paraId="2D243DB5">
            <w:pPr>
              <w:pStyle w:val="482"/>
              <w:rPr>
                <w:rFonts w:hint="eastAsia" w:ascii="宋体" w:hAnsi="宋体" w:eastAsia="宋体" w:cs="宋体"/>
                <w:color w:val="auto"/>
                <w:sz w:val="18"/>
                <w:szCs w:val="18"/>
                <w:highlight w:val="none"/>
              </w:rPr>
            </w:pPr>
          </w:p>
        </w:tc>
        <w:tc>
          <w:tcPr>
            <w:tcW w:w="115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0FE3792">
            <w:pPr>
              <w:pStyle w:val="482"/>
              <w:rPr>
                <w:rFonts w:hint="eastAsia" w:ascii="宋体" w:hAnsi="宋体" w:eastAsia="宋体" w:cs="宋体"/>
                <w:color w:val="auto"/>
                <w:sz w:val="18"/>
                <w:szCs w:val="18"/>
                <w:highlight w:val="none"/>
              </w:rPr>
            </w:pPr>
          </w:p>
        </w:tc>
        <w:tc>
          <w:tcPr>
            <w:tcW w:w="1696" w:type="dxa"/>
            <w:tcBorders>
              <w:top w:val="single" w:color="auto" w:sz="4" w:space="0"/>
              <w:left w:val="single" w:color="auto" w:sz="4" w:space="0"/>
              <w:bottom w:val="single" w:color="auto" w:sz="4" w:space="0"/>
              <w:right w:val="single" w:color="auto" w:sz="4" w:space="0"/>
            </w:tcBorders>
            <w:shd w:val="clear" w:color="auto" w:fill="auto"/>
            <w:vAlign w:val="center"/>
          </w:tcPr>
          <w:p w14:paraId="354E98C3">
            <w:pPr>
              <w:pStyle w:val="482"/>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社区活动管理</w:t>
            </w:r>
          </w:p>
        </w:tc>
        <w:tc>
          <w:tcPr>
            <w:tcW w:w="4541" w:type="dxa"/>
            <w:tcBorders>
              <w:top w:val="single" w:color="auto" w:sz="4" w:space="0"/>
              <w:left w:val="single" w:color="auto" w:sz="4" w:space="0"/>
              <w:bottom w:val="single" w:color="auto" w:sz="4" w:space="0"/>
              <w:right w:val="single" w:color="auto" w:sz="4" w:space="0"/>
            </w:tcBorders>
            <w:shd w:val="clear" w:color="auto" w:fill="auto"/>
            <w:vAlign w:val="center"/>
          </w:tcPr>
          <w:p w14:paraId="71E3423B">
            <w:pPr>
              <w:pStyle w:val="482"/>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活动管理员可以发起社区活动，管理员可以维护活动相关信息，包括活动名称、活动地点、联系人、联系方式、活动介绍、相关图片等。</w:t>
            </w:r>
          </w:p>
        </w:tc>
      </w:tr>
      <w:tr w14:paraId="69FFBEB8">
        <w:tblPrEx>
          <w:tblCellMar>
            <w:top w:w="0" w:type="dxa"/>
            <w:left w:w="108" w:type="dxa"/>
            <w:bottom w:w="0" w:type="dxa"/>
            <w:right w:w="108" w:type="dxa"/>
          </w:tblCellMar>
        </w:tblPrEx>
        <w:trPr>
          <w:trHeight w:val="340" w:hRule="atLeast"/>
        </w:trPr>
        <w:tc>
          <w:tcPr>
            <w:tcW w:w="968" w:type="dxa"/>
            <w:vMerge w:val="continue"/>
            <w:tcBorders>
              <w:top w:val="single" w:color="000000" w:sz="4" w:space="0"/>
              <w:left w:val="single" w:color="000000" w:sz="4" w:space="0"/>
              <w:bottom w:val="single" w:color="000000" w:sz="4" w:space="0"/>
              <w:right w:val="single" w:color="auto" w:sz="4" w:space="0"/>
            </w:tcBorders>
            <w:shd w:val="clear" w:color="auto" w:fill="auto"/>
            <w:noWrap/>
            <w:vAlign w:val="center"/>
          </w:tcPr>
          <w:p w14:paraId="5E3D0153">
            <w:pPr>
              <w:pStyle w:val="482"/>
              <w:rPr>
                <w:rFonts w:hint="eastAsia" w:ascii="宋体" w:hAnsi="宋体" w:eastAsia="宋体" w:cs="宋体"/>
                <w:color w:val="auto"/>
                <w:sz w:val="18"/>
                <w:szCs w:val="18"/>
                <w:highlight w:val="none"/>
              </w:rPr>
            </w:pPr>
          </w:p>
        </w:tc>
        <w:tc>
          <w:tcPr>
            <w:tcW w:w="115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0112450">
            <w:pPr>
              <w:pStyle w:val="482"/>
              <w:rPr>
                <w:rFonts w:hint="eastAsia" w:ascii="宋体" w:hAnsi="宋体" w:eastAsia="宋体" w:cs="宋体"/>
                <w:color w:val="auto"/>
                <w:sz w:val="18"/>
                <w:szCs w:val="18"/>
                <w:highlight w:val="none"/>
              </w:rPr>
            </w:pPr>
          </w:p>
        </w:tc>
        <w:tc>
          <w:tcPr>
            <w:tcW w:w="1696" w:type="dxa"/>
            <w:tcBorders>
              <w:top w:val="single" w:color="auto" w:sz="4" w:space="0"/>
              <w:left w:val="single" w:color="auto" w:sz="4" w:space="0"/>
              <w:bottom w:val="single" w:color="auto" w:sz="4" w:space="0"/>
              <w:right w:val="single" w:color="auto" w:sz="4" w:space="0"/>
            </w:tcBorders>
            <w:shd w:val="clear" w:color="auto" w:fill="auto"/>
            <w:vAlign w:val="center"/>
          </w:tcPr>
          <w:p w14:paraId="5EEB53BC">
            <w:pPr>
              <w:pStyle w:val="482"/>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社区活动展示</w:t>
            </w:r>
          </w:p>
        </w:tc>
        <w:tc>
          <w:tcPr>
            <w:tcW w:w="4541" w:type="dxa"/>
            <w:tcBorders>
              <w:top w:val="single" w:color="auto" w:sz="4" w:space="0"/>
              <w:left w:val="single" w:color="auto" w:sz="4" w:space="0"/>
              <w:bottom w:val="single" w:color="auto" w:sz="4" w:space="0"/>
              <w:right w:val="single" w:color="auto" w:sz="4" w:space="0"/>
            </w:tcBorders>
            <w:shd w:val="clear" w:color="auto" w:fill="auto"/>
            <w:vAlign w:val="center"/>
          </w:tcPr>
          <w:p w14:paraId="26527E56">
            <w:pPr>
              <w:pStyle w:val="482"/>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在门户首页相关栏目展示活动列表，企业用户可以查看活动信息详情。</w:t>
            </w:r>
          </w:p>
        </w:tc>
      </w:tr>
      <w:tr w14:paraId="1D88D4FC">
        <w:tblPrEx>
          <w:tblCellMar>
            <w:top w:w="0" w:type="dxa"/>
            <w:left w:w="108" w:type="dxa"/>
            <w:bottom w:w="0" w:type="dxa"/>
            <w:right w:w="108" w:type="dxa"/>
          </w:tblCellMar>
        </w:tblPrEx>
        <w:trPr>
          <w:trHeight w:val="340" w:hRule="atLeast"/>
        </w:trPr>
        <w:tc>
          <w:tcPr>
            <w:tcW w:w="968" w:type="dxa"/>
            <w:vMerge w:val="continue"/>
            <w:tcBorders>
              <w:top w:val="single" w:color="000000" w:sz="4" w:space="0"/>
              <w:left w:val="single" w:color="000000" w:sz="4" w:space="0"/>
              <w:bottom w:val="single" w:color="000000" w:sz="4" w:space="0"/>
              <w:right w:val="single" w:color="auto" w:sz="4" w:space="0"/>
            </w:tcBorders>
            <w:shd w:val="clear" w:color="auto" w:fill="auto"/>
            <w:noWrap/>
            <w:vAlign w:val="center"/>
          </w:tcPr>
          <w:p w14:paraId="4F58D09C">
            <w:pPr>
              <w:pStyle w:val="482"/>
              <w:rPr>
                <w:rFonts w:hint="eastAsia" w:ascii="宋体" w:hAnsi="宋体" w:eastAsia="宋体" w:cs="宋体"/>
                <w:color w:val="auto"/>
                <w:sz w:val="18"/>
                <w:szCs w:val="18"/>
                <w:highlight w:val="none"/>
              </w:rPr>
            </w:pPr>
          </w:p>
        </w:tc>
        <w:tc>
          <w:tcPr>
            <w:tcW w:w="115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82EB749">
            <w:pPr>
              <w:pStyle w:val="482"/>
              <w:rPr>
                <w:rFonts w:hint="eastAsia" w:ascii="宋体" w:hAnsi="宋体" w:eastAsia="宋体" w:cs="宋体"/>
                <w:color w:val="auto"/>
                <w:sz w:val="18"/>
                <w:szCs w:val="18"/>
                <w:highlight w:val="none"/>
              </w:rPr>
            </w:pPr>
          </w:p>
        </w:tc>
        <w:tc>
          <w:tcPr>
            <w:tcW w:w="1696" w:type="dxa"/>
            <w:tcBorders>
              <w:top w:val="single" w:color="auto" w:sz="4" w:space="0"/>
              <w:left w:val="single" w:color="auto" w:sz="4" w:space="0"/>
              <w:bottom w:val="single" w:color="auto" w:sz="4" w:space="0"/>
              <w:right w:val="single" w:color="auto" w:sz="4" w:space="0"/>
            </w:tcBorders>
            <w:shd w:val="clear" w:color="auto" w:fill="auto"/>
            <w:vAlign w:val="center"/>
          </w:tcPr>
          <w:p w14:paraId="5E785909">
            <w:pPr>
              <w:pStyle w:val="482"/>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社区活动报名</w:t>
            </w:r>
          </w:p>
        </w:tc>
        <w:tc>
          <w:tcPr>
            <w:tcW w:w="4541" w:type="dxa"/>
            <w:tcBorders>
              <w:top w:val="single" w:color="auto" w:sz="4" w:space="0"/>
              <w:left w:val="single" w:color="auto" w:sz="4" w:space="0"/>
              <w:bottom w:val="single" w:color="auto" w:sz="4" w:space="0"/>
              <w:right w:val="single" w:color="auto" w:sz="4" w:space="0"/>
            </w:tcBorders>
            <w:shd w:val="clear" w:color="auto" w:fill="auto"/>
            <w:vAlign w:val="center"/>
          </w:tcPr>
          <w:p w14:paraId="633BAEF9">
            <w:pPr>
              <w:pStyle w:val="482"/>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需支持企业用户在PC和手机端进行活动报名，不在报名期限内的活动不允许进行报名。</w:t>
            </w:r>
          </w:p>
        </w:tc>
      </w:tr>
      <w:tr w14:paraId="24235BAA">
        <w:tblPrEx>
          <w:tblCellMar>
            <w:top w:w="0" w:type="dxa"/>
            <w:left w:w="108" w:type="dxa"/>
            <w:bottom w:w="0" w:type="dxa"/>
            <w:right w:w="108" w:type="dxa"/>
          </w:tblCellMar>
        </w:tblPrEx>
        <w:trPr>
          <w:trHeight w:val="340" w:hRule="atLeast"/>
        </w:trPr>
        <w:tc>
          <w:tcPr>
            <w:tcW w:w="968" w:type="dxa"/>
            <w:vMerge w:val="continue"/>
            <w:tcBorders>
              <w:top w:val="single" w:color="000000" w:sz="4" w:space="0"/>
              <w:left w:val="single" w:color="000000" w:sz="4" w:space="0"/>
              <w:bottom w:val="single" w:color="000000" w:sz="4" w:space="0"/>
              <w:right w:val="single" w:color="auto" w:sz="4" w:space="0"/>
            </w:tcBorders>
            <w:shd w:val="clear" w:color="auto" w:fill="auto"/>
            <w:noWrap/>
            <w:vAlign w:val="center"/>
          </w:tcPr>
          <w:p w14:paraId="1E49A18B">
            <w:pPr>
              <w:pStyle w:val="482"/>
              <w:rPr>
                <w:rFonts w:hint="eastAsia" w:ascii="宋体" w:hAnsi="宋体" w:eastAsia="宋体" w:cs="宋体"/>
                <w:color w:val="auto"/>
                <w:sz w:val="18"/>
                <w:szCs w:val="18"/>
                <w:highlight w:val="none"/>
              </w:rPr>
            </w:pPr>
          </w:p>
        </w:tc>
        <w:tc>
          <w:tcPr>
            <w:tcW w:w="115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85209B5">
            <w:pPr>
              <w:pStyle w:val="482"/>
              <w:rPr>
                <w:rFonts w:hint="eastAsia" w:ascii="宋体" w:hAnsi="宋体" w:eastAsia="宋体" w:cs="宋体"/>
                <w:color w:val="auto"/>
                <w:sz w:val="18"/>
                <w:szCs w:val="18"/>
                <w:highlight w:val="none"/>
              </w:rPr>
            </w:pPr>
          </w:p>
        </w:tc>
        <w:tc>
          <w:tcPr>
            <w:tcW w:w="1696" w:type="dxa"/>
            <w:tcBorders>
              <w:top w:val="single" w:color="auto" w:sz="4" w:space="0"/>
              <w:left w:val="single" w:color="auto" w:sz="4" w:space="0"/>
              <w:bottom w:val="single" w:color="auto" w:sz="4" w:space="0"/>
              <w:right w:val="single" w:color="auto" w:sz="4" w:space="0"/>
            </w:tcBorders>
            <w:shd w:val="clear" w:color="auto" w:fill="auto"/>
            <w:vAlign w:val="center"/>
          </w:tcPr>
          <w:p w14:paraId="060C49FF">
            <w:pPr>
              <w:pStyle w:val="482"/>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社区活动评价</w:t>
            </w:r>
          </w:p>
        </w:tc>
        <w:tc>
          <w:tcPr>
            <w:tcW w:w="4541" w:type="dxa"/>
            <w:tcBorders>
              <w:top w:val="single" w:color="auto" w:sz="4" w:space="0"/>
              <w:left w:val="single" w:color="auto" w:sz="4" w:space="0"/>
              <w:bottom w:val="single" w:color="auto" w:sz="4" w:space="0"/>
              <w:right w:val="single" w:color="auto" w:sz="4" w:space="0"/>
            </w:tcBorders>
            <w:shd w:val="clear" w:color="auto" w:fill="auto"/>
            <w:vAlign w:val="center"/>
          </w:tcPr>
          <w:p w14:paraId="13358D63">
            <w:pPr>
              <w:pStyle w:val="482"/>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活动状态变为已完成后，报名人员需要对活动进行评价，需支持打分，并可以上传相关图片。相关评价可以在活动信息页中进行展示。</w:t>
            </w:r>
          </w:p>
        </w:tc>
      </w:tr>
      <w:tr w14:paraId="28F64DB3">
        <w:tblPrEx>
          <w:tblCellMar>
            <w:top w:w="0" w:type="dxa"/>
            <w:left w:w="108" w:type="dxa"/>
            <w:bottom w:w="0" w:type="dxa"/>
            <w:right w:w="108" w:type="dxa"/>
          </w:tblCellMar>
        </w:tblPrEx>
        <w:trPr>
          <w:trHeight w:val="340" w:hRule="atLeast"/>
        </w:trPr>
        <w:tc>
          <w:tcPr>
            <w:tcW w:w="968" w:type="dxa"/>
            <w:vMerge w:val="continue"/>
            <w:tcBorders>
              <w:top w:val="single" w:color="000000" w:sz="4" w:space="0"/>
              <w:left w:val="single" w:color="000000" w:sz="4" w:space="0"/>
              <w:bottom w:val="single" w:color="000000" w:sz="4" w:space="0"/>
              <w:right w:val="single" w:color="auto" w:sz="4" w:space="0"/>
            </w:tcBorders>
            <w:shd w:val="clear" w:color="auto" w:fill="auto"/>
            <w:noWrap/>
            <w:vAlign w:val="center"/>
          </w:tcPr>
          <w:p w14:paraId="65C9BE94">
            <w:pPr>
              <w:pStyle w:val="482"/>
              <w:rPr>
                <w:rFonts w:hint="eastAsia" w:ascii="宋体" w:hAnsi="宋体" w:eastAsia="宋体" w:cs="宋体"/>
                <w:color w:val="auto"/>
                <w:sz w:val="18"/>
                <w:szCs w:val="18"/>
                <w:highlight w:val="none"/>
              </w:rPr>
            </w:pPr>
          </w:p>
        </w:tc>
        <w:tc>
          <w:tcPr>
            <w:tcW w:w="115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579A4E5">
            <w:pPr>
              <w:pStyle w:val="482"/>
              <w:rPr>
                <w:rFonts w:hint="eastAsia" w:ascii="宋体" w:hAnsi="宋体" w:eastAsia="宋体" w:cs="宋体"/>
                <w:color w:val="auto"/>
                <w:sz w:val="18"/>
                <w:szCs w:val="18"/>
                <w:highlight w:val="none"/>
              </w:rPr>
            </w:pPr>
          </w:p>
        </w:tc>
        <w:tc>
          <w:tcPr>
            <w:tcW w:w="1696" w:type="dxa"/>
            <w:tcBorders>
              <w:top w:val="single" w:color="auto" w:sz="4" w:space="0"/>
              <w:left w:val="single" w:color="auto" w:sz="4" w:space="0"/>
              <w:bottom w:val="single" w:color="auto" w:sz="4" w:space="0"/>
              <w:right w:val="single" w:color="auto" w:sz="4" w:space="0"/>
            </w:tcBorders>
            <w:shd w:val="clear" w:color="auto" w:fill="auto"/>
            <w:vAlign w:val="center"/>
          </w:tcPr>
          <w:p w14:paraId="3C84A43A">
            <w:pPr>
              <w:pStyle w:val="482"/>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会议室信息管理</w:t>
            </w:r>
          </w:p>
        </w:tc>
        <w:tc>
          <w:tcPr>
            <w:tcW w:w="4541" w:type="dxa"/>
            <w:tcBorders>
              <w:top w:val="single" w:color="auto" w:sz="4" w:space="0"/>
              <w:left w:val="single" w:color="auto" w:sz="4" w:space="0"/>
              <w:bottom w:val="single" w:color="auto" w:sz="4" w:space="0"/>
              <w:right w:val="single" w:color="auto" w:sz="4" w:space="0"/>
            </w:tcBorders>
            <w:shd w:val="clear" w:color="auto" w:fill="auto"/>
            <w:vAlign w:val="center"/>
          </w:tcPr>
          <w:p w14:paraId="753B387A">
            <w:pPr>
              <w:pStyle w:val="482"/>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物业管理员需要进行会议室信息的维护，包括会议室名称、可容纳人数、会议室详细地址、是否有投影、是否有扩音设备、会议室照片、单位时长（每小时）费用、备注、是否可用等信息。</w:t>
            </w:r>
          </w:p>
        </w:tc>
      </w:tr>
      <w:tr w14:paraId="1A08265A">
        <w:tblPrEx>
          <w:tblCellMar>
            <w:top w:w="0" w:type="dxa"/>
            <w:left w:w="108" w:type="dxa"/>
            <w:bottom w:w="0" w:type="dxa"/>
            <w:right w:w="108" w:type="dxa"/>
          </w:tblCellMar>
        </w:tblPrEx>
        <w:trPr>
          <w:trHeight w:val="340" w:hRule="atLeast"/>
        </w:trPr>
        <w:tc>
          <w:tcPr>
            <w:tcW w:w="968" w:type="dxa"/>
            <w:vMerge w:val="continue"/>
            <w:tcBorders>
              <w:top w:val="single" w:color="000000" w:sz="4" w:space="0"/>
              <w:left w:val="single" w:color="000000" w:sz="4" w:space="0"/>
              <w:bottom w:val="single" w:color="000000" w:sz="4" w:space="0"/>
              <w:right w:val="single" w:color="auto" w:sz="4" w:space="0"/>
            </w:tcBorders>
            <w:shd w:val="clear" w:color="auto" w:fill="auto"/>
            <w:noWrap/>
            <w:vAlign w:val="center"/>
          </w:tcPr>
          <w:p w14:paraId="362E1AAC">
            <w:pPr>
              <w:pStyle w:val="482"/>
              <w:rPr>
                <w:rFonts w:hint="eastAsia" w:ascii="宋体" w:hAnsi="宋体" w:eastAsia="宋体" w:cs="宋体"/>
                <w:color w:val="auto"/>
                <w:sz w:val="18"/>
                <w:szCs w:val="18"/>
                <w:highlight w:val="none"/>
              </w:rPr>
            </w:pPr>
          </w:p>
        </w:tc>
        <w:tc>
          <w:tcPr>
            <w:tcW w:w="115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A6455D7">
            <w:pPr>
              <w:pStyle w:val="482"/>
              <w:rPr>
                <w:rFonts w:hint="eastAsia" w:ascii="宋体" w:hAnsi="宋体" w:eastAsia="宋体" w:cs="宋体"/>
                <w:color w:val="auto"/>
                <w:sz w:val="18"/>
                <w:szCs w:val="18"/>
                <w:highlight w:val="none"/>
              </w:rPr>
            </w:pPr>
          </w:p>
        </w:tc>
        <w:tc>
          <w:tcPr>
            <w:tcW w:w="1696" w:type="dxa"/>
            <w:tcBorders>
              <w:top w:val="single" w:color="auto" w:sz="4" w:space="0"/>
              <w:left w:val="single" w:color="auto" w:sz="4" w:space="0"/>
              <w:bottom w:val="single" w:color="auto" w:sz="4" w:space="0"/>
              <w:right w:val="single" w:color="auto" w:sz="4" w:space="0"/>
            </w:tcBorders>
            <w:shd w:val="clear" w:color="auto" w:fill="auto"/>
            <w:vAlign w:val="center"/>
          </w:tcPr>
          <w:p w14:paraId="5BBD3042">
            <w:pPr>
              <w:pStyle w:val="482"/>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会议室预定</w:t>
            </w:r>
          </w:p>
        </w:tc>
        <w:tc>
          <w:tcPr>
            <w:tcW w:w="4541" w:type="dxa"/>
            <w:tcBorders>
              <w:top w:val="single" w:color="auto" w:sz="4" w:space="0"/>
              <w:left w:val="single" w:color="auto" w:sz="4" w:space="0"/>
              <w:bottom w:val="single" w:color="auto" w:sz="4" w:space="0"/>
              <w:right w:val="single" w:color="auto" w:sz="4" w:space="0"/>
            </w:tcBorders>
            <w:shd w:val="clear" w:color="auto" w:fill="auto"/>
            <w:vAlign w:val="center"/>
          </w:tcPr>
          <w:p w14:paraId="4632C1EE">
            <w:pPr>
              <w:pStyle w:val="482"/>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企业登录系统后可以对会议室的预定信息进行填写和提交，包括会议日期、会议起止时间、会议场地、主题内容、联系人、联系电话、要求、附件等内容。</w:t>
            </w:r>
          </w:p>
        </w:tc>
      </w:tr>
      <w:tr w14:paraId="11AE8693">
        <w:tblPrEx>
          <w:tblCellMar>
            <w:top w:w="0" w:type="dxa"/>
            <w:left w:w="108" w:type="dxa"/>
            <w:bottom w:w="0" w:type="dxa"/>
            <w:right w:w="108" w:type="dxa"/>
          </w:tblCellMar>
        </w:tblPrEx>
        <w:trPr>
          <w:trHeight w:val="340" w:hRule="atLeast"/>
        </w:trPr>
        <w:tc>
          <w:tcPr>
            <w:tcW w:w="968" w:type="dxa"/>
            <w:vMerge w:val="continue"/>
            <w:tcBorders>
              <w:top w:val="single" w:color="000000" w:sz="4" w:space="0"/>
              <w:left w:val="single" w:color="000000" w:sz="4" w:space="0"/>
              <w:bottom w:val="single" w:color="000000" w:sz="4" w:space="0"/>
              <w:right w:val="single" w:color="auto" w:sz="4" w:space="0"/>
            </w:tcBorders>
            <w:shd w:val="clear" w:color="auto" w:fill="auto"/>
            <w:noWrap/>
            <w:vAlign w:val="center"/>
          </w:tcPr>
          <w:p w14:paraId="4C87E4CB">
            <w:pPr>
              <w:pStyle w:val="482"/>
              <w:rPr>
                <w:rFonts w:hint="eastAsia" w:ascii="宋体" w:hAnsi="宋体" w:eastAsia="宋体" w:cs="宋体"/>
                <w:color w:val="auto"/>
                <w:sz w:val="18"/>
                <w:szCs w:val="18"/>
                <w:highlight w:val="none"/>
              </w:rPr>
            </w:pPr>
          </w:p>
        </w:tc>
        <w:tc>
          <w:tcPr>
            <w:tcW w:w="115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07712CD">
            <w:pPr>
              <w:pStyle w:val="482"/>
              <w:rPr>
                <w:rFonts w:hint="eastAsia" w:ascii="宋体" w:hAnsi="宋体" w:eastAsia="宋体" w:cs="宋体"/>
                <w:color w:val="auto"/>
                <w:sz w:val="18"/>
                <w:szCs w:val="18"/>
                <w:highlight w:val="none"/>
              </w:rPr>
            </w:pPr>
          </w:p>
        </w:tc>
        <w:tc>
          <w:tcPr>
            <w:tcW w:w="1696" w:type="dxa"/>
            <w:tcBorders>
              <w:top w:val="single" w:color="auto" w:sz="4" w:space="0"/>
              <w:left w:val="single" w:color="auto" w:sz="4" w:space="0"/>
              <w:bottom w:val="single" w:color="auto" w:sz="4" w:space="0"/>
              <w:right w:val="single" w:color="auto" w:sz="4" w:space="0"/>
            </w:tcBorders>
            <w:shd w:val="clear" w:color="auto" w:fill="auto"/>
            <w:vAlign w:val="center"/>
          </w:tcPr>
          <w:p w14:paraId="7AA04C1C">
            <w:pPr>
              <w:pStyle w:val="482"/>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会议室预定审核</w:t>
            </w:r>
          </w:p>
        </w:tc>
        <w:tc>
          <w:tcPr>
            <w:tcW w:w="4541" w:type="dxa"/>
            <w:tcBorders>
              <w:top w:val="single" w:color="auto" w:sz="4" w:space="0"/>
              <w:left w:val="single" w:color="auto" w:sz="4" w:space="0"/>
              <w:bottom w:val="single" w:color="auto" w:sz="4" w:space="0"/>
              <w:right w:val="single" w:color="auto" w:sz="4" w:space="0"/>
            </w:tcBorders>
            <w:shd w:val="clear" w:color="auto" w:fill="auto"/>
            <w:vAlign w:val="center"/>
          </w:tcPr>
          <w:p w14:paraId="4DE29B92">
            <w:pPr>
              <w:pStyle w:val="482"/>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企业提交预定申请后，需经过北软商务社区审核、物业两级审核，审核通过后，企业需要上传申请单的盖章件方可使用会议室。</w:t>
            </w:r>
          </w:p>
        </w:tc>
      </w:tr>
      <w:tr w14:paraId="68289B22">
        <w:tblPrEx>
          <w:tblCellMar>
            <w:top w:w="0" w:type="dxa"/>
            <w:left w:w="108" w:type="dxa"/>
            <w:bottom w:w="0" w:type="dxa"/>
            <w:right w:w="108" w:type="dxa"/>
          </w:tblCellMar>
        </w:tblPrEx>
        <w:trPr>
          <w:trHeight w:val="340" w:hRule="atLeast"/>
        </w:trPr>
        <w:tc>
          <w:tcPr>
            <w:tcW w:w="968" w:type="dxa"/>
            <w:vMerge w:val="continue"/>
            <w:tcBorders>
              <w:top w:val="single" w:color="000000" w:sz="4" w:space="0"/>
              <w:left w:val="single" w:color="000000" w:sz="4" w:space="0"/>
              <w:bottom w:val="single" w:color="000000" w:sz="4" w:space="0"/>
              <w:right w:val="single" w:color="auto" w:sz="4" w:space="0"/>
            </w:tcBorders>
            <w:shd w:val="clear" w:color="auto" w:fill="auto"/>
            <w:noWrap/>
            <w:vAlign w:val="center"/>
          </w:tcPr>
          <w:p w14:paraId="428DB553">
            <w:pPr>
              <w:pStyle w:val="482"/>
              <w:rPr>
                <w:rFonts w:hint="eastAsia" w:ascii="宋体" w:hAnsi="宋体" w:eastAsia="宋体" w:cs="宋体"/>
                <w:color w:val="auto"/>
                <w:sz w:val="18"/>
                <w:szCs w:val="18"/>
                <w:highlight w:val="none"/>
              </w:rPr>
            </w:pPr>
          </w:p>
        </w:tc>
        <w:tc>
          <w:tcPr>
            <w:tcW w:w="115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769084A">
            <w:pPr>
              <w:pStyle w:val="482"/>
              <w:rPr>
                <w:rFonts w:hint="eastAsia" w:ascii="宋体" w:hAnsi="宋体" w:eastAsia="宋体" w:cs="宋体"/>
                <w:color w:val="auto"/>
                <w:sz w:val="18"/>
                <w:szCs w:val="18"/>
                <w:highlight w:val="none"/>
              </w:rPr>
            </w:pPr>
          </w:p>
        </w:tc>
        <w:tc>
          <w:tcPr>
            <w:tcW w:w="1696" w:type="dxa"/>
            <w:tcBorders>
              <w:top w:val="single" w:color="auto" w:sz="4" w:space="0"/>
              <w:left w:val="single" w:color="auto" w:sz="4" w:space="0"/>
              <w:bottom w:val="single" w:color="auto" w:sz="4" w:space="0"/>
              <w:right w:val="single" w:color="auto" w:sz="4" w:space="0"/>
            </w:tcBorders>
            <w:shd w:val="clear" w:color="auto" w:fill="auto"/>
            <w:vAlign w:val="center"/>
          </w:tcPr>
          <w:p w14:paraId="1A4BF4DE">
            <w:pPr>
              <w:pStyle w:val="482"/>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会议室台账</w:t>
            </w:r>
          </w:p>
        </w:tc>
        <w:tc>
          <w:tcPr>
            <w:tcW w:w="4541" w:type="dxa"/>
            <w:tcBorders>
              <w:top w:val="single" w:color="auto" w:sz="4" w:space="0"/>
              <w:left w:val="single" w:color="auto" w:sz="4" w:space="0"/>
              <w:bottom w:val="single" w:color="auto" w:sz="4" w:space="0"/>
              <w:right w:val="single" w:color="auto" w:sz="4" w:space="0"/>
            </w:tcBorders>
            <w:shd w:val="clear" w:color="auto" w:fill="auto"/>
            <w:vAlign w:val="center"/>
          </w:tcPr>
          <w:p w14:paraId="527BB0E0">
            <w:pPr>
              <w:pStyle w:val="482"/>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管理员可以查看会议室整体预定情况，并可按照会议室、日期区间查询预定情况，便于管理员进行情况核对。</w:t>
            </w:r>
          </w:p>
        </w:tc>
      </w:tr>
      <w:tr w14:paraId="0D17335D">
        <w:tblPrEx>
          <w:tblCellMar>
            <w:top w:w="0" w:type="dxa"/>
            <w:left w:w="108" w:type="dxa"/>
            <w:bottom w:w="0" w:type="dxa"/>
            <w:right w:w="108" w:type="dxa"/>
          </w:tblCellMar>
        </w:tblPrEx>
        <w:trPr>
          <w:trHeight w:val="340" w:hRule="atLeast"/>
        </w:trPr>
        <w:tc>
          <w:tcPr>
            <w:tcW w:w="968" w:type="dxa"/>
            <w:vMerge w:val="continue"/>
            <w:tcBorders>
              <w:top w:val="single" w:color="000000" w:sz="4" w:space="0"/>
              <w:left w:val="single" w:color="000000" w:sz="4" w:space="0"/>
              <w:bottom w:val="single" w:color="000000" w:sz="4" w:space="0"/>
              <w:right w:val="single" w:color="auto" w:sz="4" w:space="0"/>
            </w:tcBorders>
            <w:shd w:val="clear" w:color="auto" w:fill="auto"/>
            <w:noWrap/>
            <w:vAlign w:val="center"/>
          </w:tcPr>
          <w:p w14:paraId="06F2CC0F">
            <w:pPr>
              <w:pStyle w:val="482"/>
              <w:rPr>
                <w:rFonts w:hint="eastAsia" w:ascii="宋体" w:hAnsi="宋体" w:eastAsia="宋体" w:cs="宋体"/>
                <w:color w:val="auto"/>
                <w:sz w:val="18"/>
                <w:szCs w:val="18"/>
                <w:highlight w:val="none"/>
              </w:rPr>
            </w:pPr>
          </w:p>
        </w:tc>
        <w:tc>
          <w:tcPr>
            <w:tcW w:w="115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083A079">
            <w:pPr>
              <w:pStyle w:val="482"/>
              <w:rPr>
                <w:rFonts w:hint="eastAsia" w:ascii="宋体" w:hAnsi="宋体" w:eastAsia="宋体" w:cs="宋体"/>
                <w:color w:val="auto"/>
                <w:sz w:val="18"/>
                <w:szCs w:val="18"/>
                <w:highlight w:val="none"/>
              </w:rPr>
            </w:pPr>
          </w:p>
        </w:tc>
        <w:tc>
          <w:tcPr>
            <w:tcW w:w="1696" w:type="dxa"/>
            <w:tcBorders>
              <w:top w:val="single" w:color="auto" w:sz="4" w:space="0"/>
              <w:left w:val="single" w:color="auto" w:sz="4" w:space="0"/>
              <w:bottom w:val="single" w:color="auto" w:sz="4" w:space="0"/>
              <w:right w:val="single" w:color="auto" w:sz="4" w:space="0"/>
            </w:tcBorders>
            <w:shd w:val="clear" w:color="auto" w:fill="auto"/>
            <w:vAlign w:val="center"/>
          </w:tcPr>
          <w:p w14:paraId="67A2216B">
            <w:pPr>
              <w:pStyle w:val="482"/>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托育机构/场所信息维护</w:t>
            </w:r>
          </w:p>
        </w:tc>
        <w:tc>
          <w:tcPr>
            <w:tcW w:w="4541" w:type="dxa"/>
            <w:tcBorders>
              <w:top w:val="single" w:color="auto" w:sz="4" w:space="0"/>
              <w:left w:val="single" w:color="auto" w:sz="4" w:space="0"/>
              <w:bottom w:val="single" w:color="auto" w:sz="4" w:space="0"/>
              <w:right w:val="single" w:color="auto" w:sz="4" w:space="0"/>
            </w:tcBorders>
            <w:shd w:val="clear" w:color="auto" w:fill="auto"/>
            <w:vAlign w:val="center"/>
          </w:tcPr>
          <w:p w14:paraId="32332CEF">
            <w:pPr>
              <w:pStyle w:val="482"/>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托育机构/场所可以注册账号并维护自己的信息，包括机构名称、地址、联系方式、服务内容等。</w:t>
            </w:r>
          </w:p>
        </w:tc>
      </w:tr>
      <w:tr w14:paraId="50E2E513">
        <w:tblPrEx>
          <w:tblCellMar>
            <w:top w:w="0" w:type="dxa"/>
            <w:left w:w="108" w:type="dxa"/>
            <w:bottom w:w="0" w:type="dxa"/>
            <w:right w:w="108" w:type="dxa"/>
          </w:tblCellMar>
        </w:tblPrEx>
        <w:trPr>
          <w:trHeight w:val="340" w:hRule="atLeast"/>
        </w:trPr>
        <w:tc>
          <w:tcPr>
            <w:tcW w:w="968" w:type="dxa"/>
            <w:vMerge w:val="continue"/>
            <w:tcBorders>
              <w:top w:val="single" w:color="000000" w:sz="4" w:space="0"/>
              <w:left w:val="single" w:color="000000" w:sz="4" w:space="0"/>
              <w:bottom w:val="single" w:color="000000" w:sz="4" w:space="0"/>
              <w:right w:val="single" w:color="auto" w:sz="4" w:space="0"/>
            </w:tcBorders>
            <w:shd w:val="clear" w:color="auto" w:fill="auto"/>
            <w:noWrap/>
            <w:vAlign w:val="center"/>
          </w:tcPr>
          <w:p w14:paraId="647AFA44">
            <w:pPr>
              <w:pStyle w:val="482"/>
              <w:rPr>
                <w:rFonts w:hint="eastAsia" w:ascii="宋体" w:hAnsi="宋体" w:eastAsia="宋体" w:cs="宋体"/>
                <w:color w:val="auto"/>
                <w:sz w:val="18"/>
                <w:szCs w:val="18"/>
                <w:highlight w:val="none"/>
              </w:rPr>
            </w:pPr>
          </w:p>
        </w:tc>
        <w:tc>
          <w:tcPr>
            <w:tcW w:w="115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BC53634">
            <w:pPr>
              <w:pStyle w:val="482"/>
              <w:rPr>
                <w:rFonts w:hint="eastAsia" w:ascii="宋体" w:hAnsi="宋体" w:eastAsia="宋体" w:cs="宋体"/>
                <w:color w:val="auto"/>
                <w:sz w:val="18"/>
                <w:szCs w:val="18"/>
                <w:highlight w:val="none"/>
              </w:rPr>
            </w:pPr>
          </w:p>
        </w:tc>
        <w:tc>
          <w:tcPr>
            <w:tcW w:w="1696" w:type="dxa"/>
            <w:tcBorders>
              <w:top w:val="single" w:color="auto" w:sz="4" w:space="0"/>
              <w:left w:val="single" w:color="auto" w:sz="4" w:space="0"/>
              <w:bottom w:val="single" w:color="auto" w:sz="4" w:space="0"/>
              <w:right w:val="single" w:color="auto" w:sz="4" w:space="0"/>
            </w:tcBorders>
            <w:shd w:val="clear" w:color="auto" w:fill="auto"/>
            <w:vAlign w:val="center"/>
          </w:tcPr>
          <w:p w14:paraId="393CA705">
            <w:pPr>
              <w:pStyle w:val="482"/>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查找区域内托育机构/场所</w:t>
            </w:r>
          </w:p>
        </w:tc>
        <w:tc>
          <w:tcPr>
            <w:tcW w:w="4541" w:type="dxa"/>
            <w:tcBorders>
              <w:top w:val="single" w:color="auto" w:sz="4" w:space="0"/>
              <w:left w:val="single" w:color="auto" w:sz="4" w:space="0"/>
              <w:bottom w:val="single" w:color="auto" w:sz="4" w:space="0"/>
              <w:right w:val="single" w:color="auto" w:sz="4" w:space="0"/>
            </w:tcBorders>
            <w:shd w:val="clear" w:color="auto" w:fill="auto"/>
            <w:vAlign w:val="center"/>
          </w:tcPr>
          <w:p w14:paraId="7A963D98">
            <w:pPr>
              <w:pStyle w:val="482"/>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用户可以根据自己的位置信息，查找附近的托育机构/场所。</w:t>
            </w:r>
          </w:p>
        </w:tc>
      </w:tr>
      <w:tr w14:paraId="765B3FB0">
        <w:tblPrEx>
          <w:tblCellMar>
            <w:top w:w="0" w:type="dxa"/>
            <w:left w:w="108" w:type="dxa"/>
            <w:bottom w:w="0" w:type="dxa"/>
            <w:right w:w="108" w:type="dxa"/>
          </w:tblCellMar>
        </w:tblPrEx>
        <w:trPr>
          <w:trHeight w:val="340" w:hRule="atLeast"/>
        </w:trPr>
        <w:tc>
          <w:tcPr>
            <w:tcW w:w="968" w:type="dxa"/>
            <w:vMerge w:val="continue"/>
            <w:tcBorders>
              <w:top w:val="single" w:color="000000" w:sz="4" w:space="0"/>
              <w:left w:val="single" w:color="000000" w:sz="4" w:space="0"/>
              <w:bottom w:val="single" w:color="000000" w:sz="4" w:space="0"/>
              <w:right w:val="single" w:color="auto" w:sz="4" w:space="0"/>
            </w:tcBorders>
            <w:shd w:val="clear" w:color="auto" w:fill="auto"/>
            <w:noWrap/>
            <w:vAlign w:val="center"/>
          </w:tcPr>
          <w:p w14:paraId="2F5FBE65">
            <w:pPr>
              <w:pStyle w:val="482"/>
              <w:rPr>
                <w:rFonts w:hint="eastAsia" w:ascii="宋体" w:hAnsi="宋体" w:eastAsia="宋体" w:cs="宋体"/>
                <w:color w:val="auto"/>
                <w:sz w:val="18"/>
                <w:szCs w:val="18"/>
                <w:highlight w:val="none"/>
              </w:rPr>
            </w:pPr>
          </w:p>
        </w:tc>
        <w:tc>
          <w:tcPr>
            <w:tcW w:w="1154" w:type="dxa"/>
            <w:vMerge w:val="continue"/>
            <w:tcBorders>
              <w:top w:val="single" w:color="auto" w:sz="4" w:space="0"/>
              <w:left w:val="single" w:color="auto" w:sz="4" w:space="0"/>
              <w:bottom w:val="single" w:color="000000" w:sz="4" w:space="0"/>
              <w:right w:val="single" w:color="000000" w:sz="4" w:space="0"/>
            </w:tcBorders>
            <w:shd w:val="clear" w:color="auto" w:fill="auto"/>
            <w:vAlign w:val="center"/>
          </w:tcPr>
          <w:p w14:paraId="7FC51B93">
            <w:pPr>
              <w:pStyle w:val="482"/>
              <w:rPr>
                <w:rFonts w:hint="eastAsia" w:ascii="宋体" w:hAnsi="宋体" w:eastAsia="宋体" w:cs="宋体"/>
                <w:color w:val="auto"/>
                <w:sz w:val="18"/>
                <w:szCs w:val="18"/>
                <w:highlight w:val="none"/>
              </w:rPr>
            </w:pPr>
          </w:p>
        </w:tc>
        <w:tc>
          <w:tcPr>
            <w:tcW w:w="1696" w:type="dxa"/>
            <w:tcBorders>
              <w:top w:val="single" w:color="auto" w:sz="4" w:space="0"/>
              <w:left w:val="single" w:color="000000" w:sz="4" w:space="0"/>
              <w:bottom w:val="single" w:color="000000" w:sz="4" w:space="0"/>
              <w:right w:val="single" w:color="000000" w:sz="4" w:space="0"/>
            </w:tcBorders>
            <w:shd w:val="clear" w:color="auto" w:fill="auto"/>
            <w:vAlign w:val="center"/>
          </w:tcPr>
          <w:p w14:paraId="73528BAF">
            <w:pPr>
              <w:pStyle w:val="482"/>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查询托育机构/场所联系方式</w:t>
            </w:r>
          </w:p>
        </w:tc>
        <w:tc>
          <w:tcPr>
            <w:tcW w:w="4541" w:type="dxa"/>
            <w:tcBorders>
              <w:top w:val="single" w:color="auto" w:sz="4" w:space="0"/>
              <w:left w:val="single" w:color="000000" w:sz="4" w:space="0"/>
              <w:bottom w:val="single" w:color="000000" w:sz="4" w:space="0"/>
              <w:right w:val="single" w:color="000000" w:sz="4" w:space="0"/>
            </w:tcBorders>
            <w:shd w:val="clear" w:color="auto" w:fill="auto"/>
            <w:vAlign w:val="center"/>
          </w:tcPr>
          <w:p w14:paraId="566F32B2">
            <w:pPr>
              <w:pStyle w:val="482"/>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用户可以通过平台查询到托育机构/场所的联系方式，以便与其联系。</w:t>
            </w:r>
          </w:p>
        </w:tc>
      </w:tr>
      <w:tr w14:paraId="037E4BC9">
        <w:tblPrEx>
          <w:tblCellMar>
            <w:top w:w="0" w:type="dxa"/>
            <w:left w:w="108" w:type="dxa"/>
            <w:bottom w:w="0" w:type="dxa"/>
            <w:right w:w="108" w:type="dxa"/>
          </w:tblCellMar>
        </w:tblPrEx>
        <w:trPr>
          <w:trHeight w:val="340" w:hRule="atLeast"/>
        </w:trPr>
        <w:tc>
          <w:tcPr>
            <w:tcW w:w="9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B7236F7">
            <w:pPr>
              <w:pStyle w:val="482"/>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管理端平台</w:t>
            </w:r>
          </w:p>
        </w:tc>
        <w:tc>
          <w:tcPr>
            <w:tcW w:w="11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3FC6B9">
            <w:pPr>
              <w:pStyle w:val="482"/>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审批服务管理</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311EF">
            <w:pPr>
              <w:pStyle w:val="482"/>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审批服务分类管理</w:t>
            </w:r>
          </w:p>
        </w:tc>
        <w:tc>
          <w:tcPr>
            <w:tcW w:w="4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3CF1D">
            <w:pPr>
              <w:pStyle w:val="482"/>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在管理端为系统管理员提供审批服务事项的的分类维维护功能。</w:t>
            </w:r>
          </w:p>
        </w:tc>
      </w:tr>
      <w:tr w14:paraId="4A873211">
        <w:tblPrEx>
          <w:tblCellMar>
            <w:top w:w="0" w:type="dxa"/>
            <w:left w:w="108" w:type="dxa"/>
            <w:bottom w:w="0" w:type="dxa"/>
            <w:right w:w="108" w:type="dxa"/>
          </w:tblCellMar>
        </w:tblPrEx>
        <w:trPr>
          <w:trHeight w:val="340" w:hRule="atLeast"/>
        </w:trPr>
        <w:tc>
          <w:tcPr>
            <w:tcW w:w="9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98BAD9">
            <w:pPr>
              <w:pStyle w:val="482"/>
              <w:rPr>
                <w:rFonts w:hint="eastAsia" w:ascii="宋体" w:hAnsi="宋体" w:eastAsia="宋体" w:cs="宋体"/>
                <w:color w:val="auto"/>
                <w:sz w:val="18"/>
                <w:szCs w:val="18"/>
                <w:highlight w:val="none"/>
              </w:rPr>
            </w:pPr>
          </w:p>
        </w:tc>
        <w:tc>
          <w:tcPr>
            <w:tcW w:w="11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A3912C">
            <w:pPr>
              <w:pStyle w:val="482"/>
              <w:rPr>
                <w:rFonts w:hint="eastAsia" w:ascii="宋体" w:hAnsi="宋体" w:eastAsia="宋体" w:cs="宋体"/>
                <w:color w:val="auto"/>
                <w:sz w:val="18"/>
                <w:szCs w:val="18"/>
                <w:highlight w:val="none"/>
              </w:rPr>
            </w:pP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84E83">
            <w:pPr>
              <w:pStyle w:val="482"/>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审批服务上架管理</w:t>
            </w:r>
          </w:p>
        </w:tc>
        <w:tc>
          <w:tcPr>
            <w:tcW w:w="4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44650">
            <w:pPr>
              <w:pStyle w:val="482"/>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提供审批服务项的管理以及相应服务项的上架功能。</w:t>
            </w:r>
          </w:p>
        </w:tc>
      </w:tr>
      <w:tr w14:paraId="16DFE688">
        <w:tblPrEx>
          <w:tblCellMar>
            <w:top w:w="0" w:type="dxa"/>
            <w:left w:w="108" w:type="dxa"/>
            <w:bottom w:w="0" w:type="dxa"/>
            <w:right w:w="108" w:type="dxa"/>
          </w:tblCellMar>
        </w:tblPrEx>
        <w:trPr>
          <w:trHeight w:val="340" w:hRule="atLeast"/>
        </w:trPr>
        <w:tc>
          <w:tcPr>
            <w:tcW w:w="9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1D2748">
            <w:pPr>
              <w:pStyle w:val="482"/>
              <w:rPr>
                <w:rFonts w:hint="eastAsia" w:ascii="宋体" w:hAnsi="宋体" w:eastAsia="宋体" w:cs="宋体"/>
                <w:color w:val="auto"/>
                <w:sz w:val="18"/>
                <w:szCs w:val="18"/>
                <w:highlight w:val="none"/>
              </w:rPr>
            </w:pPr>
          </w:p>
        </w:tc>
        <w:tc>
          <w:tcPr>
            <w:tcW w:w="11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AB87E0">
            <w:pPr>
              <w:pStyle w:val="482"/>
              <w:rPr>
                <w:rFonts w:hint="eastAsia" w:ascii="宋体" w:hAnsi="宋体" w:eastAsia="宋体" w:cs="宋体"/>
                <w:color w:val="auto"/>
                <w:sz w:val="18"/>
                <w:szCs w:val="18"/>
                <w:highlight w:val="none"/>
              </w:rPr>
            </w:pP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ACF5B">
            <w:pPr>
              <w:pStyle w:val="482"/>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审批服务热度管理</w:t>
            </w:r>
          </w:p>
        </w:tc>
        <w:tc>
          <w:tcPr>
            <w:tcW w:w="4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24C35">
            <w:pPr>
              <w:pStyle w:val="482"/>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根据审批服务项的点击数据量，分析服务热度，根据热度动态排序。</w:t>
            </w:r>
          </w:p>
        </w:tc>
      </w:tr>
      <w:tr w14:paraId="17D957D2">
        <w:tblPrEx>
          <w:tblCellMar>
            <w:top w:w="0" w:type="dxa"/>
            <w:left w:w="108" w:type="dxa"/>
            <w:bottom w:w="0" w:type="dxa"/>
            <w:right w:w="108" w:type="dxa"/>
          </w:tblCellMar>
        </w:tblPrEx>
        <w:trPr>
          <w:trHeight w:val="340" w:hRule="atLeast"/>
        </w:trPr>
        <w:tc>
          <w:tcPr>
            <w:tcW w:w="9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8976C6">
            <w:pPr>
              <w:pStyle w:val="482"/>
              <w:rPr>
                <w:rFonts w:hint="eastAsia" w:ascii="宋体" w:hAnsi="宋体" w:eastAsia="宋体" w:cs="宋体"/>
                <w:color w:val="auto"/>
                <w:sz w:val="18"/>
                <w:szCs w:val="18"/>
                <w:highlight w:val="none"/>
              </w:rPr>
            </w:pPr>
          </w:p>
        </w:tc>
        <w:tc>
          <w:tcPr>
            <w:tcW w:w="11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A398177">
            <w:pPr>
              <w:pStyle w:val="482"/>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政策管理</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5B219">
            <w:pPr>
              <w:pStyle w:val="482"/>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政策文件管理</w:t>
            </w:r>
          </w:p>
        </w:tc>
        <w:tc>
          <w:tcPr>
            <w:tcW w:w="4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7A0C1">
            <w:pPr>
              <w:pStyle w:val="482"/>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政策文件管理提供政策文件的新增、编辑、发布、预览等功能。用户可上传政策文件文本内容与相关附件，设置政策的主题、等级、文号与责任部门等基本信息。</w:t>
            </w:r>
          </w:p>
        </w:tc>
      </w:tr>
      <w:tr w14:paraId="06B3504D">
        <w:tblPrEx>
          <w:tblCellMar>
            <w:top w:w="0" w:type="dxa"/>
            <w:left w:w="108" w:type="dxa"/>
            <w:bottom w:w="0" w:type="dxa"/>
            <w:right w:w="108" w:type="dxa"/>
          </w:tblCellMar>
        </w:tblPrEx>
        <w:trPr>
          <w:trHeight w:val="340" w:hRule="atLeast"/>
        </w:trPr>
        <w:tc>
          <w:tcPr>
            <w:tcW w:w="9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68B195">
            <w:pPr>
              <w:pStyle w:val="482"/>
              <w:rPr>
                <w:rFonts w:hint="eastAsia" w:ascii="宋体" w:hAnsi="宋体" w:eastAsia="宋体" w:cs="宋体"/>
                <w:color w:val="auto"/>
                <w:sz w:val="18"/>
                <w:szCs w:val="18"/>
                <w:highlight w:val="none"/>
              </w:rPr>
            </w:pPr>
          </w:p>
        </w:tc>
        <w:tc>
          <w:tcPr>
            <w:tcW w:w="11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9996DC">
            <w:pPr>
              <w:pStyle w:val="482"/>
              <w:rPr>
                <w:rFonts w:hint="eastAsia" w:ascii="宋体" w:hAnsi="宋体" w:eastAsia="宋体" w:cs="宋体"/>
                <w:color w:val="auto"/>
                <w:sz w:val="18"/>
                <w:szCs w:val="18"/>
                <w:highlight w:val="none"/>
              </w:rPr>
            </w:pP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9C1B4">
            <w:pPr>
              <w:pStyle w:val="482"/>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政策解读管理</w:t>
            </w:r>
          </w:p>
        </w:tc>
        <w:tc>
          <w:tcPr>
            <w:tcW w:w="4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C5AED">
            <w:pPr>
              <w:pStyle w:val="482"/>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政策解读管理提供政策解读内容的新增、编辑、发布、预览等功能。系统当前支持四种解读形式：富文本、多图片、视频、纯外链。用户可上传解读内容，并可关联到政策文件上。</w:t>
            </w:r>
          </w:p>
        </w:tc>
      </w:tr>
      <w:tr w14:paraId="1C6AED31">
        <w:tblPrEx>
          <w:tblCellMar>
            <w:top w:w="0" w:type="dxa"/>
            <w:left w:w="108" w:type="dxa"/>
            <w:bottom w:w="0" w:type="dxa"/>
            <w:right w:w="108" w:type="dxa"/>
          </w:tblCellMar>
        </w:tblPrEx>
        <w:trPr>
          <w:trHeight w:val="340" w:hRule="atLeast"/>
        </w:trPr>
        <w:tc>
          <w:tcPr>
            <w:tcW w:w="9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0CEA16">
            <w:pPr>
              <w:pStyle w:val="482"/>
              <w:rPr>
                <w:rFonts w:hint="eastAsia" w:ascii="宋体" w:hAnsi="宋体" w:eastAsia="宋体" w:cs="宋体"/>
                <w:color w:val="auto"/>
                <w:sz w:val="18"/>
                <w:szCs w:val="18"/>
                <w:highlight w:val="none"/>
              </w:rPr>
            </w:pPr>
          </w:p>
        </w:tc>
        <w:tc>
          <w:tcPr>
            <w:tcW w:w="11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AABC64">
            <w:pPr>
              <w:pStyle w:val="482"/>
              <w:rPr>
                <w:rFonts w:hint="eastAsia" w:ascii="宋体" w:hAnsi="宋体" w:eastAsia="宋体" w:cs="宋体"/>
                <w:color w:val="auto"/>
                <w:sz w:val="18"/>
                <w:szCs w:val="18"/>
                <w:highlight w:val="none"/>
              </w:rPr>
            </w:pP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44DBF">
            <w:pPr>
              <w:pStyle w:val="482"/>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政策项目管理</w:t>
            </w:r>
          </w:p>
        </w:tc>
        <w:tc>
          <w:tcPr>
            <w:tcW w:w="4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2289E">
            <w:pPr>
              <w:pStyle w:val="482"/>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政策项目管理供用户维护企业可进行申报的政策项目。当前系统支持四类项目：普惠型、专业型、定向型、免申即享</w:t>
            </w:r>
            <w:r>
              <w:rPr>
                <w:rFonts w:hint="eastAsia" w:ascii="宋体" w:hAnsi="宋体" w:cs="宋体"/>
                <w:color w:val="auto"/>
                <w:sz w:val="18"/>
                <w:szCs w:val="18"/>
                <w:highlight w:val="none"/>
                <w:lang w:val="en-US" w:eastAsia="zh-CN"/>
              </w:rPr>
              <w:t>型</w:t>
            </w:r>
            <w:r>
              <w:rPr>
                <w:rFonts w:hint="eastAsia" w:ascii="宋体" w:hAnsi="宋体" w:eastAsia="宋体" w:cs="宋体"/>
                <w:color w:val="auto"/>
                <w:sz w:val="18"/>
                <w:szCs w:val="18"/>
                <w:highlight w:val="none"/>
              </w:rPr>
              <w:t>。</w:t>
            </w:r>
          </w:p>
        </w:tc>
      </w:tr>
      <w:tr w14:paraId="546BD8B9">
        <w:tblPrEx>
          <w:tblCellMar>
            <w:top w:w="0" w:type="dxa"/>
            <w:left w:w="108" w:type="dxa"/>
            <w:bottom w:w="0" w:type="dxa"/>
            <w:right w:w="108" w:type="dxa"/>
          </w:tblCellMar>
        </w:tblPrEx>
        <w:trPr>
          <w:trHeight w:val="340" w:hRule="atLeast"/>
        </w:trPr>
        <w:tc>
          <w:tcPr>
            <w:tcW w:w="9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AC5579">
            <w:pPr>
              <w:pStyle w:val="482"/>
              <w:rPr>
                <w:rFonts w:hint="eastAsia" w:ascii="宋体" w:hAnsi="宋体" w:eastAsia="宋体" w:cs="宋体"/>
                <w:color w:val="auto"/>
                <w:sz w:val="18"/>
                <w:szCs w:val="18"/>
                <w:highlight w:val="none"/>
              </w:rPr>
            </w:pPr>
          </w:p>
        </w:tc>
        <w:tc>
          <w:tcPr>
            <w:tcW w:w="11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B01CB1">
            <w:pPr>
              <w:pStyle w:val="482"/>
              <w:rPr>
                <w:rFonts w:hint="eastAsia" w:ascii="宋体" w:hAnsi="宋体" w:eastAsia="宋体" w:cs="宋体"/>
                <w:color w:val="auto"/>
                <w:sz w:val="18"/>
                <w:szCs w:val="18"/>
                <w:highlight w:val="none"/>
              </w:rPr>
            </w:pP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8E0A1">
            <w:pPr>
              <w:pStyle w:val="482"/>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政策效用情况</w:t>
            </w:r>
          </w:p>
        </w:tc>
        <w:tc>
          <w:tcPr>
            <w:tcW w:w="4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17CD3">
            <w:pPr>
              <w:pStyle w:val="482"/>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提供政策项目在企业侧应用的统计分析功能，包括企业查看项目、企业收藏项目、企业申报项目、申报成功、申报失败、补贴金额等多种维度。</w:t>
            </w:r>
          </w:p>
        </w:tc>
      </w:tr>
      <w:tr w14:paraId="706E814A">
        <w:tblPrEx>
          <w:tblCellMar>
            <w:top w:w="0" w:type="dxa"/>
            <w:left w:w="108" w:type="dxa"/>
            <w:bottom w:w="0" w:type="dxa"/>
            <w:right w:w="108" w:type="dxa"/>
          </w:tblCellMar>
        </w:tblPrEx>
        <w:trPr>
          <w:trHeight w:val="340" w:hRule="atLeast"/>
        </w:trPr>
        <w:tc>
          <w:tcPr>
            <w:tcW w:w="9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703ED2">
            <w:pPr>
              <w:pStyle w:val="482"/>
              <w:rPr>
                <w:rFonts w:hint="eastAsia" w:ascii="宋体" w:hAnsi="宋体" w:eastAsia="宋体" w:cs="宋体"/>
                <w:color w:val="auto"/>
                <w:sz w:val="18"/>
                <w:szCs w:val="18"/>
                <w:highlight w:val="none"/>
              </w:rPr>
            </w:pPr>
          </w:p>
        </w:tc>
        <w:tc>
          <w:tcPr>
            <w:tcW w:w="11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3B4307">
            <w:pPr>
              <w:pStyle w:val="482"/>
              <w:rPr>
                <w:rFonts w:hint="eastAsia" w:ascii="宋体" w:hAnsi="宋体" w:eastAsia="宋体" w:cs="宋体"/>
                <w:color w:val="auto"/>
                <w:sz w:val="18"/>
                <w:szCs w:val="18"/>
                <w:highlight w:val="none"/>
              </w:rPr>
            </w:pP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991A1">
            <w:pPr>
              <w:pStyle w:val="482"/>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政策留言管理</w:t>
            </w:r>
          </w:p>
        </w:tc>
        <w:tc>
          <w:tcPr>
            <w:tcW w:w="4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A7087">
            <w:pPr>
              <w:pStyle w:val="482"/>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政策留言管理供用户查看、答复与管理企业所提出留言问题。用户可决定是否公开留言与答复内容，以供其他企业进行参考。</w:t>
            </w:r>
          </w:p>
        </w:tc>
      </w:tr>
      <w:tr w14:paraId="5B1E6D29">
        <w:tblPrEx>
          <w:tblCellMar>
            <w:top w:w="0" w:type="dxa"/>
            <w:left w:w="108" w:type="dxa"/>
            <w:bottom w:w="0" w:type="dxa"/>
            <w:right w:w="108" w:type="dxa"/>
          </w:tblCellMar>
        </w:tblPrEx>
        <w:trPr>
          <w:trHeight w:val="340" w:hRule="atLeast"/>
        </w:trPr>
        <w:tc>
          <w:tcPr>
            <w:tcW w:w="9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029498">
            <w:pPr>
              <w:pStyle w:val="482"/>
              <w:rPr>
                <w:rFonts w:hint="eastAsia" w:ascii="宋体" w:hAnsi="宋体" w:eastAsia="宋体" w:cs="宋体"/>
                <w:color w:val="auto"/>
                <w:sz w:val="18"/>
                <w:szCs w:val="18"/>
                <w:highlight w:val="none"/>
              </w:rPr>
            </w:pPr>
          </w:p>
        </w:tc>
        <w:tc>
          <w:tcPr>
            <w:tcW w:w="11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7FAFA6">
            <w:pPr>
              <w:pStyle w:val="482"/>
              <w:rPr>
                <w:rFonts w:hint="eastAsia" w:ascii="宋体" w:hAnsi="宋体" w:eastAsia="宋体" w:cs="宋体"/>
                <w:color w:val="auto"/>
                <w:sz w:val="18"/>
                <w:szCs w:val="18"/>
                <w:highlight w:val="none"/>
              </w:rPr>
            </w:pP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D9C2A">
            <w:pPr>
              <w:pStyle w:val="482"/>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政策申报管理</w:t>
            </w:r>
          </w:p>
        </w:tc>
        <w:tc>
          <w:tcPr>
            <w:tcW w:w="4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8D43E">
            <w:pPr>
              <w:pStyle w:val="482"/>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政策申报管理用于对企业端提交的普惠型政策申报、专业型政策申报、定向型政策申报进行审批。</w:t>
            </w:r>
          </w:p>
        </w:tc>
      </w:tr>
      <w:tr w14:paraId="43D0D208">
        <w:tblPrEx>
          <w:tblCellMar>
            <w:top w:w="0" w:type="dxa"/>
            <w:left w:w="108" w:type="dxa"/>
            <w:bottom w:w="0" w:type="dxa"/>
            <w:right w:w="108" w:type="dxa"/>
          </w:tblCellMar>
        </w:tblPrEx>
        <w:trPr>
          <w:trHeight w:val="340" w:hRule="atLeast"/>
        </w:trPr>
        <w:tc>
          <w:tcPr>
            <w:tcW w:w="9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8F7A54">
            <w:pPr>
              <w:pStyle w:val="482"/>
              <w:rPr>
                <w:rFonts w:hint="eastAsia" w:ascii="宋体" w:hAnsi="宋体" w:eastAsia="宋体" w:cs="宋体"/>
                <w:color w:val="auto"/>
                <w:sz w:val="18"/>
                <w:szCs w:val="18"/>
                <w:highlight w:val="none"/>
              </w:rPr>
            </w:pPr>
          </w:p>
        </w:tc>
        <w:tc>
          <w:tcPr>
            <w:tcW w:w="11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351980">
            <w:pPr>
              <w:pStyle w:val="482"/>
              <w:rPr>
                <w:rFonts w:hint="eastAsia" w:ascii="宋体" w:hAnsi="宋体" w:eastAsia="宋体" w:cs="宋体"/>
                <w:color w:val="auto"/>
                <w:sz w:val="18"/>
                <w:szCs w:val="18"/>
                <w:highlight w:val="none"/>
              </w:rPr>
            </w:pP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B59FF">
            <w:pPr>
              <w:pStyle w:val="482"/>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政策沙盘模拟</w:t>
            </w:r>
          </w:p>
        </w:tc>
        <w:tc>
          <w:tcPr>
            <w:tcW w:w="4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B3B98">
            <w:pPr>
              <w:pStyle w:val="482"/>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政策沙盘模拟是帮助用户在制定地区政策时进行政策成效的模拟与比较。</w:t>
            </w:r>
          </w:p>
        </w:tc>
      </w:tr>
      <w:tr w14:paraId="42A58C80">
        <w:tblPrEx>
          <w:tblCellMar>
            <w:top w:w="0" w:type="dxa"/>
            <w:left w:w="108" w:type="dxa"/>
            <w:bottom w:w="0" w:type="dxa"/>
            <w:right w:w="108" w:type="dxa"/>
          </w:tblCellMar>
        </w:tblPrEx>
        <w:trPr>
          <w:trHeight w:val="340" w:hRule="atLeast"/>
        </w:trPr>
        <w:tc>
          <w:tcPr>
            <w:tcW w:w="9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08942C">
            <w:pPr>
              <w:pStyle w:val="482"/>
              <w:rPr>
                <w:rFonts w:hint="eastAsia" w:ascii="宋体" w:hAnsi="宋体" w:eastAsia="宋体" w:cs="宋体"/>
                <w:color w:val="auto"/>
                <w:sz w:val="18"/>
                <w:szCs w:val="18"/>
                <w:highlight w:val="none"/>
              </w:rPr>
            </w:pPr>
          </w:p>
        </w:tc>
        <w:tc>
          <w:tcPr>
            <w:tcW w:w="11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D4CB66">
            <w:pPr>
              <w:pStyle w:val="482"/>
              <w:rPr>
                <w:rFonts w:hint="eastAsia" w:ascii="宋体" w:hAnsi="宋体" w:eastAsia="宋体" w:cs="宋体"/>
                <w:color w:val="auto"/>
                <w:sz w:val="18"/>
                <w:szCs w:val="18"/>
                <w:highlight w:val="none"/>
              </w:rPr>
            </w:pP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81C6C">
            <w:pPr>
              <w:pStyle w:val="482"/>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政策分析报告</w:t>
            </w:r>
          </w:p>
        </w:tc>
        <w:tc>
          <w:tcPr>
            <w:tcW w:w="4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7745B">
            <w:pPr>
              <w:pStyle w:val="482"/>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政策分析报告用于对当前系统内所维护的所有政策项目进行明细展示，包含项目主题、项目标题、项目标签、主管部门、有效期及是否发布等信息，方便用户对全量政策项目进行查询。</w:t>
            </w:r>
          </w:p>
        </w:tc>
      </w:tr>
      <w:tr w14:paraId="732BF7FB">
        <w:tblPrEx>
          <w:tblCellMar>
            <w:top w:w="0" w:type="dxa"/>
            <w:left w:w="108" w:type="dxa"/>
            <w:bottom w:w="0" w:type="dxa"/>
            <w:right w:w="108" w:type="dxa"/>
          </w:tblCellMar>
        </w:tblPrEx>
        <w:trPr>
          <w:trHeight w:val="340" w:hRule="atLeast"/>
        </w:trPr>
        <w:tc>
          <w:tcPr>
            <w:tcW w:w="9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051AD7">
            <w:pPr>
              <w:pStyle w:val="482"/>
              <w:rPr>
                <w:rFonts w:hint="eastAsia" w:ascii="宋体" w:hAnsi="宋体" w:eastAsia="宋体" w:cs="宋体"/>
                <w:color w:val="auto"/>
                <w:sz w:val="18"/>
                <w:szCs w:val="18"/>
                <w:highlight w:val="none"/>
              </w:rPr>
            </w:pPr>
          </w:p>
        </w:tc>
        <w:tc>
          <w:tcPr>
            <w:tcW w:w="11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5F56B3">
            <w:pPr>
              <w:pStyle w:val="482"/>
              <w:rPr>
                <w:rFonts w:hint="eastAsia" w:ascii="宋体" w:hAnsi="宋体" w:eastAsia="宋体" w:cs="宋体"/>
                <w:color w:val="auto"/>
                <w:sz w:val="18"/>
                <w:szCs w:val="18"/>
                <w:highlight w:val="none"/>
              </w:rPr>
            </w:pP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6A8E7">
            <w:pPr>
              <w:pStyle w:val="482"/>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政策申报统计报表</w:t>
            </w:r>
          </w:p>
        </w:tc>
        <w:tc>
          <w:tcPr>
            <w:tcW w:w="4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80912">
            <w:pPr>
              <w:pStyle w:val="482"/>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政策申报统计报表用于对所有企业的申报信息进行明细展示。</w:t>
            </w:r>
          </w:p>
        </w:tc>
      </w:tr>
      <w:tr w14:paraId="1E25FD3B">
        <w:tblPrEx>
          <w:tblCellMar>
            <w:top w:w="0" w:type="dxa"/>
            <w:left w:w="108" w:type="dxa"/>
            <w:bottom w:w="0" w:type="dxa"/>
            <w:right w:w="108" w:type="dxa"/>
          </w:tblCellMar>
        </w:tblPrEx>
        <w:trPr>
          <w:trHeight w:val="340" w:hRule="atLeast"/>
        </w:trPr>
        <w:tc>
          <w:tcPr>
            <w:tcW w:w="9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D86E62">
            <w:pPr>
              <w:pStyle w:val="482"/>
              <w:rPr>
                <w:rFonts w:hint="eastAsia" w:ascii="宋体" w:hAnsi="宋体" w:eastAsia="宋体" w:cs="宋体"/>
                <w:color w:val="auto"/>
                <w:sz w:val="18"/>
                <w:szCs w:val="18"/>
                <w:highlight w:val="none"/>
              </w:rPr>
            </w:pPr>
          </w:p>
        </w:tc>
        <w:tc>
          <w:tcPr>
            <w:tcW w:w="11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2AC540">
            <w:pPr>
              <w:pStyle w:val="482"/>
              <w:rPr>
                <w:rFonts w:hint="eastAsia" w:ascii="宋体" w:hAnsi="宋体" w:eastAsia="宋体" w:cs="宋体"/>
                <w:color w:val="auto"/>
                <w:sz w:val="18"/>
                <w:szCs w:val="18"/>
                <w:highlight w:val="none"/>
              </w:rPr>
            </w:pP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EFF1B">
            <w:pPr>
              <w:pStyle w:val="482"/>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政策申报汇总表</w:t>
            </w:r>
          </w:p>
        </w:tc>
        <w:tc>
          <w:tcPr>
            <w:tcW w:w="4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B1444">
            <w:pPr>
              <w:pStyle w:val="482"/>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政策申报汇总表以政策项目为维度，统计项目的申报汇总信息、包括申报年度、项目名称、项目类型、申报时间、申报企业数量以及申报金额等信息。</w:t>
            </w:r>
          </w:p>
        </w:tc>
      </w:tr>
      <w:tr w14:paraId="524D49DD">
        <w:tblPrEx>
          <w:tblCellMar>
            <w:top w:w="0" w:type="dxa"/>
            <w:left w:w="108" w:type="dxa"/>
            <w:bottom w:w="0" w:type="dxa"/>
            <w:right w:w="108" w:type="dxa"/>
          </w:tblCellMar>
        </w:tblPrEx>
        <w:trPr>
          <w:trHeight w:val="340" w:hRule="atLeast"/>
        </w:trPr>
        <w:tc>
          <w:tcPr>
            <w:tcW w:w="9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227F7F">
            <w:pPr>
              <w:pStyle w:val="482"/>
              <w:rPr>
                <w:rFonts w:hint="eastAsia" w:ascii="宋体" w:hAnsi="宋体" w:eastAsia="宋体" w:cs="宋体"/>
                <w:color w:val="auto"/>
                <w:sz w:val="18"/>
                <w:szCs w:val="18"/>
                <w:highlight w:val="none"/>
              </w:rPr>
            </w:pPr>
          </w:p>
        </w:tc>
        <w:tc>
          <w:tcPr>
            <w:tcW w:w="11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96F9404">
            <w:pPr>
              <w:pStyle w:val="482"/>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诉求管理</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3A102">
            <w:pPr>
              <w:pStyle w:val="482"/>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企业诉求管理</w:t>
            </w:r>
          </w:p>
        </w:tc>
        <w:tc>
          <w:tcPr>
            <w:tcW w:w="4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3EADE">
            <w:pPr>
              <w:pStyle w:val="482"/>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企业诉求管理供政府端人员对企业提出的诉求进行统筹管理。根据用户角色不同，可以对诉求进行直接办理、转办、审批回复等操作，系统会通过智能分析模块帮助用户更准确和快捷的解决诉求问题。</w:t>
            </w:r>
          </w:p>
        </w:tc>
      </w:tr>
      <w:tr w14:paraId="31DC10D4">
        <w:tblPrEx>
          <w:tblCellMar>
            <w:top w:w="0" w:type="dxa"/>
            <w:left w:w="108" w:type="dxa"/>
            <w:bottom w:w="0" w:type="dxa"/>
            <w:right w:w="108" w:type="dxa"/>
          </w:tblCellMar>
        </w:tblPrEx>
        <w:trPr>
          <w:trHeight w:val="340" w:hRule="atLeast"/>
        </w:trPr>
        <w:tc>
          <w:tcPr>
            <w:tcW w:w="9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A7B8A6">
            <w:pPr>
              <w:pStyle w:val="482"/>
              <w:rPr>
                <w:rFonts w:hint="eastAsia" w:ascii="宋体" w:hAnsi="宋体" w:eastAsia="宋体" w:cs="宋体"/>
                <w:color w:val="auto"/>
                <w:sz w:val="18"/>
                <w:szCs w:val="18"/>
                <w:highlight w:val="none"/>
              </w:rPr>
            </w:pPr>
          </w:p>
        </w:tc>
        <w:tc>
          <w:tcPr>
            <w:tcW w:w="11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532266">
            <w:pPr>
              <w:pStyle w:val="482"/>
              <w:rPr>
                <w:rFonts w:hint="eastAsia" w:ascii="宋体" w:hAnsi="宋体" w:eastAsia="宋体" w:cs="宋体"/>
                <w:color w:val="auto"/>
                <w:sz w:val="18"/>
                <w:szCs w:val="18"/>
                <w:highlight w:val="none"/>
              </w:rPr>
            </w:pP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474E4">
            <w:pPr>
              <w:pStyle w:val="482"/>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诉求办理</w:t>
            </w:r>
          </w:p>
        </w:tc>
        <w:tc>
          <w:tcPr>
            <w:tcW w:w="4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22843">
            <w:pPr>
              <w:pStyle w:val="482"/>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诉求办理模块用于处理企业所提交的诉求工单，按需提供必要的办公设备。</w:t>
            </w:r>
          </w:p>
        </w:tc>
      </w:tr>
      <w:tr w14:paraId="3F4D34E7">
        <w:tblPrEx>
          <w:tblCellMar>
            <w:top w:w="0" w:type="dxa"/>
            <w:left w:w="108" w:type="dxa"/>
            <w:bottom w:w="0" w:type="dxa"/>
            <w:right w:w="108" w:type="dxa"/>
          </w:tblCellMar>
        </w:tblPrEx>
        <w:trPr>
          <w:trHeight w:val="340" w:hRule="atLeast"/>
        </w:trPr>
        <w:tc>
          <w:tcPr>
            <w:tcW w:w="9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74B1E3">
            <w:pPr>
              <w:pStyle w:val="482"/>
              <w:rPr>
                <w:rFonts w:hint="eastAsia" w:ascii="宋体" w:hAnsi="宋体" w:eastAsia="宋体" w:cs="宋体"/>
                <w:color w:val="auto"/>
                <w:sz w:val="18"/>
                <w:szCs w:val="18"/>
                <w:highlight w:val="none"/>
              </w:rPr>
            </w:pPr>
          </w:p>
        </w:tc>
        <w:tc>
          <w:tcPr>
            <w:tcW w:w="11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EA639F">
            <w:pPr>
              <w:pStyle w:val="482"/>
              <w:rPr>
                <w:rFonts w:hint="eastAsia" w:ascii="宋体" w:hAnsi="宋体" w:eastAsia="宋体" w:cs="宋体"/>
                <w:color w:val="auto"/>
                <w:sz w:val="18"/>
                <w:szCs w:val="18"/>
                <w:highlight w:val="none"/>
              </w:rPr>
            </w:pP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E5B3A">
            <w:pPr>
              <w:pStyle w:val="482"/>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诉求处理总览</w:t>
            </w:r>
          </w:p>
        </w:tc>
        <w:tc>
          <w:tcPr>
            <w:tcW w:w="4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6F64F">
            <w:pPr>
              <w:pStyle w:val="482"/>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诉求处理总览向用户展示当前有权限阅览的所有诉求工单，包括已处理及未处理的工单。用户可以查看工单的办理详情，进行办理操作等。</w:t>
            </w:r>
          </w:p>
        </w:tc>
      </w:tr>
      <w:tr w14:paraId="3072F8DA">
        <w:tblPrEx>
          <w:tblCellMar>
            <w:top w:w="0" w:type="dxa"/>
            <w:left w:w="108" w:type="dxa"/>
            <w:bottom w:w="0" w:type="dxa"/>
            <w:right w:w="108" w:type="dxa"/>
          </w:tblCellMar>
        </w:tblPrEx>
        <w:trPr>
          <w:trHeight w:val="340" w:hRule="atLeast"/>
        </w:trPr>
        <w:tc>
          <w:tcPr>
            <w:tcW w:w="9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3B97B4">
            <w:pPr>
              <w:pStyle w:val="482"/>
              <w:rPr>
                <w:rFonts w:hint="eastAsia" w:ascii="宋体" w:hAnsi="宋体" w:eastAsia="宋体" w:cs="宋体"/>
                <w:color w:val="auto"/>
                <w:sz w:val="18"/>
                <w:szCs w:val="18"/>
                <w:highlight w:val="none"/>
              </w:rPr>
            </w:pPr>
          </w:p>
        </w:tc>
        <w:tc>
          <w:tcPr>
            <w:tcW w:w="11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268D50">
            <w:pPr>
              <w:pStyle w:val="482"/>
              <w:rPr>
                <w:rFonts w:hint="eastAsia" w:ascii="宋体" w:hAnsi="宋体" w:eastAsia="宋体" w:cs="宋体"/>
                <w:color w:val="auto"/>
                <w:sz w:val="18"/>
                <w:szCs w:val="18"/>
                <w:highlight w:val="none"/>
              </w:rPr>
            </w:pP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D7D6B">
            <w:pPr>
              <w:pStyle w:val="482"/>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常见问题管理</w:t>
            </w:r>
          </w:p>
        </w:tc>
        <w:tc>
          <w:tcPr>
            <w:tcW w:w="4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2F8DD">
            <w:pPr>
              <w:pStyle w:val="482"/>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常见问题管理用于维护在企业端的企业诉求模块展示的诉求常见问题。用户可维护问题的标题与内容，上传相关附件并选择该问题所属的类型。</w:t>
            </w:r>
          </w:p>
        </w:tc>
      </w:tr>
      <w:tr w14:paraId="33B06750">
        <w:tblPrEx>
          <w:tblCellMar>
            <w:top w:w="0" w:type="dxa"/>
            <w:left w:w="108" w:type="dxa"/>
            <w:bottom w:w="0" w:type="dxa"/>
            <w:right w:w="108" w:type="dxa"/>
          </w:tblCellMar>
        </w:tblPrEx>
        <w:trPr>
          <w:trHeight w:val="340" w:hRule="atLeast"/>
        </w:trPr>
        <w:tc>
          <w:tcPr>
            <w:tcW w:w="9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C76072">
            <w:pPr>
              <w:pStyle w:val="482"/>
              <w:rPr>
                <w:rFonts w:hint="eastAsia" w:ascii="宋体" w:hAnsi="宋体" w:eastAsia="宋体" w:cs="宋体"/>
                <w:color w:val="auto"/>
                <w:sz w:val="18"/>
                <w:szCs w:val="18"/>
                <w:highlight w:val="none"/>
              </w:rPr>
            </w:pPr>
          </w:p>
        </w:tc>
        <w:tc>
          <w:tcPr>
            <w:tcW w:w="11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EB7BEB">
            <w:pPr>
              <w:pStyle w:val="482"/>
              <w:rPr>
                <w:rFonts w:hint="eastAsia" w:ascii="宋体" w:hAnsi="宋体" w:eastAsia="宋体" w:cs="宋体"/>
                <w:color w:val="auto"/>
                <w:sz w:val="18"/>
                <w:szCs w:val="18"/>
                <w:highlight w:val="none"/>
              </w:rPr>
            </w:pP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60AD8">
            <w:pPr>
              <w:pStyle w:val="482"/>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企业诉求数量分析</w:t>
            </w:r>
          </w:p>
        </w:tc>
        <w:tc>
          <w:tcPr>
            <w:tcW w:w="4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493EA">
            <w:pPr>
              <w:pStyle w:val="482"/>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企业诉求数量分析提供对政府端接收的全量诉求数据的明细展示，包含诉求的来源、诉求类型、办理方式、办理部门、创建时间、诉求标题、处理状态与满意度评价等数据。</w:t>
            </w:r>
          </w:p>
        </w:tc>
      </w:tr>
      <w:tr w14:paraId="46F08FF0">
        <w:tblPrEx>
          <w:tblCellMar>
            <w:top w:w="0" w:type="dxa"/>
            <w:left w:w="108" w:type="dxa"/>
            <w:bottom w:w="0" w:type="dxa"/>
            <w:right w:w="108" w:type="dxa"/>
          </w:tblCellMar>
        </w:tblPrEx>
        <w:trPr>
          <w:trHeight w:val="340" w:hRule="atLeast"/>
        </w:trPr>
        <w:tc>
          <w:tcPr>
            <w:tcW w:w="9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B47430">
            <w:pPr>
              <w:pStyle w:val="482"/>
              <w:rPr>
                <w:rFonts w:hint="eastAsia" w:ascii="宋体" w:hAnsi="宋体" w:eastAsia="宋体" w:cs="宋体"/>
                <w:color w:val="auto"/>
                <w:sz w:val="18"/>
                <w:szCs w:val="18"/>
                <w:highlight w:val="none"/>
              </w:rPr>
            </w:pPr>
          </w:p>
        </w:tc>
        <w:tc>
          <w:tcPr>
            <w:tcW w:w="11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C50501">
            <w:pPr>
              <w:pStyle w:val="482"/>
              <w:rPr>
                <w:rFonts w:hint="eastAsia" w:ascii="宋体" w:hAnsi="宋体" w:eastAsia="宋体" w:cs="宋体"/>
                <w:color w:val="auto"/>
                <w:sz w:val="18"/>
                <w:szCs w:val="18"/>
                <w:highlight w:val="none"/>
              </w:rPr>
            </w:pP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19112">
            <w:pPr>
              <w:pStyle w:val="482"/>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部门诉求处理分析</w:t>
            </w:r>
          </w:p>
        </w:tc>
        <w:tc>
          <w:tcPr>
            <w:tcW w:w="4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B0313">
            <w:pPr>
              <w:pStyle w:val="482"/>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部门诉求处理分析以部门为维度对所有部门的诉求处理情况进行统计展示，包括部门接到的办理类型，接到的诉求总数量，反馈情况以及好评率。</w:t>
            </w:r>
          </w:p>
        </w:tc>
      </w:tr>
      <w:tr w14:paraId="7116BAD1">
        <w:tblPrEx>
          <w:tblCellMar>
            <w:top w:w="0" w:type="dxa"/>
            <w:left w:w="108" w:type="dxa"/>
            <w:bottom w:w="0" w:type="dxa"/>
            <w:right w:w="108" w:type="dxa"/>
          </w:tblCellMar>
        </w:tblPrEx>
        <w:trPr>
          <w:trHeight w:val="340" w:hRule="atLeast"/>
        </w:trPr>
        <w:tc>
          <w:tcPr>
            <w:tcW w:w="9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BA1397">
            <w:pPr>
              <w:pStyle w:val="482"/>
              <w:rPr>
                <w:rFonts w:hint="eastAsia" w:ascii="宋体" w:hAnsi="宋体" w:eastAsia="宋体" w:cs="宋体"/>
                <w:color w:val="auto"/>
                <w:sz w:val="18"/>
                <w:szCs w:val="18"/>
                <w:highlight w:val="none"/>
              </w:rPr>
            </w:pPr>
          </w:p>
        </w:tc>
        <w:tc>
          <w:tcPr>
            <w:tcW w:w="11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AE4852">
            <w:pPr>
              <w:pStyle w:val="482"/>
              <w:rPr>
                <w:rFonts w:hint="eastAsia" w:ascii="宋体" w:hAnsi="宋体" w:eastAsia="宋体" w:cs="宋体"/>
                <w:color w:val="auto"/>
                <w:sz w:val="18"/>
                <w:szCs w:val="18"/>
                <w:highlight w:val="none"/>
              </w:rPr>
            </w:pP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9ADB9">
            <w:pPr>
              <w:pStyle w:val="482"/>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诉求分析报告</w:t>
            </w:r>
          </w:p>
        </w:tc>
        <w:tc>
          <w:tcPr>
            <w:tcW w:w="4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56EA4">
            <w:pPr>
              <w:pStyle w:val="482"/>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诉求分析报告以多个维度对诉求进行进一步分析，包含按月份统计诉求总量，统计诉求来源，统计办理情况，统计诉求类型分布等，并会分析部门办件出现长期件、超期件、催办件的情况。</w:t>
            </w:r>
          </w:p>
        </w:tc>
      </w:tr>
      <w:tr w14:paraId="6197715A">
        <w:tblPrEx>
          <w:tblCellMar>
            <w:top w:w="0" w:type="dxa"/>
            <w:left w:w="108" w:type="dxa"/>
            <w:bottom w:w="0" w:type="dxa"/>
            <w:right w:w="108" w:type="dxa"/>
          </w:tblCellMar>
        </w:tblPrEx>
        <w:trPr>
          <w:trHeight w:val="340" w:hRule="atLeast"/>
        </w:trPr>
        <w:tc>
          <w:tcPr>
            <w:tcW w:w="9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F22224">
            <w:pPr>
              <w:pStyle w:val="482"/>
              <w:rPr>
                <w:rFonts w:hint="eastAsia" w:ascii="宋体" w:hAnsi="宋体" w:eastAsia="宋体" w:cs="宋体"/>
                <w:color w:val="auto"/>
                <w:sz w:val="18"/>
                <w:szCs w:val="18"/>
                <w:highlight w:val="none"/>
              </w:rPr>
            </w:pPr>
          </w:p>
        </w:tc>
        <w:tc>
          <w:tcPr>
            <w:tcW w:w="11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F49B88">
            <w:pPr>
              <w:pStyle w:val="482"/>
              <w:rPr>
                <w:rFonts w:hint="eastAsia" w:ascii="宋体" w:hAnsi="宋体" w:eastAsia="宋体" w:cs="宋体"/>
                <w:color w:val="auto"/>
                <w:sz w:val="18"/>
                <w:szCs w:val="18"/>
                <w:highlight w:val="none"/>
              </w:rPr>
            </w:pP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BA1D0">
            <w:pPr>
              <w:pStyle w:val="482"/>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诉求智能报告</w:t>
            </w:r>
          </w:p>
        </w:tc>
        <w:tc>
          <w:tcPr>
            <w:tcW w:w="4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7EFC6">
            <w:pPr>
              <w:pStyle w:val="482"/>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诉求智能报告可让用户灵活选择时间范围，根据定制好的模板，用文字、表格、图标等多种展现形式智能生成一份该时期内的诉求分析报告。</w:t>
            </w:r>
          </w:p>
        </w:tc>
      </w:tr>
      <w:tr w14:paraId="4D1113DC">
        <w:tblPrEx>
          <w:tblCellMar>
            <w:top w:w="0" w:type="dxa"/>
            <w:left w:w="108" w:type="dxa"/>
            <w:bottom w:w="0" w:type="dxa"/>
            <w:right w:w="108" w:type="dxa"/>
          </w:tblCellMar>
        </w:tblPrEx>
        <w:trPr>
          <w:trHeight w:val="340" w:hRule="atLeast"/>
        </w:trPr>
        <w:tc>
          <w:tcPr>
            <w:tcW w:w="9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66C6EC">
            <w:pPr>
              <w:pStyle w:val="482"/>
              <w:rPr>
                <w:rFonts w:hint="eastAsia" w:ascii="宋体" w:hAnsi="宋体" w:eastAsia="宋体" w:cs="宋体"/>
                <w:color w:val="auto"/>
                <w:sz w:val="18"/>
                <w:szCs w:val="18"/>
                <w:highlight w:val="none"/>
              </w:rPr>
            </w:pPr>
          </w:p>
        </w:tc>
        <w:tc>
          <w:tcPr>
            <w:tcW w:w="11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8090F5">
            <w:pPr>
              <w:pStyle w:val="482"/>
              <w:rPr>
                <w:rFonts w:hint="eastAsia" w:ascii="宋体" w:hAnsi="宋体" w:eastAsia="宋体" w:cs="宋体"/>
                <w:color w:val="auto"/>
                <w:sz w:val="18"/>
                <w:szCs w:val="18"/>
                <w:highlight w:val="none"/>
              </w:rPr>
            </w:pP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11236">
            <w:pPr>
              <w:pStyle w:val="482"/>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助企小管家管理</w:t>
            </w:r>
          </w:p>
        </w:tc>
        <w:tc>
          <w:tcPr>
            <w:tcW w:w="4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DC685">
            <w:pPr>
              <w:pStyle w:val="482"/>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对前端填写的企业服务十项清单的内容进行管理，对表单内容可以进行增删改查的管理工作，对填写的表单数据可以按照数据维度进行分析。</w:t>
            </w:r>
          </w:p>
        </w:tc>
      </w:tr>
      <w:tr w14:paraId="23E3A007">
        <w:tblPrEx>
          <w:tblCellMar>
            <w:top w:w="0" w:type="dxa"/>
            <w:left w:w="108" w:type="dxa"/>
            <w:bottom w:w="0" w:type="dxa"/>
            <w:right w:w="108" w:type="dxa"/>
          </w:tblCellMar>
        </w:tblPrEx>
        <w:trPr>
          <w:trHeight w:val="340" w:hRule="atLeast"/>
        </w:trPr>
        <w:tc>
          <w:tcPr>
            <w:tcW w:w="9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5D0D7E">
            <w:pPr>
              <w:pStyle w:val="482"/>
              <w:rPr>
                <w:rFonts w:hint="eastAsia" w:ascii="宋体" w:hAnsi="宋体" w:eastAsia="宋体" w:cs="宋体"/>
                <w:color w:val="auto"/>
                <w:sz w:val="18"/>
                <w:szCs w:val="18"/>
                <w:highlight w:val="none"/>
              </w:rPr>
            </w:pPr>
          </w:p>
        </w:tc>
        <w:tc>
          <w:tcPr>
            <w:tcW w:w="11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712EC9">
            <w:pPr>
              <w:pStyle w:val="482"/>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项目服务管理</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8EEDE">
            <w:pPr>
              <w:pStyle w:val="482"/>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项目服务信息管理</w:t>
            </w:r>
          </w:p>
        </w:tc>
        <w:tc>
          <w:tcPr>
            <w:tcW w:w="4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32CE3">
            <w:pPr>
              <w:pStyle w:val="482"/>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管理端可以对水电气网、市政、国土、规划、环保、住建、消防等项目服务链接管理。</w:t>
            </w:r>
          </w:p>
        </w:tc>
      </w:tr>
      <w:tr w14:paraId="176C4053">
        <w:tblPrEx>
          <w:tblCellMar>
            <w:top w:w="0" w:type="dxa"/>
            <w:left w:w="108" w:type="dxa"/>
            <w:bottom w:w="0" w:type="dxa"/>
            <w:right w:w="108" w:type="dxa"/>
          </w:tblCellMar>
        </w:tblPrEx>
        <w:trPr>
          <w:trHeight w:val="340" w:hRule="atLeast"/>
        </w:trPr>
        <w:tc>
          <w:tcPr>
            <w:tcW w:w="9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BBD04B">
            <w:pPr>
              <w:pStyle w:val="482"/>
              <w:rPr>
                <w:rFonts w:hint="eastAsia" w:ascii="宋体" w:hAnsi="宋体" w:eastAsia="宋体" w:cs="宋体"/>
                <w:color w:val="auto"/>
                <w:sz w:val="18"/>
                <w:szCs w:val="18"/>
                <w:highlight w:val="none"/>
              </w:rPr>
            </w:pPr>
          </w:p>
        </w:tc>
        <w:tc>
          <w:tcPr>
            <w:tcW w:w="11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D0DB84">
            <w:pPr>
              <w:pStyle w:val="482"/>
              <w:rPr>
                <w:rFonts w:hint="eastAsia" w:ascii="宋体" w:hAnsi="宋体" w:eastAsia="宋体" w:cs="宋体"/>
                <w:color w:val="auto"/>
                <w:sz w:val="18"/>
                <w:szCs w:val="18"/>
                <w:highlight w:val="none"/>
              </w:rPr>
            </w:pP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584E7">
            <w:pPr>
              <w:pStyle w:val="482"/>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项目服务上架管理</w:t>
            </w:r>
          </w:p>
        </w:tc>
        <w:tc>
          <w:tcPr>
            <w:tcW w:w="4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CB6C3">
            <w:pPr>
              <w:pStyle w:val="482"/>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企业端发布的项目服务的上架管理，确定对企业提供的具体项目服务。</w:t>
            </w:r>
          </w:p>
        </w:tc>
      </w:tr>
      <w:tr w14:paraId="2E4D82B5">
        <w:tblPrEx>
          <w:tblCellMar>
            <w:top w:w="0" w:type="dxa"/>
            <w:left w:w="108" w:type="dxa"/>
            <w:bottom w:w="0" w:type="dxa"/>
            <w:right w:w="108" w:type="dxa"/>
          </w:tblCellMar>
        </w:tblPrEx>
        <w:trPr>
          <w:trHeight w:val="340" w:hRule="atLeast"/>
        </w:trPr>
        <w:tc>
          <w:tcPr>
            <w:tcW w:w="9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652220">
            <w:pPr>
              <w:pStyle w:val="482"/>
              <w:rPr>
                <w:rFonts w:hint="eastAsia" w:ascii="宋体" w:hAnsi="宋体" w:eastAsia="宋体" w:cs="宋体"/>
                <w:color w:val="auto"/>
                <w:sz w:val="18"/>
                <w:szCs w:val="18"/>
                <w:highlight w:val="none"/>
              </w:rPr>
            </w:pPr>
          </w:p>
        </w:tc>
        <w:tc>
          <w:tcPr>
            <w:tcW w:w="11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BA811F">
            <w:pPr>
              <w:pStyle w:val="482"/>
              <w:rPr>
                <w:rFonts w:hint="eastAsia" w:ascii="宋体" w:hAnsi="宋体" w:eastAsia="宋体" w:cs="宋体"/>
                <w:color w:val="auto"/>
                <w:sz w:val="18"/>
                <w:szCs w:val="18"/>
                <w:highlight w:val="none"/>
              </w:rPr>
            </w:pP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B2BCD">
            <w:pPr>
              <w:pStyle w:val="482"/>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项目服务高低频管理</w:t>
            </w:r>
          </w:p>
        </w:tc>
        <w:tc>
          <w:tcPr>
            <w:tcW w:w="4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CCDC7">
            <w:pPr>
              <w:pStyle w:val="482"/>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根据企业和个人点击的项目服务，对服务的高低频进行分析，可根据使用高低频进行排序。</w:t>
            </w:r>
          </w:p>
        </w:tc>
      </w:tr>
      <w:tr w14:paraId="279C9D4F">
        <w:tblPrEx>
          <w:tblCellMar>
            <w:top w:w="0" w:type="dxa"/>
            <w:left w:w="108" w:type="dxa"/>
            <w:bottom w:w="0" w:type="dxa"/>
            <w:right w:w="108" w:type="dxa"/>
          </w:tblCellMar>
        </w:tblPrEx>
        <w:trPr>
          <w:trHeight w:val="340" w:hRule="atLeast"/>
        </w:trPr>
        <w:tc>
          <w:tcPr>
            <w:tcW w:w="9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5CFC85">
            <w:pPr>
              <w:pStyle w:val="482"/>
              <w:rPr>
                <w:rFonts w:hint="eastAsia" w:ascii="宋体" w:hAnsi="宋体" w:eastAsia="宋体" w:cs="宋体"/>
                <w:color w:val="auto"/>
                <w:sz w:val="18"/>
                <w:szCs w:val="18"/>
                <w:highlight w:val="none"/>
              </w:rPr>
            </w:pPr>
          </w:p>
        </w:tc>
        <w:tc>
          <w:tcPr>
            <w:tcW w:w="11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BA2745">
            <w:pPr>
              <w:pStyle w:val="482"/>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金融服务管理</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87CE3">
            <w:pPr>
              <w:pStyle w:val="482"/>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金融服务对接管理</w:t>
            </w:r>
          </w:p>
        </w:tc>
        <w:tc>
          <w:tcPr>
            <w:tcW w:w="4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C49F6">
            <w:pPr>
              <w:pStyle w:val="482"/>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管理端为系统管理员提供金融服务对接管理功能，方便与外部系统进行快速对接与后续维护。</w:t>
            </w:r>
          </w:p>
        </w:tc>
      </w:tr>
      <w:tr w14:paraId="589F51BB">
        <w:tblPrEx>
          <w:tblCellMar>
            <w:top w:w="0" w:type="dxa"/>
            <w:left w:w="108" w:type="dxa"/>
            <w:bottom w:w="0" w:type="dxa"/>
            <w:right w:w="108" w:type="dxa"/>
          </w:tblCellMar>
        </w:tblPrEx>
        <w:trPr>
          <w:trHeight w:val="340" w:hRule="atLeast"/>
        </w:trPr>
        <w:tc>
          <w:tcPr>
            <w:tcW w:w="9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0FCD2C">
            <w:pPr>
              <w:pStyle w:val="482"/>
              <w:rPr>
                <w:rFonts w:hint="eastAsia" w:ascii="宋体" w:hAnsi="宋体" w:eastAsia="宋体" w:cs="宋体"/>
                <w:color w:val="auto"/>
                <w:sz w:val="18"/>
                <w:szCs w:val="18"/>
                <w:highlight w:val="none"/>
              </w:rPr>
            </w:pPr>
          </w:p>
        </w:tc>
        <w:tc>
          <w:tcPr>
            <w:tcW w:w="11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F662E7">
            <w:pPr>
              <w:pStyle w:val="482"/>
              <w:rPr>
                <w:rFonts w:hint="eastAsia" w:ascii="宋体" w:hAnsi="宋体" w:eastAsia="宋体" w:cs="宋体"/>
                <w:color w:val="auto"/>
                <w:sz w:val="18"/>
                <w:szCs w:val="18"/>
                <w:highlight w:val="none"/>
              </w:rPr>
            </w:pP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3E552">
            <w:pPr>
              <w:pStyle w:val="482"/>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金融服务类别管理</w:t>
            </w:r>
          </w:p>
        </w:tc>
        <w:tc>
          <w:tcPr>
            <w:tcW w:w="4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33BE7">
            <w:pPr>
              <w:pStyle w:val="482"/>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金融服务类别管理可维护金融服务分类，控制企业端的金融服务类别，实现金融服务类别的新增、编辑、删除等功能。</w:t>
            </w:r>
          </w:p>
        </w:tc>
      </w:tr>
      <w:tr w14:paraId="48E7EC49">
        <w:tblPrEx>
          <w:tblCellMar>
            <w:top w:w="0" w:type="dxa"/>
            <w:left w:w="108" w:type="dxa"/>
            <w:bottom w:w="0" w:type="dxa"/>
            <w:right w:w="108" w:type="dxa"/>
          </w:tblCellMar>
        </w:tblPrEx>
        <w:trPr>
          <w:trHeight w:val="340" w:hRule="atLeast"/>
        </w:trPr>
        <w:tc>
          <w:tcPr>
            <w:tcW w:w="9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EED46B">
            <w:pPr>
              <w:pStyle w:val="482"/>
              <w:rPr>
                <w:rFonts w:hint="eastAsia" w:ascii="宋体" w:hAnsi="宋体" w:eastAsia="宋体" w:cs="宋体"/>
                <w:color w:val="auto"/>
                <w:sz w:val="18"/>
                <w:szCs w:val="18"/>
                <w:highlight w:val="none"/>
              </w:rPr>
            </w:pPr>
          </w:p>
        </w:tc>
        <w:tc>
          <w:tcPr>
            <w:tcW w:w="11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4B6DD3">
            <w:pPr>
              <w:pStyle w:val="482"/>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人才服务管理</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5E8DF">
            <w:pPr>
              <w:pStyle w:val="482"/>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人才公寓管理</w:t>
            </w:r>
          </w:p>
        </w:tc>
        <w:tc>
          <w:tcPr>
            <w:tcW w:w="4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7A797">
            <w:pPr>
              <w:pStyle w:val="482"/>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管理端为公寓管理员提供人才公寓信息维护功能和人才公寓审批。包括房源信息管理、入住管理。</w:t>
            </w:r>
          </w:p>
        </w:tc>
      </w:tr>
      <w:tr w14:paraId="53314A55">
        <w:tblPrEx>
          <w:tblCellMar>
            <w:top w:w="0" w:type="dxa"/>
            <w:left w:w="108" w:type="dxa"/>
            <w:bottom w:w="0" w:type="dxa"/>
            <w:right w:w="108" w:type="dxa"/>
          </w:tblCellMar>
        </w:tblPrEx>
        <w:trPr>
          <w:trHeight w:val="340" w:hRule="atLeast"/>
        </w:trPr>
        <w:tc>
          <w:tcPr>
            <w:tcW w:w="9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742DB8">
            <w:pPr>
              <w:pStyle w:val="482"/>
              <w:rPr>
                <w:rFonts w:hint="eastAsia" w:ascii="宋体" w:hAnsi="宋体" w:eastAsia="宋体" w:cs="宋体"/>
                <w:color w:val="auto"/>
                <w:sz w:val="18"/>
                <w:szCs w:val="18"/>
                <w:highlight w:val="none"/>
              </w:rPr>
            </w:pPr>
          </w:p>
        </w:tc>
        <w:tc>
          <w:tcPr>
            <w:tcW w:w="11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99C633">
            <w:pPr>
              <w:pStyle w:val="482"/>
              <w:rPr>
                <w:rFonts w:hint="eastAsia" w:ascii="宋体" w:hAnsi="宋体" w:eastAsia="宋体" w:cs="宋体"/>
                <w:color w:val="auto"/>
                <w:sz w:val="18"/>
                <w:szCs w:val="18"/>
                <w:highlight w:val="none"/>
              </w:rPr>
            </w:pP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FF19C">
            <w:pPr>
              <w:pStyle w:val="482"/>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招聘信息发布管理</w:t>
            </w:r>
          </w:p>
        </w:tc>
        <w:tc>
          <w:tcPr>
            <w:tcW w:w="4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87E28">
            <w:pPr>
              <w:pStyle w:val="482"/>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招聘信息发布是专为园区招聘企业提供的便捷、高效的发布职位信息的功能，为园区企业和求职者搭建了一个互动交流的桥梁。</w:t>
            </w:r>
          </w:p>
        </w:tc>
      </w:tr>
      <w:tr w14:paraId="68F4D9FB">
        <w:tblPrEx>
          <w:tblCellMar>
            <w:top w:w="0" w:type="dxa"/>
            <w:left w:w="108" w:type="dxa"/>
            <w:bottom w:w="0" w:type="dxa"/>
            <w:right w:w="108" w:type="dxa"/>
          </w:tblCellMar>
        </w:tblPrEx>
        <w:trPr>
          <w:trHeight w:val="340" w:hRule="atLeast"/>
        </w:trPr>
        <w:tc>
          <w:tcPr>
            <w:tcW w:w="9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C729DD">
            <w:pPr>
              <w:pStyle w:val="482"/>
              <w:rPr>
                <w:rFonts w:hint="eastAsia" w:ascii="宋体" w:hAnsi="宋体" w:eastAsia="宋体" w:cs="宋体"/>
                <w:color w:val="auto"/>
                <w:sz w:val="18"/>
                <w:szCs w:val="18"/>
                <w:highlight w:val="none"/>
              </w:rPr>
            </w:pPr>
          </w:p>
        </w:tc>
        <w:tc>
          <w:tcPr>
            <w:tcW w:w="11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0AAE44">
            <w:pPr>
              <w:pStyle w:val="482"/>
              <w:rPr>
                <w:rFonts w:hint="eastAsia" w:ascii="宋体" w:hAnsi="宋体" w:eastAsia="宋体" w:cs="宋体"/>
                <w:color w:val="auto"/>
                <w:sz w:val="18"/>
                <w:szCs w:val="18"/>
                <w:highlight w:val="none"/>
              </w:rPr>
            </w:pP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4D035">
            <w:pPr>
              <w:pStyle w:val="482"/>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人才政策推送</w:t>
            </w:r>
          </w:p>
        </w:tc>
        <w:tc>
          <w:tcPr>
            <w:tcW w:w="4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FCD4F">
            <w:pPr>
              <w:pStyle w:val="482"/>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在管理端业务人员可以为园区内就职的人才定向的推送人才政策，方式有站内信和短信通知的方式，方便主管部门做好人才服务工作。</w:t>
            </w:r>
          </w:p>
        </w:tc>
      </w:tr>
      <w:tr w14:paraId="16E37B6C">
        <w:tblPrEx>
          <w:tblCellMar>
            <w:top w:w="0" w:type="dxa"/>
            <w:left w:w="108" w:type="dxa"/>
            <w:bottom w:w="0" w:type="dxa"/>
            <w:right w:w="108" w:type="dxa"/>
          </w:tblCellMar>
        </w:tblPrEx>
        <w:trPr>
          <w:trHeight w:val="340" w:hRule="atLeast"/>
        </w:trPr>
        <w:tc>
          <w:tcPr>
            <w:tcW w:w="9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31E6CE">
            <w:pPr>
              <w:pStyle w:val="482"/>
              <w:rPr>
                <w:rFonts w:hint="eastAsia" w:ascii="宋体" w:hAnsi="宋体" w:eastAsia="宋体" w:cs="宋体"/>
                <w:color w:val="auto"/>
                <w:sz w:val="18"/>
                <w:szCs w:val="18"/>
                <w:highlight w:val="none"/>
              </w:rPr>
            </w:pPr>
          </w:p>
        </w:tc>
        <w:tc>
          <w:tcPr>
            <w:tcW w:w="11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C5B22F">
            <w:pPr>
              <w:pStyle w:val="482"/>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法律服务管理</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69786">
            <w:pPr>
              <w:pStyle w:val="482"/>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法律服务对接管理</w:t>
            </w:r>
          </w:p>
        </w:tc>
        <w:tc>
          <w:tcPr>
            <w:tcW w:w="4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55E89">
            <w:pPr>
              <w:pStyle w:val="482"/>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管理端为系统管理员提供法律服务对接管理功能，方便与外部系统进行快速对接与后续维护。</w:t>
            </w:r>
          </w:p>
        </w:tc>
      </w:tr>
      <w:tr w14:paraId="49A702EF">
        <w:tblPrEx>
          <w:tblCellMar>
            <w:top w:w="0" w:type="dxa"/>
            <w:left w:w="108" w:type="dxa"/>
            <w:bottom w:w="0" w:type="dxa"/>
            <w:right w:w="108" w:type="dxa"/>
          </w:tblCellMar>
        </w:tblPrEx>
        <w:trPr>
          <w:trHeight w:val="340" w:hRule="atLeast"/>
        </w:trPr>
        <w:tc>
          <w:tcPr>
            <w:tcW w:w="9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F22125">
            <w:pPr>
              <w:pStyle w:val="482"/>
              <w:rPr>
                <w:rFonts w:hint="eastAsia" w:ascii="宋体" w:hAnsi="宋体" w:eastAsia="宋体" w:cs="宋体"/>
                <w:color w:val="auto"/>
                <w:sz w:val="18"/>
                <w:szCs w:val="18"/>
                <w:highlight w:val="none"/>
              </w:rPr>
            </w:pPr>
          </w:p>
        </w:tc>
        <w:tc>
          <w:tcPr>
            <w:tcW w:w="11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ADFA0C">
            <w:pPr>
              <w:pStyle w:val="482"/>
              <w:rPr>
                <w:rFonts w:hint="eastAsia" w:ascii="宋体" w:hAnsi="宋体" w:eastAsia="宋体" w:cs="宋体"/>
                <w:color w:val="auto"/>
                <w:sz w:val="18"/>
                <w:szCs w:val="18"/>
                <w:highlight w:val="none"/>
              </w:rPr>
            </w:pP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A3A77">
            <w:pPr>
              <w:pStyle w:val="482"/>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法律服务类别管理</w:t>
            </w:r>
          </w:p>
        </w:tc>
        <w:tc>
          <w:tcPr>
            <w:tcW w:w="4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EEB28">
            <w:pPr>
              <w:pStyle w:val="482"/>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法律服务类别管理可维护法律服务分类，控制企业端的法律服务类别，实现法律服务类别的新增、编辑、删除等功能。</w:t>
            </w:r>
          </w:p>
        </w:tc>
      </w:tr>
      <w:tr w14:paraId="246E202C">
        <w:tblPrEx>
          <w:tblCellMar>
            <w:top w:w="0" w:type="dxa"/>
            <w:left w:w="108" w:type="dxa"/>
            <w:bottom w:w="0" w:type="dxa"/>
            <w:right w:w="108" w:type="dxa"/>
          </w:tblCellMar>
        </w:tblPrEx>
        <w:trPr>
          <w:trHeight w:val="340" w:hRule="atLeast"/>
        </w:trPr>
        <w:tc>
          <w:tcPr>
            <w:tcW w:w="9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63A4E2">
            <w:pPr>
              <w:pStyle w:val="482"/>
              <w:rPr>
                <w:rFonts w:hint="eastAsia" w:ascii="宋体" w:hAnsi="宋体" w:eastAsia="宋体" w:cs="宋体"/>
                <w:color w:val="auto"/>
                <w:sz w:val="18"/>
                <w:szCs w:val="18"/>
                <w:highlight w:val="none"/>
              </w:rPr>
            </w:pPr>
          </w:p>
        </w:tc>
        <w:tc>
          <w:tcPr>
            <w:tcW w:w="11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AC8463D">
            <w:pPr>
              <w:pStyle w:val="482"/>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科创服务管理</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35C14">
            <w:pPr>
              <w:pStyle w:val="482"/>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“专精特新”梯度培育统计分析</w:t>
            </w:r>
          </w:p>
        </w:tc>
        <w:tc>
          <w:tcPr>
            <w:tcW w:w="4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70086">
            <w:pPr>
              <w:pStyle w:val="482"/>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平台对“专精特新”梯队培育企业申请的政策项目进行统计分析。包括申报年度、项目名称、项目类型、申报时间、申报企业数量以及申报金额等信息。支持对结果进行下载，方便用户进行汇报。</w:t>
            </w:r>
          </w:p>
        </w:tc>
      </w:tr>
      <w:tr w14:paraId="57F4CB5E">
        <w:tblPrEx>
          <w:tblCellMar>
            <w:top w:w="0" w:type="dxa"/>
            <w:left w:w="108" w:type="dxa"/>
            <w:bottom w:w="0" w:type="dxa"/>
            <w:right w:w="108" w:type="dxa"/>
          </w:tblCellMar>
        </w:tblPrEx>
        <w:trPr>
          <w:trHeight w:val="340" w:hRule="atLeast"/>
        </w:trPr>
        <w:tc>
          <w:tcPr>
            <w:tcW w:w="9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6C5F45">
            <w:pPr>
              <w:pStyle w:val="482"/>
              <w:rPr>
                <w:rFonts w:hint="eastAsia" w:ascii="宋体" w:hAnsi="宋体" w:eastAsia="宋体" w:cs="宋体"/>
                <w:color w:val="auto"/>
                <w:sz w:val="18"/>
                <w:szCs w:val="18"/>
                <w:highlight w:val="none"/>
              </w:rPr>
            </w:pPr>
          </w:p>
        </w:tc>
        <w:tc>
          <w:tcPr>
            <w:tcW w:w="11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E5F02B">
            <w:pPr>
              <w:pStyle w:val="482"/>
              <w:rPr>
                <w:rFonts w:hint="eastAsia" w:ascii="宋体" w:hAnsi="宋体" w:eastAsia="宋体" w:cs="宋体"/>
                <w:color w:val="auto"/>
                <w:sz w:val="18"/>
                <w:szCs w:val="18"/>
                <w:highlight w:val="none"/>
              </w:rPr>
            </w:pP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86484">
            <w:pPr>
              <w:pStyle w:val="482"/>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知识产权服务管理</w:t>
            </w:r>
          </w:p>
        </w:tc>
        <w:tc>
          <w:tcPr>
            <w:tcW w:w="4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C4899">
            <w:pPr>
              <w:pStyle w:val="482"/>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知识产权服务管理可维护知识产权服务分类，控制企业端的知识产权服务类别，实现知识产权服务类别的新增、编辑、删除等功能。</w:t>
            </w:r>
          </w:p>
        </w:tc>
      </w:tr>
      <w:tr w14:paraId="7413DB87">
        <w:tblPrEx>
          <w:tblCellMar>
            <w:top w:w="0" w:type="dxa"/>
            <w:left w:w="108" w:type="dxa"/>
            <w:bottom w:w="0" w:type="dxa"/>
            <w:right w:w="108" w:type="dxa"/>
          </w:tblCellMar>
        </w:tblPrEx>
        <w:trPr>
          <w:trHeight w:val="340" w:hRule="atLeast"/>
        </w:trPr>
        <w:tc>
          <w:tcPr>
            <w:tcW w:w="9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DBCAFC">
            <w:pPr>
              <w:pStyle w:val="482"/>
              <w:rPr>
                <w:rFonts w:hint="eastAsia" w:ascii="宋体" w:hAnsi="宋体" w:eastAsia="宋体" w:cs="宋体"/>
                <w:color w:val="auto"/>
                <w:sz w:val="18"/>
                <w:szCs w:val="18"/>
                <w:highlight w:val="none"/>
              </w:rPr>
            </w:pPr>
          </w:p>
        </w:tc>
        <w:tc>
          <w:tcPr>
            <w:tcW w:w="11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DCD44A">
            <w:pPr>
              <w:pStyle w:val="482"/>
              <w:rPr>
                <w:rFonts w:hint="eastAsia" w:ascii="宋体" w:hAnsi="宋体" w:eastAsia="宋体" w:cs="宋体"/>
                <w:color w:val="auto"/>
                <w:sz w:val="18"/>
                <w:szCs w:val="18"/>
                <w:highlight w:val="none"/>
              </w:rPr>
            </w:pP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FD7DC">
            <w:pPr>
              <w:pStyle w:val="482"/>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上市服务管理</w:t>
            </w:r>
          </w:p>
        </w:tc>
        <w:tc>
          <w:tcPr>
            <w:tcW w:w="4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2A03B">
            <w:pPr>
              <w:pStyle w:val="482"/>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上市服务管理提供上市服务中介机构服务的新增、编辑、发布、审核等功能。</w:t>
            </w:r>
          </w:p>
        </w:tc>
      </w:tr>
      <w:tr w14:paraId="640C5C1D">
        <w:tblPrEx>
          <w:tblCellMar>
            <w:top w:w="0" w:type="dxa"/>
            <w:left w:w="108" w:type="dxa"/>
            <w:bottom w:w="0" w:type="dxa"/>
            <w:right w:w="108" w:type="dxa"/>
          </w:tblCellMar>
        </w:tblPrEx>
        <w:trPr>
          <w:trHeight w:val="340" w:hRule="atLeast"/>
        </w:trPr>
        <w:tc>
          <w:tcPr>
            <w:tcW w:w="9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A21EE9">
            <w:pPr>
              <w:pStyle w:val="482"/>
              <w:rPr>
                <w:rFonts w:hint="eastAsia" w:ascii="宋体" w:hAnsi="宋体" w:eastAsia="宋体" w:cs="宋体"/>
                <w:color w:val="auto"/>
                <w:sz w:val="18"/>
                <w:szCs w:val="18"/>
                <w:highlight w:val="none"/>
              </w:rPr>
            </w:pPr>
          </w:p>
        </w:tc>
        <w:tc>
          <w:tcPr>
            <w:tcW w:w="11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2C27E1">
            <w:pPr>
              <w:pStyle w:val="482"/>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外创服务管理</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F3CF2">
            <w:pPr>
              <w:pStyle w:val="482"/>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外创服务对接管理</w:t>
            </w:r>
          </w:p>
        </w:tc>
        <w:tc>
          <w:tcPr>
            <w:tcW w:w="4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F0E27">
            <w:pPr>
              <w:pStyle w:val="482"/>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管理端为系统管理员提供外创服务对接管理功能，方便与外部系统进行快速对接与后续维护。</w:t>
            </w:r>
          </w:p>
        </w:tc>
      </w:tr>
      <w:tr w14:paraId="126E9382">
        <w:tblPrEx>
          <w:tblCellMar>
            <w:top w:w="0" w:type="dxa"/>
            <w:left w:w="108" w:type="dxa"/>
            <w:bottom w:w="0" w:type="dxa"/>
            <w:right w:w="108" w:type="dxa"/>
          </w:tblCellMar>
        </w:tblPrEx>
        <w:trPr>
          <w:trHeight w:val="340" w:hRule="atLeast"/>
        </w:trPr>
        <w:tc>
          <w:tcPr>
            <w:tcW w:w="9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03FB7C">
            <w:pPr>
              <w:pStyle w:val="482"/>
              <w:rPr>
                <w:rFonts w:hint="eastAsia" w:ascii="宋体" w:hAnsi="宋体" w:eastAsia="宋体" w:cs="宋体"/>
                <w:color w:val="auto"/>
                <w:sz w:val="18"/>
                <w:szCs w:val="18"/>
                <w:highlight w:val="none"/>
              </w:rPr>
            </w:pPr>
          </w:p>
        </w:tc>
        <w:tc>
          <w:tcPr>
            <w:tcW w:w="11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DF2AA7">
            <w:pPr>
              <w:pStyle w:val="482"/>
              <w:rPr>
                <w:rFonts w:hint="eastAsia" w:ascii="宋体" w:hAnsi="宋体" w:eastAsia="宋体" w:cs="宋体"/>
                <w:color w:val="auto"/>
                <w:sz w:val="18"/>
                <w:szCs w:val="18"/>
                <w:highlight w:val="none"/>
              </w:rPr>
            </w:pP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7CB5F">
            <w:pPr>
              <w:pStyle w:val="482"/>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外创服务类别管理</w:t>
            </w:r>
          </w:p>
        </w:tc>
        <w:tc>
          <w:tcPr>
            <w:tcW w:w="4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1DD39">
            <w:pPr>
              <w:pStyle w:val="482"/>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外创服务类别管理可维护外创服务分类，控制企业端的外创服务类别，实现外创服务类别的新增、编辑、删除等功能。</w:t>
            </w:r>
          </w:p>
        </w:tc>
      </w:tr>
      <w:tr w14:paraId="7928C108">
        <w:tblPrEx>
          <w:tblCellMar>
            <w:top w:w="0" w:type="dxa"/>
            <w:left w:w="108" w:type="dxa"/>
            <w:bottom w:w="0" w:type="dxa"/>
            <w:right w:w="108" w:type="dxa"/>
          </w:tblCellMar>
        </w:tblPrEx>
        <w:trPr>
          <w:trHeight w:val="340" w:hRule="atLeast"/>
        </w:trPr>
        <w:tc>
          <w:tcPr>
            <w:tcW w:w="9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814045">
            <w:pPr>
              <w:pStyle w:val="482"/>
              <w:rPr>
                <w:rFonts w:hint="eastAsia" w:ascii="宋体" w:hAnsi="宋体" w:eastAsia="宋体" w:cs="宋体"/>
                <w:color w:val="auto"/>
                <w:sz w:val="18"/>
                <w:szCs w:val="18"/>
                <w:highlight w:val="none"/>
              </w:rPr>
            </w:pPr>
          </w:p>
        </w:tc>
        <w:tc>
          <w:tcPr>
            <w:tcW w:w="11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3DE52BC">
            <w:pPr>
              <w:pStyle w:val="482"/>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产业服务管理-产业链分析</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F1585">
            <w:pPr>
              <w:pStyle w:val="482"/>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区内企业总览</w:t>
            </w:r>
          </w:p>
        </w:tc>
        <w:tc>
          <w:tcPr>
            <w:tcW w:w="4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2FB8B">
            <w:pPr>
              <w:pStyle w:val="482"/>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提供</w:t>
            </w:r>
            <w:r>
              <w:rPr>
                <w:rFonts w:hint="eastAsia" w:ascii="宋体" w:hAnsi="宋体" w:cs="宋体"/>
                <w:color w:val="auto"/>
                <w:sz w:val="18"/>
                <w:szCs w:val="18"/>
                <w:highlight w:val="none"/>
                <w:lang w:val="en-US" w:eastAsia="zh-CN"/>
              </w:rPr>
              <w:t>高新</w:t>
            </w:r>
            <w:r>
              <w:rPr>
                <w:rFonts w:hint="eastAsia" w:ascii="宋体" w:hAnsi="宋体" w:eastAsia="宋体" w:cs="宋体"/>
                <w:color w:val="auto"/>
                <w:sz w:val="18"/>
                <w:szCs w:val="18"/>
                <w:highlight w:val="none"/>
              </w:rPr>
              <w:t>区“</w:t>
            </w:r>
            <w:r>
              <w:rPr>
                <w:rFonts w:hint="eastAsia" w:ascii="宋体" w:hAnsi="宋体" w:cs="宋体"/>
                <w:color w:val="auto"/>
                <w:sz w:val="18"/>
                <w:szCs w:val="18"/>
                <w:highlight w:val="none"/>
                <w:lang w:eastAsia="zh-CN"/>
              </w:rPr>
              <w:t>3</w:t>
            </w:r>
            <w:r>
              <w:rPr>
                <w:rFonts w:hint="eastAsia" w:ascii="宋体" w:hAnsi="宋体" w:cs="宋体"/>
                <w:color w:val="auto"/>
                <w:sz w:val="18"/>
                <w:szCs w:val="18"/>
                <w:highlight w:val="none"/>
                <w:lang w:val="en-US" w:eastAsia="zh-CN"/>
              </w:rPr>
              <w:t>+1</w:t>
            </w:r>
            <w:r>
              <w:rPr>
                <w:rFonts w:hint="eastAsia" w:ascii="宋体" w:hAnsi="宋体" w:eastAsia="宋体" w:cs="宋体"/>
                <w:color w:val="auto"/>
                <w:sz w:val="18"/>
                <w:szCs w:val="18"/>
                <w:highlight w:val="none"/>
              </w:rPr>
              <w:t>”产业的企业概况，包括企业数量、行业分布、规模等信息，帮助用户了解该区数字经济产业的整体情况。</w:t>
            </w:r>
          </w:p>
        </w:tc>
      </w:tr>
      <w:tr w14:paraId="10879E4F">
        <w:tblPrEx>
          <w:tblCellMar>
            <w:top w:w="0" w:type="dxa"/>
            <w:left w:w="108" w:type="dxa"/>
            <w:bottom w:w="0" w:type="dxa"/>
            <w:right w:w="108" w:type="dxa"/>
          </w:tblCellMar>
        </w:tblPrEx>
        <w:trPr>
          <w:trHeight w:val="340" w:hRule="atLeast"/>
        </w:trPr>
        <w:tc>
          <w:tcPr>
            <w:tcW w:w="9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F35B28">
            <w:pPr>
              <w:pStyle w:val="482"/>
              <w:rPr>
                <w:rFonts w:hint="eastAsia" w:ascii="宋体" w:hAnsi="宋体" w:eastAsia="宋体" w:cs="宋体"/>
                <w:color w:val="auto"/>
                <w:sz w:val="18"/>
                <w:szCs w:val="18"/>
                <w:highlight w:val="none"/>
              </w:rPr>
            </w:pPr>
          </w:p>
        </w:tc>
        <w:tc>
          <w:tcPr>
            <w:tcW w:w="11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DD0930">
            <w:pPr>
              <w:pStyle w:val="482"/>
              <w:rPr>
                <w:rFonts w:hint="eastAsia" w:ascii="宋体" w:hAnsi="宋体" w:eastAsia="宋体" w:cs="宋体"/>
                <w:color w:val="auto"/>
                <w:sz w:val="18"/>
                <w:szCs w:val="18"/>
                <w:highlight w:val="none"/>
              </w:rPr>
            </w:pP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DD37E">
            <w:pPr>
              <w:pStyle w:val="482"/>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统计分析</w:t>
            </w:r>
          </w:p>
        </w:tc>
        <w:tc>
          <w:tcPr>
            <w:tcW w:w="4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FD630">
            <w:pPr>
              <w:pStyle w:val="482"/>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提供数据统计分析功能，包括企业收入、利润、就业人数等指标的统计分析，帮助用户深入了解</w:t>
            </w:r>
            <w:r>
              <w:rPr>
                <w:rFonts w:hint="eastAsia" w:ascii="宋体" w:hAnsi="宋体" w:cs="宋体"/>
                <w:color w:val="auto"/>
                <w:sz w:val="18"/>
                <w:szCs w:val="18"/>
                <w:highlight w:val="none"/>
                <w:lang w:val="en-US" w:eastAsia="zh-CN"/>
              </w:rPr>
              <w:t>高新</w:t>
            </w:r>
            <w:r>
              <w:rPr>
                <w:rFonts w:hint="eastAsia" w:ascii="宋体" w:hAnsi="宋体" w:eastAsia="宋体" w:cs="宋体"/>
                <w:color w:val="auto"/>
                <w:sz w:val="18"/>
                <w:szCs w:val="18"/>
                <w:highlight w:val="none"/>
              </w:rPr>
              <w:t>区“</w:t>
            </w:r>
            <w:r>
              <w:rPr>
                <w:rFonts w:hint="eastAsia" w:ascii="宋体" w:hAnsi="宋体" w:cs="宋体"/>
                <w:color w:val="auto"/>
                <w:sz w:val="18"/>
                <w:szCs w:val="18"/>
                <w:highlight w:val="none"/>
                <w:lang w:eastAsia="zh-CN"/>
              </w:rPr>
              <w:t>3</w:t>
            </w:r>
            <w:r>
              <w:rPr>
                <w:rFonts w:hint="eastAsia" w:ascii="宋体" w:hAnsi="宋体" w:cs="宋体"/>
                <w:color w:val="auto"/>
                <w:sz w:val="18"/>
                <w:szCs w:val="18"/>
                <w:highlight w:val="none"/>
                <w:lang w:val="en-US" w:eastAsia="zh-CN"/>
              </w:rPr>
              <w:t>+1</w:t>
            </w:r>
            <w:r>
              <w:rPr>
                <w:rFonts w:hint="eastAsia" w:ascii="宋体" w:hAnsi="宋体" w:eastAsia="宋体" w:cs="宋体"/>
                <w:color w:val="auto"/>
                <w:sz w:val="18"/>
                <w:szCs w:val="18"/>
                <w:highlight w:val="none"/>
              </w:rPr>
              <w:t>”产业的经济贡献和就业情况。</w:t>
            </w:r>
          </w:p>
        </w:tc>
      </w:tr>
      <w:tr w14:paraId="24D77684">
        <w:tblPrEx>
          <w:tblCellMar>
            <w:top w:w="0" w:type="dxa"/>
            <w:left w:w="108" w:type="dxa"/>
            <w:bottom w:w="0" w:type="dxa"/>
            <w:right w:w="108" w:type="dxa"/>
          </w:tblCellMar>
        </w:tblPrEx>
        <w:trPr>
          <w:trHeight w:val="340" w:hRule="atLeast"/>
        </w:trPr>
        <w:tc>
          <w:tcPr>
            <w:tcW w:w="9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A7AB60">
            <w:pPr>
              <w:pStyle w:val="482"/>
              <w:rPr>
                <w:rFonts w:hint="eastAsia" w:ascii="宋体" w:hAnsi="宋体" w:eastAsia="宋体" w:cs="宋体"/>
                <w:color w:val="auto"/>
                <w:sz w:val="18"/>
                <w:szCs w:val="18"/>
                <w:highlight w:val="none"/>
              </w:rPr>
            </w:pPr>
          </w:p>
        </w:tc>
        <w:tc>
          <w:tcPr>
            <w:tcW w:w="11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E7852C">
            <w:pPr>
              <w:pStyle w:val="482"/>
              <w:rPr>
                <w:rFonts w:hint="eastAsia" w:ascii="宋体" w:hAnsi="宋体" w:eastAsia="宋体" w:cs="宋体"/>
                <w:color w:val="auto"/>
                <w:sz w:val="18"/>
                <w:szCs w:val="18"/>
                <w:highlight w:val="none"/>
              </w:rPr>
            </w:pP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6B10D">
            <w:pPr>
              <w:pStyle w:val="482"/>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数据分析</w:t>
            </w:r>
          </w:p>
        </w:tc>
        <w:tc>
          <w:tcPr>
            <w:tcW w:w="4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27E67">
            <w:pPr>
              <w:pStyle w:val="482"/>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提供数据可视化和数据挖掘工具，帮助用户对、产业的数据进行深度分析，发现潜在的规律和趋势，为决策提供支持。</w:t>
            </w:r>
          </w:p>
        </w:tc>
      </w:tr>
      <w:tr w14:paraId="7BCE7AD3">
        <w:tblPrEx>
          <w:tblCellMar>
            <w:top w:w="0" w:type="dxa"/>
            <w:left w:w="108" w:type="dxa"/>
            <w:bottom w:w="0" w:type="dxa"/>
            <w:right w:w="108" w:type="dxa"/>
          </w:tblCellMar>
        </w:tblPrEx>
        <w:trPr>
          <w:trHeight w:val="340" w:hRule="atLeast"/>
        </w:trPr>
        <w:tc>
          <w:tcPr>
            <w:tcW w:w="9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FFD0B2">
            <w:pPr>
              <w:pStyle w:val="482"/>
              <w:rPr>
                <w:rFonts w:hint="eastAsia" w:ascii="宋体" w:hAnsi="宋体" w:eastAsia="宋体" w:cs="宋体"/>
                <w:color w:val="auto"/>
                <w:sz w:val="18"/>
                <w:szCs w:val="18"/>
                <w:highlight w:val="none"/>
              </w:rPr>
            </w:pPr>
          </w:p>
        </w:tc>
        <w:tc>
          <w:tcPr>
            <w:tcW w:w="11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CF89A9">
            <w:pPr>
              <w:pStyle w:val="482"/>
              <w:rPr>
                <w:rFonts w:hint="eastAsia" w:ascii="宋体" w:hAnsi="宋体" w:eastAsia="宋体" w:cs="宋体"/>
                <w:color w:val="auto"/>
                <w:sz w:val="18"/>
                <w:szCs w:val="18"/>
                <w:highlight w:val="none"/>
              </w:rPr>
            </w:pP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A4591">
            <w:pPr>
              <w:pStyle w:val="482"/>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市场规模和竞争格局分析</w:t>
            </w:r>
          </w:p>
        </w:tc>
        <w:tc>
          <w:tcPr>
            <w:tcW w:w="4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17A10">
            <w:pPr>
              <w:pStyle w:val="482"/>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提供</w:t>
            </w:r>
            <w:r>
              <w:rPr>
                <w:rFonts w:hint="eastAsia" w:ascii="宋体" w:hAnsi="宋体" w:cs="宋体"/>
                <w:color w:val="auto"/>
                <w:sz w:val="18"/>
                <w:szCs w:val="18"/>
                <w:highlight w:val="none"/>
                <w:lang w:val="en-US" w:eastAsia="zh-CN"/>
              </w:rPr>
              <w:t>高新</w:t>
            </w:r>
            <w:r>
              <w:rPr>
                <w:rFonts w:hint="eastAsia" w:ascii="宋体" w:hAnsi="宋体" w:eastAsia="宋体" w:cs="宋体"/>
                <w:color w:val="auto"/>
                <w:sz w:val="18"/>
                <w:szCs w:val="18"/>
                <w:highlight w:val="none"/>
              </w:rPr>
              <w:t>区“</w:t>
            </w:r>
            <w:r>
              <w:rPr>
                <w:rFonts w:hint="eastAsia" w:ascii="宋体" w:hAnsi="宋体" w:cs="宋体"/>
                <w:color w:val="auto"/>
                <w:sz w:val="18"/>
                <w:szCs w:val="18"/>
                <w:highlight w:val="none"/>
                <w:lang w:eastAsia="zh-CN"/>
              </w:rPr>
              <w:t>3</w:t>
            </w:r>
            <w:r>
              <w:rPr>
                <w:rFonts w:hint="eastAsia" w:ascii="宋体" w:hAnsi="宋体" w:cs="宋体"/>
                <w:color w:val="auto"/>
                <w:sz w:val="18"/>
                <w:szCs w:val="18"/>
                <w:highlight w:val="none"/>
                <w:lang w:val="en-US" w:eastAsia="zh-CN"/>
              </w:rPr>
              <w:t>+1</w:t>
            </w:r>
            <w:r>
              <w:rPr>
                <w:rFonts w:hint="eastAsia" w:ascii="宋体" w:hAnsi="宋体" w:eastAsia="宋体" w:cs="宋体"/>
                <w:color w:val="auto"/>
                <w:sz w:val="18"/>
                <w:szCs w:val="18"/>
                <w:highlight w:val="none"/>
              </w:rPr>
              <w:t>”产业市场规模和竞争格局的分析报告，帮助用户了解市场现状和竞争情况，为企业发展和投资决策提供参考。</w:t>
            </w:r>
          </w:p>
        </w:tc>
      </w:tr>
      <w:tr w14:paraId="27D1C813">
        <w:tblPrEx>
          <w:tblCellMar>
            <w:top w:w="0" w:type="dxa"/>
            <w:left w:w="108" w:type="dxa"/>
            <w:bottom w:w="0" w:type="dxa"/>
            <w:right w:w="108" w:type="dxa"/>
          </w:tblCellMar>
        </w:tblPrEx>
        <w:trPr>
          <w:trHeight w:val="340" w:hRule="atLeast"/>
        </w:trPr>
        <w:tc>
          <w:tcPr>
            <w:tcW w:w="9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695A84">
            <w:pPr>
              <w:pStyle w:val="482"/>
              <w:rPr>
                <w:rFonts w:hint="eastAsia" w:ascii="宋体" w:hAnsi="宋体" w:eastAsia="宋体" w:cs="宋体"/>
                <w:color w:val="auto"/>
                <w:sz w:val="18"/>
                <w:szCs w:val="18"/>
                <w:highlight w:val="none"/>
              </w:rPr>
            </w:pPr>
          </w:p>
        </w:tc>
        <w:tc>
          <w:tcPr>
            <w:tcW w:w="11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880026">
            <w:pPr>
              <w:pStyle w:val="482"/>
              <w:rPr>
                <w:rFonts w:hint="eastAsia" w:ascii="宋体" w:hAnsi="宋体" w:eastAsia="宋体" w:cs="宋体"/>
                <w:color w:val="auto"/>
                <w:sz w:val="18"/>
                <w:szCs w:val="18"/>
                <w:highlight w:val="none"/>
              </w:rPr>
            </w:pP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84E79">
            <w:pPr>
              <w:pStyle w:val="482"/>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政策法规监测和解读</w:t>
            </w:r>
          </w:p>
        </w:tc>
        <w:tc>
          <w:tcPr>
            <w:tcW w:w="4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60DCC">
            <w:pPr>
              <w:pStyle w:val="482"/>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提供对拱</w:t>
            </w:r>
            <w:r>
              <w:rPr>
                <w:rFonts w:hint="eastAsia" w:ascii="宋体" w:hAnsi="宋体" w:cs="宋体"/>
                <w:color w:val="auto"/>
                <w:sz w:val="18"/>
                <w:szCs w:val="18"/>
                <w:highlight w:val="none"/>
                <w:lang w:val="en-US" w:eastAsia="zh-CN"/>
              </w:rPr>
              <w:t>高新</w:t>
            </w:r>
            <w:r>
              <w:rPr>
                <w:rFonts w:hint="eastAsia" w:ascii="宋体" w:hAnsi="宋体" w:eastAsia="宋体" w:cs="宋体"/>
                <w:color w:val="auto"/>
                <w:sz w:val="18"/>
                <w:szCs w:val="18"/>
                <w:highlight w:val="none"/>
              </w:rPr>
              <w:t>区“</w:t>
            </w:r>
            <w:r>
              <w:rPr>
                <w:rFonts w:hint="eastAsia" w:ascii="宋体" w:hAnsi="宋体" w:cs="宋体"/>
                <w:color w:val="auto"/>
                <w:sz w:val="18"/>
                <w:szCs w:val="18"/>
                <w:highlight w:val="none"/>
                <w:lang w:eastAsia="zh-CN"/>
              </w:rPr>
              <w:t>3</w:t>
            </w:r>
            <w:r>
              <w:rPr>
                <w:rFonts w:hint="eastAsia" w:ascii="宋体" w:hAnsi="宋体" w:cs="宋体"/>
                <w:color w:val="auto"/>
                <w:sz w:val="18"/>
                <w:szCs w:val="18"/>
                <w:highlight w:val="none"/>
                <w:lang w:val="en-US" w:eastAsia="zh-CN"/>
              </w:rPr>
              <w:t>+1</w:t>
            </w:r>
            <w:r>
              <w:rPr>
                <w:rFonts w:hint="eastAsia" w:ascii="宋体" w:hAnsi="宋体" w:eastAsia="宋体" w:cs="宋体"/>
                <w:color w:val="auto"/>
                <w:sz w:val="18"/>
                <w:szCs w:val="18"/>
                <w:highlight w:val="none"/>
              </w:rPr>
              <w:t>”产业相关政策法规的监测和解读功能，帮助用户了解最新政策对数字经济产业的影响，及时调整策略和规划。。</w:t>
            </w:r>
          </w:p>
        </w:tc>
      </w:tr>
      <w:tr w14:paraId="2DA2B8E4">
        <w:tblPrEx>
          <w:tblCellMar>
            <w:top w:w="0" w:type="dxa"/>
            <w:left w:w="108" w:type="dxa"/>
            <w:bottom w:w="0" w:type="dxa"/>
            <w:right w:w="108" w:type="dxa"/>
          </w:tblCellMar>
        </w:tblPrEx>
        <w:trPr>
          <w:trHeight w:val="340" w:hRule="atLeast"/>
        </w:trPr>
        <w:tc>
          <w:tcPr>
            <w:tcW w:w="9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2EE62E">
            <w:pPr>
              <w:pStyle w:val="482"/>
              <w:rPr>
                <w:rFonts w:hint="eastAsia" w:ascii="宋体" w:hAnsi="宋体" w:eastAsia="宋体" w:cs="宋体"/>
                <w:color w:val="auto"/>
                <w:sz w:val="18"/>
                <w:szCs w:val="18"/>
                <w:highlight w:val="none"/>
              </w:rPr>
            </w:pPr>
          </w:p>
        </w:tc>
        <w:tc>
          <w:tcPr>
            <w:tcW w:w="11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38793C">
            <w:pPr>
              <w:pStyle w:val="482"/>
              <w:rPr>
                <w:rFonts w:hint="eastAsia" w:ascii="宋体" w:hAnsi="宋体" w:eastAsia="宋体" w:cs="宋体"/>
                <w:color w:val="auto"/>
                <w:sz w:val="18"/>
                <w:szCs w:val="18"/>
                <w:highlight w:val="none"/>
              </w:rPr>
            </w:pP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7A905">
            <w:pPr>
              <w:pStyle w:val="482"/>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技术创新监测</w:t>
            </w:r>
          </w:p>
        </w:tc>
        <w:tc>
          <w:tcPr>
            <w:tcW w:w="4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3640C">
            <w:pPr>
              <w:pStyle w:val="482"/>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提供对</w:t>
            </w:r>
            <w:r>
              <w:rPr>
                <w:rFonts w:hint="eastAsia" w:ascii="宋体" w:hAnsi="宋体" w:cs="宋体"/>
                <w:color w:val="auto"/>
                <w:sz w:val="18"/>
                <w:szCs w:val="18"/>
                <w:highlight w:val="none"/>
                <w:lang w:val="en-US" w:eastAsia="zh-CN"/>
              </w:rPr>
              <w:t>高新</w:t>
            </w:r>
            <w:r>
              <w:rPr>
                <w:rFonts w:hint="eastAsia" w:ascii="宋体" w:hAnsi="宋体" w:eastAsia="宋体" w:cs="宋体"/>
                <w:color w:val="auto"/>
                <w:sz w:val="18"/>
                <w:szCs w:val="18"/>
                <w:highlight w:val="none"/>
              </w:rPr>
              <w:t>区“</w:t>
            </w:r>
            <w:r>
              <w:rPr>
                <w:rFonts w:hint="eastAsia" w:ascii="宋体" w:hAnsi="宋体" w:cs="宋体"/>
                <w:color w:val="auto"/>
                <w:sz w:val="18"/>
                <w:szCs w:val="18"/>
                <w:highlight w:val="none"/>
                <w:lang w:eastAsia="zh-CN"/>
              </w:rPr>
              <w:t>3</w:t>
            </w:r>
            <w:r>
              <w:rPr>
                <w:rFonts w:hint="eastAsia" w:ascii="宋体" w:hAnsi="宋体" w:cs="宋体"/>
                <w:color w:val="auto"/>
                <w:sz w:val="18"/>
                <w:szCs w:val="18"/>
                <w:highlight w:val="none"/>
                <w:lang w:val="en-US" w:eastAsia="zh-CN"/>
              </w:rPr>
              <w:t>+1</w:t>
            </w:r>
            <w:r>
              <w:rPr>
                <w:rFonts w:hint="eastAsia" w:ascii="宋体" w:hAnsi="宋体" w:eastAsia="宋体" w:cs="宋体"/>
                <w:color w:val="auto"/>
                <w:sz w:val="18"/>
                <w:szCs w:val="18"/>
                <w:highlight w:val="none"/>
              </w:rPr>
              <w:t>”产业技术创新和产品研发情况的监测功能，帮助用户了解产业的创新动态，把握市场发展机遇。</w:t>
            </w:r>
          </w:p>
        </w:tc>
      </w:tr>
      <w:tr w14:paraId="6E565B06">
        <w:tblPrEx>
          <w:tblCellMar>
            <w:top w:w="0" w:type="dxa"/>
            <w:left w:w="108" w:type="dxa"/>
            <w:bottom w:w="0" w:type="dxa"/>
            <w:right w:w="108" w:type="dxa"/>
          </w:tblCellMar>
        </w:tblPrEx>
        <w:trPr>
          <w:trHeight w:val="340" w:hRule="atLeast"/>
        </w:trPr>
        <w:tc>
          <w:tcPr>
            <w:tcW w:w="9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8742F6">
            <w:pPr>
              <w:pStyle w:val="482"/>
              <w:rPr>
                <w:rFonts w:hint="eastAsia" w:ascii="宋体" w:hAnsi="宋体" w:eastAsia="宋体" w:cs="宋体"/>
                <w:color w:val="auto"/>
                <w:sz w:val="18"/>
                <w:szCs w:val="18"/>
                <w:highlight w:val="none"/>
              </w:rPr>
            </w:pPr>
          </w:p>
        </w:tc>
        <w:tc>
          <w:tcPr>
            <w:tcW w:w="11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0A0493">
            <w:pPr>
              <w:pStyle w:val="482"/>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产业服务管理-政府供需管理</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D7349">
            <w:pPr>
              <w:pStyle w:val="482"/>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需求管理</w:t>
            </w:r>
          </w:p>
        </w:tc>
        <w:tc>
          <w:tcPr>
            <w:tcW w:w="4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D6F4B">
            <w:pPr>
              <w:pStyle w:val="482"/>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需求管理让用户可以管理企业端用户所发布的需求。用户可以查看企业发布的需求内容，并可以对不合适的需求数据进行撤回操作。</w:t>
            </w:r>
          </w:p>
        </w:tc>
      </w:tr>
      <w:tr w14:paraId="5C9AC8BB">
        <w:tblPrEx>
          <w:tblCellMar>
            <w:top w:w="0" w:type="dxa"/>
            <w:left w:w="108" w:type="dxa"/>
            <w:bottom w:w="0" w:type="dxa"/>
            <w:right w:w="108" w:type="dxa"/>
          </w:tblCellMar>
        </w:tblPrEx>
        <w:trPr>
          <w:trHeight w:val="340" w:hRule="atLeast"/>
        </w:trPr>
        <w:tc>
          <w:tcPr>
            <w:tcW w:w="9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E84994">
            <w:pPr>
              <w:pStyle w:val="482"/>
              <w:rPr>
                <w:rFonts w:hint="eastAsia" w:ascii="宋体" w:hAnsi="宋体" w:eastAsia="宋体" w:cs="宋体"/>
                <w:color w:val="auto"/>
                <w:sz w:val="18"/>
                <w:szCs w:val="18"/>
                <w:highlight w:val="none"/>
              </w:rPr>
            </w:pPr>
          </w:p>
        </w:tc>
        <w:tc>
          <w:tcPr>
            <w:tcW w:w="11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84F1BC">
            <w:pPr>
              <w:pStyle w:val="482"/>
              <w:rPr>
                <w:rFonts w:hint="eastAsia" w:ascii="宋体" w:hAnsi="宋体" w:eastAsia="宋体" w:cs="宋体"/>
                <w:color w:val="auto"/>
                <w:sz w:val="18"/>
                <w:szCs w:val="18"/>
                <w:highlight w:val="none"/>
              </w:rPr>
            </w:pP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C7598">
            <w:pPr>
              <w:pStyle w:val="482"/>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供应管理</w:t>
            </w:r>
          </w:p>
        </w:tc>
        <w:tc>
          <w:tcPr>
            <w:tcW w:w="4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8302E">
            <w:pPr>
              <w:pStyle w:val="482"/>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供应管理让政府用户可以管理企业端用户所发布的供应。用户可以查看企业发布的供应内容，并可以对不合适的供应数据进行撤回操作。</w:t>
            </w:r>
          </w:p>
        </w:tc>
      </w:tr>
      <w:tr w14:paraId="7435EE2E">
        <w:tblPrEx>
          <w:tblCellMar>
            <w:top w:w="0" w:type="dxa"/>
            <w:left w:w="108" w:type="dxa"/>
            <w:bottom w:w="0" w:type="dxa"/>
            <w:right w:w="108" w:type="dxa"/>
          </w:tblCellMar>
        </w:tblPrEx>
        <w:trPr>
          <w:trHeight w:val="340" w:hRule="atLeast"/>
        </w:trPr>
        <w:tc>
          <w:tcPr>
            <w:tcW w:w="9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4B6DC0">
            <w:pPr>
              <w:pStyle w:val="482"/>
              <w:rPr>
                <w:rFonts w:hint="eastAsia" w:ascii="宋体" w:hAnsi="宋体" w:eastAsia="宋体" w:cs="宋体"/>
                <w:color w:val="auto"/>
                <w:sz w:val="18"/>
                <w:szCs w:val="18"/>
                <w:highlight w:val="none"/>
              </w:rPr>
            </w:pPr>
          </w:p>
        </w:tc>
        <w:tc>
          <w:tcPr>
            <w:tcW w:w="11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B78BC8">
            <w:pPr>
              <w:pStyle w:val="482"/>
              <w:rPr>
                <w:rFonts w:hint="eastAsia" w:ascii="宋体" w:hAnsi="宋体" w:eastAsia="宋体" w:cs="宋体"/>
                <w:color w:val="auto"/>
                <w:sz w:val="18"/>
                <w:szCs w:val="18"/>
                <w:highlight w:val="none"/>
              </w:rPr>
            </w:pP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AAA47">
            <w:pPr>
              <w:pStyle w:val="482"/>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产品管理</w:t>
            </w:r>
          </w:p>
        </w:tc>
        <w:tc>
          <w:tcPr>
            <w:tcW w:w="4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912A0">
            <w:pPr>
              <w:pStyle w:val="482"/>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企业发布的产品信息管理员有权限对产品进行下架。</w:t>
            </w:r>
          </w:p>
        </w:tc>
      </w:tr>
      <w:tr w14:paraId="70F75C67">
        <w:tblPrEx>
          <w:tblCellMar>
            <w:top w:w="0" w:type="dxa"/>
            <w:left w:w="108" w:type="dxa"/>
            <w:bottom w:w="0" w:type="dxa"/>
            <w:right w:w="108" w:type="dxa"/>
          </w:tblCellMar>
        </w:tblPrEx>
        <w:trPr>
          <w:trHeight w:val="340" w:hRule="atLeast"/>
        </w:trPr>
        <w:tc>
          <w:tcPr>
            <w:tcW w:w="9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6DFCCE">
            <w:pPr>
              <w:pStyle w:val="482"/>
              <w:rPr>
                <w:rFonts w:hint="eastAsia" w:ascii="宋体" w:hAnsi="宋体" w:eastAsia="宋体" w:cs="宋体"/>
                <w:color w:val="auto"/>
                <w:sz w:val="18"/>
                <w:szCs w:val="18"/>
                <w:highlight w:val="none"/>
              </w:rPr>
            </w:pPr>
          </w:p>
        </w:tc>
        <w:tc>
          <w:tcPr>
            <w:tcW w:w="11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F336FB">
            <w:pPr>
              <w:pStyle w:val="482"/>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产业服务管理-商务社区管理</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58392">
            <w:pPr>
              <w:pStyle w:val="482"/>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兴趣社管理</w:t>
            </w:r>
          </w:p>
        </w:tc>
        <w:tc>
          <w:tcPr>
            <w:tcW w:w="4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511C6">
            <w:pPr>
              <w:pStyle w:val="482"/>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兴趣社信息管理、兴趣社信息审核、兴趣社信息展示。</w:t>
            </w:r>
          </w:p>
        </w:tc>
      </w:tr>
      <w:tr w14:paraId="5E239FC1">
        <w:tblPrEx>
          <w:tblCellMar>
            <w:top w:w="0" w:type="dxa"/>
            <w:left w:w="108" w:type="dxa"/>
            <w:bottom w:w="0" w:type="dxa"/>
            <w:right w:w="108" w:type="dxa"/>
          </w:tblCellMar>
        </w:tblPrEx>
        <w:trPr>
          <w:trHeight w:val="340" w:hRule="atLeast"/>
        </w:trPr>
        <w:tc>
          <w:tcPr>
            <w:tcW w:w="9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D9C0AE">
            <w:pPr>
              <w:pStyle w:val="482"/>
              <w:rPr>
                <w:rFonts w:hint="eastAsia" w:ascii="宋体" w:hAnsi="宋体" w:eastAsia="宋体" w:cs="宋体"/>
                <w:color w:val="auto"/>
                <w:sz w:val="18"/>
                <w:szCs w:val="18"/>
                <w:highlight w:val="none"/>
              </w:rPr>
            </w:pPr>
          </w:p>
        </w:tc>
        <w:tc>
          <w:tcPr>
            <w:tcW w:w="11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9AA67D">
            <w:pPr>
              <w:pStyle w:val="482"/>
              <w:rPr>
                <w:rFonts w:hint="eastAsia" w:ascii="宋体" w:hAnsi="宋体" w:eastAsia="宋体" w:cs="宋体"/>
                <w:color w:val="auto"/>
                <w:sz w:val="18"/>
                <w:szCs w:val="18"/>
                <w:highlight w:val="none"/>
              </w:rPr>
            </w:pP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02AFD">
            <w:pPr>
              <w:pStyle w:val="482"/>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兴趣社活动</w:t>
            </w:r>
          </w:p>
        </w:tc>
        <w:tc>
          <w:tcPr>
            <w:tcW w:w="4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10A7A">
            <w:pPr>
              <w:pStyle w:val="482"/>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兴趣社活动管理、兴趣社活动审核、兴趣社活动展示。</w:t>
            </w:r>
          </w:p>
        </w:tc>
      </w:tr>
      <w:tr w14:paraId="3235E187">
        <w:tblPrEx>
          <w:tblCellMar>
            <w:top w:w="0" w:type="dxa"/>
            <w:left w:w="108" w:type="dxa"/>
            <w:bottom w:w="0" w:type="dxa"/>
            <w:right w:w="108" w:type="dxa"/>
          </w:tblCellMar>
        </w:tblPrEx>
        <w:trPr>
          <w:trHeight w:val="340" w:hRule="atLeast"/>
        </w:trPr>
        <w:tc>
          <w:tcPr>
            <w:tcW w:w="9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552B72">
            <w:pPr>
              <w:pStyle w:val="482"/>
              <w:rPr>
                <w:rFonts w:hint="eastAsia" w:ascii="宋体" w:hAnsi="宋体" w:eastAsia="宋体" w:cs="宋体"/>
                <w:color w:val="auto"/>
                <w:sz w:val="18"/>
                <w:szCs w:val="18"/>
                <w:highlight w:val="none"/>
              </w:rPr>
            </w:pPr>
          </w:p>
        </w:tc>
        <w:tc>
          <w:tcPr>
            <w:tcW w:w="11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FDDCD0">
            <w:pPr>
              <w:pStyle w:val="482"/>
              <w:rPr>
                <w:rFonts w:hint="eastAsia" w:ascii="宋体" w:hAnsi="宋体" w:eastAsia="宋体" w:cs="宋体"/>
                <w:color w:val="auto"/>
                <w:sz w:val="18"/>
                <w:szCs w:val="18"/>
                <w:highlight w:val="none"/>
              </w:rPr>
            </w:pP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C180C">
            <w:pPr>
              <w:pStyle w:val="482"/>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社区活动管理</w:t>
            </w:r>
          </w:p>
        </w:tc>
        <w:tc>
          <w:tcPr>
            <w:tcW w:w="4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4C8D6">
            <w:pPr>
              <w:pStyle w:val="482"/>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社区活动管理、社区活动展示、社区活动报名、社区活动评价</w:t>
            </w:r>
          </w:p>
        </w:tc>
      </w:tr>
      <w:tr w14:paraId="45FBBB21">
        <w:tblPrEx>
          <w:tblCellMar>
            <w:top w:w="0" w:type="dxa"/>
            <w:left w:w="108" w:type="dxa"/>
            <w:bottom w:w="0" w:type="dxa"/>
            <w:right w:w="108" w:type="dxa"/>
          </w:tblCellMar>
        </w:tblPrEx>
        <w:trPr>
          <w:trHeight w:val="340" w:hRule="atLeast"/>
        </w:trPr>
        <w:tc>
          <w:tcPr>
            <w:tcW w:w="9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5BDC65">
            <w:pPr>
              <w:pStyle w:val="482"/>
              <w:rPr>
                <w:rFonts w:hint="eastAsia" w:ascii="宋体" w:hAnsi="宋体" w:eastAsia="宋体" w:cs="宋体"/>
                <w:color w:val="auto"/>
                <w:sz w:val="18"/>
                <w:szCs w:val="18"/>
                <w:highlight w:val="none"/>
              </w:rPr>
            </w:pPr>
          </w:p>
        </w:tc>
        <w:tc>
          <w:tcPr>
            <w:tcW w:w="11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EB8F66">
            <w:pPr>
              <w:pStyle w:val="482"/>
              <w:rPr>
                <w:rFonts w:hint="eastAsia" w:ascii="宋体" w:hAnsi="宋体" w:eastAsia="宋体" w:cs="宋体"/>
                <w:color w:val="auto"/>
                <w:sz w:val="18"/>
                <w:szCs w:val="18"/>
                <w:highlight w:val="none"/>
              </w:rPr>
            </w:pP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C2F3F">
            <w:pPr>
              <w:pStyle w:val="482"/>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共享空间</w:t>
            </w:r>
          </w:p>
        </w:tc>
        <w:tc>
          <w:tcPr>
            <w:tcW w:w="4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DB3C9">
            <w:pPr>
              <w:pStyle w:val="482"/>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会议室信息管理、会议室预定、会议室预定审核、会议室台账</w:t>
            </w:r>
          </w:p>
        </w:tc>
      </w:tr>
      <w:tr w14:paraId="1B1CADC2">
        <w:tblPrEx>
          <w:tblCellMar>
            <w:top w:w="0" w:type="dxa"/>
            <w:left w:w="108" w:type="dxa"/>
            <w:bottom w:w="0" w:type="dxa"/>
            <w:right w:w="108" w:type="dxa"/>
          </w:tblCellMar>
        </w:tblPrEx>
        <w:trPr>
          <w:trHeight w:val="340" w:hRule="atLeast"/>
        </w:trPr>
        <w:tc>
          <w:tcPr>
            <w:tcW w:w="9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DAFD5F">
            <w:pPr>
              <w:pStyle w:val="482"/>
              <w:rPr>
                <w:rFonts w:hint="eastAsia" w:ascii="宋体" w:hAnsi="宋体" w:eastAsia="宋体" w:cs="宋体"/>
                <w:color w:val="auto"/>
                <w:sz w:val="18"/>
                <w:szCs w:val="18"/>
                <w:highlight w:val="none"/>
              </w:rPr>
            </w:pPr>
          </w:p>
        </w:tc>
        <w:tc>
          <w:tcPr>
            <w:tcW w:w="11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8653BC">
            <w:pPr>
              <w:pStyle w:val="482"/>
              <w:rPr>
                <w:rFonts w:hint="eastAsia" w:ascii="宋体" w:hAnsi="宋体" w:eastAsia="宋体" w:cs="宋体"/>
                <w:color w:val="auto"/>
                <w:sz w:val="18"/>
                <w:szCs w:val="18"/>
                <w:highlight w:val="none"/>
              </w:rPr>
            </w:pP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B061E">
            <w:pPr>
              <w:pStyle w:val="482"/>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托育服务</w:t>
            </w:r>
          </w:p>
        </w:tc>
        <w:tc>
          <w:tcPr>
            <w:tcW w:w="4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559AD">
            <w:pPr>
              <w:pStyle w:val="482"/>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托育机构/场所信息管理、托育机构/场所人员管理、托育机构/场所服务管理。</w:t>
            </w:r>
          </w:p>
        </w:tc>
      </w:tr>
      <w:tr w14:paraId="3517E5EE">
        <w:tblPrEx>
          <w:tblCellMar>
            <w:top w:w="0" w:type="dxa"/>
            <w:left w:w="108" w:type="dxa"/>
            <w:bottom w:w="0" w:type="dxa"/>
            <w:right w:w="108" w:type="dxa"/>
          </w:tblCellMar>
        </w:tblPrEx>
        <w:trPr>
          <w:trHeight w:val="340" w:hRule="atLeast"/>
        </w:trPr>
        <w:tc>
          <w:tcPr>
            <w:tcW w:w="9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474B6B">
            <w:pPr>
              <w:pStyle w:val="482"/>
              <w:rPr>
                <w:rFonts w:hint="eastAsia" w:ascii="宋体" w:hAnsi="宋体" w:eastAsia="宋体" w:cs="宋体"/>
                <w:color w:val="auto"/>
                <w:sz w:val="18"/>
                <w:szCs w:val="18"/>
                <w:highlight w:val="none"/>
              </w:rPr>
            </w:pPr>
          </w:p>
        </w:tc>
        <w:tc>
          <w:tcPr>
            <w:tcW w:w="11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96014E">
            <w:pPr>
              <w:pStyle w:val="482"/>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平台支撑功能-企业管理</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7A1A6">
            <w:pPr>
              <w:pStyle w:val="482"/>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企业查询</w:t>
            </w:r>
          </w:p>
        </w:tc>
        <w:tc>
          <w:tcPr>
            <w:tcW w:w="4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E9A6C">
            <w:pPr>
              <w:pStyle w:val="482"/>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企业管理可让用户对园区企业的各类信息，包括画像信息、基础报表信息、企业端信息、企业关系信息等，进行查询、查看、管理，帮助用户从多种信息维度对企业进行了解。</w:t>
            </w:r>
          </w:p>
        </w:tc>
      </w:tr>
      <w:tr w14:paraId="0AC62901">
        <w:tblPrEx>
          <w:tblCellMar>
            <w:top w:w="0" w:type="dxa"/>
            <w:left w:w="108" w:type="dxa"/>
            <w:bottom w:w="0" w:type="dxa"/>
            <w:right w:w="108" w:type="dxa"/>
          </w:tblCellMar>
        </w:tblPrEx>
        <w:trPr>
          <w:trHeight w:val="340" w:hRule="atLeast"/>
        </w:trPr>
        <w:tc>
          <w:tcPr>
            <w:tcW w:w="9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6B314C">
            <w:pPr>
              <w:pStyle w:val="482"/>
              <w:rPr>
                <w:rFonts w:hint="eastAsia" w:ascii="宋体" w:hAnsi="宋体" w:eastAsia="宋体" w:cs="宋体"/>
                <w:color w:val="auto"/>
                <w:sz w:val="18"/>
                <w:szCs w:val="18"/>
                <w:highlight w:val="none"/>
              </w:rPr>
            </w:pPr>
          </w:p>
        </w:tc>
        <w:tc>
          <w:tcPr>
            <w:tcW w:w="11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F4F332">
            <w:pPr>
              <w:pStyle w:val="482"/>
              <w:rPr>
                <w:rFonts w:hint="eastAsia" w:ascii="宋体" w:hAnsi="宋体" w:eastAsia="宋体" w:cs="宋体"/>
                <w:color w:val="auto"/>
                <w:sz w:val="18"/>
                <w:szCs w:val="18"/>
                <w:highlight w:val="none"/>
              </w:rPr>
            </w:pP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5F3B7">
            <w:pPr>
              <w:pStyle w:val="482"/>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企业画像</w:t>
            </w:r>
          </w:p>
        </w:tc>
        <w:tc>
          <w:tcPr>
            <w:tcW w:w="4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CFE28">
            <w:pPr>
              <w:pStyle w:val="482"/>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企业画像会通过模型对企业在规模实力、舆情风向、风险水平、创新能力、企业发展、成长能力及盈利能力</w:t>
            </w:r>
            <w:r>
              <w:rPr>
                <w:rFonts w:hint="eastAsia" w:ascii="宋体" w:hAnsi="宋体" w:cs="宋体"/>
                <w:color w:val="auto"/>
                <w:sz w:val="18"/>
                <w:szCs w:val="18"/>
                <w:highlight w:val="none"/>
                <w:lang w:val="en-US" w:eastAsia="zh-CN"/>
              </w:rPr>
              <w:t>等</w:t>
            </w:r>
            <w:r>
              <w:rPr>
                <w:rFonts w:hint="eastAsia" w:ascii="宋体" w:hAnsi="宋体" w:eastAsia="宋体" w:cs="宋体"/>
                <w:color w:val="auto"/>
                <w:sz w:val="18"/>
                <w:szCs w:val="18"/>
                <w:highlight w:val="none"/>
              </w:rPr>
              <w:t>维度进行综合打分，支持按年度对分数进行展示并提供与行业均值的比较</w:t>
            </w:r>
            <w:r>
              <w:rPr>
                <w:rFonts w:hint="eastAsia" w:ascii="宋体" w:hAnsi="宋体" w:cs="宋体"/>
                <w:color w:val="auto"/>
                <w:sz w:val="18"/>
                <w:szCs w:val="18"/>
                <w:highlight w:val="none"/>
                <w:lang w:eastAsia="zh-CN"/>
              </w:rPr>
              <w:t>，</w:t>
            </w:r>
            <w:r>
              <w:rPr>
                <w:rFonts w:hint="eastAsia" w:ascii="宋体" w:hAnsi="宋体" w:cs="宋体"/>
                <w:color w:val="auto"/>
                <w:sz w:val="18"/>
                <w:szCs w:val="18"/>
                <w:highlight w:val="none"/>
                <w:lang w:val="en-US" w:eastAsia="zh-CN"/>
              </w:rPr>
              <w:t>支持根据形势变化进行维度调整。</w:t>
            </w:r>
          </w:p>
        </w:tc>
      </w:tr>
      <w:tr w14:paraId="1DEC302E">
        <w:tblPrEx>
          <w:tblCellMar>
            <w:top w:w="0" w:type="dxa"/>
            <w:left w:w="108" w:type="dxa"/>
            <w:bottom w:w="0" w:type="dxa"/>
            <w:right w:w="108" w:type="dxa"/>
          </w:tblCellMar>
        </w:tblPrEx>
        <w:trPr>
          <w:trHeight w:val="340" w:hRule="atLeast"/>
        </w:trPr>
        <w:tc>
          <w:tcPr>
            <w:tcW w:w="9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768B69">
            <w:pPr>
              <w:pStyle w:val="482"/>
              <w:rPr>
                <w:rFonts w:hint="eastAsia" w:ascii="宋体" w:hAnsi="宋体" w:eastAsia="宋体" w:cs="宋体"/>
                <w:color w:val="auto"/>
                <w:sz w:val="18"/>
                <w:szCs w:val="18"/>
                <w:highlight w:val="none"/>
              </w:rPr>
            </w:pPr>
          </w:p>
        </w:tc>
        <w:tc>
          <w:tcPr>
            <w:tcW w:w="11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D9E4D5">
            <w:pPr>
              <w:pStyle w:val="482"/>
              <w:rPr>
                <w:rFonts w:hint="eastAsia" w:ascii="宋体" w:hAnsi="宋体" w:eastAsia="宋体" w:cs="宋体"/>
                <w:color w:val="auto"/>
                <w:sz w:val="18"/>
                <w:szCs w:val="18"/>
                <w:highlight w:val="none"/>
              </w:rPr>
            </w:pP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96B93">
            <w:pPr>
              <w:pStyle w:val="482"/>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基本信息</w:t>
            </w:r>
          </w:p>
        </w:tc>
        <w:tc>
          <w:tcPr>
            <w:tcW w:w="4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6AECF">
            <w:pPr>
              <w:pStyle w:val="482"/>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rPr>
              <w:t>企业基本信息包括六个维度，用于展示企业的各类基础信息，方便用户对企业基础信息进行一览式了解</w:t>
            </w:r>
            <w:r>
              <w:rPr>
                <w:rFonts w:hint="eastAsia" w:ascii="宋体" w:hAnsi="宋体" w:cs="宋体"/>
                <w:color w:val="auto"/>
                <w:sz w:val="18"/>
                <w:szCs w:val="18"/>
                <w:highlight w:val="none"/>
                <w:lang w:eastAsia="zh-CN"/>
              </w:rPr>
              <w:t>。</w:t>
            </w:r>
          </w:p>
        </w:tc>
      </w:tr>
      <w:tr w14:paraId="578428AA">
        <w:tblPrEx>
          <w:tblCellMar>
            <w:top w:w="0" w:type="dxa"/>
            <w:left w:w="108" w:type="dxa"/>
            <w:bottom w:w="0" w:type="dxa"/>
            <w:right w:w="108" w:type="dxa"/>
          </w:tblCellMar>
        </w:tblPrEx>
        <w:trPr>
          <w:trHeight w:val="340" w:hRule="atLeast"/>
        </w:trPr>
        <w:tc>
          <w:tcPr>
            <w:tcW w:w="9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46C00A">
            <w:pPr>
              <w:pStyle w:val="482"/>
              <w:rPr>
                <w:rFonts w:hint="eastAsia" w:ascii="宋体" w:hAnsi="宋体" w:eastAsia="宋体" w:cs="宋体"/>
                <w:color w:val="auto"/>
                <w:sz w:val="18"/>
                <w:szCs w:val="18"/>
                <w:highlight w:val="none"/>
              </w:rPr>
            </w:pPr>
          </w:p>
        </w:tc>
        <w:tc>
          <w:tcPr>
            <w:tcW w:w="11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8E795C">
            <w:pPr>
              <w:pStyle w:val="482"/>
              <w:rPr>
                <w:rFonts w:hint="eastAsia" w:ascii="宋体" w:hAnsi="宋体" w:eastAsia="宋体" w:cs="宋体"/>
                <w:color w:val="auto"/>
                <w:sz w:val="18"/>
                <w:szCs w:val="18"/>
                <w:highlight w:val="none"/>
              </w:rPr>
            </w:pP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E6288">
            <w:pPr>
              <w:pStyle w:val="482"/>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企业对标</w:t>
            </w:r>
          </w:p>
        </w:tc>
        <w:tc>
          <w:tcPr>
            <w:tcW w:w="4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1DB6B">
            <w:pPr>
              <w:pStyle w:val="482"/>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企业对标支持用户自由选择多个企业，在企业维度和企业指标两个方面，于不同年度上进行比较。</w:t>
            </w:r>
          </w:p>
        </w:tc>
      </w:tr>
      <w:tr w14:paraId="0FBF4B57">
        <w:tblPrEx>
          <w:tblCellMar>
            <w:top w:w="0" w:type="dxa"/>
            <w:left w:w="108" w:type="dxa"/>
            <w:bottom w:w="0" w:type="dxa"/>
            <w:right w:w="108" w:type="dxa"/>
          </w:tblCellMar>
        </w:tblPrEx>
        <w:trPr>
          <w:trHeight w:val="340" w:hRule="atLeast"/>
        </w:trPr>
        <w:tc>
          <w:tcPr>
            <w:tcW w:w="9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9D493D">
            <w:pPr>
              <w:pStyle w:val="482"/>
              <w:rPr>
                <w:rFonts w:hint="eastAsia" w:ascii="宋体" w:hAnsi="宋体" w:eastAsia="宋体" w:cs="宋体"/>
                <w:color w:val="auto"/>
                <w:sz w:val="18"/>
                <w:szCs w:val="18"/>
                <w:highlight w:val="none"/>
              </w:rPr>
            </w:pPr>
          </w:p>
        </w:tc>
        <w:tc>
          <w:tcPr>
            <w:tcW w:w="11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6C49EB">
            <w:pPr>
              <w:pStyle w:val="482"/>
              <w:rPr>
                <w:rFonts w:hint="eastAsia" w:ascii="宋体" w:hAnsi="宋体" w:eastAsia="宋体" w:cs="宋体"/>
                <w:color w:val="auto"/>
                <w:sz w:val="18"/>
                <w:szCs w:val="18"/>
                <w:highlight w:val="none"/>
              </w:rPr>
            </w:pP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54B5E">
            <w:pPr>
              <w:pStyle w:val="482"/>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注册企业管理</w:t>
            </w:r>
          </w:p>
        </w:tc>
        <w:tc>
          <w:tcPr>
            <w:tcW w:w="4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33EDD">
            <w:pPr>
              <w:pStyle w:val="482"/>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企业管理用于查看已在企业端注册并使用平台的所有企业，以及查看企业所维护的一系列基础信息。</w:t>
            </w:r>
          </w:p>
        </w:tc>
      </w:tr>
      <w:tr w14:paraId="7E270FB5">
        <w:tblPrEx>
          <w:tblCellMar>
            <w:top w:w="0" w:type="dxa"/>
            <w:left w:w="108" w:type="dxa"/>
            <w:bottom w:w="0" w:type="dxa"/>
            <w:right w:w="108" w:type="dxa"/>
          </w:tblCellMar>
        </w:tblPrEx>
        <w:trPr>
          <w:trHeight w:val="340" w:hRule="atLeast"/>
        </w:trPr>
        <w:tc>
          <w:tcPr>
            <w:tcW w:w="9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DD2912">
            <w:pPr>
              <w:pStyle w:val="482"/>
              <w:rPr>
                <w:rFonts w:hint="eastAsia" w:ascii="宋体" w:hAnsi="宋体" w:eastAsia="宋体" w:cs="宋体"/>
                <w:color w:val="auto"/>
                <w:sz w:val="18"/>
                <w:szCs w:val="18"/>
                <w:highlight w:val="none"/>
              </w:rPr>
            </w:pPr>
          </w:p>
        </w:tc>
        <w:tc>
          <w:tcPr>
            <w:tcW w:w="11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D77A28">
            <w:pPr>
              <w:pStyle w:val="482"/>
              <w:rPr>
                <w:rFonts w:hint="eastAsia" w:ascii="宋体" w:hAnsi="宋体" w:eastAsia="宋体" w:cs="宋体"/>
                <w:color w:val="auto"/>
                <w:sz w:val="18"/>
                <w:szCs w:val="18"/>
                <w:highlight w:val="none"/>
              </w:rPr>
            </w:pP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7A1AF">
            <w:pPr>
              <w:pStyle w:val="482"/>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对比校验</w:t>
            </w:r>
          </w:p>
        </w:tc>
        <w:tc>
          <w:tcPr>
            <w:tcW w:w="4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28D93">
            <w:pPr>
              <w:pStyle w:val="482"/>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对比校验用于让用户将外部数据与系统中所保存的企业数据相比较。</w:t>
            </w:r>
          </w:p>
        </w:tc>
      </w:tr>
      <w:tr w14:paraId="4BCF1ACB">
        <w:tblPrEx>
          <w:tblCellMar>
            <w:top w:w="0" w:type="dxa"/>
            <w:left w:w="108" w:type="dxa"/>
            <w:bottom w:w="0" w:type="dxa"/>
            <w:right w:w="108" w:type="dxa"/>
          </w:tblCellMar>
        </w:tblPrEx>
        <w:trPr>
          <w:trHeight w:val="340" w:hRule="atLeast"/>
        </w:trPr>
        <w:tc>
          <w:tcPr>
            <w:tcW w:w="9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DFE25A">
            <w:pPr>
              <w:pStyle w:val="482"/>
              <w:rPr>
                <w:rFonts w:hint="eastAsia" w:ascii="宋体" w:hAnsi="宋体" w:eastAsia="宋体" w:cs="宋体"/>
                <w:color w:val="auto"/>
                <w:sz w:val="18"/>
                <w:szCs w:val="18"/>
                <w:highlight w:val="none"/>
              </w:rPr>
            </w:pPr>
          </w:p>
        </w:tc>
        <w:tc>
          <w:tcPr>
            <w:tcW w:w="11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E1AA69">
            <w:pPr>
              <w:pStyle w:val="482"/>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平台支撑功能-主题库建设</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844D7">
            <w:pPr>
              <w:pStyle w:val="482"/>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企业基本信息主题库</w:t>
            </w:r>
          </w:p>
        </w:tc>
        <w:tc>
          <w:tcPr>
            <w:tcW w:w="4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6CB25">
            <w:pPr>
              <w:pStyle w:val="482"/>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建立入驻企业的基本信息库，包括包括公司大事时间轴、基本工商信息、股东信息、主要人员信息、网站域名信息、工商变更记录、从业人员信息及企业年报等。</w:t>
            </w:r>
          </w:p>
        </w:tc>
      </w:tr>
      <w:tr w14:paraId="6EDC516B">
        <w:tblPrEx>
          <w:tblCellMar>
            <w:top w:w="0" w:type="dxa"/>
            <w:left w:w="108" w:type="dxa"/>
            <w:bottom w:w="0" w:type="dxa"/>
            <w:right w:w="108" w:type="dxa"/>
          </w:tblCellMar>
        </w:tblPrEx>
        <w:trPr>
          <w:trHeight w:val="340" w:hRule="atLeast"/>
        </w:trPr>
        <w:tc>
          <w:tcPr>
            <w:tcW w:w="9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0E287A">
            <w:pPr>
              <w:pStyle w:val="482"/>
              <w:rPr>
                <w:rFonts w:hint="eastAsia" w:ascii="宋体" w:hAnsi="宋体" w:eastAsia="宋体" w:cs="宋体"/>
                <w:color w:val="auto"/>
                <w:sz w:val="18"/>
                <w:szCs w:val="18"/>
                <w:highlight w:val="none"/>
              </w:rPr>
            </w:pPr>
          </w:p>
        </w:tc>
        <w:tc>
          <w:tcPr>
            <w:tcW w:w="11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DE89C6">
            <w:pPr>
              <w:pStyle w:val="482"/>
              <w:rPr>
                <w:rFonts w:hint="eastAsia" w:ascii="宋体" w:hAnsi="宋体" w:eastAsia="宋体" w:cs="宋体"/>
                <w:color w:val="auto"/>
                <w:sz w:val="18"/>
                <w:szCs w:val="18"/>
                <w:highlight w:val="none"/>
              </w:rPr>
            </w:pP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16EAD">
            <w:pPr>
              <w:pStyle w:val="482"/>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企业关系主题库</w:t>
            </w:r>
          </w:p>
        </w:tc>
        <w:tc>
          <w:tcPr>
            <w:tcW w:w="4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DCE24">
            <w:pPr>
              <w:pStyle w:val="482"/>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建立入驻企业的企业关系主题库，包括对外投资信息、对外并购信息、融资事件信息、分支机构信息、竞争关系</w:t>
            </w:r>
            <w:r>
              <w:rPr>
                <w:rFonts w:hint="eastAsia" w:ascii="宋体" w:hAnsi="宋体" w:cs="宋体"/>
                <w:color w:val="auto"/>
                <w:sz w:val="18"/>
                <w:szCs w:val="18"/>
                <w:highlight w:val="none"/>
                <w:lang w:val="en-US" w:eastAsia="zh-CN"/>
              </w:rPr>
              <w:t>等</w:t>
            </w:r>
            <w:r>
              <w:rPr>
                <w:rFonts w:hint="eastAsia" w:ascii="宋体" w:hAnsi="宋体" w:eastAsia="宋体" w:cs="宋体"/>
                <w:color w:val="auto"/>
                <w:sz w:val="18"/>
                <w:szCs w:val="18"/>
                <w:highlight w:val="none"/>
              </w:rPr>
              <w:t>信息。</w:t>
            </w:r>
          </w:p>
        </w:tc>
      </w:tr>
      <w:tr w14:paraId="7A4DE77A">
        <w:tblPrEx>
          <w:tblCellMar>
            <w:top w:w="0" w:type="dxa"/>
            <w:left w:w="108" w:type="dxa"/>
            <w:bottom w:w="0" w:type="dxa"/>
            <w:right w:w="108" w:type="dxa"/>
          </w:tblCellMar>
        </w:tblPrEx>
        <w:trPr>
          <w:trHeight w:val="340" w:hRule="atLeast"/>
        </w:trPr>
        <w:tc>
          <w:tcPr>
            <w:tcW w:w="9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98788F">
            <w:pPr>
              <w:pStyle w:val="482"/>
              <w:rPr>
                <w:rFonts w:hint="eastAsia" w:ascii="宋体" w:hAnsi="宋体" w:eastAsia="宋体" w:cs="宋体"/>
                <w:color w:val="auto"/>
                <w:sz w:val="18"/>
                <w:szCs w:val="18"/>
                <w:highlight w:val="none"/>
              </w:rPr>
            </w:pPr>
          </w:p>
        </w:tc>
        <w:tc>
          <w:tcPr>
            <w:tcW w:w="11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45CC7B">
            <w:pPr>
              <w:pStyle w:val="482"/>
              <w:rPr>
                <w:rFonts w:hint="eastAsia" w:ascii="宋体" w:hAnsi="宋体" w:eastAsia="宋体" w:cs="宋体"/>
                <w:color w:val="auto"/>
                <w:sz w:val="18"/>
                <w:szCs w:val="18"/>
                <w:highlight w:val="none"/>
              </w:rPr>
            </w:pP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D7998">
            <w:pPr>
              <w:pStyle w:val="482"/>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经营信息主题库</w:t>
            </w:r>
          </w:p>
        </w:tc>
        <w:tc>
          <w:tcPr>
            <w:tcW w:w="4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E71AB">
            <w:pPr>
              <w:pStyle w:val="482"/>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建立入驻</w:t>
            </w:r>
            <w:r>
              <w:rPr>
                <w:rFonts w:hint="eastAsia" w:ascii="宋体" w:hAnsi="宋体" w:eastAsia="宋体" w:cs="宋体"/>
                <w:color w:val="auto"/>
                <w:sz w:val="18"/>
                <w:szCs w:val="18"/>
                <w:highlight w:val="none"/>
              </w:rPr>
              <w:t>企业的经营信息主题库，包括基本经营数据、行政许可信息、税务评级信息、进出口信息、招聘信息、企业资质类信息、招投标信息、</w:t>
            </w:r>
            <w:r>
              <w:rPr>
                <w:rFonts w:hint="eastAsia" w:ascii="宋体" w:hAnsi="宋体" w:eastAsia="宋体" w:cs="宋体"/>
                <w:color w:val="auto"/>
                <w:sz w:val="18"/>
                <w:szCs w:val="18"/>
                <w:highlight w:val="none"/>
              </w:rPr>
              <w:t>企业认证信息</w:t>
            </w:r>
            <w:r>
              <w:rPr>
                <w:rFonts w:hint="eastAsia" w:ascii="宋体" w:hAnsi="宋体" w:cs="宋体"/>
                <w:color w:val="auto"/>
                <w:sz w:val="18"/>
                <w:szCs w:val="18"/>
                <w:highlight w:val="none"/>
                <w:lang w:val="en-US" w:eastAsia="zh-CN"/>
              </w:rPr>
              <w:t>等</w:t>
            </w:r>
            <w:r>
              <w:rPr>
                <w:rFonts w:hint="eastAsia" w:ascii="宋体" w:hAnsi="宋体" w:eastAsia="宋体" w:cs="宋体"/>
                <w:color w:val="auto"/>
                <w:sz w:val="18"/>
                <w:szCs w:val="18"/>
                <w:highlight w:val="none"/>
              </w:rPr>
              <w:t>。</w:t>
            </w:r>
          </w:p>
        </w:tc>
      </w:tr>
      <w:tr w14:paraId="586676DF">
        <w:tblPrEx>
          <w:tblCellMar>
            <w:top w:w="0" w:type="dxa"/>
            <w:left w:w="108" w:type="dxa"/>
            <w:bottom w:w="0" w:type="dxa"/>
            <w:right w:w="108" w:type="dxa"/>
          </w:tblCellMar>
        </w:tblPrEx>
        <w:trPr>
          <w:trHeight w:val="340" w:hRule="atLeast"/>
        </w:trPr>
        <w:tc>
          <w:tcPr>
            <w:tcW w:w="9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267BFF">
            <w:pPr>
              <w:pStyle w:val="482"/>
              <w:rPr>
                <w:rFonts w:hint="eastAsia" w:ascii="宋体" w:hAnsi="宋体" w:eastAsia="宋体" w:cs="宋体"/>
                <w:color w:val="auto"/>
                <w:sz w:val="18"/>
                <w:szCs w:val="18"/>
                <w:highlight w:val="none"/>
              </w:rPr>
            </w:pPr>
          </w:p>
        </w:tc>
        <w:tc>
          <w:tcPr>
            <w:tcW w:w="11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BAB434">
            <w:pPr>
              <w:pStyle w:val="482"/>
              <w:rPr>
                <w:rFonts w:hint="eastAsia" w:ascii="宋体" w:hAnsi="宋体" w:eastAsia="宋体" w:cs="宋体"/>
                <w:color w:val="auto"/>
                <w:sz w:val="18"/>
                <w:szCs w:val="18"/>
                <w:highlight w:val="none"/>
              </w:rPr>
            </w:pP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07F26">
            <w:pPr>
              <w:pStyle w:val="482"/>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司法涉诉主题库</w:t>
            </w:r>
          </w:p>
        </w:tc>
        <w:tc>
          <w:tcPr>
            <w:tcW w:w="4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C92A3">
            <w:pPr>
              <w:pStyle w:val="482"/>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建立入驻企业的司法涉诉主题库，包括开庭公告信息、法院公告信息、裁判文书信息、失信被执行人信息、被执行人信息、股权冻结信息</w:t>
            </w:r>
            <w:r>
              <w:rPr>
                <w:rFonts w:hint="eastAsia" w:ascii="宋体" w:hAnsi="宋体" w:cs="宋体"/>
                <w:color w:val="auto"/>
                <w:sz w:val="18"/>
                <w:szCs w:val="18"/>
                <w:highlight w:val="none"/>
                <w:lang w:val="en-US" w:eastAsia="zh-CN"/>
              </w:rPr>
              <w:t>等</w:t>
            </w:r>
            <w:r>
              <w:rPr>
                <w:rFonts w:hint="eastAsia" w:ascii="宋体" w:hAnsi="宋体" w:eastAsia="宋体" w:cs="宋体"/>
                <w:color w:val="auto"/>
                <w:sz w:val="18"/>
                <w:szCs w:val="18"/>
                <w:highlight w:val="none"/>
              </w:rPr>
              <w:t>。</w:t>
            </w:r>
          </w:p>
        </w:tc>
      </w:tr>
      <w:tr w14:paraId="25894AE3">
        <w:tblPrEx>
          <w:tblCellMar>
            <w:top w:w="0" w:type="dxa"/>
            <w:left w:w="108" w:type="dxa"/>
            <w:bottom w:w="0" w:type="dxa"/>
            <w:right w:w="108" w:type="dxa"/>
          </w:tblCellMar>
        </w:tblPrEx>
        <w:trPr>
          <w:trHeight w:val="340" w:hRule="atLeast"/>
        </w:trPr>
        <w:tc>
          <w:tcPr>
            <w:tcW w:w="9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23F701">
            <w:pPr>
              <w:pStyle w:val="482"/>
              <w:rPr>
                <w:rFonts w:hint="eastAsia" w:ascii="宋体" w:hAnsi="宋体" w:eastAsia="宋体" w:cs="宋体"/>
                <w:color w:val="auto"/>
                <w:sz w:val="18"/>
                <w:szCs w:val="18"/>
                <w:highlight w:val="none"/>
              </w:rPr>
            </w:pPr>
          </w:p>
        </w:tc>
        <w:tc>
          <w:tcPr>
            <w:tcW w:w="11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0F0FD0">
            <w:pPr>
              <w:pStyle w:val="482"/>
              <w:rPr>
                <w:rFonts w:hint="eastAsia" w:ascii="宋体" w:hAnsi="宋体" w:eastAsia="宋体" w:cs="宋体"/>
                <w:color w:val="auto"/>
                <w:sz w:val="18"/>
                <w:szCs w:val="18"/>
                <w:highlight w:val="none"/>
              </w:rPr>
            </w:pP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D7DF7">
            <w:pPr>
              <w:pStyle w:val="482"/>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企业风险评估主题库</w:t>
            </w:r>
          </w:p>
        </w:tc>
        <w:tc>
          <w:tcPr>
            <w:tcW w:w="4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6E0D6">
            <w:pPr>
              <w:pStyle w:val="482"/>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建立入驻企业的风险评估主题库，包括经营异常信息、行政处罚信息、环保处罚信息、违法失信信息、税务异常信息、强制清算信息、迁入迁出信息</w:t>
            </w:r>
            <w:r>
              <w:rPr>
                <w:rFonts w:hint="eastAsia" w:ascii="宋体" w:hAnsi="宋体" w:cs="宋体"/>
                <w:color w:val="auto"/>
                <w:sz w:val="18"/>
                <w:szCs w:val="18"/>
                <w:highlight w:val="none"/>
                <w:lang w:val="en-US" w:eastAsia="zh-CN"/>
              </w:rPr>
              <w:t>等</w:t>
            </w:r>
            <w:r>
              <w:rPr>
                <w:rFonts w:hint="eastAsia" w:ascii="宋体" w:hAnsi="宋体" w:eastAsia="宋体" w:cs="宋体"/>
                <w:color w:val="auto"/>
                <w:sz w:val="18"/>
                <w:szCs w:val="18"/>
                <w:highlight w:val="none"/>
              </w:rPr>
              <w:t>。</w:t>
            </w:r>
          </w:p>
        </w:tc>
      </w:tr>
      <w:tr w14:paraId="2C98C6D0">
        <w:tblPrEx>
          <w:tblCellMar>
            <w:top w:w="0" w:type="dxa"/>
            <w:left w:w="108" w:type="dxa"/>
            <w:bottom w:w="0" w:type="dxa"/>
            <w:right w:w="108" w:type="dxa"/>
          </w:tblCellMar>
        </w:tblPrEx>
        <w:trPr>
          <w:trHeight w:val="340" w:hRule="atLeast"/>
        </w:trPr>
        <w:tc>
          <w:tcPr>
            <w:tcW w:w="9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C1732A">
            <w:pPr>
              <w:pStyle w:val="482"/>
              <w:rPr>
                <w:rFonts w:hint="eastAsia" w:ascii="宋体" w:hAnsi="宋体" w:eastAsia="宋体" w:cs="宋体"/>
                <w:color w:val="auto"/>
                <w:sz w:val="18"/>
                <w:szCs w:val="18"/>
                <w:highlight w:val="none"/>
              </w:rPr>
            </w:pPr>
          </w:p>
        </w:tc>
        <w:tc>
          <w:tcPr>
            <w:tcW w:w="11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DD84D9">
            <w:pPr>
              <w:pStyle w:val="482"/>
              <w:rPr>
                <w:rFonts w:hint="eastAsia" w:ascii="宋体" w:hAnsi="宋体" w:eastAsia="宋体" w:cs="宋体"/>
                <w:color w:val="auto"/>
                <w:sz w:val="18"/>
                <w:szCs w:val="18"/>
                <w:highlight w:val="none"/>
              </w:rPr>
            </w:pP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446B7">
            <w:pPr>
              <w:pStyle w:val="482"/>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知识产权库</w:t>
            </w:r>
          </w:p>
        </w:tc>
        <w:tc>
          <w:tcPr>
            <w:tcW w:w="4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0B842">
            <w:pPr>
              <w:pStyle w:val="482"/>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建立入驻企业的知识产权主题库，包括商标信息、专利信息、著作权信息</w:t>
            </w:r>
            <w:r>
              <w:rPr>
                <w:rFonts w:hint="eastAsia" w:ascii="宋体" w:hAnsi="宋体" w:cs="宋体"/>
                <w:color w:val="auto"/>
                <w:sz w:val="18"/>
                <w:szCs w:val="18"/>
                <w:highlight w:val="none"/>
                <w:lang w:val="en-US" w:eastAsia="zh-CN"/>
              </w:rPr>
              <w:t>等</w:t>
            </w:r>
            <w:r>
              <w:rPr>
                <w:rFonts w:hint="eastAsia" w:ascii="宋体" w:hAnsi="宋体" w:eastAsia="宋体" w:cs="宋体"/>
                <w:color w:val="auto"/>
                <w:sz w:val="18"/>
                <w:szCs w:val="18"/>
                <w:highlight w:val="none"/>
              </w:rPr>
              <w:t>。</w:t>
            </w:r>
          </w:p>
        </w:tc>
      </w:tr>
      <w:tr w14:paraId="5DC264C8">
        <w:tblPrEx>
          <w:tblCellMar>
            <w:top w:w="0" w:type="dxa"/>
            <w:left w:w="108" w:type="dxa"/>
            <w:bottom w:w="0" w:type="dxa"/>
            <w:right w:w="108" w:type="dxa"/>
          </w:tblCellMar>
        </w:tblPrEx>
        <w:trPr>
          <w:trHeight w:val="340" w:hRule="atLeast"/>
        </w:trPr>
        <w:tc>
          <w:tcPr>
            <w:tcW w:w="9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09DAAC">
            <w:pPr>
              <w:pStyle w:val="482"/>
              <w:rPr>
                <w:rFonts w:hint="eastAsia" w:ascii="宋体" w:hAnsi="宋体" w:eastAsia="宋体" w:cs="宋体"/>
                <w:color w:val="auto"/>
                <w:sz w:val="18"/>
                <w:szCs w:val="18"/>
                <w:highlight w:val="none"/>
              </w:rPr>
            </w:pPr>
          </w:p>
        </w:tc>
        <w:tc>
          <w:tcPr>
            <w:tcW w:w="11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2F6E9E">
            <w:pPr>
              <w:pStyle w:val="482"/>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平台支撑功能-AI算法模型</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91E57">
            <w:pPr>
              <w:pStyle w:val="482"/>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政策智能拆解算法模型</w:t>
            </w:r>
          </w:p>
        </w:tc>
        <w:tc>
          <w:tcPr>
            <w:tcW w:w="4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DDBC5">
            <w:pPr>
              <w:pStyle w:val="482"/>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使用自然语言大模型提取政策内容的关键特征并逐渐捕捉到文本中的深层含义和模式，形成政策内容的主题分析、结构分析、场景分析、条件分析等多种分析结论。</w:t>
            </w:r>
          </w:p>
        </w:tc>
      </w:tr>
      <w:tr w14:paraId="08D16CA8">
        <w:tblPrEx>
          <w:tblCellMar>
            <w:top w:w="0" w:type="dxa"/>
            <w:left w:w="108" w:type="dxa"/>
            <w:bottom w:w="0" w:type="dxa"/>
            <w:right w:w="108" w:type="dxa"/>
          </w:tblCellMar>
        </w:tblPrEx>
        <w:trPr>
          <w:trHeight w:val="340" w:hRule="atLeast"/>
        </w:trPr>
        <w:tc>
          <w:tcPr>
            <w:tcW w:w="9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47D802">
            <w:pPr>
              <w:pStyle w:val="482"/>
              <w:rPr>
                <w:rFonts w:hint="eastAsia" w:ascii="宋体" w:hAnsi="宋体" w:eastAsia="宋体" w:cs="宋体"/>
                <w:color w:val="auto"/>
                <w:sz w:val="18"/>
                <w:szCs w:val="18"/>
                <w:highlight w:val="none"/>
              </w:rPr>
            </w:pPr>
          </w:p>
        </w:tc>
        <w:tc>
          <w:tcPr>
            <w:tcW w:w="11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BEF4AA">
            <w:pPr>
              <w:pStyle w:val="482"/>
              <w:rPr>
                <w:rFonts w:hint="eastAsia" w:ascii="宋体" w:hAnsi="宋体" w:eastAsia="宋体" w:cs="宋体"/>
                <w:color w:val="auto"/>
                <w:sz w:val="18"/>
                <w:szCs w:val="18"/>
                <w:highlight w:val="none"/>
              </w:rPr>
            </w:pP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59BD9">
            <w:pPr>
              <w:pStyle w:val="482"/>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政策智能推荐算法模型</w:t>
            </w:r>
          </w:p>
        </w:tc>
        <w:tc>
          <w:tcPr>
            <w:tcW w:w="4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D2E2F">
            <w:pPr>
              <w:pStyle w:val="482"/>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政策智能推荐算法模型是一种利用数据挖掘和机器学习技术，根据用户的历史行为、兴趣和偏好，自动为用户推荐相关政策信息的算法模型。</w:t>
            </w:r>
          </w:p>
        </w:tc>
      </w:tr>
      <w:tr w14:paraId="5CF5A281">
        <w:tblPrEx>
          <w:tblCellMar>
            <w:top w:w="0" w:type="dxa"/>
            <w:left w:w="108" w:type="dxa"/>
            <w:bottom w:w="0" w:type="dxa"/>
            <w:right w:w="108" w:type="dxa"/>
          </w:tblCellMar>
        </w:tblPrEx>
        <w:trPr>
          <w:trHeight w:val="340" w:hRule="atLeast"/>
        </w:trPr>
        <w:tc>
          <w:tcPr>
            <w:tcW w:w="9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3F819E">
            <w:pPr>
              <w:pStyle w:val="482"/>
              <w:rPr>
                <w:rFonts w:hint="eastAsia" w:ascii="宋体" w:hAnsi="宋体" w:eastAsia="宋体" w:cs="宋体"/>
                <w:color w:val="auto"/>
                <w:sz w:val="18"/>
                <w:szCs w:val="18"/>
                <w:highlight w:val="none"/>
              </w:rPr>
            </w:pPr>
          </w:p>
        </w:tc>
        <w:tc>
          <w:tcPr>
            <w:tcW w:w="11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49EB24">
            <w:pPr>
              <w:pStyle w:val="482"/>
              <w:rPr>
                <w:rFonts w:hint="eastAsia" w:ascii="宋体" w:hAnsi="宋体" w:eastAsia="宋体" w:cs="宋体"/>
                <w:color w:val="auto"/>
                <w:sz w:val="18"/>
                <w:szCs w:val="18"/>
                <w:highlight w:val="none"/>
              </w:rPr>
            </w:pP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32130">
            <w:pPr>
              <w:pStyle w:val="482"/>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诉求智能转办算法模型</w:t>
            </w:r>
          </w:p>
        </w:tc>
        <w:tc>
          <w:tcPr>
            <w:tcW w:w="4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0DDBD">
            <w:pPr>
              <w:pStyle w:val="482"/>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利用机器学习相关算法，通过历史数据训练模型认知诉求与委办局的关联特征，形成高精度的诉求办理去向分类模型。</w:t>
            </w:r>
          </w:p>
        </w:tc>
      </w:tr>
      <w:tr w14:paraId="495955D3">
        <w:tblPrEx>
          <w:tblCellMar>
            <w:top w:w="0" w:type="dxa"/>
            <w:left w:w="108" w:type="dxa"/>
            <w:bottom w:w="0" w:type="dxa"/>
            <w:right w:w="108" w:type="dxa"/>
          </w:tblCellMar>
        </w:tblPrEx>
        <w:trPr>
          <w:trHeight w:val="340" w:hRule="atLeast"/>
        </w:trPr>
        <w:tc>
          <w:tcPr>
            <w:tcW w:w="9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1601EA">
            <w:pPr>
              <w:pStyle w:val="482"/>
              <w:rPr>
                <w:rFonts w:hint="eastAsia" w:ascii="宋体" w:hAnsi="宋体" w:eastAsia="宋体" w:cs="宋体"/>
                <w:color w:val="auto"/>
                <w:sz w:val="18"/>
                <w:szCs w:val="18"/>
                <w:highlight w:val="none"/>
              </w:rPr>
            </w:pPr>
          </w:p>
        </w:tc>
        <w:tc>
          <w:tcPr>
            <w:tcW w:w="11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078B8B">
            <w:pPr>
              <w:pStyle w:val="482"/>
              <w:rPr>
                <w:rFonts w:hint="eastAsia" w:ascii="宋体" w:hAnsi="宋体" w:eastAsia="宋体" w:cs="宋体"/>
                <w:color w:val="auto"/>
                <w:sz w:val="18"/>
                <w:szCs w:val="18"/>
                <w:highlight w:val="none"/>
              </w:rPr>
            </w:pP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C93DC">
            <w:pPr>
              <w:pStyle w:val="482"/>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供需智能匹配算法模型</w:t>
            </w:r>
          </w:p>
        </w:tc>
        <w:tc>
          <w:tcPr>
            <w:tcW w:w="4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CD55B">
            <w:pPr>
              <w:pStyle w:val="482"/>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使用NLP技术，深度学习技术，分析供应与需求的相似度，形成相似供需的概率序列，提升推荐供需服务的准确率。</w:t>
            </w:r>
          </w:p>
        </w:tc>
      </w:tr>
      <w:tr w14:paraId="710614B2">
        <w:tblPrEx>
          <w:tblCellMar>
            <w:top w:w="0" w:type="dxa"/>
            <w:left w:w="108" w:type="dxa"/>
            <w:bottom w:w="0" w:type="dxa"/>
            <w:right w:w="108" w:type="dxa"/>
          </w:tblCellMar>
        </w:tblPrEx>
        <w:trPr>
          <w:trHeight w:val="340" w:hRule="atLeast"/>
        </w:trPr>
        <w:tc>
          <w:tcPr>
            <w:tcW w:w="9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23DF2C">
            <w:pPr>
              <w:pStyle w:val="482"/>
              <w:rPr>
                <w:rFonts w:hint="eastAsia" w:ascii="宋体" w:hAnsi="宋体" w:eastAsia="宋体" w:cs="宋体"/>
                <w:color w:val="auto"/>
                <w:sz w:val="18"/>
                <w:szCs w:val="18"/>
                <w:highlight w:val="none"/>
              </w:rPr>
            </w:pPr>
          </w:p>
        </w:tc>
        <w:tc>
          <w:tcPr>
            <w:tcW w:w="11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A93713">
            <w:pPr>
              <w:pStyle w:val="482"/>
              <w:rPr>
                <w:rFonts w:hint="eastAsia" w:ascii="宋体" w:hAnsi="宋体" w:eastAsia="宋体" w:cs="宋体"/>
                <w:color w:val="auto"/>
                <w:sz w:val="18"/>
                <w:szCs w:val="18"/>
                <w:highlight w:val="none"/>
              </w:rPr>
            </w:pP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EAC9D">
            <w:pPr>
              <w:pStyle w:val="482"/>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企业智能标签算法模型</w:t>
            </w:r>
          </w:p>
        </w:tc>
        <w:tc>
          <w:tcPr>
            <w:tcW w:w="4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F979E">
            <w:pPr>
              <w:pStyle w:val="482"/>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将大量的企业数据文本数据进行编码，使用自然语言大模型提取这些数字中的关键特征，并利用这些特征进行复杂的计算逐渐捕捉到文本中的深层含义和模式。</w:t>
            </w:r>
          </w:p>
        </w:tc>
      </w:tr>
      <w:tr w14:paraId="0AD62819">
        <w:tblPrEx>
          <w:tblCellMar>
            <w:top w:w="0" w:type="dxa"/>
            <w:left w:w="108" w:type="dxa"/>
            <w:bottom w:w="0" w:type="dxa"/>
            <w:right w:w="108" w:type="dxa"/>
          </w:tblCellMar>
        </w:tblPrEx>
        <w:trPr>
          <w:trHeight w:val="340" w:hRule="atLeast"/>
        </w:trPr>
        <w:tc>
          <w:tcPr>
            <w:tcW w:w="9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991B78">
            <w:pPr>
              <w:pStyle w:val="482"/>
              <w:rPr>
                <w:rFonts w:hint="eastAsia" w:ascii="宋体" w:hAnsi="宋体" w:eastAsia="宋体" w:cs="宋体"/>
                <w:color w:val="auto"/>
                <w:sz w:val="18"/>
                <w:szCs w:val="18"/>
                <w:highlight w:val="none"/>
              </w:rPr>
            </w:pPr>
          </w:p>
        </w:tc>
        <w:tc>
          <w:tcPr>
            <w:tcW w:w="11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42CC09">
            <w:pPr>
              <w:pStyle w:val="482"/>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平台支撑功能-业务支撑模块</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ADC85">
            <w:pPr>
              <w:pStyle w:val="482"/>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多入口打通</w:t>
            </w:r>
          </w:p>
        </w:tc>
        <w:tc>
          <w:tcPr>
            <w:tcW w:w="4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B6E57">
            <w:pPr>
              <w:pStyle w:val="482"/>
              <w:rPr>
                <w:rFonts w:hint="eastAsia" w:ascii="宋体" w:hAnsi="宋体" w:eastAsia="宋体" w:cs="宋体"/>
                <w:color w:val="auto"/>
                <w:sz w:val="18"/>
                <w:szCs w:val="18"/>
                <w:highlight w:val="none"/>
              </w:rPr>
            </w:pPr>
            <w:r>
              <w:rPr>
                <w:rFonts w:hint="eastAsia" w:ascii="宋体" w:hAnsi="宋体" w:cs="宋体"/>
                <w:color w:val="auto"/>
                <w:sz w:val="18"/>
                <w:szCs w:val="18"/>
                <w:highlight w:val="none"/>
                <w:lang w:val="en-US" w:eastAsia="zh-CN"/>
              </w:rPr>
              <w:t>设置管理端和企业（公众）端，</w:t>
            </w:r>
            <w:r>
              <w:rPr>
                <w:rFonts w:hint="eastAsia" w:ascii="宋体" w:hAnsi="宋体" w:eastAsia="宋体" w:cs="宋体"/>
                <w:color w:val="auto"/>
                <w:sz w:val="18"/>
                <w:szCs w:val="18"/>
                <w:highlight w:val="none"/>
              </w:rPr>
              <w:t>企业</w:t>
            </w:r>
            <w:r>
              <w:rPr>
                <w:rFonts w:hint="eastAsia" w:ascii="宋体" w:hAnsi="宋体" w:cs="宋体"/>
                <w:color w:val="auto"/>
                <w:sz w:val="18"/>
                <w:szCs w:val="18"/>
                <w:highlight w:val="none"/>
                <w:lang w:eastAsia="zh-CN"/>
              </w:rPr>
              <w:t>（</w:t>
            </w:r>
            <w:r>
              <w:rPr>
                <w:rFonts w:hint="eastAsia" w:ascii="宋体" w:hAnsi="宋体" w:cs="宋体"/>
                <w:color w:val="auto"/>
                <w:sz w:val="18"/>
                <w:szCs w:val="18"/>
                <w:highlight w:val="none"/>
                <w:lang w:val="en-US" w:eastAsia="zh-CN"/>
              </w:rPr>
              <w:t>公众</w:t>
            </w:r>
            <w:r>
              <w:rPr>
                <w:rFonts w:hint="eastAsia" w:ascii="宋体" w:hAnsi="宋体" w:cs="宋体"/>
                <w:color w:val="auto"/>
                <w:sz w:val="18"/>
                <w:szCs w:val="18"/>
                <w:highlight w:val="none"/>
                <w:lang w:eastAsia="zh-CN"/>
              </w:rPr>
              <w:t>）</w:t>
            </w:r>
            <w:r>
              <w:rPr>
                <w:rFonts w:hint="eastAsia" w:ascii="宋体" w:hAnsi="宋体" w:eastAsia="宋体" w:cs="宋体"/>
                <w:color w:val="auto"/>
                <w:sz w:val="18"/>
                <w:szCs w:val="18"/>
                <w:highlight w:val="none"/>
              </w:rPr>
              <w:t>端支持PC端和移动端访问，支持浙里办、浙里办微信小程序多个平台入口，上架浙里办和浙里办微信小程序。</w:t>
            </w:r>
          </w:p>
        </w:tc>
      </w:tr>
      <w:tr w14:paraId="7EE26892">
        <w:tblPrEx>
          <w:tblCellMar>
            <w:top w:w="0" w:type="dxa"/>
            <w:left w:w="108" w:type="dxa"/>
            <w:bottom w:w="0" w:type="dxa"/>
            <w:right w:w="108" w:type="dxa"/>
          </w:tblCellMar>
        </w:tblPrEx>
        <w:trPr>
          <w:trHeight w:val="340" w:hRule="atLeast"/>
        </w:trPr>
        <w:tc>
          <w:tcPr>
            <w:tcW w:w="9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EE729F">
            <w:pPr>
              <w:pStyle w:val="482"/>
              <w:rPr>
                <w:rFonts w:hint="eastAsia" w:ascii="宋体" w:hAnsi="宋体" w:eastAsia="宋体" w:cs="宋体"/>
                <w:color w:val="auto"/>
                <w:sz w:val="18"/>
                <w:szCs w:val="18"/>
                <w:highlight w:val="none"/>
              </w:rPr>
            </w:pPr>
          </w:p>
        </w:tc>
        <w:tc>
          <w:tcPr>
            <w:tcW w:w="11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61474C">
            <w:pPr>
              <w:pStyle w:val="482"/>
              <w:rPr>
                <w:rFonts w:hint="eastAsia" w:ascii="宋体" w:hAnsi="宋体" w:eastAsia="宋体" w:cs="宋体"/>
                <w:color w:val="auto"/>
                <w:sz w:val="18"/>
                <w:szCs w:val="18"/>
                <w:highlight w:val="none"/>
              </w:rPr>
            </w:pP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350A8">
            <w:pPr>
              <w:pStyle w:val="482"/>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用户融合认证</w:t>
            </w:r>
          </w:p>
        </w:tc>
        <w:tc>
          <w:tcPr>
            <w:tcW w:w="4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BFDC7">
            <w:pPr>
              <w:pStyle w:val="482"/>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企业、公众端基于浙里办统一用户体系，实现与浙里办互信,支持浙里办扫码登录。政府端基于区可信数字身份管控平台用户体系，实现浙政钉的互信认证和统一登录。</w:t>
            </w:r>
          </w:p>
        </w:tc>
      </w:tr>
      <w:tr w14:paraId="11B93ED4">
        <w:tblPrEx>
          <w:tblCellMar>
            <w:top w:w="0" w:type="dxa"/>
            <w:left w:w="108" w:type="dxa"/>
            <w:bottom w:w="0" w:type="dxa"/>
            <w:right w:w="108" w:type="dxa"/>
          </w:tblCellMar>
        </w:tblPrEx>
        <w:trPr>
          <w:trHeight w:val="340" w:hRule="atLeast"/>
        </w:trPr>
        <w:tc>
          <w:tcPr>
            <w:tcW w:w="9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DF7C6D">
            <w:pPr>
              <w:pStyle w:val="482"/>
              <w:rPr>
                <w:rFonts w:hint="eastAsia" w:ascii="宋体" w:hAnsi="宋体" w:eastAsia="宋体" w:cs="宋体"/>
                <w:color w:val="auto"/>
                <w:sz w:val="18"/>
                <w:szCs w:val="18"/>
                <w:highlight w:val="none"/>
              </w:rPr>
            </w:pPr>
          </w:p>
        </w:tc>
        <w:tc>
          <w:tcPr>
            <w:tcW w:w="11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F05E30">
            <w:pPr>
              <w:pStyle w:val="482"/>
              <w:rPr>
                <w:rFonts w:hint="eastAsia" w:ascii="宋体" w:hAnsi="宋体" w:eastAsia="宋体" w:cs="宋体"/>
                <w:color w:val="auto"/>
                <w:sz w:val="18"/>
                <w:szCs w:val="18"/>
                <w:highlight w:val="none"/>
              </w:rPr>
            </w:pP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97759">
            <w:pPr>
              <w:pStyle w:val="482"/>
              <w:rPr>
                <w:rFonts w:hint="eastAsia" w:ascii="宋体" w:hAnsi="宋体" w:eastAsia="宋体" w:cs="宋体"/>
                <w:color w:val="auto"/>
                <w:sz w:val="18"/>
                <w:szCs w:val="18"/>
                <w:highlight w:val="none"/>
              </w:rPr>
            </w:pPr>
            <w:r>
              <w:rPr>
                <w:rFonts w:hint="eastAsia" w:ascii="宋体" w:hAnsi="宋体" w:cs="宋体"/>
                <w:color w:val="auto"/>
                <w:sz w:val="18"/>
                <w:szCs w:val="18"/>
                <w:highlight w:val="none"/>
                <w:lang w:val="en-US" w:eastAsia="zh-CN"/>
              </w:rPr>
              <w:t>统一登录门户</w:t>
            </w:r>
          </w:p>
        </w:tc>
        <w:tc>
          <w:tcPr>
            <w:tcW w:w="4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9AAE4">
            <w:pPr>
              <w:pStyle w:val="482"/>
              <w:rPr>
                <w:rFonts w:hint="default" w:ascii="宋体" w:hAnsi="宋体" w:eastAsia="宋体" w:cs="宋体"/>
                <w:color w:val="auto"/>
                <w:sz w:val="18"/>
                <w:szCs w:val="18"/>
                <w:highlight w:val="none"/>
                <w:lang w:val="en-US" w:eastAsia="zh-CN"/>
              </w:rPr>
            </w:pPr>
            <w:r>
              <w:rPr>
                <w:rFonts w:hint="eastAsia" w:ascii="宋体" w:hAnsi="宋体" w:cs="宋体"/>
                <w:color w:val="auto"/>
                <w:sz w:val="18"/>
                <w:szCs w:val="18"/>
                <w:highlight w:val="none"/>
                <w:lang w:val="en-US" w:eastAsia="zh-CN"/>
              </w:rPr>
              <w:t>实现大运河数智城在行系统整合统一登录。</w:t>
            </w:r>
          </w:p>
        </w:tc>
      </w:tr>
      <w:tr w14:paraId="7E368665">
        <w:tblPrEx>
          <w:tblCellMar>
            <w:top w:w="0" w:type="dxa"/>
            <w:left w:w="108" w:type="dxa"/>
            <w:bottom w:w="0" w:type="dxa"/>
            <w:right w:w="108" w:type="dxa"/>
          </w:tblCellMar>
        </w:tblPrEx>
        <w:trPr>
          <w:trHeight w:val="340" w:hRule="atLeast"/>
        </w:trPr>
        <w:tc>
          <w:tcPr>
            <w:tcW w:w="9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70AFAE">
            <w:pPr>
              <w:pStyle w:val="482"/>
              <w:rPr>
                <w:rFonts w:hint="eastAsia" w:ascii="宋体" w:hAnsi="宋体" w:eastAsia="宋体" w:cs="宋体"/>
                <w:color w:val="auto"/>
                <w:sz w:val="18"/>
                <w:szCs w:val="18"/>
                <w:highlight w:val="none"/>
              </w:rPr>
            </w:pPr>
          </w:p>
        </w:tc>
        <w:tc>
          <w:tcPr>
            <w:tcW w:w="11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CC2A30">
            <w:pPr>
              <w:pStyle w:val="482"/>
              <w:rPr>
                <w:rFonts w:hint="eastAsia" w:ascii="宋体" w:hAnsi="宋体" w:eastAsia="宋体" w:cs="宋体"/>
                <w:color w:val="auto"/>
                <w:sz w:val="18"/>
                <w:szCs w:val="18"/>
                <w:highlight w:val="none"/>
              </w:rPr>
            </w:pP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77BD0">
            <w:pPr>
              <w:pStyle w:val="482"/>
              <w:rPr>
                <w:rFonts w:hint="eastAsia" w:ascii="宋体" w:hAnsi="宋体" w:eastAsia="宋体" w:cs="宋体"/>
                <w:color w:val="auto"/>
                <w:sz w:val="18"/>
                <w:szCs w:val="18"/>
                <w:highlight w:val="none"/>
              </w:rPr>
            </w:pPr>
            <w:r>
              <w:rPr>
                <w:rFonts w:hint="eastAsia" w:ascii="宋体" w:hAnsi="宋体" w:cs="宋体"/>
                <w:color w:val="auto"/>
                <w:sz w:val="18"/>
                <w:szCs w:val="18"/>
                <w:highlight w:val="none"/>
                <w:lang w:val="en-US" w:eastAsia="zh-CN"/>
              </w:rPr>
              <w:t>上级接口</w:t>
            </w:r>
            <w:r>
              <w:rPr>
                <w:rFonts w:hint="eastAsia" w:ascii="宋体" w:hAnsi="宋体" w:eastAsia="宋体" w:cs="宋体"/>
                <w:color w:val="auto"/>
                <w:sz w:val="18"/>
                <w:szCs w:val="18"/>
                <w:highlight w:val="none"/>
              </w:rPr>
              <w:t>对接</w:t>
            </w:r>
          </w:p>
        </w:tc>
        <w:tc>
          <w:tcPr>
            <w:tcW w:w="4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33DD7">
            <w:pPr>
              <w:pStyle w:val="482"/>
              <w:rPr>
                <w:rFonts w:hint="eastAsia" w:ascii="宋体" w:hAnsi="宋体" w:eastAsia="宋体" w:cs="宋体"/>
                <w:color w:val="auto"/>
                <w:sz w:val="18"/>
                <w:szCs w:val="18"/>
                <w:highlight w:val="none"/>
              </w:rPr>
            </w:pPr>
            <w:r>
              <w:rPr>
                <w:rFonts w:hint="eastAsia" w:ascii="宋体" w:hAnsi="宋体" w:cs="宋体"/>
                <w:color w:val="auto"/>
                <w:sz w:val="18"/>
                <w:szCs w:val="18"/>
                <w:highlight w:val="none"/>
                <w:lang w:val="en-US" w:eastAsia="zh-CN"/>
              </w:rPr>
              <w:t>可实现上级接口对接，如</w:t>
            </w:r>
            <w:r>
              <w:rPr>
                <w:rFonts w:hint="eastAsia" w:ascii="宋体" w:hAnsi="宋体" w:eastAsia="宋体" w:cs="宋体"/>
                <w:color w:val="auto"/>
                <w:sz w:val="18"/>
                <w:szCs w:val="18"/>
                <w:highlight w:val="none"/>
              </w:rPr>
              <w:t>暖企通和拱墅区企业服务百事通就商务社区业务进行全量的数据双向互通，诉求服务通过对接企服百事通，实现向区级归集和闭环。</w:t>
            </w:r>
          </w:p>
        </w:tc>
      </w:tr>
      <w:tr w14:paraId="64F3F7DF">
        <w:tblPrEx>
          <w:tblCellMar>
            <w:top w:w="0" w:type="dxa"/>
            <w:left w:w="108" w:type="dxa"/>
            <w:bottom w:w="0" w:type="dxa"/>
            <w:right w:w="108" w:type="dxa"/>
          </w:tblCellMar>
        </w:tblPrEx>
        <w:trPr>
          <w:trHeight w:val="340" w:hRule="atLeast"/>
        </w:trPr>
        <w:tc>
          <w:tcPr>
            <w:tcW w:w="9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56F41F">
            <w:pPr>
              <w:pStyle w:val="482"/>
              <w:rPr>
                <w:rFonts w:hint="eastAsia" w:ascii="宋体" w:hAnsi="宋体" w:eastAsia="宋体" w:cs="宋体"/>
                <w:color w:val="auto"/>
                <w:sz w:val="18"/>
                <w:szCs w:val="18"/>
                <w:highlight w:val="none"/>
              </w:rPr>
            </w:pPr>
          </w:p>
        </w:tc>
        <w:tc>
          <w:tcPr>
            <w:tcW w:w="11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FDE576">
            <w:pPr>
              <w:pStyle w:val="482"/>
              <w:rPr>
                <w:rFonts w:hint="eastAsia" w:ascii="宋体" w:hAnsi="宋体" w:eastAsia="宋体" w:cs="宋体"/>
                <w:color w:val="auto"/>
                <w:sz w:val="18"/>
                <w:szCs w:val="18"/>
                <w:highlight w:val="none"/>
              </w:rPr>
            </w:pP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DC41F">
            <w:pPr>
              <w:pStyle w:val="482"/>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多角色体系</w:t>
            </w:r>
          </w:p>
        </w:tc>
        <w:tc>
          <w:tcPr>
            <w:tcW w:w="4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D5C47">
            <w:pPr>
              <w:pStyle w:val="482"/>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需支持系统管理员对政府端和企业端多种角色进行用户配置，只有对应角色的人员才可以对相应功能进行操作。</w:t>
            </w:r>
          </w:p>
        </w:tc>
      </w:tr>
      <w:tr w14:paraId="5BB0319D">
        <w:tblPrEx>
          <w:tblCellMar>
            <w:top w:w="0" w:type="dxa"/>
            <w:left w:w="108" w:type="dxa"/>
            <w:bottom w:w="0" w:type="dxa"/>
            <w:right w:w="108" w:type="dxa"/>
          </w:tblCellMar>
        </w:tblPrEx>
        <w:trPr>
          <w:trHeight w:val="340" w:hRule="atLeast"/>
        </w:trPr>
        <w:tc>
          <w:tcPr>
            <w:tcW w:w="9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263C86">
            <w:pPr>
              <w:pStyle w:val="482"/>
              <w:rPr>
                <w:rFonts w:hint="eastAsia" w:ascii="宋体" w:hAnsi="宋体" w:eastAsia="宋体" w:cs="宋体"/>
                <w:color w:val="auto"/>
                <w:sz w:val="18"/>
                <w:szCs w:val="18"/>
                <w:highlight w:val="none"/>
              </w:rPr>
            </w:pPr>
          </w:p>
        </w:tc>
        <w:tc>
          <w:tcPr>
            <w:tcW w:w="11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9D7124">
            <w:pPr>
              <w:pStyle w:val="482"/>
              <w:rPr>
                <w:rFonts w:hint="eastAsia" w:ascii="宋体" w:hAnsi="宋体" w:eastAsia="宋体" w:cs="宋体"/>
                <w:color w:val="auto"/>
                <w:sz w:val="18"/>
                <w:szCs w:val="18"/>
                <w:highlight w:val="none"/>
              </w:rPr>
            </w:pP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C89C5">
            <w:pPr>
              <w:pStyle w:val="482"/>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统一流程服务</w:t>
            </w:r>
          </w:p>
        </w:tc>
        <w:tc>
          <w:tcPr>
            <w:tcW w:w="4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E92CB">
            <w:pPr>
              <w:pStyle w:val="482"/>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为用户提供统一流程处理入口，实现统一待办、流程处理、流程跟踪、流程效益分析等，统一流程服务基于工作流引擎实现。</w:t>
            </w:r>
          </w:p>
        </w:tc>
      </w:tr>
      <w:tr w14:paraId="37C781BF">
        <w:tblPrEx>
          <w:tblCellMar>
            <w:top w:w="0" w:type="dxa"/>
            <w:left w:w="108" w:type="dxa"/>
            <w:bottom w:w="0" w:type="dxa"/>
            <w:right w:w="108" w:type="dxa"/>
          </w:tblCellMar>
        </w:tblPrEx>
        <w:trPr>
          <w:trHeight w:val="340" w:hRule="atLeast"/>
        </w:trPr>
        <w:tc>
          <w:tcPr>
            <w:tcW w:w="9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46E29B">
            <w:pPr>
              <w:pStyle w:val="482"/>
              <w:rPr>
                <w:rFonts w:hint="eastAsia" w:ascii="宋体" w:hAnsi="宋体" w:eastAsia="宋体" w:cs="宋体"/>
                <w:color w:val="auto"/>
                <w:sz w:val="18"/>
                <w:szCs w:val="18"/>
                <w:highlight w:val="none"/>
              </w:rPr>
            </w:pPr>
          </w:p>
        </w:tc>
        <w:tc>
          <w:tcPr>
            <w:tcW w:w="11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B21DA9">
            <w:pPr>
              <w:pStyle w:val="482"/>
              <w:rPr>
                <w:rFonts w:hint="eastAsia" w:ascii="宋体" w:hAnsi="宋体" w:eastAsia="宋体" w:cs="宋体"/>
                <w:color w:val="auto"/>
                <w:sz w:val="18"/>
                <w:szCs w:val="18"/>
                <w:highlight w:val="none"/>
              </w:rPr>
            </w:pP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7CA3D">
            <w:pPr>
              <w:pStyle w:val="482"/>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统一消息服务</w:t>
            </w:r>
          </w:p>
        </w:tc>
        <w:tc>
          <w:tcPr>
            <w:tcW w:w="4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990CF">
            <w:pPr>
              <w:pStyle w:val="482"/>
              <w:rPr>
                <w:rFonts w:hint="default"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rPr>
              <w:t>提供统一消息通知服务，包括浙政钉消息、站内信、短信等消息通知服务，支持消息日志的统一管理。</w:t>
            </w:r>
          </w:p>
        </w:tc>
      </w:tr>
      <w:tr w14:paraId="365CE591">
        <w:tblPrEx>
          <w:tblCellMar>
            <w:top w:w="0" w:type="dxa"/>
            <w:left w:w="108" w:type="dxa"/>
            <w:bottom w:w="0" w:type="dxa"/>
            <w:right w:w="108" w:type="dxa"/>
          </w:tblCellMar>
        </w:tblPrEx>
        <w:trPr>
          <w:trHeight w:val="340" w:hRule="atLeast"/>
        </w:trPr>
        <w:tc>
          <w:tcPr>
            <w:tcW w:w="9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C9B2EC">
            <w:pPr>
              <w:pStyle w:val="482"/>
              <w:rPr>
                <w:rFonts w:hint="eastAsia" w:ascii="宋体" w:hAnsi="宋体" w:eastAsia="宋体" w:cs="宋体"/>
                <w:color w:val="auto"/>
                <w:sz w:val="18"/>
                <w:szCs w:val="18"/>
                <w:highlight w:val="none"/>
              </w:rPr>
            </w:pPr>
          </w:p>
        </w:tc>
        <w:tc>
          <w:tcPr>
            <w:tcW w:w="11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A40E6B">
            <w:pPr>
              <w:pStyle w:val="482"/>
              <w:rPr>
                <w:rFonts w:hint="eastAsia" w:ascii="宋体" w:hAnsi="宋体" w:eastAsia="宋体" w:cs="宋体"/>
                <w:color w:val="auto"/>
                <w:sz w:val="18"/>
                <w:szCs w:val="18"/>
                <w:highlight w:val="none"/>
              </w:rPr>
            </w:pP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4D87E">
            <w:pPr>
              <w:pStyle w:val="482"/>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数据归集服务</w:t>
            </w:r>
          </w:p>
        </w:tc>
        <w:tc>
          <w:tcPr>
            <w:tcW w:w="4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B1C84">
            <w:pPr>
              <w:pStyle w:val="482"/>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按照IRS数据归集要求，将诉求服务、政策服务、产业链服务、第三方服务、商务社区服务、青年人才服务、楼宇招商服务等产生的业务数据按要求定期归集。</w:t>
            </w:r>
          </w:p>
        </w:tc>
      </w:tr>
      <w:tr w14:paraId="6F16D325">
        <w:tblPrEx>
          <w:tblCellMar>
            <w:top w:w="0" w:type="dxa"/>
            <w:left w:w="108" w:type="dxa"/>
            <w:bottom w:w="0" w:type="dxa"/>
            <w:right w:w="108" w:type="dxa"/>
          </w:tblCellMar>
        </w:tblPrEx>
        <w:trPr>
          <w:trHeight w:val="340" w:hRule="atLeast"/>
        </w:trPr>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83335">
            <w:pPr>
              <w:pStyle w:val="482"/>
              <w:rPr>
                <w:rFonts w:hint="eastAsia" w:ascii="宋体" w:hAnsi="宋体" w:eastAsia="宋体" w:cs="宋体"/>
                <w:color w:val="auto"/>
                <w:sz w:val="18"/>
                <w:szCs w:val="18"/>
                <w:highlight w:val="none"/>
              </w:rPr>
            </w:pP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61841">
            <w:pPr>
              <w:pStyle w:val="482"/>
              <w:rPr>
                <w:rFonts w:hint="eastAsia" w:ascii="宋体" w:hAnsi="宋体" w:eastAsia="宋体" w:cs="宋体"/>
                <w:color w:val="auto"/>
                <w:sz w:val="18"/>
                <w:szCs w:val="18"/>
                <w:highlight w:val="none"/>
              </w:rPr>
            </w:pP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21B32">
            <w:pPr>
              <w:pStyle w:val="482"/>
              <w:rPr>
                <w:rFonts w:hint="default" w:ascii="宋体" w:hAnsi="宋体" w:eastAsia="宋体" w:cs="宋体"/>
                <w:color w:val="auto"/>
                <w:sz w:val="18"/>
                <w:szCs w:val="18"/>
                <w:highlight w:val="none"/>
                <w:lang w:val="en-US" w:eastAsia="zh-CN"/>
              </w:rPr>
            </w:pPr>
          </w:p>
        </w:tc>
        <w:tc>
          <w:tcPr>
            <w:tcW w:w="4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384AA">
            <w:pPr>
              <w:pStyle w:val="482"/>
              <w:rPr>
                <w:rFonts w:hint="eastAsia" w:ascii="宋体" w:hAnsi="宋体" w:eastAsia="宋体" w:cs="宋体"/>
                <w:color w:val="auto"/>
                <w:sz w:val="18"/>
                <w:szCs w:val="18"/>
                <w:highlight w:val="none"/>
              </w:rPr>
            </w:pPr>
          </w:p>
        </w:tc>
      </w:tr>
    </w:tbl>
    <w:p w14:paraId="7F9005CE">
      <w:pPr>
        <w:pStyle w:val="235"/>
        <w:rPr>
          <w:rFonts w:hint="eastAsia" w:ascii="宋体" w:hAnsi="宋体" w:eastAsia="宋体" w:cs="宋体"/>
          <w:snapToGrid w:val="0"/>
          <w:color w:val="auto"/>
          <w:sz w:val="24"/>
          <w:szCs w:val="24"/>
          <w:highlight w:val="none"/>
        </w:rPr>
      </w:pPr>
    </w:p>
    <w:p w14:paraId="37CB9B0F">
      <w:pPr>
        <w:pStyle w:val="2"/>
        <w:tabs>
          <w:tab w:val="left" w:pos="420"/>
          <w:tab w:val="clear" w:pos="432"/>
        </w:tabs>
        <w:ind w:left="434" w:leftChars="202" w:hanging="10" w:hangingChars="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服务建设清单</w:t>
      </w:r>
    </w:p>
    <w:tbl>
      <w:tblPr>
        <w:tblStyle w:val="64"/>
        <w:tblW w:w="8358" w:type="dxa"/>
        <w:tblInd w:w="0" w:type="dxa"/>
        <w:tblLayout w:type="fixed"/>
        <w:tblCellMar>
          <w:top w:w="0" w:type="dxa"/>
          <w:left w:w="28" w:type="dxa"/>
          <w:bottom w:w="0" w:type="dxa"/>
          <w:right w:w="28" w:type="dxa"/>
        </w:tblCellMar>
      </w:tblPr>
      <w:tblGrid>
        <w:gridCol w:w="1271"/>
        <w:gridCol w:w="5245"/>
        <w:gridCol w:w="708"/>
        <w:gridCol w:w="1134"/>
      </w:tblGrid>
      <w:tr w14:paraId="51BEC33A">
        <w:tblPrEx>
          <w:tblCellMar>
            <w:top w:w="0" w:type="dxa"/>
            <w:left w:w="28" w:type="dxa"/>
            <w:bottom w:w="0" w:type="dxa"/>
            <w:right w:w="28" w:type="dxa"/>
          </w:tblCellMar>
        </w:tblPrEx>
        <w:tc>
          <w:tcPr>
            <w:tcW w:w="127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5D9898">
            <w:pPr>
              <w:pStyle w:val="482"/>
              <w:jc w:val="center"/>
              <w:rPr>
                <w:rFonts w:hint="eastAsia" w:ascii="宋体" w:hAnsi="宋体" w:eastAsia="宋体" w:cs="宋体"/>
                <w:snapToGrid w:val="0"/>
                <w:color w:val="auto"/>
                <w:sz w:val="18"/>
                <w:szCs w:val="18"/>
                <w:highlight w:val="none"/>
                <w:lang w:eastAsia="en-US" w:bidi="ar"/>
              </w:rPr>
            </w:pPr>
            <w:r>
              <w:rPr>
                <w:rFonts w:hint="eastAsia" w:ascii="宋体" w:hAnsi="宋体" w:eastAsia="宋体" w:cs="宋体"/>
                <w:snapToGrid w:val="0"/>
                <w:color w:val="auto"/>
                <w:sz w:val="18"/>
                <w:szCs w:val="18"/>
                <w:highlight w:val="none"/>
                <w:lang w:bidi="ar"/>
              </w:rPr>
              <w:t>服务名称</w:t>
            </w:r>
          </w:p>
        </w:tc>
        <w:tc>
          <w:tcPr>
            <w:tcW w:w="52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04EC62">
            <w:pPr>
              <w:pStyle w:val="482"/>
              <w:jc w:val="center"/>
              <w:rPr>
                <w:rFonts w:hint="eastAsia" w:ascii="宋体" w:hAnsi="宋体" w:eastAsia="宋体" w:cs="宋体"/>
                <w:snapToGrid w:val="0"/>
                <w:color w:val="auto"/>
                <w:sz w:val="18"/>
                <w:szCs w:val="18"/>
                <w:highlight w:val="none"/>
                <w:lang w:eastAsia="en-US" w:bidi="ar"/>
              </w:rPr>
            </w:pPr>
            <w:r>
              <w:rPr>
                <w:rFonts w:hint="eastAsia" w:ascii="宋体" w:hAnsi="宋体" w:eastAsia="宋体" w:cs="宋体"/>
                <w:snapToGrid w:val="0"/>
                <w:color w:val="auto"/>
                <w:sz w:val="18"/>
                <w:szCs w:val="18"/>
                <w:highlight w:val="none"/>
                <w:lang w:eastAsia="en-US" w:bidi="ar"/>
              </w:rPr>
              <w:t>内容</w:t>
            </w:r>
          </w:p>
        </w:tc>
        <w:tc>
          <w:tcPr>
            <w:tcW w:w="7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3FD424">
            <w:pPr>
              <w:pStyle w:val="482"/>
              <w:jc w:val="center"/>
              <w:rPr>
                <w:rFonts w:hint="eastAsia" w:ascii="宋体" w:hAnsi="宋体" w:eastAsia="宋体" w:cs="宋体"/>
                <w:snapToGrid w:val="0"/>
                <w:color w:val="auto"/>
                <w:sz w:val="18"/>
                <w:szCs w:val="18"/>
                <w:highlight w:val="none"/>
                <w:lang w:eastAsia="en-US" w:bidi="ar"/>
              </w:rPr>
            </w:pPr>
            <w:r>
              <w:rPr>
                <w:rFonts w:hint="eastAsia" w:ascii="宋体" w:hAnsi="宋体" w:eastAsia="宋体" w:cs="宋体"/>
                <w:snapToGrid w:val="0"/>
                <w:color w:val="auto"/>
                <w:sz w:val="18"/>
                <w:szCs w:val="18"/>
                <w:highlight w:val="none"/>
                <w:lang w:bidi="ar"/>
              </w:rPr>
              <w:t>数量</w:t>
            </w:r>
          </w:p>
        </w:tc>
        <w:tc>
          <w:tcPr>
            <w:tcW w:w="11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B0023B">
            <w:pPr>
              <w:pStyle w:val="482"/>
              <w:jc w:val="center"/>
              <w:rPr>
                <w:rFonts w:hint="eastAsia" w:ascii="宋体" w:hAnsi="宋体" w:eastAsia="宋体" w:cs="宋体"/>
                <w:snapToGrid w:val="0"/>
                <w:color w:val="auto"/>
                <w:sz w:val="18"/>
                <w:szCs w:val="18"/>
                <w:highlight w:val="none"/>
                <w:lang w:eastAsia="en-US" w:bidi="ar"/>
              </w:rPr>
            </w:pPr>
            <w:r>
              <w:rPr>
                <w:rFonts w:hint="eastAsia" w:ascii="宋体" w:hAnsi="宋体" w:eastAsia="宋体" w:cs="宋体"/>
                <w:snapToGrid w:val="0"/>
                <w:color w:val="auto"/>
                <w:sz w:val="18"/>
                <w:szCs w:val="18"/>
                <w:highlight w:val="none"/>
                <w:lang w:bidi="ar"/>
              </w:rPr>
              <w:t>说明</w:t>
            </w:r>
          </w:p>
        </w:tc>
      </w:tr>
      <w:tr w14:paraId="2B7DA6A1">
        <w:tblPrEx>
          <w:tblCellMar>
            <w:top w:w="0" w:type="dxa"/>
            <w:left w:w="28" w:type="dxa"/>
            <w:bottom w:w="0" w:type="dxa"/>
            <w:right w:w="28" w:type="dxa"/>
          </w:tblCellMar>
        </w:tblPrEx>
        <w:tc>
          <w:tcPr>
            <w:tcW w:w="127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C52B01">
            <w:pPr>
              <w:pStyle w:val="482"/>
              <w:jc w:val="center"/>
              <w:rPr>
                <w:rFonts w:hint="eastAsia" w:ascii="宋体" w:hAnsi="宋体" w:eastAsia="宋体" w:cs="宋体"/>
                <w:snapToGrid w:val="0"/>
                <w:color w:val="auto"/>
                <w:sz w:val="18"/>
                <w:szCs w:val="18"/>
                <w:highlight w:val="none"/>
              </w:rPr>
            </w:pPr>
            <w:r>
              <w:rPr>
                <w:rFonts w:hint="eastAsia" w:ascii="宋体" w:hAnsi="宋体" w:eastAsia="宋体" w:cs="宋体"/>
                <w:snapToGrid w:val="0"/>
                <w:color w:val="auto"/>
                <w:sz w:val="18"/>
                <w:szCs w:val="18"/>
                <w:highlight w:val="none"/>
              </w:rPr>
              <w:t>数据服务</w:t>
            </w:r>
          </w:p>
        </w:tc>
        <w:tc>
          <w:tcPr>
            <w:tcW w:w="52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5A5DBD">
            <w:pPr>
              <w:pStyle w:val="482"/>
              <w:rPr>
                <w:rFonts w:hint="eastAsia" w:ascii="宋体" w:hAnsi="宋体" w:eastAsia="宋体" w:cs="宋体"/>
                <w:snapToGrid w:val="0"/>
                <w:color w:val="auto"/>
                <w:sz w:val="18"/>
                <w:szCs w:val="18"/>
                <w:highlight w:val="none"/>
              </w:rPr>
            </w:pPr>
            <w:r>
              <w:rPr>
                <w:rFonts w:hint="eastAsia" w:ascii="宋体" w:hAnsi="宋体" w:eastAsia="宋体" w:cs="宋体"/>
                <w:snapToGrid w:val="0"/>
                <w:color w:val="auto"/>
                <w:sz w:val="18"/>
                <w:szCs w:val="18"/>
                <w:highlight w:val="none"/>
              </w:rPr>
              <w:t>辖内企业信息数据信息及加工服务，包括：企业工商、司法风险、经营风险、经营信息、知识产权、财务数据、企业发展等内容</w:t>
            </w:r>
          </w:p>
        </w:tc>
        <w:tc>
          <w:tcPr>
            <w:tcW w:w="7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B15DF9">
            <w:pPr>
              <w:pStyle w:val="482"/>
              <w:rPr>
                <w:rFonts w:hint="eastAsia" w:ascii="宋体" w:hAnsi="宋体" w:eastAsia="宋体" w:cs="宋体"/>
                <w:snapToGrid w:val="0"/>
                <w:color w:val="auto"/>
                <w:sz w:val="18"/>
                <w:szCs w:val="18"/>
                <w:highlight w:val="none"/>
              </w:rPr>
            </w:pPr>
            <w:r>
              <w:rPr>
                <w:rFonts w:hint="eastAsia" w:ascii="宋体" w:hAnsi="宋体" w:eastAsia="宋体" w:cs="宋体"/>
                <w:snapToGrid w:val="0"/>
                <w:color w:val="auto"/>
                <w:sz w:val="18"/>
                <w:szCs w:val="18"/>
                <w:highlight w:val="none"/>
              </w:rPr>
              <w:t>1年</w:t>
            </w:r>
          </w:p>
        </w:tc>
        <w:tc>
          <w:tcPr>
            <w:tcW w:w="11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31AE48">
            <w:pPr>
              <w:pStyle w:val="482"/>
              <w:rPr>
                <w:rFonts w:hint="eastAsia" w:ascii="宋体" w:hAnsi="宋体" w:eastAsia="宋体" w:cs="宋体"/>
                <w:snapToGrid w:val="0"/>
                <w:color w:val="auto"/>
                <w:sz w:val="18"/>
                <w:szCs w:val="18"/>
                <w:highlight w:val="none"/>
              </w:rPr>
            </w:pPr>
            <w:r>
              <w:rPr>
                <w:rFonts w:hint="eastAsia" w:ascii="宋体" w:hAnsi="宋体" w:eastAsia="宋体" w:cs="宋体"/>
                <w:snapToGrid w:val="0"/>
                <w:color w:val="auto"/>
                <w:sz w:val="18"/>
                <w:szCs w:val="18"/>
                <w:highlight w:val="none"/>
              </w:rPr>
              <w:t>数据服务</w:t>
            </w:r>
          </w:p>
        </w:tc>
      </w:tr>
      <w:tr w14:paraId="30FD68AB">
        <w:tblPrEx>
          <w:tblCellMar>
            <w:top w:w="0" w:type="dxa"/>
            <w:left w:w="28" w:type="dxa"/>
            <w:bottom w:w="0" w:type="dxa"/>
            <w:right w:w="28" w:type="dxa"/>
          </w:tblCellMar>
        </w:tblPrEx>
        <w:tc>
          <w:tcPr>
            <w:tcW w:w="127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D436F5">
            <w:pPr>
              <w:pStyle w:val="482"/>
              <w:jc w:val="center"/>
              <w:rPr>
                <w:rFonts w:hint="eastAsia" w:ascii="宋体" w:hAnsi="宋体" w:eastAsia="宋体" w:cs="宋体"/>
                <w:snapToGrid w:val="0"/>
                <w:color w:val="auto"/>
                <w:sz w:val="18"/>
                <w:szCs w:val="18"/>
                <w:highlight w:val="none"/>
              </w:rPr>
            </w:pPr>
            <w:r>
              <w:rPr>
                <w:rFonts w:hint="eastAsia" w:ascii="宋体" w:hAnsi="宋体" w:eastAsia="宋体" w:cs="宋体"/>
                <w:snapToGrid w:val="0"/>
                <w:color w:val="auto"/>
                <w:sz w:val="18"/>
                <w:szCs w:val="18"/>
                <w:highlight w:val="none"/>
              </w:rPr>
              <w:t>语音服务</w:t>
            </w:r>
          </w:p>
        </w:tc>
        <w:tc>
          <w:tcPr>
            <w:tcW w:w="52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E1AE7B">
            <w:pPr>
              <w:pStyle w:val="482"/>
              <w:rPr>
                <w:rFonts w:hint="eastAsia" w:ascii="宋体" w:hAnsi="宋体" w:eastAsia="宋体" w:cs="宋体"/>
                <w:snapToGrid w:val="0"/>
                <w:color w:val="auto"/>
                <w:sz w:val="18"/>
                <w:szCs w:val="18"/>
                <w:highlight w:val="none"/>
              </w:rPr>
            </w:pPr>
            <w:r>
              <w:rPr>
                <w:rFonts w:hint="eastAsia" w:ascii="宋体" w:hAnsi="宋体" w:eastAsia="宋体" w:cs="宋体"/>
                <w:snapToGrid w:val="0"/>
                <w:color w:val="auto"/>
                <w:sz w:val="18"/>
                <w:szCs w:val="18"/>
                <w:highlight w:val="none"/>
              </w:rPr>
              <w:t>企业端电话诉求的语音服务费，不少于6路的同时在线，服务内容包含：提供语音通话服务,提供语音日志服务，提供录音服务和录音文件调用服务</w:t>
            </w:r>
          </w:p>
        </w:tc>
        <w:tc>
          <w:tcPr>
            <w:tcW w:w="7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07A2E6">
            <w:pPr>
              <w:pStyle w:val="482"/>
              <w:rPr>
                <w:rFonts w:hint="eastAsia" w:ascii="宋体" w:hAnsi="宋体" w:eastAsia="宋体" w:cs="宋体"/>
                <w:snapToGrid w:val="0"/>
                <w:color w:val="auto"/>
                <w:sz w:val="18"/>
                <w:szCs w:val="18"/>
                <w:highlight w:val="none"/>
              </w:rPr>
            </w:pPr>
            <w:r>
              <w:rPr>
                <w:rFonts w:hint="eastAsia" w:ascii="宋体" w:hAnsi="宋体" w:eastAsia="宋体" w:cs="宋体"/>
                <w:snapToGrid w:val="0"/>
                <w:color w:val="auto"/>
                <w:sz w:val="18"/>
                <w:szCs w:val="18"/>
                <w:highlight w:val="none"/>
              </w:rPr>
              <w:t>1年</w:t>
            </w:r>
          </w:p>
        </w:tc>
        <w:tc>
          <w:tcPr>
            <w:tcW w:w="11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991FCD">
            <w:pPr>
              <w:pStyle w:val="482"/>
              <w:rPr>
                <w:rFonts w:hint="eastAsia" w:ascii="宋体" w:hAnsi="宋体" w:eastAsia="宋体" w:cs="宋体"/>
                <w:snapToGrid w:val="0"/>
                <w:color w:val="auto"/>
                <w:sz w:val="18"/>
                <w:szCs w:val="18"/>
                <w:highlight w:val="none"/>
              </w:rPr>
            </w:pPr>
            <w:r>
              <w:rPr>
                <w:rFonts w:hint="eastAsia" w:ascii="宋体" w:hAnsi="宋体" w:eastAsia="宋体" w:cs="宋体"/>
                <w:snapToGrid w:val="0"/>
                <w:color w:val="auto"/>
                <w:sz w:val="18"/>
                <w:szCs w:val="18"/>
                <w:highlight w:val="none"/>
              </w:rPr>
              <w:t>语音服务</w:t>
            </w:r>
          </w:p>
        </w:tc>
      </w:tr>
      <w:tr w14:paraId="361F1E27">
        <w:tblPrEx>
          <w:tblCellMar>
            <w:top w:w="0" w:type="dxa"/>
            <w:left w:w="28" w:type="dxa"/>
            <w:bottom w:w="0" w:type="dxa"/>
            <w:right w:w="28" w:type="dxa"/>
          </w:tblCellMar>
        </w:tblPrEx>
        <w:tc>
          <w:tcPr>
            <w:tcW w:w="127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55CC82">
            <w:pPr>
              <w:pStyle w:val="482"/>
              <w:jc w:val="center"/>
              <w:rPr>
                <w:rFonts w:hint="eastAsia" w:ascii="宋体" w:hAnsi="宋体" w:eastAsia="宋体" w:cs="宋体"/>
                <w:snapToGrid w:val="0"/>
                <w:color w:val="auto"/>
                <w:sz w:val="18"/>
                <w:szCs w:val="18"/>
                <w:highlight w:val="none"/>
              </w:rPr>
            </w:pPr>
            <w:r>
              <w:rPr>
                <w:rFonts w:hint="eastAsia" w:ascii="宋体" w:hAnsi="宋体" w:eastAsia="宋体" w:cs="宋体"/>
                <w:snapToGrid w:val="0"/>
                <w:color w:val="auto"/>
                <w:sz w:val="18"/>
                <w:szCs w:val="18"/>
                <w:highlight w:val="none"/>
              </w:rPr>
              <w:t>安全服务</w:t>
            </w:r>
          </w:p>
        </w:tc>
        <w:tc>
          <w:tcPr>
            <w:tcW w:w="52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572E84">
            <w:pPr>
              <w:pStyle w:val="482"/>
              <w:rPr>
                <w:rFonts w:hint="eastAsia" w:ascii="宋体" w:hAnsi="宋体" w:eastAsia="宋体" w:cs="宋体"/>
                <w:snapToGrid w:val="0"/>
                <w:color w:val="auto"/>
                <w:sz w:val="18"/>
                <w:szCs w:val="18"/>
                <w:highlight w:val="none"/>
              </w:rPr>
            </w:pPr>
            <w:r>
              <w:rPr>
                <w:rFonts w:hint="eastAsia" w:ascii="宋体" w:hAnsi="宋体" w:eastAsia="宋体" w:cs="宋体"/>
                <w:snapToGrid w:val="0"/>
                <w:color w:val="auto"/>
                <w:sz w:val="18"/>
                <w:szCs w:val="18"/>
                <w:highlight w:val="none"/>
              </w:rPr>
              <w:t>安全检查，安全加固，渗透测试等相关服务</w:t>
            </w:r>
          </w:p>
        </w:tc>
        <w:tc>
          <w:tcPr>
            <w:tcW w:w="7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53F935">
            <w:pPr>
              <w:pStyle w:val="482"/>
              <w:rPr>
                <w:rFonts w:hint="eastAsia" w:ascii="宋体" w:hAnsi="宋体" w:eastAsia="宋体" w:cs="宋体"/>
                <w:snapToGrid w:val="0"/>
                <w:color w:val="auto"/>
                <w:sz w:val="18"/>
                <w:szCs w:val="18"/>
                <w:highlight w:val="none"/>
              </w:rPr>
            </w:pPr>
            <w:r>
              <w:rPr>
                <w:rFonts w:hint="eastAsia" w:ascii="宋体" w:hAnsi="宋体" w:eastAsia="宋体" w:cs="宋体"/>
                <w:snapToGrid w:val="0"/>
                <w:color w:val="auto"/>
                <w:sz w:val="18"/>
                <w:szCs w:val="18"/>
                <w:highlight w:val="none"/>
              </w:rPr>
              <w:t>1年</w:t>
            </w:r>
          </w:p>
        </w:tc>
        <w:tc>
          <w:tcPr>
            <w:tcW w:w="11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E09F73">
            <w:pPr>
              <w:pStyle w:val="482"/>
              <w:rPr>
                <w:rFonts w:hint="eastAsia" w:ascii="宋体" w:hAnsi="宋体" w:eastAsia="宋体" w:cs="宋体"/>
                <w:snapToGrid w:val="0"/>
                <w:color w:val="auto"/>
                <w:sz w:val="18"/>
                <w:szCs w:val="18"/>
                <w:highlight w:val="none"/>
              </w:rPr>
            </w:pPr>
          </w:p>
        </w:tc>
      </w:tr>
    </w:tbl>
    <w:p w14:paraId="0C5B3300">
      <w:pPr>
        <w:ind w:firstLine="0" w:firstLineChars="0"/>
        <w:rPr>
          <w:rFonts w:hint="eastAsia" w:ascii="宋体" w:hAnsi="宋体" w:eastAsia="宋体" w:cs="宋体"/>
          <w:color w:val="auto"/>
          <w:sz w:val="24"/>
          <w:szCs w:val="24"/>
          <w:highlight w:val="none"/>
        </w:rPr>
      </w:pPr>
    </w:p>
    <w:p w14:paraId="24EF78E5">
      <w:pPr>
        <w:pStyle w:val="2"/>
        <w:tabs>
          <w:tab w:val="left" w:pos="420"/>
          <w:tab w:val="clear" w:pos="432"/>
        </w:tabs>
        <w:ind w:left="434" w:leftChars="202" w:hanging="10" w:hangingChars="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其他建设清单</w:t>
      </w:r>
    </w:p>
    <w:tbl>
      <w:tblPr>
        <w:tblStyle w:val="64"/>
        <w:tblW w:w="8349" w:type="dxa"/>
        <w:tblInd w:w="0" w:type="dxa"/>
        <w:tblLayout w:type="fixed"/>
        <w:tblCellMar>
          <w:top w:w="0" w:type="dxa"/>
          <w:left w:w="28" w:type="dxa"/>
          <w:bottom w:w="0" w:type="dxa"/>
          <w:right w:w="28" w:type="dxa"/>
        </w:tblCellMar>
      </w:tblPr>
      <w:tblGrid>
        <w:gridCol w:w="3681"/>
        <w:gridCol w:w="3260"/>
        <w:gridCol w:w="1408"/>
      </w:tblGrid>
      <w:tr w14:paraId="1F2F0568">
        <w:tc>
          <w:tcPr>
            <w:tcW w:w="368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1F0668">
            <w:pPr>
              <w:pStyle w:val="482"/>
              <w:ind w:right="-338" w:rightChars="-161"/>
              <w:jc w:val="center"/>
              <w:rPr>
                <w:rFonts w:hint="eastAsia" w:ascii="宋体" w:hAnsi="宋体" w:eastAsia="宋体" w:cs="宋体"/>
                <w:snapToGrid w:val="0"/>
                <w:color w:val="auto"/>
                <w:sz w:val="18"/>
                <w:szCs w:val="18"/>
                <w:highlight w:val="none"/>
                <w:lang w:eastAsia="en-US" w:bidi="ar"/>
              </w:rPr>
            </w:pPr>
            <w:r>
              <w:rPr>
                <w:rFonts w:hint="eastAsia" w:ascii="宋体" w:hAnsi="宋体" w:eastAsia="宋体" w:cs="宋体"/>
                <w:snapToGrid w:val="0"/>
                <w:color w:val="auto"/>
                <w:sz w:val="18"/>
                <w:szCs w:val="18"/>
                <w:highlight w:val="none"/>
                <w:lang w:bidi="ar"/>
              </w:rPr>
              <w:t>费用名称</w:t>
            </w:r>
          </w:p>
        </w:tc>
        <w:tc>
          <w:tcPr>
            <w:tcW w:w="32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80D296">
            <w:pPr>
              <w:pStyle w:val="482"/>
              <w:jc w:val="center"/>
              <w:rPr>
                <w:rFonts w:hint="eastAsia" w:ascii="宋体" w:hAnsi="宋体" w:eastAsia="宋体" w:cs="宋体"/>
                <w:snapToGrid w:val="0"/>
                <w:color w:val="auto"/>
                <w:sz w:val="18"/>
                <w:szCs w:val="18"/>
                <w:highlight w:val="none"/>
                <w:lang w:eastAsia="en-US" w:bidi="ar"/>
              </w:rPr>
            </w:pPr>
            <w:r>
              <w:rPr>
                <w:rFonts w:hint="eastAsia" w:ascii="宋体" w:hAnsi="宋体" w:eastAsia="宋体" w:cs="宋体"/>
                <w:snapToGrid w:val="0"/>
                <w:color w:val="auto"/>
                <w:sz w:val="18"/>
                <w:szCs w:val="18"/>
                <w:highlight w:val="none"/>
                <w:lang w:eastAsia="en-US" w:bidi="ar"/>
              </w:rPr>
              <w:t>内容</w:t>
            </w:r>
          </w:p>
        </w:tc>
        <w:tc>
          <w:tcPr>
            <w:tcW w:w="14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269689">
            <w:pPr>
              <w:pStyle w:val="482"/>
              <w:jc w:val="center"/>
              <w:rPr>
                <w:rFonts w:hint="eastAsia" w:ascii="宋体" w:hAnsi="宋体" w:eastAsia="宋体" w:cs="宋体"/>
                <w:snapToGrid w:val="0"/>
                <w:color w:val="auto"/>
                <w:sz w:val="18"/>
                <w:szCs w:val="18"/>
                <w:highlight w:val="none"/>
                <w:lang w:eastAsia="en-US" w:bidi="ar"/>
              </w:rPr>
            </w:pPr>
            <w:r>
              <w:rPr>
                <w:rFonts w:hint="eastAsia" w:ascii="宋体" w:hAnsi="宋体" w:eastAsia="宋体" w:cs="宋体"/>
                <w:snapToGrid w:val="0"/>
                <w:color w:val="auto"/>
                <w:sz w:val="18"/>
                <w:szCs w:val="18"/>
                <w:highlight w:val="none"/>
                <w:lang w:bidi="ar"/>
              </w:rPr>
              <w:t>数量</w:t>
            </w:r>
          </w:p>
        </w:tc>
      </w:tr>
      <w:tr w14:paraId="5ECF9368">
        <w:tblPrEx>
          <w:tblCellMar>
            <w:top w:w="0" w:type="dxa"/>
            <w:left w:w="28" w:type="dxa"/>
            <w:bottom w:w="0" w:type="dxa"/>
            <w:right w:w="28" w:type="dxa"/>
          </w:tblCellMar>
        </w:tblPrEx>
        <w:tc>
          <w:tcPr>
            <w:tcW w:w="368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B33E89">
            <w:pPr>
              <w:pStyle w:val="482"/>
              <w:jc w:val="center"/>
              <w:rPr>
                <w:rFonts w:hint="eastAsia" w:ascii="宋体" w:hAnsi="宋体" w:eastAsia="宋体" w:cs="宋体"/>
                <w:snapToGrid w:val="0"/>
                <w:color w:val="auto"/>
                <w:sz w:val="18"/>
                <w:szCs w:val="18"/>
                <w:highlight w:val="none"/>
              </w:rPr>
            </w:pPr>
            <w:r>
              <w:rPr>
                <w:rFonts w:hint="eastAsia" w:ascii="宋体" w:hAnsi="宋体" w:eastAsia="宋体" w:cs="宋体"/>
                <w:snapToGrid w:val="0"/>
                <w:color w:val="auto"/>
                <w:sz w:val="18"/>
                <w:szCs w:val="18"/>
                <w:highlight w:val="none"/>
              </w:rPr>
              <w:t>等保测评费用（必须）</w:t>
            </w:r>
          </w:p>
        </w:tc>
        <w:tc>
          <w:tcPr>
            <w:tcW w:w="32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510FD7">
            <w:pPr>
              <w:pStyle w:val="482"/>
              <w:jc w:val="center"/>
              <w:rPr>
                <w:rFonts w:hint="eastAsia" w:ascii="宋体" w:hAnsi="宋体" w:eastAsia="宋体" w:cs="宋体"/>
                <w:snapToGrid w:val="0"/>
                <w:color w:val="auto"/>
                <w:sz w:val="18"/>
                <w:szCs w:val="18"/>
                <w:highlight w:val="none"/>
                <w:lang w:eastAsia="en-US"/>
              </w:rPr>
            </w:pPr>
            <w:r>
              <w:rPr>
                <w:rFonts w:hint="eastAsia" w:ascii="宋体" w:hAnsi="宋体" w:eastAsia="宋体" w:cs="宋体"/>
                <w:snapToGrid w:val="0"/>
                <w:color w:val="auto"/>
                <w:sz w:val="18"/>
                <w:szCs w:val="18"/>
                <w:highlight w:val="none"/>
                <w:lang w:eastAsia="en-US"/>
              </w:rPr>
              <w:t>等保二级测评服务</w:t>
            </w:r>
          </w:p>
        </w:tc>
        <w:tc>
          <w:tcPr>
            <w:tcW w:w="14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5D73E6">
            <w:pPr>
              <w:pStyle w:val="482"/>
              <w:jc w:val="center"/>
              <w:rPr>
                <w:rFonts w:hint="eastAsia" w:ascii="宋体" w:hAnsi="宋体" w:eastAsia="宋体" w:cs="宋体"/>
                <w:snapToGrid w:val="0"/>
                <w:color w:val="auto"/>
                <w:sz w:val="18"/>
                <w:szCs w:val="18"/>
                <w:highlight w:val="none"/>
                <w:lang w:eastAsia="en-US"/>
              </w:rPr>
            </w:pPr>
            <w:r>
              <w:rPr>
                <w:rFonts w:hint="eastAsia" w:ascii="宋体" w:hAnsi="宋体" w:eastAsia="宋体" w:cs="宋体"/>
                <w:snapToGrid w:val="0"/>
                <w:color w:val="auto"/>
                <w:sz w:val="18"/>
                <w:szCs w:val="18"/>
                <w:highlight w:val="none"/>
                <w:lang w:eastAsia="en-US"/>
              </w:rPr>
              <w:t>1项</w:t>
            </w:r>
          </w:p>
        </w:tc>
      </w:tr>
      <w:tr w14:paraId="0CB67D2B">
        <w:tblPrEx>
          <w:tblCellMar>
            <w:top w:w="0" w:type="dxa"/>
            <w:left w:w="28" w:type="dxa"/>
            <w:bottom w:w="0" w:type="dxa"/>
            <w:right w:w="28" w:type="dxa"/>
          </w:tblCellMar>
        </w:tblPrEx>
        <w:tc>
          <w:tcPr>
            <w:tcW w:w="368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2B5EE6">
            <w:pPr>
              <w:pStyle w:val="482"/>
              <w:jc w:val="center"/>
              <w:rPr>
                <w:rFonts w:hint="eastAsia" w:ascii="宋体" w:hAnsi="宋体" w:eastAsia="宋体" w:cs="宋体"/>
                <w:snapToGrid w:val="0"/>
                <w:color w:val="auto"/>
                <w:sz w:val="18"/>
                <w:szCs w:val="18"/>
                <w:highlight w:val="none"/>
              </w:rPr>
            </w:pPr>
            <w:r>
              <w:rPr>
                <w:rFonts w:hint="eastAsia" w:ascii="宋体" w:hAnsi="宋体" w:eastAsia="宋体" w:cs="宋体"/>
                <w:snapToGrid w:val="0"/>
                <w:color w:val="auto"/>
                <w:sz w:val="18"/>
                <w:szCs w:val="18"/>
                <w:highlight w:val="none"/>
              </w:rPr>
              <w:t>第三方功能测评费用（若需）</w:t>
            </w:r>
          </w:p>
        </w:tc>
        <w:tc>
          <w:tcPr>
            <w:tcW w:w="32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3424E0">
            <w:pPr>
              <w:pStyle w:val="482"/>
              <w:jc w:val="center"/>
              <w:rPr>
                <w:rFonts w:hint="eastAsia" w:ascii="宋体" w:hAnsi="宋体" w:eastAsia="宋体" w:cs="宋体"/>
                <w:snapToGrid w:val="0"/>
                <w:color w:val="auto"/>
                <w:sz w:val="18"/>
                <w:szCs w:val="18"/>
                <w:highlight w:val="none"/>
                <w:lang w:eastAsia="en-US"/>
              </w:rPr>
            </w:pPr>
            <w:r>
              <w:rPr>
                <w:rFonts w:hint="eastAsia" w:ascii="宋体" w:hAnsi="宋体" w:eastAsia="宋体" w:cs="宋体"/>
                <w:snapToGrid w:val="0"/>
                <w:color w:val="auto"/>
                <w:sz w:val="18"/>
                <w:szCs w:val="18"/>
                <w:highlight w:val="none"/>
                <w:lang w:eastAsia="en-US"/>
              </w:rPr>
              <w:t>第三方软件测评服务</w:t>
            </w:r>
          </w:p>
        </w:tc>
        <w:tc>
          <w:tcPr>
            <w:tcW w:w="14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7B9081">
            <w:pPr>
              <w:pStyle w:val="482"/>
              <w:jc w:val="center"/>
              <w:rPr>
                <w:rFonts w:hint="eastAsia" w:ascii="宋体" w:hAnsi="宋体" w:eastAsia="宋体" w:cs="宋体"/>
                <w:snapToGrid w:val="0"/>
                <w:color w:val="auto"/>
                <w:sz w:val="18"/>
                <w:szCs w:val="18"/>
                <w:highlight w:val="none"/>
                <w:lang w:eastAsia="en-US"/>
              </w:rPr>
            </w:pPr>
            <w:r>
              <w:rPr>
                <w:rFonts w:hint="eastAsia" w:ascii="宋体" w:hAnsi="宋体" w:eastAsia="宋体" w:cs="宋体"/>
                <w:snapToGrid w:val="0"/>
                <w:color w:val="auto"/>
                <w:sz w:val="18"/>
                <w:szCs w:val="18"/>
                <w:highlight w:val="none"/>
                <w:lang w:eastAsia="en-US"/>
              </w:rPr>
              <w:t>1</w:t>
            </w:r>
            <w:r>
              <w:rPr>
                <w:rFonts w:hint="eastAsia" w:ascii="宋体" w:hAnsi="宋体" w:eastAsia="宋体" w:cs="宋体"/>
                <w:snapToGrid w:val="0"/>
                <w:color w:val="auto"/>
                <w:sz w:val="18"/>
                <w:szCs w:val="18"/>
                <w:highlight w:val="none"/>
              </w:rPr>
              <w:t>次</w:t>
            </w:r>
          </w:p>
        </w:tc>
      </w:tr>
    </w:tbl>
    <w:p w14:paraId="2C8E7A87">
      <w:pPr>
        <w:pStyle w:val="3"/>
        <w:pageBreakBefore w:val="0"/>
        <w:widowControl w:val="0"/>
        <w:tabs>
          <w:tab w:val="left" w:pos="420"/>
          <w:tab w:val="clear" w:pos="432"/>
        </w:tabs>
        <w:kinsoku/>
        <w:wordWrap/>
        <w:overflowPunct/>
        <w:topLinePunct w:val="0"/>
        <w:autoSpaceDE/>
        <w:autoSpaceDN/>
        <w:bidi w:val="0"/>
        <w:adjustRightInd w:val="0"/>
        <w:snapToGrid w:val="0"/>
        <w:spacing w:before="0" w:after="0" w:line="360" w:lineRule="auto"/>
        <w:ind w:left="0" w:leftChars="0" w:firstLine="482" w:firstLineChars="200"/>
        <w:textAlignment w:val="auto"/>
        <w:rPr>
          <w:rFonts w:hint="eastAsia" w:ascii="宋体" w:hAnsi="宋体" w:cs="宋体"/>
          <w:color w:val="auto"/>
          <w:sz w:val="24"/>
          <w:szCs w:val="24"/>
          <w:highlight w:val="none"/>
          <w:lang w:val="en-US" w:eastAsia="zh-CN"/>
        </w:rPr>
      </w:pPr>
      <w:bookmarkStart w:id="40" w:name="_Toc4045"/>
      <w:bookmarkStart w:id="41" w:name="_Toc8407"/>
    </w:p>
    <w:p w14:paraId="6DBF38B2">
      <w:pPr>
        <w:pStyle w:val="3"/>
        <w:pageBreakBefore w:val="0"/>
        <w:widowControl w:val="0"/>
        <w:tabs>
          <w:tab w:val="left" w:pos="420"/>
          <w:tab w:val="clear" w:pos="432"/>
        </w:tabs>
        <w:kinsoku/>
        <w:wordWrap/>
        <w:overflowPunct/>
        <w:topLinePunct w:val="0"/>
        <w:autoSpaceDE/>
        <w:autoSpaceDN/>
        <w:bidi w:val="0"/>
        <w:adjustRightInd w:val="0"/>
        <w:snapToGrid w:val="0"/>
        <w:spacing w:before="0" w:after="0" w:line="360" w:lineRule="auto"/>
        <w:ind w:left="438" w:leftChars="88" w:hanging="253" w:hangingChars="105"/>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三、</w:t>
      </w:r>
      <w:r>
        <w:rPr>
          <w:rFonts w:hint="eastAsia" w:ascii="宋体" w:hAnsi="宋体" w:eastAsia="宋体" w:cs="宋体"/>
          <w:color w:val="auto"/>
          <w:sz w:val="24"/>
          <w:szCs w:val="24"/>
          <w:highlight w:val="none"/>
        </w:rPr>
        <w:t>项目</w:t>
      </w:r>
      <w:bookmarkEnd w:id="40"/>
      <w:bookmarkEnd w:id="41"/>
      <w:r>
        <w:rPr>
          <w:rFonts w:hint="eastAsia" w:ascii="宋体" w:hAnsi="宋体" w:eastAsia="宋体" w:cs="宋体"/>
          <w:color w:val="auto"/>
          <w:sz w:val="24"/>
          <w:szCs w:val="24"/>
          <w:highlight w:val="none"/>
        </w:rPr>
        <w:t>实施要求</w:t>
      </w:r>
    </w:p>
    <w:p w14:paraId="05E0B3ED">
      <w:pPr>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1.总工期为4个月，其中建设工期为3个月，试运行1个月。</w:t>
      </w:r>
    </w:p>
    <w:p w14:paraId="3CEEF282">
      <w:pPr>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2.项目实施团队人员要求：投标人需为本项目组建有实力的团队，明确项目组人员构成，(人员资质、人数、从业经历)。在项目实施阶段，不允许中途更换项目主要人员。确保项目按期、按质完成。</w:t>
      </w:r>
    </w:p>
    <w:p w14:paraId="700243CE">
      <w:pPr>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拟派项目经理具有信息系统项目管理师（高级）或PMP证书、注册信息安全专业人员（CISP）、高级工程师证书；项目安全负责人具备高级网络信息安全工程师证书，投标人提供的项目组团队（包括项目经理）至少配置人员10名。同时提供人员在投标人单位近三个月的社保缴纳证明。</w:t>
      </w:r>
    </w:p>
    <w:p w14:paraId="4FB89CE0">
      <w:pPr>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4.项目各阶段提供详细的进度安排，每月提供项目开发进度报告。</w:t>
      </w:r>
    </w:p>
    <w:p w14:paraId="129EEAA2">
      <w:pPr>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5.定期与用户召开项目协调会。</w:t>
      </w:r>
    </w:p>
    <w:p w14:paraId="0322B827">
      <w:pPr>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6.针对本项目的特殊性，提出切实可行的项目质量控制手段，并落实执行。</w:t>
      </w:r>
    </w:p>
    <w:p w14:paraId="3DB617B6">
      <w:pPr>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7.按照验收要求，及时提供全面的项目文档。</w:t>
      </w:r>
    </w:p>
    <w:p w14:paraId="769B3367">
      <w:pPr>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8.详细实施进度要求如下：</w:t>
      </w:r>
    </w:p>
    <w:p w14:paraId="4127E67F">
      <w:pPr>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（1）合同签订后15天内进一步优化需求分析、细化系统建设计划和测试验收方案，编制完成系统概要设计、详细设计、数据库设计等，向采购人提供上述文档并需经采购人审查通过；</w:t>
      </w:r>
    </w:p>
    <w:p w14:paraId="52AB6375">
      <w:pPr>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（2）合同签订后3个月内项目的系统建设基本完成，报采购人审查通过后组织项目初验。</w:t>
      </w:r>
    </w:p>
    <w:p w14:paraId="627551FB">
      <w:pPr>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系统建设全部完成，初验后项目投入试运行，试运行不少于1个月，期间完成培训、等保测评、第三方检测等相关要求及相关修改，建立完善的系统运维体系。试运行满后组织终验，经验收合格，正式交付使用，进入1年维护期。</w:t>
      </w:r>
    </w:p>
    <w:p w14:paraId="1E7A1823">
      <w:pPr>
        <w:pStyle w:val="3"/>
        <w:pageBreakBefore w:val="0"/>
        <w:widowControl w:val="0"/>
        <w:tabs>
          <w:tab w:val="left" w:pos="420"/>
          <w:tab w:val="clear" w:pos="432"/>
        </w:tabs>
        <w:kinsoku/>
        <w:wordWrap/>
        <w:overflowPunct/>
        <w:topLinePunct w:val="0"/>
        <w:autoSpaceDE/>
        <w:autoSpaceDN/>
        <w:bidi w:val="0"/>
        <w:adjustRightInd w:val="0"/>
        <w:snapToGrid w:val="0"/>
        <w:spacing w:before="0" w:after="0" w:line="360" w:lineRule="auto"/>
        <w:textAlignment w:val="auto"/>
        <w:rPr>
          <w:rFonts w:hint="eastAsia" w:ascii="宋体" w:hAnsi="宋体" w:eastAsia="宋体" w:cs="宋体"/>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lang w:val="en-US" w:eastAsia="zh-CN"/>
        </w:rPr>
        <w:t>▲</w:t>
      </w:r>
      <w:r>
        <w:rPr>
          <w:rFonts w:hint="eastAsia" w:ascii="宋体" w:hAnsi="宋体" w:cs="宋体"/>
          <w:color w:val="auto"/>
          <w:sz w:val="24"/>
          <w:szCs w:val="24"/>
          <w:highlight w:val="none"/>
          <w:lang w:val="en-US" w:eastAsia="zh-CN"/>
        </w:rPr>
        <w:t>四、</w:t>
      </w:r>
      <w:r>
        <w:rPr>
          <w:rFonts w:hint="eastAsia" w:ascii="宋体" w:hAnsi="宋体" w:eastAsia="宋体" w:cs="宋体"/>
          <w:color w:val="auto"/>
          <w:sz w:val="24"/>
          <w:szCs w:val="24"/>
          <w:highlight w:val="none"/>
        </w:rPr>
        <w:t>其他要求</w:t>
      </w:r>
    </w:p>
    <w:p w14:paraId="78CD4B84">
      <w:pPr>
        <w:pStyle w:val="2"/>
        <w:pageBreakBefore w:val="0"/>
        <w:widowControl w:val="0"/>
        <w:tabs>
          <w:tab w:val="left" w:pos="420"/>
          <w:tab w:val="clear" w:pos="432"/>
        </w:tabs>
        <w:kinsoku/>
        <w:wordWrap/>
        <w:overflowPunct/>
        <w:topLinePunct w:val="0"/>
        <w:autoSpaceDE/>
        <w:autoSpaceDN/>
        <w:bidi w:val="0"/>
        <w:adjustRightInd w:val="0"/>
        <w:snapToGrid w:val="0"/>
        <w:spacing w:line="360" w:lineRule="auto"/>
        <w:ind w:left="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安全要求</w:t>
      </w:r>
    </w:p>
    <w:p w14:paraId="07D07CC8">
      <w:pPr>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对系统提供二级等保测评及第三方软件测评，由此产生的等保测评费及第三方测评费用由中标单位承担。</w:t>
      </w:r>
    </w:p>
    <w:p w14:paraId="5C87502D">
      <w:pPr>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照法律法规加强外包管理，明确网络和数据安全责任，对外包人员开展安全背景审查，签订安全保密承诺书和个人安全保密协议，做好人员网络和数据安全宣传教育及培训工作，严格控制人员管理员权限，在授权期满后应当按照要求及时收回权限。如因自身原因造成安全事故的，由中标单位负全部安全责任。在实施和维护期间，不得出现传播计算机病毒、窃取数据等违法行为，由此造成单位业务系统故障或数据丢失等问题，依照国家法律法规，根据造成的损失，对人员进行处罚。</w:t>
      </w:r>
    </w:p>
    <w:p w14:paraId="15ECD74D">
      <w:pPr>
        <w:pStyle w:val="2"/>
        <w:pageBreakBefore w:val="0"/>
        <w:widowControl w:val="0"/>
        <w:tabs>
          <w:tab w:val="left" w:pos="420"/>
          <w:tab w:val="clear" w:pos="432"/>
        </w:tabs>
        <w:kinsoku/>
        <w:wordWrap/>
        <w:overflowPunct/>
        <w:topLinePunct w:val="0"/>
        <w:autoSpaceDE/>
        <w:autoSpaceDN/>
        <w:bidi w:val="0"/>
        <w:adjustRightInd w:val="0"/>
        <w:snapToGrid w:val="0"/>
        <w:spacing w:line="360" w:lineRule="auto"/>
        <w:ind w:left="434" w:leftChars="202" w:hanging="10" w:hangingChars="4"/>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验收要求</w:t>
      </w:r>
    </w:p>
    <w:p w14:paraId="51EC46E4">
      <w:pPr>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验收标准应符合中国有关的国家、地方、行业的标准，如若中标，经采购人确认后作为验收的依据。</w:t>
      </w:r>
    </w:p>
    <w:p w14:paraId="491A2D6F">
      <w:pPr>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2</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项目验收需根据招标文件以及合同的需求进行验收。验收时需提供的文档包括但不仅限于：项目投标文件电子稿、项目实施方案、系统（软件）安装实施报告、测试方案、测试记录及报告、配置和维护手册、系统试运行报告、项目总结报告、项目用户报告等相关材料。</w:t>
      </w:r>
    </w:p>
    <w:p w14:paraId="61F80237">
      <w:pPr>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3根据《杭州市政府采购履约验收暂行办法》杭财采监〔2019〕10 号文，进行履约验收，验收合格报告作为项目支付的依据。</w:t>
      </w:r>
    </w:p>
    <w:p w14:paraId="0FDCDB1D">
      <w:pPr>
        <w:pStyle w:val="2"/>
        <w:pageBreakBefore w:val="0"/>
        <w:widowControl w:val="0"/>
        <w:tabs>
          <w:tab w:val="left" w:pos="420"/>
          <w:tab w:val="clear" w:pos="432"/>
        </w:tabs>
        <w:kinsoku/>
        <w:wordWrap/>
        <w:overflowPunct/>
        <w:topLinePunct w:val="0"/>
        <w:autoSpaceDE/>
        <w:autoSpaceDN/>
        <w:bidi w:val="0"/>
        <w:adjustRightInd w:val="0"/>
        <w:snapToGrid w:val="0"/>
        <w:spacing w:line="360" w:lineRule="auto"/>
        <w:ind w:left="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培训要求</w:t>
      </w:r>
    </w:p>
    <w:p w14:paraId="09CF8D22">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1投标人应在投标文件中提出培训计划，根据项目的目标和现实情况，对相关人员进行培训，通过培训使技术及业务人员不仅对整个系统有足够的认识，而且可以熟练掌握应用系统的操作等，能够独立完成其操作对象；对核心管理员进行培训，能掌握并熟练运用。需明确培训目标、培训对象、培训方式、培训地点、培训内容等。</w:t>
      </w:r>
    </w:p>
    <w:p w14:paraId="0532DF03">
      <w:pPr>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培训目标：根据采购人要求，对采购人的管理人员、技术人员、操作人员、运维人员提供培训，以便对项目的实施和运营进行有效的管理。同时，工程验收移交后，能够胜任系统的全部运行、操作、设备和线路维护、故障的分析处理。</w:t>
      </w:r>
    </w:p>
    <w:p w14:paraId="7A8ED5BE">
      <w:pPr>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培训对象：培训对象包括但不限于以下人员：系统使用人员、系统运行维护管理人员等。</w:t>
      </w:r>
    </w:p>
    <w:p w14:paraId="4A519805">
      <w:pPr>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培训方式：集中授课和现场操作应用指导培训，不少于1次，培训天数不少于1天。</w:t>
      </w:r>
    </w:p>
    <w:p w14:paraId="33A4EDE4">
      <w:pPr>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培训场地：由采购人提供。</w:t>
      </w:r>
    </w:p>
    <w:p w14:paraId="370004BB">
      <w:pPr>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培训内容：内容包含但不限于系统总体情况进行介绍、业务操作、专项功能、简单的系统故障诊断和排除等（所有培训以中文进行）。</w:t>
      </w:r>
    </w:p>
    <w:p w14:paraId="335FEC2C">
      <w:pPr>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2.培训费用计入投标总价。</w:t>
      </w:r>
    </w:p>
    <w:p w14:paraId="5991F290">
      <w:pPr>
        <w:pStyle w:val="2"/>
        <w:pageBreakBefore w:val="0"/>
        <w:widowControl w:val="0"/>
        <w:tabs>
          <w:tab w:val="left" w:pos="420"/>
          <w:tab w:val="clear" w:pos="432"/>
        </w:tabs>
        <w:kinsoku/>
        <w:wordWrap/>
        <w:overflowPunct/>
        <w:topLinePunct w:val="0"/>
        <w:autoSpaceDE/>
        <w:autoSpaceDN/>
        <w:bidi w:val="0"/>
        <w:adjustRightInd w:val="0"/>
        <w:snapToGrid w:val="0"/>
        <w:spacing w:line="360" w:lineRule="auto"/>
        <w:ind w:left="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技术支持与售后服务要求</w:t>
      </w:r>
    </w:p>
    <w:p w14:paraId="5E173BFF">
      <w:pPr>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终验合格后系统均需提供不少于1年7*24免费售后技术支持服务（包括故障排除、性能调优、技术咨询等，并负责处理、协调与各系统软件、硬件等供应商的关系）。</w:t>
      </w:r>
    </w:p>
    <w:p w14:paraId="32D6AC67">
      <w:pPr>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2</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维护期内提供同版本软件免费客户化修改与免费升级服务，确保招标人使用软件一直是行业内最新版本，并为用户提供长期的技术支持。</w:t>
      </w:r>
    </w:p>
    <w:p w14:paraId="60E42864">
      <w:pPr>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3</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售后维护期内，提供7×24小时技术支持和服务，2小时内作出实质性响应，4小时内到现场，问题解决后48小时内，提交问题处理报告。在重大活动期间（如两会、春节、互联网大会、国庆）针对系统进行保障值守，确保活动期间系统正常运行。</w:t>
      </w:r>
    </w:p>
    <w:p w14:paraId="4DE19D21">
      <w:pPr>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4</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采购单位需求在开发期和试运行期内，仍有可能不断完善，投标人须承诺在采购需求或政策法规范围内，随着采购单位需求的变动，无条件响应并满足用户对系统的修改。</w:t>
      </w:r>
    </w:p>
    <w:p w14:paraId="7A55EEB5">
      <w:pPr>
        <w:pStyle w:val="2"/>
        <w:pageBreakBefore w:val="0"/>
        <w:widowControl w:val="0"/>
        <w:tabs>
          <w:tab w:val="left" w:pos="420"/>
          <w:tab w:val="clear" w:pos="432"/>
        </w:tabs>
        <w:kinsoku/>
        <w:wordWrap/>
        <w:overflowPunct/>
        <w:topLinePunct w:val="0"/>
        <w:autoSpaceDE/>
        <w:autoSpaceDN/>
        <w:bidi w:val="0"/>
        <w:adjustRightInd w:val="0"/>
        <w:snapToGrid w:val="0"/>
        <w:spacing w:line="360" w:lineRule="auto"/>
        <w:ind w:left="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质量要求</w:t>
      </w:r>
    </w:p>
    <w:p w14:paraId="1ABD137F">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应标人须保证所提供产品符合国家有关规定。应标人须保证所提供产品具有合法的版权或使用权，本项目采购的产品，如在本项目范围内使用过程中出现版权或使用权纠纷，应由中标人负责，采购人不承担责任。</w:t>
      </w:r>
    </w:p>
    <w:p w14:paraId="038807D2">
      <w:pPr>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2</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按照省、市、区的相关标准要求，软件系统平台应满足数据安全、数据归集要求。</w:t>
      </w:r>
    </w:p>
    <w:p w14:paraId="47102FEB">
      <w:pPr>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3</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应标人必须保证解决项目所涉及的技术问题，如因技术原因无法满足用户需求，由此产生的风险由应标方承担。</w:t>
      </w:r>
    </w:p>
    <w:p w14:paraId="5C6D11F6">
      <w:pPr>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4</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项目符合《GB8566-88计算机软件开发规范》、《GB/T 14079-1993软件维护指南》。</w:t>
      </w:r>
    </w:p>
    <w:p w14:paraId="6D0EEEBB">
      <w:pPr>
        <w:pStyle w:val="2"/>
        <w:pageBreakBefore w:val="0"/>
        <w:widowControl w:val="0"/>
        <w:tabs>
          <w:tab w:val="left" w:pos="420"/>
          <w:tab w:val="clear" w:pos="432"/>
        </w:tabs>
        <w:kinsoku/>
        <w:wordWrap/>
        <w:overflowPunct/>
        <w:topLinePunct w:val="0"/>
        <w:autoSpaceDE/>
        <w:autoSpaceDN/>
        <w:bidi w:val="0"/>
        <w:adjustRightInd w:val="0"/>
        <w:snapToGrid w:val="0"/>
        <w:spacing w:line="360" w:lineRule="auto"/>
        <w:ind w:left="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知识产权要求</w:t>
      </w:r>
    </w:p>
    <w:p w14:paraId="1926EC77">
      <w:pPr>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本项目建设内容中的定制化软件部分知识产权和所有业务应用相关数据产权归采购方所有，中标方不得未经采购人书面许可，擅自使用或提供给第三方。</w:t>
      </w:r>
    </w:p>
    <w:p w14:paraId="0011E310">
      <w:pPr>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中标供应商原则上需提供本项目定制开发的所有源代码和开发文档，甲方有权对软件进行修改或提出修改意见。</w:t>
      </w:r>
    </w:p>
    <w:p w14:paraId="722F9264">
      <w:pPr>
        <w:keepNext w:val="0"/>
        <w:keepLines w:val="0"/>
        <w:pageBreakBefore w:val="0"/>
        <w:widowControl w:val="0"/>
        <w:numPr>
          <w:ilvl w:val="0"/>
          <w:numId w:val="0"/>
        </w:numPr>
        <w:shd w:val="clear"/>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color w:val="auto"/>
          <w:sz w:val="24"/>
          <w:szCs w:val="24"/>
          <w:highlight w:val="none"/>
        </w:rPr>
        <w:t>中标供应商应该对项目建设过程中的业务资料、技术资料、设计方案等一切资料、秘密予以严格保密，建设中由采购人主导产生的系统和软件设计、开发、应用创新想法、做法、实现方案等，中标供应商不得未经甲方书面许可，擅自使用或提供给第三方。</w:t>
      </w:r>
    </w:p>
    <w:p w14:paraId="04A19187">
      <w:pPr>
        <w:keepNext w:val="0"/>
        <w:keepLines w:val="0"/>
        <w:pageBreakBefore w:val="0"/>
        <w:widowControl w:val="0"/>
        <w:shd w:val="clear"/>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w:t>
      </w:r>
      <w:r>
        <w:rPr>
          <w:rFonts w:hint="eastAsia" w:asciiTheme="minorEastAsia" w:hAnsiTheme="minorEastAsia" w:eastAsiaTheme="minorEastAsia" w:cstheme="minorEastAsia"/>
          <w:b/>
          <w:bCs/>
          <w:color w:val="auto"/>
          <w:sz w:val="24"/>
          <w:szCs w:val="24"/>
          <w:highlight w:val="none"/>
          <w:lang w:val="en-US" w:eastAsia="zh-CN"/>
        </w:rPr>
        <w:t>五、支付方式</w:t>
      </w:r>
    </w:p>
    <w:p w14:paraId="69A3ABB9">
      <w:pPr>
        <w:keepNext w:val="0"/>
        <w:keepLines w:val="0"/>
        <w:pageBreakBefore w:val="0"/>
        <w:widowControl w:val="0"/>
        <w:shd w:val="clear"/>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（1）合同签订后15个工作日内，乙方向甲方提交《拱墅区网络与信息安全承诺书》（单位）、《拱墅区网络与信息安全保密承诺书》、《廉政承诺书》，甲方向乙方支付合同总金额40%的款项，计人民币（小写）：</w:t>
      </w:r>
      <w:r>
        <w:rPr>
          <w:rFonts w:hint="eastAsia" w:asciiTheme="minorEastAsia" w:hAnsiTheme="minorEastAsia" w:eastAsiaTheme="minorEastAsia" w:cstheme="minorEastAsia"/>
          <w:b w:val="0"/>
          <w:bCs w:val="0"/>
          <w:color w:val="auto"/>
          <w:sz w:val="24"/>
          <w:szCs w:val="24"/>
          <w:highlight w:val="none"/>
          <w:u w:val="single"/>
          <w:lang w:val="en-US" w:eastAsia="zh-CN"/>
        </w:rPr>
        <w:t xml:space="preserve">     </w:t>
      </w:r>
      <w:r>
        <w:rPr>
          <w:rFonts w:hint="eastAsia" w:asciiTheme="minorEastAsia" w:hAnsiTheme="minorEastAsia" w:eastAsiaTheme="minorEastAsia" w:cstheme="minorEastAsia"/>
          <w:b w:val="0"/>
          <w:bCs w:val="0"/>
          <w:color w:val="auto"/>
          <w:sz w:val="24"/>
          <w:szCs w:val="24"/>
          <w:highlight w:val="none"/>
          <w:lang w:val="en-US" w:eastAsia="zh-CN"/>
        </w:rPr>
        <w:t>元（大写）：</w:t>
      </w:r>
      <w:r>
        <w:rPr>
          <w:rFonts w:hint="eastAsia" w:asciiTheme="minorEastAsia" w:hAnsiTheme="minorEastAsia" w:eastAsiaTheme="minorEastAsia" w:cstheme="minorEastAsia"/>
          <w:b w:val="0"/>
          <w:bCs w:val="0"/>
          <w:color w:val="auto"/>
          <w:sz w:val="24"/>
          <w:szCs w:val="24"/>
          <w:highlight w:val="none"/>
          <w:u w:val="single"/>
          <w:lang w:val="en-US" w:eastAsia="zh-CN"/>
        </w:rPr>
        <w:t xml:space="preserve">     </w:t>
      </w:r>
      <w:r>
        <w:rPr>
          <w:rFonts w:hint="eastAsia" w:asciiTheme="minorEastAsia" w:hAnsiTheme="minorEastAsia" w:eastAsiaTheme="minorEastAsia" w:cstheme="minorEastAsia"/>
          <w:b w:val="0"/>
          <w:bCs w:val="0"/>
          <w:color w:val="auto"/>
          <w:sz w:val="24"/>
          <w:szCs w:val="24"/>
          <w:highlight w:val="none"/>
          <w:lang w:val="en-US" w:eastAsia="zh-CN"/>
        </w:rPr>
        <w:t>元整，支付前乙方应向甲方开具相同金额的正式发票。</w:t>
      </w:r>
    </w:p>
    <w:p w14:paraId="1D193890">
      <w:pPr>
        <w:keepNext w:val="0"/>
        <w:keepLines w:val="0"/>
        <w:pageBreakBefore w:val="0"/>
        <w:widowControl w:val="0"/>
        <w:shd w:val="clear"/>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（2）合同签订后90日历天内，乙方按甲方要求提供齐全的初验文档，完成项目的全部系统建设并通过初验，初验通过后15个工作日内支付合同总价20%，计人民币（小写）：</w:t>
      </w:r>
      <w:r>
        <w:rPr>
          <w:rFonts w:hint="eastAsia" w:asciiTheme="minorEastAsia" w:hAnsiTheme="minorEastAsia" w:eastAsiaTheme="minorEastAsia" w:cstheme="minorEastAsia"/>
          <w:b w:val="0"/>
          <w:bCs w:val="0"/>
          <w:color w:val="auto"/>
          <w:sz w:val="24"/>
          <w:szCs w:val="24"/>
          <w:highlight w:val="none"/>
          <w:u w:val="single"/>
          <w:lang w:val="en-US" w:eastAsia="zh-CN"/>
        </w:rPr>
        <w:t xml:space="preserve">     </w:t>
      </w:r>
      <w:r>
        <w:rPr>
          <w:rFonts w:hint="eastAsia" w:asciiTheme="minorEastAsia" w:hAnsiTheme="minorEastAsia" w:eastAsiaTheme="minorEastAsia" w:cstheme="minorEastAsia"/>
          <w:b w:val="0"/>
          <w:bCs w:val="0"/>
          <w:color w:val="auto"/>
          <w:sz w:val="24"/>
          <w:szCs w:val="24"/>
          <w:highlight w:val="none"/>
          <w:lang w:val="en-US" w:eastAsia="zh-CN"/>
        </w:rPr>
        <w:t>元（大写）：</w:t>
      </w:r>
      <w:r>
        <w:rPr>
          <w:rFonts w:hint="eastAsia" w:asciiTheme="minorEastAsia" w:hAnsiTheme="minorEastAsia" w:eastAsiaTheme="minorEastAsia" w:cstheme="minorEastAsia"/>
          <w:b w:val="0"/>
          <w:bCs w:val="0"/>
          <w:color w:val="auto"/>
          <w:sz w:val="24"/>
          <w:szCs w:val="24"/>
          <w:highlight w:val="none"/>
          <w:u w:val="single"/>
          <w:lang w:val="en-US" w:eastAsia="zh-CN"/>
        </w:rPr>
        <w:t xml:space="preserve">     </w:t>
      </w:r>
      <w:r>
        <w:rPr>
          <w:rFonts w:hint="eastAsia" w:asciiTheme="minorEastAsia" w:hAnsiTheme="minorEastAsia" w:eastAsiaTheme="minorEastAsia" w:cstheme="minorEastAsia"/>
          <w:b w:val="0"/>
          <w:bCs w:val="0"/>
          <w:color w:val="auto"/>
          <w:sz w:val="24"/>
          <w:szCs w:val="24"/>
          <w:highlight w:val="none"/>
          <w:lang w:val="en-US" w:eastAsia="zh-CN"/>
        </w:rPr>
        <w:t>元整，支付前乙方应向甲方开具相同金额的正式发票；</w:t>
      </w:r>
    </w:p>
    <w:p w14:paraId="1B44950E">
      <w:pPr>
        <w:pStyle w:val="258"/>
        <w:keepNext w:val="0"/>
        <w:keepLines w:val="0"/>
        <w:pageBreakBefore w:val="0"/>
        <w:widowControl w:val="0"/>
        <w:numPr>
          <w:ilvl w:val="0"/>
          <w:numId w:val="0"/>
        </w:numPr>
        <w:shd w:val="clear"/>
        <w:kinsoku/>
        <w:wordWrap/>
        <w:overflowPunct/>
        <w:topLinePunct w:val="0"/>
        <w:autoSpaceDE/>
        <w:autoSpaceDN/>
        <w:bidi w:val="0"/>
        <w:adjustRightInd w:val="0"/>
        <w:snapToGrid w:val="0"/>
        <w:spacing w:line="360" w:lineRule="auto"/>
        <w:ind w:left="0" w:firstLine="480" w:firstLineChars="200"/>
        <w:textAlignment w:val="auto"/>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（3）项目初验后30日历天内，乙方向甲方《</w:t>
      </w:r>
      <w:r>
        <w:rPr>
          <w:rFonts w:hint="eastAsia" w:asciiTheme="minorEastAsia" w:hAnsiTheme="minorEastAsia" w:eastAsiaTheme="minorEastAsia"/>
          <w:color w:val="auto"/>
          <w:highlight w:val="none"/>
        </w:rPr>
        <w:t>提供数据归集确认单</w:t>
      </w:r>
      <w:r>
        <w:rPr>
          <w:rFonts w:hint="eastAsia" w:asciiTheme="minorEastAsia" w:hAnsiTheme="minorEastAsia" w:eastAsiaTheme="minorEastAsia"/>
          <w:color w:val="auto"/>
          <w:highlight w:val="none"/>
          <w:lang w:eastAsia="zh-CN"/>
        </w:rPr>
        <w:t>》、</w:t>
      </w:r>
      <w:r>
        <w:rPr>
          <w:rFonts w:hint="eastAsia" w:asciiTheme="minorEastAsia" w:hAnsiTheme="minorEastAsia" w:eastAsiaTheme="minorEastAsia"/>
          <w:color w:val="auto"/>
          <w:highlight w:val="none"/>
        </w:rPr>
        <w:t>源代</w:t>
      </w:r>
      <w:r>
        <w:rPr>
          <w:rFonts w:hint="eastAsia" w:asciiTheme="minorEastAsia" w:hAnsiTheme="minorEastAsia" w:eastAsiaTheme="minorEastAsia"/>
          <w:color w:val="auto"/>
          <w:highlight w:val="none"/>
          <w:lang w:eastAsia="zh-CN"/>
        </w:rPr>
        <w:t>《</w:t>
      </w:r>
      <w:r>
        <w:rPr>
          <w:rFonts w:hint="eastAsia" w:asciiTheme="minorEastAsia" w:hAnsiTheme="minorEastAsia" w:eastAsiaTheme="minorEastAsia"/>
          <w:color w:val="auto"/>
          <w:highlight w:val="none"/>
        </w:rPr>
        <w:t>码归集确认单</w:t>
      </w:r>
      <w:r>
        <w:rPr>
          <w:rFonts w:hint="eastAsia" w:asciiTheme="minorEastAsia" w:hAnsiTheme="minorEastAsia" w:eastAsiaTheme="minorEastAsia"/>
          <w:color w:val="auto"/>
          <w:highlight w:val="none"/>
          <w:lang w:eastAsia="zh-CN"/>
        </w:rPr>
        <w:t>》</w:t>
      </w:r>
      <w:r>
        <w:rPr>
          <w:rFonts w:hint="eastAsia" w:asciiTheme="minorEastAsia" w:hAnsiTheme="minorEastAsia" w:eastAsiaTheme="minorEastAsia"/>
          <w:color w:val="auto"/>
          <w:highlight w:val="none"/>
        </w:rPr>
        <w:t>（甲方知识产权部分）</w:t>
      </w:r>
      <w:r>
        <w:rPr>
          <w:rFonts w:hint="eastAsia" w:asciiTheme="minorEastAsia" w:hAnsiTheme="minorEastAsia" w:eastAsiaTheme="minorEastAsia"/>
          <w:color w:val="auto"/>
          <w:highlight w:val="none"/>
          <w:lang w:eastAsia="zh-CN"/>
        </w:rPr>
        <w:t>、</w:t>
      </w:r>
      <w:r>
        <w:rPr>
          <w:rFonts w:hint="eastAsia" w:asciiTheme="minorEastAsia" w:hAnsiTheme="minorEastAsia" w:eastAsiaTheme="minorEastAsia"/>
          <w:color w:val="auto"/>
          <w:highlight w:val="none"/>
        </w:rPr>
        <w:t>按要求提供软件第三方检测和等保测评报告</w:t>
      </w:r>
      <w:r>
        <w:rPr>
          <w:rFonts w:hint="eastAsia" w:asciiTheme="minorEastAsia" w:hAnsiTheme="minorEastAsia" w:eastAsiaTheme="minorEastAsia"/>
          <w:color w:val="auto"/>
          <w:highlight w:val="none"/>
          <w:lang w:eastAsia="zh-CN"/>
        </w:rPr>
        <w:t>，</w:t>
      </w:r>
      <w:r>
        <w:rPr>
          <w:rFonts w:hint="eastAsia" w:asciiTheme="minorEastAsia" w:hAnsiTheme="minorEastAsia" w:eastAsiaTheme="minorEastAsia"/>
          <w:color w:val="auto"/>
          <w:highlight w:val="none"/>
          <w:lang w:val="en-US" w:eastAsia="zh-CN"/>
        </w:rPr>
        <w:t>并</w:t>
      </w:r>
      <w:r>
        <w:rPr>
          <w:rFonts w:hint="eastAsia" w:asciiTheme="minorEastAsia" w:hAnsiTheme="minorEastAsia" w:eastAsiaTheme="minorEastAsia" w:cstheme="minorEastAsia"/>
          <w:b w:val="0"/>
          <w:bCs w:val="0"/>
          <w:color w:val="auto"/>
          <w:sz w:val="24"/>
          <w:szCs w:val="24"/>
          <w:highlight w:val="none"/>
          <w:lang w:val="en-US" w:eastAsia="zh-CN"/>
        </w:rPr>
        <w:t>通过终验，终验通过后15个工作日内支付合同总价35%，计人民币（小写）：</w:t>
      </w:r>
      <w:r>
        <w:rPr>
          <w:rFonts w:hint="eastAsia" w:asciiTheme="minorEastAsia" w:hAnsiTheme="minorEastAsia" w:eastAsiaTheme="minorEastAsia" w:cstheme="minorEastAsia"/>
          <w:b w:val="0"/>
          <w:bCs w:val="0"/>
          <w:color w:val="auto"/>
          <w:sz w:val="24"/>
          <w:szCs w:val="24"/>
          <w:highlight w:val="none"/>
          <w:u w:val="single"/>
          <w:lang w:val="en-US" w:eastAsia="zh-CN"/>
        </w:rPr>
        <w:t xml:space="preserve">     </w:t>
      </w:r>
      <w:r>
        <w:rPr>
          <w:rFonts w:hint="eastAsia" w:asciiTheme="minorEastAsia" w:hAnsiTheme="minorEastAsia" w:eastAsiaTheme="minorEastAsia" w:cstheme="minorEastAsia"/>
          <w:b w:val="0"/>
          <w:bCs w:val="0"/>
          <w:color w:val="auto"/>
          <w:sz w:val="24"/>
          <w:szCs w:val="24"/>
          <w:highlight w:val="none"/>
          <w:lang w:val="en-US" w:eastAsia="zh-CN"/>
        </w:rPr>
        <w:t>元（大写）：</w:t>
      </w:r>
      <w:r>
        <w:rPr>
          <w:rFonts w:hint="eastAsia" w:asciiTheme="minorEastAsia" w:hAnsiTheme="minorEastAsia" w:eastAsiaTheme="minorEastAsia" w:cstheme="minorEastAsia"/>
          <w:b w:val="0"/>
          <w:bCs w:val="0"/>
          <w:color w:val="auto"/>
          <w:sz w:val="24"/>
          <w:szCs w:val="24"/>
          <w:highlight w:val="none"/>
          <w:u w:val="single"/>
          <w:lang w:val="en-US" w:eastAsia="zh-CN"/>
        </w:rPr>
        <w:t xml:space="preserve">     </w:t>
      </w:r>
      <w:r>
        <w:rPr>
          <w:rFonts w:hint="eastAsia" w:asciiTheme="minorEastAsia" w:hAnsiTheme="minorEastAsia" w:eastAsiaTheme="minorEastAsia" w:cstheme="minorEastAsia"/>
          <w:b w:val="0"/>
          <w:bCs w:val="0"/>
          <w:color w:val="auto"/>
          <w:sz w:val="24"/>
          <w:szCs w:val="24"/>
          <w:highlight w:val="none"/>
          <w:lang w:val="en-US" w:eastAsia="zh-CN"/>
        </w:rPr>
        <w:t>元整，支付前乙方应向甲方开具相同金额的正式发票。验收涉及的费用由乙方承担。</w:t>
      </w:r>
    </w:p>
    <w:p w14:paraId="428652E9">
      <w:pPr>
        <w:keepNext w:val="0"/>
        <w:keepLines w:val="0"/>
        <w:pageBreakBefore w:val="0"/>
        <w:widowControl w:val="0"/>
        <w:shd w:val="clear"/>
        <w:kinsoku/>
        <w:wordWrap/>
        <w:overflowPunct/>
        <w:topLinePunct w:val="0"/>
        <w:autoSpaceDE/>
        <w:autoSpaceDN/>
        <w:bidi w:val="0"/>
        <w:adjustRightInd w:val="0"/>
        <w:snapToGrid w:val="0"/>
        <w:spacing w:line="360" w:lineRule="auto"/>
        <w:ind w:firstLine="480" w:firstLineChars="200"/>
        <w:textAlignment w:val="auto"/>
        <w:rPr>
          <w:rFonts w:hint="default"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（4）1年质保期完成后，支付合同总价5%。</w:t>
      </w:r>
    </w:p>
    <w:p w14:paraId="5A9C30BA">
      <w:pPr>
        <w:keepNext w:val="0"/>
        <w:keepLines w:val="0"/>
        <w:pageBreakBefore w:val="0"/>
        <w:widowControl w:val="0"/>
        <w:shd w:val="clear"/>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（5）付款期间，因不可抗力因素，如财政未下拨款项等原因造成的付款延迟，甲方不承担违约责任。</w:t>
      </w:r>
    </w:p>
    <w:p w14:paraId="54209FA5">
      <w:pPr>
        <w:keepNext w:val="0"/>
        <w:keepLines w:val="0"/>
        <w:pageBreakBefore w:val="0"/>
        <w:widowControl w:val="0"/>
        <w:shd w:val="clear"/>
        <w:kinsoku/>
        <w:wordWrap/>
        <w:overflowPunct/>
        <w:topLinePunct w:val="0"/>
        <w:autoSpaceDE/>
        <w:autoSpaceDN/>
        <w:bidi w:val="0"/>
        <w:adjustRightInd w:val="0"/>
        <w:snapToGrid w:val="0"/>
        <w:spacing w:line="360" w:lineRule="auto"/>
        <w:ind w:firstLine="480" w:firstLineChars="200"/>
        <w:textAlignment w:val="auto"/>
        <w:rPr>
          <w:rFonts w:hint="default"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（6）因乙方未及时提供发票导致甲方付款迟延的，不视为甲方违约。</w:t>
      </w:r>
    </w:p>
    <w:p w14:paraId="7A8CAC4E">
      <w:pPr>
        <w:keepNext w:val="0"/>
        <w:keepLines w:val="0"/>
        <w:pageBreakBefore w:val="0"/>
        <w:widowControl w:val="0"/>
        <w:shd w:val="clear"/>
        <w:kinsoku/>
        <w:wordWrap/>
        <w:overflowPunct/>
        <w:topLinePunct w:val="0"/>
        <w:autoSpaceDE/>
        <w:autoSpaceDN/>
        <w:bidi w:val="0"/>
        <w:adjustRightInd w:val="0"/>
        <w:snapToGrid w:val="0"/>
        <w:spacing w:line="360" w:lineRule="auto"/>
        <w:ind w:firstLine="482" w:firstLineChars="200"/>
        <w:textAlignment w:val="auto"/>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六、实质性要求</w:t>
      </w:r>
    </w:p>
    <w:p w14:paraId="39CC248C">
      <w:pPr>
        <w:keepNext w:val="0"/>
        <w:keepLines w:val="0"/>
        <w:pageBreakBefore w:val="0"/>
        <w:widowControl w:val="0"/>
        <w:shd w:val="clear"/>
        <w:kinsoku/>
        <w:wordWrap/>
        <w:overflowPunct/>
        <w:topLinePunct w:val="0"/>
        <w:autoSpaceDE/>
        <w:autoSpaceDN/>
        <w:bidi w:val="0"/>
        <w:adjustRightInd w:val="0"/>
        <w:snapToGrid w:val="0"/>
        <w:spacing w:line="360" w:lineRule="auto"/>
        <w:ind w:firstLine="480" w:firstLineChars="200"/>
        <w:textAlignment w:val="auto"/>
        <w:rPr>
          <w:rFonts w:ascii="宋体" w:hAnsi="宋体" w:cs="宋体"/>
          <w:snapToGrid w:val="0"/>
          <w:color w:val="auto"/>
          <w:kern w:val="0"/>
          <w:sz w:val="24"/>
          <w:highlight w:val="none"/>
        </w:rPr>
      </w:pPr>
      <w:r>
        <w:rPr>
          <w:rFonts w:hint="eastAsia" w:asciiTheme="minorEastAsia" w:hAnsiTheme="minorEastAsia" w:eastAsiaTheme="minorEastAsia" w:cstheme="minorEastAsia"/>
          <w:b w:val="0"/>
          <w:bCs w:val="0"/>
          <w:color w:val="auto"/>
          <w:sz w:val="24"/>
          <w:szCs w:val="24"/>
          <w:highlight w:val="none"/>
          <w:lang w:val="en-US" w:eastAsia="zh-CN"/>
        </w:rPr>
        <w:t>本章中所有带▲的内容是采购人提出的实质性要求，投标文件响应内容若不满足实质性要求，该投标文件将被评标委员会认定为无效。</w:t>
      </w:r>
    </w:p>
    <w:p w14:paraId="6DE0F030">
      <w:pPr>
        <w:rPr>
          <w:rFonts w:hint="eastAsia" w:ascii="宋体" w:hAnsi="宋体" w:cs="宋体"/>
          <w:b/>
          <w:color w:val="auto"/>
          <w:sz w:val="36"/>
          <w:szCs w:val="36"/>
          <w:highlight w:val="none"/>
        </w:rPr>
      </w:pPr>
      <w:r>
        <w:rPr>
          <w:rFonts w:hint="eastAsia" w:ascii="宋体" w:hAnsi="宋体" w:cs="宋体"/>
          <w:b/>
          <w:color w:val="auto"/>
          <w:sz w:val="36"/>
          <w:szCs w:val="36"/>
          <w:highlight w:val="none"/>
        </w:rPr>
        <w:br w:type="page"/>
      </w:r>
    </w:p>
    <w:p w14:paraId="70E125D3">
      <w:pPr>
        <w:shd w:val="clea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 xml:space="preserve">第四部分   </w:t>
      </w:r>
      <w:bookmarkStart w:id="42" w:name="_Toc184308038"/>
      <w:bookmarkEnd w:id="42"/>
      <w:bookmarkStart w:id="43" w:name="_Toc184312079"/>
      <w:bookmarkEnd w:id="43"/>
      <w:bookmarkStart w:id="44" w:name="_Toc184308088"/>
      <w:bookmarkEnd w:id="44"/>
      <w:bookmarkStart w:id="45" w:name="_Toc184312092"/>
      <w:bookmarkEnd w:id="45"/>
      <w:bookmarkStart w:id="46" w:name="_Toc184308073"/>
      <w:bookmarkEnd w:id="46"/>
      <w:bookmarkStart w:id="47" w:name="_Toc184310335"/>
      <w:bookmarkEnd w:id="47"/>
      <w:bookmarkStart w:id="48" w:name="_Toc184314431"/>
      <w:bookmarkEnd w:id="48"/>
      <w:bookmarkStart w:id="49" w:name="_Toc184314444"/>
      <w:bookmarkEnd w:id="49"/>
      <w:bookmarkStart w:id="50" w:name="_Toc184308102"/>
      <w:bookmarkEnd w:id="50"/>
      <w:bookmarkStart w:id="51" w:name="_Toc184313260"/>
      <w:bookmarkEnd w:id="51"/>
      <w:bookmarkStart w:id="52" w:name="_Toc184314445"/>
      <w:bookmarkEnd w:id="52"/>
      <w:bookmarkStart w:id="53" w:name="_Toc184314475"/>
      <w:bookmarkEnd w:id="53"/>
      <w:bookmarkStart w:id="54" w:name="_Toc184313255"/>
      <w:bookmarkEnd w:id="54"/>
      <w:bookmarkStart w:id="55" w:name="_Toc184310277"/>
      <w:bookmarkEnd w:id="55"/>
      <w:bookmarkStart w:id="56" w:name="_Toc184312106"/>
      <w:bookmarkEnd w:id="56"/>
      <w:bookmarkStart w:id="57" w:name="_Toc184313259"/>
      <w:bookmarkEnd w:id="57"/>
      <w:bookmarkStart w:id="58" w:name="_Toc184310334"/>
      <w:bookmarkEnd w:id="58"/>
      <w:bookmarkStart w:id="59" w:name="_Toc184308097"/>
      <w:bookmarkEnd w:id="59"/>
      <w:bookmarkStart w:id="60" w:name="_Toc184313250"/>
      <w:bookmarkEnd w:id="60"/>
      <w:bookmarkStart w:id="61" w:name="_Toc184312124"/>
      <w:bookmarkEnd w:id="61"/>
      <w:bookmarkStart w:id="62" w:name="_Toc184313271"/>
      <w:bookmarkEnd w:id="62"/>
      <w:bookmarkStart w:id="63" w:name="_Toc184314481"/>
      <w:bookmarkEnd w:id="63"/>
      <w:bookmarkStart w:id="64" w:name="_Toc184314420"/>
      <w:bookmarkEnd w:id="64"/>
      <w:bookmarkStart w:id="65" w:name="_Toc184314435"/>
      <w:bookmarkEnd w:id="65"/>
      <w:bookmarkStart w:id="66" w:name="_Toc184310337"/>
      <w:bookmarkEnd w:id="66"/>
      <w:bookmarkStart w:id="67" w:name="_Toc184312112"/>
      <w:bookmarkEnd w:id="67"/>
      <w:bookmarkStart w:id="68" w:name="_Toc184308071"/>
      <w:bookmarkEnd w:id="68"/>
      <w:bookmarkStart w:id="69" w:name="_Toc184313258"/>
      <w:bookmarkEnd w:id="69"/>
      <w:bookmarkStart w:id="70" w:name="_Toc184308105"/>
      <w:bookmarkEnd w:id="70"/>
      <w:bookmarkStart w:id="71" w:name="_Toc184312108"/>
      <w:bookmarkEnd w:id="71"/>
      <w:bookmarkStart w:id="72" w:name="_Toc184308052"/>
      <w:bookmarkEnd w:id="72"/>
      <w:bookmarkStart w:id="73" w:name="_Toc184314452"/>
      <w:bookmarkEnd w:id="73"/>
      <w:bookmarkStart w:id="74" w:name="_Toc184308056"/>
      <w:bookmarkEnd w:id="74"/>
      <w:bookmarkStart w:id="75" w:name="_Toc184308046"/>
      <w:bookmarkEnd w:id="75"/>
      <w:bookmarkStart w:id="76" w:name="_Toc184312127"/>
      <w:bookmarkEnd w:id="76"/>
      <w:bookmarkStart w:id="77" w:name="_Toc184312130"/>
      <w:bookmarkEnd w:id="77"/>
      <w:bookmarkStart w:id="78" w:name="_Toc184310336"/>
      <w:bookmarkEnd w:id="78"/>
      <w:bookmarkStart w:id="79" w:name="_Toc184308036"/>
      <w:bookmarkEnd w:id="79"/>
      <w:bookmarkStart w:id="80" w:name="_Toc184314461"/>
      <w:bookmarkEnd w:id="80"/>
      <w:bookmarkStart w:id="81" w:name="_Toc184310309"/>
      <w:bookmarkEnd w:id="81"/>
      <w:bookmarkStart w:id="82" w:name="_Toc184313239"/>
      <w:bookmarkEnd w:id="82"/>
      <w:bookmarkStart w:id="83" w:name="_Toc184314451"/>
      <w:bookmarkEnd w:id="83"/>
      <w:bookmarkStart w:id="84" w:name="_Toc184314410"/>
      <w:bookmarkEnd w:id="84"/>
      <w:bookmarkStart w:id="85" w:name="_Toc184312074"/>
      <w:bookmarkEnd w:id="85"/>
      <w:bookmarkStart w:id="86" w:name="_Toc184312102"/>
      <w:bookmarkEnd w:id="86"/>
      <w:bookmarkStart w:id="87" w:name="_Toc184308101"/>
      <w:bookmarkEnd w:id="87"/>
      <w:bookmarkStart w:id="88" w:name="_Toc184310317"/>
      <w:bookmarkEnd w:id="88"/>
      <w:bookmarkStart w:id="89" w:name="_Toc184310339"/>
      <w:bookmarkEnd w:id="89"/>
      <w:bookmarkStart w:id="90" w:name="_Toc184310305"/>
      <w:bookmarkEnd w:id="90"/>
      <w:bookmarkStart w:id="91" w:name="_Toc184314418"/>
      <w:bookmarkEnd w:id="91"/>
      <w:bookmarkStart w:id="92" w:name="_Toc184312071"/>
      <w:bookmarkEnd w:id="92"/>
      <w:bookmarkStart w:id="93" w:name="_Toc184312083"/>
      <w:bookmarkEnd w:id="93"/>
      <w:bookmarkStart w:id="94" w:name="_Toc184308065"/>
      <w:bookmarkEnd w:id="94"/>
      <w:bookmarkStart w:id="95" w:name="_Toc184308089"/>
      <w:bookmarkEnd w:id="95"/>
      <w:bookmarkStart w:id="96" w:name="_Toc184308059"/>
      <w:bookmarkEnd w:id="96"/>
      <w:bookmarkStart w:id="97" w:name="_Toc184310278"/>
      <w:bookmarkEnd w:id="97"/>
      <w:bookmarkStart w:id="98" w:name="_Toc184310315"/>
      <w:bookmarkEnd w:id="98"/>
      <w:bookmarkStart w:id="99" w:name="_Toc184314425"/>
      <w:bookmarkEnd w:id="99"/>
      <w:bookmarkStart w:id="100" w:name="_Toc184310285"/>
      <w:bookmarkEnd w:id="100"/>
      <w:bookmarkStart w:id="101" w:name="_Toc184314470"/>
      <w:bookmarkEnd w:id="101"/>
      <w:bookmarkStart w:id="102" w:name="_Toc184310290"/>
      <w:bookmarkEnd w:id="102"/>
      <w:bookmarkStart w:id="103" w:name="_Toc184312103"/>
      <w:bookmarkEnd w:id="103"/>
      <w:bookmarkStart w:id="104" w:name="_Toc184313251"/>
      <w:bookmarkEnd w:id="104"/>
      <w:bookmarkStart w:id="105" w:name="_Toc184308047"/>
      <w:bookmarkEnd w:id="105"/>
      <w:bookmarkStart w:id="106" w:name="_Toc184310313"/>
      <w:bookmarkEnd w:id="106"/>
      <w:bookmarkStart w:id="107" w:name="_Toc184308045"/>
      <w:bookmarkEnd w:id="107"/>
      <w:bookmarkStart w:id="108" w:name="_Toc184310274"/>
      <w:bookmarkEnd w:id="108"/>
      <w:bookmarkStart w:id="109" w:name="_Toc184312069"/>
      <w:bookmarkEnd w:id="109"/>
      <w:bookmarkStart w:id="110" w:name="_Toc184308060"/>
      <w:bookmarkEnd w:id="110"/>
      <w:bookmarkStart w:id="111" w:name="_Toc184313308"/>
      <w:bookmarkEnd w:id="111"/>
      <w:bookmarkStart w:id="112" w:name="_Toc184313240"/>
      <w:bookmarkEnd w:id="112"/>
      <w:bookmarkStart w:id="113" w:name="_Toc184312081"/>
      <w:bookmarkEnd w:id="113"/>
      <w:bookmarkStart w:id="114" w:name="_Toc184313285"/>
      <w:bookmarkEnd w:id="114"/>
      <w:bookmarkStart w:id="115" w:name="_Toc184314450"/>
      <w:bookmarkEnd w:id="115"/>
      <w:bookmarkStart w:id="116" w:name="_Toc184313238"/>
      <w:bookmarkEnd w:id="116"/>
      <w:bookmarkStart w:id="117" w:name="_Toc184308095"/>
      <w:bookmarkEnd w:id="117"/>
      <w:bookmarkStart w:id="118" w:name="_Toc184313274"/>
      <w:bookmarkEnd w:id="118"/>
      <w:bookmarkStart w:id="119" w:name="_Toc184313246"/>
      <w:bookmarkEnd w:id="119"/>
      <w:bookmarkStart w:id="120" w:name="_Toc184308093"/>
      <w:bookmarkEnd w:id="120"/>
      <w:bookmarkStart w:id="121" w:name="_Toc184310332"/>
      <w:bookmarkEnd w:id="121"/>
      <w:bookmarkStart w:id="122" w:name="_Toc184308061"/>
      <w:bookmarkEnd w:id="122"/>
      <w:bookmarkStart w:id="123" w:name="_Toc184313254"/>
      <w:bookmarkEnd w:id="123"/>
      <w:bookmarkStart w:id="124" w:name="_Toc184312100"/>
      <w:bookmarkEnd w:id="124"/>
      <w:bookmarkStart w:id="125" w:name="_Toc184314453"/>
      <w:bookmarkEnd w:id="125"/>
      <w:bookmarkStart w:id="126" w:name="_Toc184313295"/>
      <w:bookmarkEnd w:id="126"/>
      <w:bookmarkStart w:id="127" w:name="_Toc184312089"/>
      <w:bookmarkEnd w:id="127"/>
      <w:bookmarkStart w:id="128" w:name="_Toc184308077"/>
      <w:bookmarkEnd w:id="128"/>
      <w:bookmarkStart w:id="129" w:name="_Toc184314433"/>
      <w:bookmarkEnd w:id="129"/>
      <w:bookmarkStart w:id="130" w:name="_Toc184310280"/>
      <w:bookmarkEnd w:id="130"/>
      <w:bookmarkStart w:id="131" w:name="_Toc184312086"/>
      <w:bookmarkEnd w:id="131"/>
      <w:bookmarkStart w:id="132" w:name="_Toc184312082"/>
      <w:bookmarkEnd w:id="132"/>
      <w:bookmarkStart w:id="133" w:name="_Toc184313243"/>
      <w:bookmarkEnd w:id="133"/>
      <w:bookmarkStart w:id="134" w:name="_Toc184314440"/>
      <w:bookmarkEnd w:id="134"/>
      <w:bookmarkStart w:id="135" w:name="_Toc184314456"/>
      <w:bookmarkEnd w:id="135"/>
      <w:bookmarkStart w:id="136" w:name="_Toc184308050"/>
      <w:bookmarkEnd w:id="136"/>
      <w:bookmarkStart w:id="137" w:name="_Toc184308044"/>
      <w:bookmarkEnd w:id="137"/>
      <w:bookmarkStart w:id="138" w:name="_Toc184313300"/>
      <w:bookmarkEnd w:id="138"/>
      <w:bookmarkStart w:id="139" w:name="_Toc184312105"/>
      <w:bookmarkEnd w:id="139"/>
      <w:bookmarkStart w:id="140" w:name="_Toc184310292"/>
      <w:bookmarkEnd w:id="140"/>
      <w:bookmarkStart w:id="141" w:name="_Toc184308078"/>
      <w:bookmarkEnd w:id="141"/>
      <w:bookmarkStart w:id="142" w:name="_Toc184312078"/>
      <w:bookmarkEnd w:id="142"/>
      <w:bookmarkStart w:id="143" w:name="_Toc184310294"/>
      <w:bookmarkEnd w:id="143"/>
      <w:bookmarkStart w:id="144" w:name="_Toc184312073"/>
      <w:bookmarkEnd w:id="144"/>
      <w:bookmarkStart w:id="145" w:name="_Toc184310281"/>
      <w:bookmarkEnd w:id="145"/>
      <w:bookmarkStart w:id="146" w:name="_Toc184314466"/>
      <w:bookmarkEnd w:id="146"/>
      <w:bookmarkStart w:id="147" w:name="_Toc184308049"/>
      <w:bookmarkEnd w:id="147"/>
      <w:bookmarkStart w:id="148" w:name="_Toc184313286"/>
      <w:bookmarkEnd w:id="148"/>
      <w:bookmarkStart w:id="149" w:name="_Toc184314441"/>
      <w:bookmarkEnd w:id="149"/>
      <w:bookmarkStart w:id="150" w:name="_Toc184308068"/>
      <w:bookmarkEnd w:id="150"/>
      <w:bookmarkStart w:id="151" w:name="_Toc184313296"/>
      <w:bookmarkEnd w:id="151"/>
      <w:bookmarkStart w:id="152" w:name="_Toc184312113"/>
      <w:bookmarkEnd w:id="152"/>
      <w:bookmarkStart w:id="153" w:name="_Toc184310275"/>
      <w:bookmarkEnd w:id="153"/>
      <w:bookmarkStart w:id="154" w:name="_Toc184308082"/>
      <w:bookmarkEnd w:id="154"/>
      <w:bookmarkStart w:id="155" w:name="_Toc184313298"/>
      <w:bookmarkEnd w:id="155"/>
      <w:bookmarkStart w:id="156" w:name="_Toc184314421"/>
      <w:bookmarkEnd w:id="156"/>
      <w:bookmarkStart w:id="157" w:name="_Toc184310298"/>
      <w:bookmarkEnd w:id="157"/>
      <w:bookmarkStart w:id="158" w:name="_Toc184313280"/>
      <w:bookmarkEnd w:id="158"/>
      <w:bookmarkStart w:id="159" w:name="_Toc184312091"/>
      <w:bookmarkEnd w:id="159"/>
      <w:bookmarkStart w:id="160" w:name="_Toc184312072"/>
      <w:bookmarkEnd w:id="160"/>
      <w:bookmarkStart w:id="161" w:name="_Toc184313279"/>
      <w:bookmarkEnd w:id="161"/>
      <w:bookmarkStart w:id="162" w:name="_Toc184314423"/>
      <w:bookmarkEnd w:id="162"/>
      <w:bookmarkStart w:id="163" w:name="_Toc184314447"/>
      <w:bookmarkEnd w:id="163"/>
      <w:bookmarkStart w:id="164" w:name="_Toc184314417"/>
      <w:bookmarkEnd w:id="164"/>
      <w:bookmarkStart w:id="165" w:name="_Toc184314416"/>
      <w:bookmarkEnd w:id="165"/>
      <w:bookmarkStart w:id="166" w:name="_Toc184310302"/>
      <w:bookmarkEnd w:id="166"/>
      <w:bookmarkStart w:id="167" w:name="_Toc184313276"/>
      <w:bookmarkEnd w:id="167"/>
      <w:bookmarkStart w:id="168" w:name="_Toc184312109"/>
      <w:bookmarkEnd w:id="168"/>
      <w:bookmarkStart w:id="169" w:name="_Toc184308086"/>
      <w:bookmarkEnd w:id="169"/>
      <w:bookmarkStart w:id="170" w:name="_Toc184313291"/>
      <w:bookmarkEnd w:id="170"/>
      <w:bookmarkStart w:id="171" w:name="_Toc184308070"/>
      <w:bookmarkEnd w:id="171"/>
      <w:bookmarkStart w:id="172" w:name="_Toc184312131"/>
      <w:bookmarkEnd w:id="172"/>
      <w:bookmarkStart w:id="173" w:name="_Toc184310326"/>
      <w:bookmarkEnd w:id="173"/>
      <w:bookmarkStart w:id="174" w:name="_Toc184310331"/>
      <w:bookmarkEnd w:id="174"/>
      <w:bookmarkStart w:id="175" w:name="_Toc184310296"/>
      <w:bookmarkEnd w:id="175"/>
      <w:bookmarkStart w:id="176" w:name="_Toc184313275"/>
      <w:bookmarkEnd w:id="176"/>
      <w:bookmarkStart w:id="177" w:name="_Toc184313282"/>
      <w:bookmarkEnd w:id="177"/>
      <w:bookmarkStart w:id="178" w:name="_Toc184313248"/>
      <w:bookmarkEnd w:id="178"/>
      <w:bookmarkStart w:id="179" w:name="_Toc184313299"/>
      <w:bookmarkEnd w:id="179"/>
      <w:bookmarkStart w:id="180" w:name="_Toc184312123"/>
      <w:bookmarkEnd w:id="180"/>
      <w:bookmarkStart w:id="181" w:name="_Toc184314473"/>
      <w:bookmarkEnd w:id="181"/>
      <w:bookmarkStart w:id="182" w:name="_Toc184314428"/>
      <w:bookmarkEnd w:id="182"/>
      <w:bookmarkStart w:id="183" w:name="_Toc184308039"/>
      <w:bookmarkEnd w:id="183"/>
      <w:bookmarkStart w:id="184" w:name="_Toc184313297"/>
      <w:bookmarkEnd w:id="184"/>
      <w:bookmarkStart w:id="185" w:name="_Toc184308066"/>
      <w:bookmarkEnd w:id="185"/>
      <w:bookmarkStart w:id="186" w:name="_Toc184312116"/>
      <w:bookmarkEnd w:id="186"/>
      <w:bookmarkStart w:id="187" w:name="_Toc184310299"/>
      <w:bookmarkEnd w:id="187"/>
      <w:bookmarkStart w:id="188" w:name="_Toc184313310"/>
      <w:bookmarkEnd w:id="188"/>
      <w:bookmarkStart w:id="189" w:name="_Toc184313247"/>
      <w:bookmarkEnd w:id="189"/>
      <w:bookmarkStart w:id="190" w:name="_Toc184314430"/>
      <w:bookmarkEnd w:id="190"/>
      <w:bookmarkStart w:id="191" w:name="_Toc184313288"/>
      <w:bookmarkEnd w:id="191"/>
      <w:bookmarkStart w:id="192" w:name="_Toc184310288"/>
      <w:bookmarkEnd w:id="192"/>
      <w:bookmarkStart w:id="193" w:name="_Toc184310289"/>
      <w:bookmarkEnd w:id="193"/>
      <w:bookmarkStart w:id="194" w:name="_Toc184314449"/>
      <w:bookmarkEnd w:id="194"/>
      <w:bookmarkStart w:id="195" w:name="_Toc184310333"/>
      <w:bookmarkEnd w:id="195"/>
      <w:bookmarkStart w:id="196" w:name="_Toc184313269"/>
      <w:bookmarkEnd w:id="196"/>
      <w:bookmarkStart w:id="197" w:name="_Toc184310321"/>
      <w:bookmarkEnd w:id="197"/>
      <w:bookmarkStart w:id="198" w:name="_Toc184308048"/>
      <w:bookmarkEnd w:id="198"/>
      <w:bookmarkStart w:id="199" w:name="_Toc184310328"/>
      <w:bookmarkEnd w:id="199"/>
      <w:bookmarkStart w:id="200" w:name="_Toc184313273"/>
      <w:bookmarkEnd w:id="200"/>
      <w:bookmarkStart w:id="201" w:name="_Toc184310322"/>
      <w:bookmarkEnd w:id="201"/>
      <w:bookmarkStart w:id="202" w:name="_Toc184308085"/>
      <w:bookmarkEnd w:id="202"/>
      <w:bookmarkStart w:id="203" w:name="_Toc184314471"/>
      <w:bookmarkEnd w:id="203"/>
      <w:bookmarkStart w:id="204" w:name="_Toc184310306"/>
      <w:bookmarkEnd w:id="204"/>
      <w:bookmarkStart w:id="205" w:name="_Toc184312107"/>
      <w:bookmarkEnd w:id="205"/>
      <w:bookmarkStart w:id="206" w:name="_Toc184312077"/>
      <w:bookmarkEnd w:id="206"/>
      <w:bookmarkStart w:id="207" w:name="_Toc184314454"/>
      <w:bookmarkEnd w:id="207"/>
      <w:bookmarkStart w:id="208" w:name="_Toc184310310"/>
      <w:bookmarkEnd w:id="208"/>
      <w:bookmarkStart w:id="209" w:name="_Toc184312132"/>
      <w:bookmarkEnd w:id="209"/>
      <w:bookmarkStart w:id="210" w:name="_Toc184308054"/>
      <w:bookmarkEnd w:id="210"/>
      <w:bookmarkStart w:id="211" w:name="_Toc184312111"/>
      <w:bookmarkEnd w:id="211"/>
      <w:bookmarkStart w:id="212" w:name="_Toc184312120"/>
      <w:bookmarkEnd w:id="212"/>
      <w:bookmarkStart w:id="213" w:name="_Toc184312104"/>
      <w:bookmarkEnd w:id="213"/>
      <w:bookmarkStart w:id="214" w:name="_Toc184314427"/>
      <w:bookmarkEnd w:id="214"/>
      <w:bookmarkStart w:id="215" w:name="_Toc184308098"/>
      <w:bookmarkEnd w:id="215"/>
      <w:bookmarkStart w:id="216" w:name="_Toc184308062"/>
      <w:bookmarkEnd w:id="216"/>
      <w:bookmarkStart w:id="217" w:name="_Toc184308058"/>
      <w:bookmarkEnd w:id="217"/>
      <w:bookmarkStart w:id="218" w:name="_Toc184308080"/>
      <w:bookmarkEnd w:id="218"/>
      <w:bookmarkStart w:id="219" w:name="_Toc184312087"/>
      <w:bookmarkEnd w:id="219"/>
      <w:bookmarkStart w:id="220" w:name="_Toc184313292"/>
      <w:bookmarkEnd w:id="220"/>
      <w:bookmarkStart w:id="221" w:name="_Toc184312094"/>
      <w:bookmarkEnd w:id="221"/>
      <w:bookmarkStart w:id="222" w:name="_Toc184313289"/>
      <w:bookmarkEnd w:id="222"/>
      <w:bookmarkStart w:id="223" w:name="_Toc184313241"/>
      <w:bookmarkEnd w:id="223"/>
      <w:bookmarkStart w:id="224" w:name="_Toc184312096"/>
      <w:bookmarkEnd w:id="224"/>
      <w:bookmarkStart w:id="225" w:name="_Toc184314469"/>
      <w:bookmarkEnd w:id="225"/>
      <w:bookmarkStart w:id="226" w:name="_Toc184312117"/>
      <w:bookmarkEnd w:id="226"/>
      <w:bookmarkStart w:id="227" w:name="_Toc184314460"/>
      <w:bookmarkEnd w:id="227"/>
      <w:bookmarkStart w:id="228" w:name="_Toc184312139"/>
      <w:bookmarkEnd w:id="228"/>
      <w:bookmarkStart w:id="229" w:name="_Toc184314426"/>
      <w:bookmarkEnd w:id="229"/>
      <w:bookmarkStart w:id="230" w:name="_Toc184310279"/>
      <w:bookmarkEnd w:id="230"/>
      <w:bookmarkStart w:id="231" w:name="_Toc184314462"/>
      <w:bookmarkEnd w:id="231"/>
      <w:bookmarkStart w:id="232" w:name="_Toc184308106"/>
      <w:bookmarkEnd w:id="232"/>
      <w:bookmarkStart w:id="233" w:name="_Toc184310314"/>
      <w:bookmarkEnd w:id="233"/>
      <w:bookmarkStart w:id="234" w:name="_Toc184308037"/>
      <w:bookmarkEnd w:id="234"/>
      <w:bookmarkStart w:id="235" w:name="_Toc184313306"/>
      <w:bookmarkEnd w:id="235"/>
      <w:bookmarkStart w:id="236" w:name="_Toc184314434"/>
      <w:bookmarkEnd w:id="236"/>
      <w:bookmarkStart w:id="237" w:name="_Toc184312121"/>
      <w:bookmarkEnd w:id="237"/>
      <w:bookmarkStart w:id="238" w:name="_Toc184314474"/>
      <w:bookmarkEnd w:id="238"/>
      <w:bookmarkStart w:id="239" w:name="_Toc184310300"/>
      <w:bookmarkEnd w:id="239"/>
      <w:bookmarkStart w:id="240" w:name="_Toc184308090"/>
      <w:bookmarkEnd w:id="240"/>
      <w:bookmarkStart w:id="241" w:name="_Toc184310293"/>
      <w:bookmarkEnd w:id="241"/>
      <w:bookmarkStart w:id="242" w:name="_Toc184312110"/>
      <w:bookmarkEnd w:id="242"/>
      <w:bookmarkStart w:id="243" w:name="_Toc184312114"/>
      <w:bookmarkEnd w:id="243"/>
      <w:bookmarkStart w:id="244" w:name="_Toc184310272"/>
      <w:bookmarkEnd w:id="244"/>
      <w:bookmarkStart w:id="245" w:name="_Toc184308075"/>
      <w:bookmarkEnd w:id="245"/>
      <w:bookmarkStart w:id="246" w:name="_Toc184310319"/>
      <w:bookmarkEnd w:id="246"/>
      <w:bookmarkStart w:id="247" w:name="_Toc184313281"/>
      <w:bookmarkEnd w:id="247"/>
      <w:bookmarkStart w:id="248" w:name="_Toc184308091"/>
      <w:bookmarkEnd w:id="248"/>
      <w:bookmarkStart w:id="249" w:name="_Toc184314464"/>
      <w:bookmarkEnd w:id="249"/>
      <w:bookmarkStart w:id="250" w:name="_Toc184310320"/>
      <w:bookmarkEnd w:id="250"/>
      <w:bookmarkStart w:id="251" w:name="_Toc184312101"/>
      <w:bookmarkEnd w:id="251"/>
      <w:bookmarkStart w:id="252" w:name="_Toc184312068"/>
      <w:bookmarkEnd w:id="252"/>
      <w:bookmarkStart w:id="253" w:name="_Toc184310276"/>
      <w:bookmarkEnd w:id="253"/>
      <w:bookmarkStart w:id="254" w:name="_Toc184312076"/>
      <w:bookmarkEnd w:id="254"/>
      <w:bookmarkStart w:id="255" w:name="_Toc184310295"/>
      <w:bookmarkEnd w:id="255"/>
      <w:bookmarkStart w:id="256" w:name="_Toc184312126"/>
      <w:bookmarkEnd w:id="256"/>
      <w:bookmarkStart w:id="257" w:name="_Toc184312125"/>
      <w:bookmarkEnd w:id="257"/>
      <w:bookmarkStart w:id="258" w:name="_Toc184310324"/>
      <w:bookmarkEnd w:id="258"/>
      <w:bookmarkStart w:id="259" w:name="_Toc184313245"/>
      <w:bookmarkEnd w:id="259"/>
      <w:bookmarkStart w:id="260" w:name="_Toc184314457"/>
      <w:bookmarkEnd w:id="260"/>
      <w:bookmarkStart w:id="261" w:name="_Toc184308083"/>
      <w:bookmarkEnd w:id="261"/>
      <w:bookmarkStart w:id="262" w:name="_Toc184314437"/>
      <w:bookmarkEnd w:id="262"/>
      <w:bookmarkStart w:id="263" w:name="_Toc184313244"/>
      <w:bookmarkEnd w:id="263"/>
      <w:bookmarkStart w:id="264" w:name="_Toc184313265"/>
      <w:bookmarkEnd w:id="264"/>
      <w:bookmarkStart w:id="265" w:name="_Toc184313266"/>
      <w:bookmarkEnd w:id="265"/>
      <w:bookmarkStart w:id="266" w:name="_Toc184313301"/>
      <w:bookmarkEnd w:id="266"/>
      <w:bookmarkStart w:id="267" w:name="_Toc184314414"/>
      <w:bookmarkEnd w:id="267"/>
      <w:bookmarkStart w:id="268" w:name="_Toc184313267"/>
      <w:bookmarkEnd w:id="268"/>
      <w:bookmarkStart w:id="269" w:name="_Toc184314436"/>
      <w:bookmarkEnd w:id="269"/>
      <w:bookmarkStart w:id="270" w:name="_Toc184312090"/>
      <w:bookmarkEnd w:id="270"/>
      <w:bookmarkStart w:id="271" w:name="_Toc184310282"/>
      <w:bookmarkEnd w:id="271"/>
      <w:bookmarkStart w:id="272" w:name="_Toc184314476"/>
      <w:bookmarkEnd w:id="272"/>
      <w:bookmarkStart w:id="273" w:name="_Toc184314446"/>
      <w:bookmarkEnd w:id="273"/>
      <w:bookmarkStart w:id="274" w:name="_Toc184312067"/>
      <w:bookmarkEnd w:id="274"/>
      <w:bookmarkStart w:id="275" w:name="_Toc184314480"/>
      <w:bookmarkEnd w:id="275"/>
      <w:bookmarkStart w:id="276" w:name="_Toc184314422"/>
      <w:bookmarkEnd w:id="276"/>
      <w:bookmarkStart w:id="277" w:name="_Toc184312088"/>
      <w:bookmarkEnd w:id="277"/>
      <w:bookmarkStart w:id="278" w:name="_Toc184313302"/>
      <w:bookmarkEnd w:id="278"/>
      <w:bookmarkStart w:id="279" w:name="_Toc184308055"/>
      <w:bookmarkEnd w:id="279"/>
      <w:bookmarkStart w:id="280" w:name="_Toc184313270"/>
      <w:bookmarkEnd w:id="280"/>
      <w:bookmarkStart w:id="281" w:name="_Toc184314463"/>
      <w:bookmarkEnd w:id="281"/>
      <w:bookmarkStart w:id="282" w:name="_Toc184308040"/>
      <w:bookmarkEnd w:id="282"/>
      <w:bookmarkStart w:id="283" w:name="_Toc184310325"/>
      <w:bookmarkEnd w:id="283"/>
      <w:bookmarkStart w:id="284" w:name="_Toc184312075"/>
      <w:bookmarkEnd w:id="284"/>
      <w:bookmarkStart w:id="285" w:name="_Toc184314432"/>
      <w:bookmarkEnd w:id="285"/>
      <w:bookmarkStart w:id="286" w:name="_Toc184308099"/>
      <w:bookmarkEnd w:id="286"/>
      <w:bookmarkStart w:id="287" w:name="_Toc184308072"/>
      <w:bookmarkEnd w:id="287"/>
      <w:bookmarkStart w:id="288" w:name="_Toc184308057"/>
      <w:bookmarkEnd w:id="288"/>
      <w:bookmarkStart w:id="289" w:name="_Toc184308094"/>
      <w:bookmarkEnd w:id="289"/>
      <w:bookmarkStart w:id="290" w:name="_Toc184313242"/>
      <w:bookmarkEnd w:id="290"/>
      <w:bookmarkStart w:id="291" w:name="_Toc184308076"/>
      <w:bookmarkEnd w:id="291"/>
      <w:bookmarkStart w:id="292" w:name="_Toc184314415"/>
      <w:bookmarkEnd w:id="292"/>
      <w:bookmarkStart w:id="293" w:name="_Toc184308074"/>
      <w:bookmarkEnd w:id="293"/>
      <w:bookmarkStart w:id="294" w:name="_Toc184314438"/>
      <w:bookmarkEnd w:id="294"/>
      <w:bookmarkStart w:id="295" w:name="_Toc184308100"/>
      <w:bookmarkEnd w:id="295"/>
      <w:bookmarkStart w:id="296" w:name="_Toc184314424"/>
      <w:bookmarkEnd w:id="296"/>
      <w:bookmarkStart w:id="297" w:name="_Toc184314479"/>
      <w:bookmarkEnd w:id="297"/>
      <w:bookmarkStart w:id="298" w:name="_Toc184308064"/>
      <w:bookmarkEnd w:id="298"/>
      <w:bookmarkStart w:id="299" w:name="_Toc184312095"/>
      <w:bookmarkEnd w:id="299"/>
      <w:bookmarkStart w:id="300" w:name="_Toc184310304"/>
      <w:bookmarkEnd w:id="300"/>
      <w:bookmarkStart w:id="301" w:name="_Toc184312129"/>
      <w:bookmarkEnd w:id="301"/>
      <w:bookmarkStart w:id="302" w:name="_Toc184310273"/>
      <w:bookmarkEnd w:id="302"/>
      <w:bookmarkStart w:id="303" w:name="_Toc184313293"/>
      <w:bookmarkEnd w:id="303"/>
      <w:bookmarkStart w:id="304" w:name="_Toc184313278"/>
      <w:bookmarkEnd w:id="304"/>
      <w:bookmarkStart w:id="305" w:name="_Toc184312070"/>
      <w:bookmarkEnd w:id="305"/>
      <w:bookmarkStart w:id="306" w:name="_Toc184312119"/>
      <w:bookmarkEnd w:id="306"/>
      <w:bookmarkStart w:id="307" w:name="_Toc184314439"/>
      <w:bookmarkEnd w:id="307"/>
      <w:bookmarkStart w:id="308" w:name="_Toc184310342"/>
      <w:bookmarkEnd w:id="308"/>
      <w:bookmarkStart w:id="309" w:name="_Toc184314465"/>
      <w:bookmarkEnd w:id="309"/>
      <w:bookmarkStart w:id="310" w:name="_Toc184308087"/>
      <w:bookmarkEnd w:id="310"/>
      <w:bookmarkStart w:id="311" w:name="_Toc184310284"/>
      <w:bookmarkEnd w:id="311"/>
      <w:bookmarkStart w:id="312" w:name="_Toc184308069"/>
      <w:bookmarkEnd w:id="312"/>
      <w:bookmarkStart w:id="313" w:name="_Toc184308043"/>
      <w:bookmarkEnd w:id="313"/>
      <w:bookmarkStart w:id="314" w:name="_Toc184310341"/>
      <w:bookmarkEnd w:id="314"/>
      <w:bookmarkStart w:id="315" w:name="_Toc184310291"/>
      <w:bookmarkEnd w:id="315"/>
      <w:bookmarkStart w:id="316" w:name="_Toc184308051"/>
      <w:bookmarkEnd w:id="316"/>
      <w:bookmarkStart w:id="317" w:name="_Toc184312115"/>
      <w:bookmarkEnd w:id="317"/>
      <w:bookmarkStart w:id="318" w:name="_Toc184313252"/>
      <w:bookmarkEnd w:id="318"/>
      <w:bookmarkStart w:id="319" w:name="_Toc184314459"/>
      <w:bookmarkEnd w:id="319"/>
      <w:bookmarkStart w:id="320" w:name="_Toc184314412"/>
      <w:bookmarkEnd w:id="320"/>
      <w:bookmarkStart w:id="321" w:name="_Toc184314455"/>
      <w:bookmarkEnd w:id="321"/>
      <w:bookmarkStart w:id="322" w:name="_Toc184312098"/>
      <w:bookmarkEnd w:id="322"/>
      <w:bookmarkStart w:id="323" w:name="_Toc184313290"/>
      <w:bookmarkEnd w:id="323"/>
      <w:bookmarkStart w:id="324" w:name="_Toc184310329"/>
      <w:bookmarkEnd w:id="324"/>
      <w:bookmarkStart w:id="325" w:name="_Toc184312133"/>
      <w:bookmarkEnd w:id="325"/>
      <w:bookmarkStart w:id="326" w:name="_Toc184313304"/>
      <w:bookmarkEnd w:id="326"/>
      <w:bookmarkStart w:id="327" w:name="_Toc184310311"/>
      <w:bookmarkEnd w:id="327"/>
      <w:bookmarkStart w:id="328" w:name="_Toc184313305"/>
      <w:bookmarkEnd w:id="328"/>
      <w:bookmarkStart w:id="329" w:name="_Toc184312137"/>
      <w:bookmarkEnd w:id="329"/>
      <w:bookmarkStart w:id="330" w:name="_Toc184314443"/>
      <w:bookmarkEnd w:id="330"/>
      <w:bookmarkStart w:id="331" w:name="_Toc184312136"/>
      <w:bookmarkEnd w:id="331"/>
      <w:bookmarkStart w:id="332" w:name="_Toc184310307"/>
      <w:bookmarkEnd w:id="332"/>
      <w:bookmarkStart w:id="333" w:name="_Toc184314472"/>
      <w:bookmarkEnd w:id="333"/>
      <w:bookmarkStart w:id="334" w:name="_Toc184308042"/>
      <w:bookmarkEnd w:id="334"/>
      <w:bookmarkStart w:id="335" w:name="_Toc184314468"/>
      <w:bookmarkEnd w:id="335"/>
      <w:bookmarkStart w:id="336" w:name="_Toc184314411"/>
      <w:bookmarkEnd w:id="336"/>
      <w:bookmarkStart w:id="337" w:name="_Toc184308079"/>
      <w:bookmarkEnd w:id="337"/>
      <w:bookmarkStart w:id="338" w:name="_Toc184312138"/>
      <w:bookmarkEnd w:id="338"/>
      <w:bookmarkStart w:id="339" w:name="_Toc184310312"/>
      <w:bookmarkEnd w:id="339"/>
      <w:bookmarkStart w:id="340" w:name="_Toc184314429"/>
      <w:bookmarkEnd w:id="340"/>
      <w:bookmarkStart w:id="341" w:name="_Toc184312093"/>
      <w:bookmarkEnd w:id="341"/>
      <w:bookmarkStart w:id="342" w:name="_Toc184312122"/>
      <w:bookmarkEnd w:id="342"/>
      <w:bookmarkStart w:id="343" w:name="_Toc184314478"/>
      <w:bookmarkEnd w:id="343"/>
      <w:bookmarkStart w:id="344" w:name="_Toc184313262"/>
      <w:bookmarkEnd w:id="344"/>
      <w:bookmarkStart w:id="345" w:name="_Toc184308067"/>
      <w:bookmarkEnd w:id="345"/>
      <w:bookmarkStart w:id="346" w:name="_Toc184314419"/>
      <w:bookmarkEnd w:id="346"/>
      <w:bookmarkStart w:id="347" w:name="_Toc184308108"/>
      <w:bookmarkEnd w:id="347"/>
      <w:bookmarkStart w:id="348" w:name="_Toc184313257"/>
      <w:bookmarkEnd w:id="348"/>
      <w:bookmarkStart w:id="349" w:name="_Toc184308096"/>
      <w:bookmarkEnd w:id="349"/>
      <w:bookmarkStart w:id="350" w:name="_Toc184310340"/>
      <w:bookmarkEnd w:id="350"/>
      <w:bookmarkStart w:id="351" w:name="_Toc184310316"/>
      <w:bookmarkEnd w:id="351"/>
      <w:bookmarkStart w:id="352" w:name="_Toc184312084"/>
      <w:bookmarkEnd w:id="352"/>
      <w:bookmarkStart w:id="353" w:name="_Toc184312135"/>
      <w:bookmarkEnd w:id="353"/>
      <w:bookmarkStart w:id="354" w:name="_Toc184313261"/>
      <w:bookmarkEnd w:id="354"/>
      <w:bookmarkStart w:id="355" w:name="_Toc184313256"/>
      <w:bookmarkEnd w:id="355"/>
      <w:bookmarkStart w:id="356" w:name="_Toc184313263"/>
      <w:bookmarkEnd w:id="356"/>
      <w:bookmarkStart w:id="357" w:name="_Toc184312118"/>
      <w:bookmarkEnd w:id="357"/>
      <w:bookmarkStart w:id="358" w:name="_Toc184314448"/>
      <w:bookmarkEnd w:id="358"/>
      <w:bookmarkStart w:id="359" w:name="_Toc184310303"/>
      <w:bookmarkEnd w:id="359"/>
      <w:bookmarkStart w:id="360" w:name="_Toc184313309"/>
      <w:bookmarkEnd w:id="360"/>
      <w:bookmarkStart w:id="361" w:name="_Toc184313264"/>
      <w:bookmarkEnd w:id="361"/>
      <w:bookmarkStart w:id="362" w:name="_Toc184312085"/>
      <w:bookmarkEnd w:id="362"/>
      <w:bookmarkStart w:id="363" w:name="_Toc184310330"/>
      <w:bookmarkEnd w:id="363"/>
      <w:bookmarkStart w:id="364" w:name="_Toc184313294"/>
      <w:bookmarkEnd w:id="364"/>
      <w:bookmarkStart w:id="365" w:name="_Toc184310301"/>
      <w:bookmarkEnd w:id="365"/>
      <w:bookmarkStart w:id="366" w:name="_Toc184314482"/>
      <w:bookmarkEnd w:id="366"/>
      <w:bookmarkStart w:id="367" w:name="_Toc184310308"/>
      <w:bookmarkEnd w:id="367"/>
      <w:bookmarkStart w:id="368" w:name="_Toc184313268"/>
      <w:bookmarkEnd w:id="368"/>
      <w:bookmarkStart w:id="369" w:name="_Toc184313307"/>
      <w:bookmarkEnd w:id="369"/>
      <w:bookmarkStart w:id="370" w:name="_Toc184312097"/>
      <w:bookmarkEnd w:id="370"/>
      <w:bookmarkStart w:id="371" w:name="_Toc184308041"/>
      <w:bookmarkEnd w:id="371"/>
      <w:bookmarkStart w:id="372" w:name="_Toc184312099"/>
      <w:bookmarkEnd w:id="372"/>
      <w:bookmarkStart w:id="373" w:name="_Toc184308103"/>
      <w:bookmarkEnd w:id="373"/>
      <w:bookmarkStart w:id="374" w:name="_Toc184310287"/>
      <w:bookmarkEnd w:id="374"/>
      <w:bookmarkStart w:id="375" w:name="_Toc184314477"/>
      <w:bookmarkEnd w:id="375"/>
      <w:bookmarkStart w:id="376" w:name="_Toc184308104"/>
      <w:bookmarkEnd w:id="376"/>
      <w:bookmarkStart w:id="377" w:name="_Toc184313277"/>
      <w:bookmarkEnd w:id="377"/>
      <w:bookmarkStart w:id="378" w:name="_Toc184314442"/>
      <w:bookmarkEnd w:id="378"/>
      <w:bookmarkStart w:id="379" w:name="_Toc184313253"/>
      <w:bookmarkEnd w:id="379"/>
      <w:bookmarkStart w:id="380" w:name="_Toc184310283"/>
      <w:bookmarkEnd w:id="380"/>
      <w:bookmarkStart w:id="381" w:name="_Toc184312080"/>
      <w:bookmarkEnd w:id="381"/>
      <w:bookmarkStart w:id="382" w:name="_Toc184310318"/>
      <w:bookmarkEnd w:id="382"/>
      <w:bookmarkStart w:id="383" w:name="_Toc184310338"/>
      <w:bookmarkEnd w:id="383"/>
      <w:bookmarkStart w:id="384" w:name="_Toc184314458"/>
      <w:bookmarkEnd w:id="384"/>
      <w:bookmarkStart w:id="385" w:name="_Toc184310343"/>
      <w:bookmarkEnd w:id="385"/>
      <w:bookmarkStart w:id="386" w:name="_Toc184310344"/>
      <w:bookmarkEnd w:id="386"/>
      <w:bookmarkStart w:id="387" w:name="_Toc184308063"/>
      <w:bookmarkEnd w:id="387"/>
      <w:bookmarkStart w:id="388" w:name="_Toc184308053"/>
      <w:bookmarkEnd w:id="388"/>
      <w:bookmarkStart w:id="389" w:name="_Toc184310286"/>
      <w:bookmarkEnd w:id="389"/>
      <w:bookmarkStart w:id="390" w:name="_Toc184308084"/>
      <w:bookmarkEnd w:id="390"/>
      <w:bookmarkStart w:id="391" w:name="_Toc184313249"/>
      <w:bookmarkEnd w:id="391"/>
      <w:bookmarkStart w:id="392" w:name="_Toc184313303"/>
      <w:bookmarkEnd w:id="392"/>
      <w:bookmarkStart w:id="393" w:name="_Toc184313272"/>
      <w:bookmarkEnd w:id="393"/>
      <w:bookmarkStart w:id="394" w:name="_Toc184308107"/>
      <w:bookmarkEnd w:id="394"/>
      <w:bookmarkStart w:id="395" w:name="_Toc184314467"/>
      <w:bookmarkEnd w:id="395"/>
      <w:bookmarkStart w:id="396" w:name="_Toc184314413"/>
      <w:bookmarkEnd w:id="396"/>
      <w:bookmarkStart w:id="397" w:name="_Toc184313283"/>
      <w:bookmarkEnd w:id="397"/>
      <w:bookmarkStart w:id="398" w:name="_Toc184313287"/>
      <w:bookmarkEnd w:id="398"/>
      <w:bookmarkStart w:id="399" w:name="_Toc184312134"/>
      <w:bookmarkEnd w:id="399"/>
      <w:bookmarkStart w:id="400" w:name="_Toc184310323"/>
      <w:bookmarkEnd w:id="400"/>
      <w:bookmarkStart w:id="401" w:name="_Toc184313284"/>
      <w:bookmarkEnd w:id="401"/>
      <w:bookmarkStart w:id="402" w:name="_Toc184308081"/>
      <w:bookmarkEnd w:id="402"/>
      <w:bookmarkStart w:id="403" w:name="_Toc184310327"/>
      <w:bookmarkEnd w:id="403"/>
      <w:bookmarkStart w:id="404" w:name="_Toc184308092"/>
      <w:bookmarkEnd w:id="404"/>
      <w:bookmarkStart w:id="405" w:name="_Toc184312128"/>
      <w:bookmarkEnd w:id="405"/>
      <w:bookmarkStart w:id="406" w:name="_Toc184310297"/>
      <w:bookmarkEnd w:id="406"/>
      <w:r>
        <w:rPr>
          <w:rFonts w:hint="eastAsia" w:ascii="宋体" w:hAnsi="宋体" w:cs="宋体"/>
          <w:b/>
          <w:color w:val="auto"/>
          <w:sz w:val="36"/>
          <w:szCs w:val="36"/>
          <w:highlight w:val="none"/>
        </w:rPr>
        <w:t>评标办法</w:t>
      </w:r>
    </w:p>
    <w:p w14:paraId="7B16DC94">
      <w:pPr>
        <w:shd w:val="clea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评标办法前附表</w:t>
      </w:r>
      <w:bookmarkStart w:id="538" w:name="_GoBack"/>
      <w:bookmarkEnd w:id="538"/>
    </w:p>
    <w:tbl>
      <w:tblPr>
        <w:tblStyle w:val="65"/>
        <w:tblW w:w="91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3"/>
        <w:gridCol w:w="1231"/>
        <w:gridCol w:w="4366"/>
        <w:gridCol w:w="584"/>
        <w:gridCol w:w="866"/>
        <w:gridCol w:w="1475"/>
      </w:tblGrid>
      <w:tr w14:paraId="2CA6E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3" w:type="dxa"/>
            <w:vAlign w:val="center"/>
          </w:tcPr>
          <w:p w14:paraId="01FB3FE0">
            <w:pPr>
              <w:shd w:val="clear"/>
              <w:spacing w:line="240" w:lineRule="auto"/>
              <w:jc w:val="center"/>
              <w:outlineLvl w:val="0"/>
              <w:rPr>
                <w:rFonts w:hint="eastAsia" w:ascii="仿宋" w:hAnsi="仿宋" w:eastAsia="仿宋" w:cs="仿宋_GB2312"/>
                <w:color w:val="auto"/>
                <w:sz w:val="21"/>
                <w:szCs w:val="21"/>
                <w:highlight w:val="none"/>
              </w:rPr>
            </w:pPr>
            <w:r>
              <w:rPr>
                <w:rFonts w:hint="eastAsia" w:ascii="仿宋" w:hAnsi="仿宋" w:eastAsia="仿宋" w:cs="仿宋_GB2312"/>
                <w:color w:val="auto"/>
                <w:sz w:val="21"/>
                <w:szCs w:val="21"/>
                <w:highlight w:val="none"/>
              </w:rPr>
              <w:t>序号</w:t>
            </w:r>
          </w:p>
        </w:tc>
        <w:tc>
          <w:tcPr>
            <w:tcW w:w="1231" w:type="dxa"/>
            <w:vAlign w:val="center"/>
          </w:tcPr>
          <w:p w14:paraId="48B3209C">
            <w:pPr>
              <w:shd w:val="clear"/>
              <w:spacing w:line="240" w:lineRule="auto"/>
              <w:jc w:val="center"/>
              <w:outlineLvl w:val="0"/>
              <w:rPr>
                <w:rFonts w:hint="eastAsia" w:ascii="仿宋" w:hAnsi="仿宋" w:eastAsia="仿宋" w:cs="仿宋_GB2312"/>
                <w:color w:val="auto"/>
                <w:sz w:val="21"/>
                <w:szCs w:val="21"/>
                <w:highlight w:val="none"/>
              </w:rPr>
            </w:pPr>
            <w:r>
              <w:rPr>
                <w:rFonts w:hint="eastAsia" w:ascii="仿宋" w:hAnsi="仿宋" w:eastAsia="仿宋" w:cs="仿宋_GB2312"/>
                <w:color w:val="auto"/>
                <w:sz w:val="21"/>
                <w:szCs w:val="21"/>
                <w:highlight w:val="none"/>
              </w:rPr>
              <w:t>评分因素</w:t>
            </w:r>
          </w:p>
        </w:tc>
        <w:tc>
          <w:tcPr>
            <w:tcW w:w="4366" w:type="dxa"/>
            <w:vAlign w:val="center"/>
          </w:tcPr>
          <w:p w14:paraId="7970BD5C">
            <w:pPr>
              <w:shd w:val="clear"/>
              <w:spacing w:line="240" w:lineRule="auto"/>
              <w:jc w:val="center"/>
              <w:outlineLvl w:val="0"/>
              <w:rPr>
                <w:rFonts w:hint="eastAsia" w:ascii="仿宋" w:hAnsi="仿宋" w:eastAsia="仿宋" w:cs="仿宋_GB2312"/>
                <w:color w:val="auto"/>
                <w:sz w:val="21"/>
                <w:szCs w:val="21"/>
                <w:highlight w:val="none"/>
              </w:rPr>
            </w:pPr>
            <w:r>
              <w:rPr>
                <w:rFonts w:hint="eastAsia" w:ascii="仿宋" w:hAnsi="仿宋" w:eastAsia="仿宋" w:cs="仿宋_GB2312"/>
                <w:color w:val="auto"/>
                <w:sz w:val="21"/>
                <w:szCs w:val="21"/>
                <w:highlight w:val="none"/>
              </w:rPr>
              <w:t>评标标准</w:t>
            </w:r>
          </w:p>
        </w:tc>
        <w:tc>
          <w:tcPr>
            <w:tcW w:w="584" w:type="dxa"/>
            <w:vAlign w:val="center"/>
          </w:tcPr>
          <w:p w14:paraId="65ED57FB">
            <w:pPr>
              <w:shd w:val="clear"/>
              <w:spacing w:line="240" w:lineRule="auto"/>
              <w:jc w:val="center"/>
              <w:outlineLvl w:val="0"/>
              <w:rPr>
                <w:rFonts w:hint="eastAsia" w:ascii="仿宋" w:hAnsi="仿宋" w:eastAsia="仿宋" w:cs="仿宋_GB2312"/>
                <w:color w:val="auto"/>
                <w:sz w:val="21"/>
                <w:szCs w:val="21"/>
                <w:highlight w:val="none"/>
              </w:rPr>
            </w:pPr>
            <w:r>
              <w:rPr>
                <w:rFonts w:hint="eastAsia" w:ascii="仿宋" w:hAnsi="仿宋" w:eastAsia="仿宋" w:cs="仿宋_GB2312"/>
                <w:color w:val="auto"/>
                <w:sz w:val="21"/>
                <w:szCs w:val="21"/>
                <w:highlight w:val="none"/>
              </w:rPr>
              <w:t>权重</w:t>
            </w:r>
          </w:p>
        </w:tc>
        <w:tc>
          <w:tcPr>
            <w:tcW w:w="866" w:type="dxa"/>
            <w:vAlign w:val="center"/>
          </w:tcPr>
          <w:p w14:paraId="149605B1">
            <w:pPr>
              <w:shd w:val="clear"/>
              <w:spacing w:line="240" w:lineRule="auto"/>
              <w:jc w:val="center"/>
              <w:outlineLvl w:val="0"/>
              <w:rPr>
                <w:rFonts w:hint="eastAsia" w:ascii="仿宋" w:hAnsi="仿宋" w:eastAsia="仿宋" w:cs="仿宋_GB2312"/>
                <w:color w:val="auto"/>
                <w:sz w:val="21"/>
                <w:szCs w:val="21"/>
                <w:highlight w:val="none"/>
              </w:rPr>
            </w:pPr>
            <w:r>
              <w:rPr>
                <w:rFonts w:hint="eastAsia" w:ascii="仿宋" w:hAnsi="仿宋" w:eastAsia="仿宋" w:cs="仿宋_GB2312"/>
                <w:color w:val="auto"/>
                <w:sz w:val="21"/>
                <w:szCs w:val="21"/>
                <w:highlight w:val="none"/>
              </w:rPr>
              <w:t>主观分/客观分属性</w:t>
            </w:r>
          </w:p>
        </w:tc>
        <w:tc>
          <w:tcPr>
            <w:tcW w:w="1475" w:type="dxa"/>
            <w:vAlign w:val="center"/>
          </w:tcPr>
          <w:p w14:paraId="1ACBE38C">
            <w:pPr>
              <w:shd w:val="clear"/>
              <w:spacing w:line="240" w:lineRule="auto"/>
              <w:jc w:val="center"/>
              <w:outlineLvl w:val="0"/>
              <w:rPr>
                <w:rFonts w:hint="eastAsia" w:ascii="仿宋" w:hAnsi="仿宋" w:eastAsia="仿宋" w:cs="仿宋_GB2312"/>
                <w:color w:val="auto"/>
                <w:sz w:val="21"/>
                <w:szCs w:val="21"/>
                <w:highlight w:val="none"/>
              </w:rPr>
            </w:pPr>
            <w:r>
              <w:rPr>
                <w:rFonts w:hint="eastAsia" w:ascii="仿宋" w:hAnsi="仿宋" w:eastAsia="仿宋" w:cs="仿宋_GB2312"/>
                <w:color w:val="auto"/>
                <w:sz w:val="21"/>
                <w:szCs w:val="21"/>
                <w:highlight w:val="none"/>
              </w:rPr>
              <w:t>投标文件中评标标准相应的商务技术资料目录*</w:t>
            </w:r>
          </w:p>
        </w:tc>
      </w:tr>
      <w:tr w14:paraId="3694F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5" w:type="dxa"/>
            <w:gridSpan w:val="6"/>
            <w:vAlign w:val="center"/>
          </w:tcPr>
          <w:p w14:paraId="705285C8">
            <w:pPr>
              <w:shd w:val="clear"/>
              <w:spacing w:line="240" w:lineRule="auto"/>
              <w:jc w:val="left"/>
              <w:outlineLvl w:val="0"/>
              <w:rPr>
                <w:rFonts w:hint="eastAsia" w:ascii="仿宋" w:hAnsi="仿宋" w:eastAsia="仿宋" w:cs="仿宋_GB2312"/>
                <w:color w:val="auto"/>
                <w:sz w:val="21"/>
                <w:szCs w:val="21"/>
                <w:highlight w:val="none"/>
              </w:rPr>
            </w:pPr>
            <w:r>
              <w:rPr>
                <w:rFonts w:hint="eastAsia" w:ascii="仿宋" w:hAnsi="仿宋" w:eastAsia="仿宋" w:cs="仿宋_GB2312"/>
                <w:b/>
                <w:bCs/>
                <w:color w:val="auto"/>
                <w:sz w:val="21"/>
                <w:szCs w:val="21"/>
                <w:highlight w:val="none"/>
              </w:rPr>
              <w:t>一、商务资信</w:t>
            </w:r>
          </w:p>
        </w:tc>
      </w:tr>
      <w:tr w14:paraId="415D2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3" w:type="dxa"/>
            <w:vAlign w:val="center"/>
          </w:tcPr>
          <w:p w14:paraId="0AD687F7">
            <w:pPr>
              <w:shd w:val="clear"/>
              <w:spacing w:line="240" w:lineRule="auto"/>
              <w:jc w:val="center"/>
              <w:outlineLvl w:val="0"/>
              <w:rPr>
                <w:rFonts w:hint="eastAsia" w:ascii="仿宋" w:hAnsi="仿宋" w:eastAsia="仿宋" w:cs="仿宋_GB2312"/>
                <w:color w:val="auto"/>
                <w:sz w:val="21"/>
                <w:szCs w:val="21"/>
                <w:highlight w:val="none"/>
              </w:rPr>
            </w:pPr>
            <w:r>
              <w:rPr>
                <w:rFonts w:hint="eastAsia" w:ascii="仿宋" w:hAnsi="仿宋" w:eastAsia="仿宋" w:cs="仿宋_GB2312"/>
                <w:color w:val="auto"/>
                <w:sz w:val="21"/>
                <w:szCs w:val="21"/>
                <w:highlight w:val="none"/>
              </w:rPr>
              <w:t>1</w:t>
            </w:r>
          </w:p>
        </w:tc>
        <w:tc>
          <w:tcPr>
            <w:tcW w:w="1231" w:type="dxa"/>
            <w:vAlign w:val="center"/>
          </w:tcPr>
          <w:p w14:paraId="324F583C">
            <w:pPr>
              <w:shd w:val="clear"/>
              <w:spacing w:line="240" w:lineRule="auto"/>
              <w:jc w:val="center"/>
              <w:outlineLvl w:val="0"/>
              <w:rPr>
                <w:rFonts w:hint="eastAsia" w:ascii="仿宋" w:hAnsi="仿宋" w:eastAsia="仿宋" w:cs="仿宋_GB2312"/>
                <w:color w:val="auto"/>
                <w:sz w:val="21"/>
                <w:szCs w:val="21"/>
                <w:highlight w:val="none"/>
              </w:rPr>
            </w:pPr>
            <w:r>
              <w:rPr>
                <w:rFonts w:hint="eastAsia" w:ascii="仿宋" w:hAnsi="仿宋" w:eastAsia="仿宋" w:cs="仿宋_GB2312"/>
                <w:color w:val="auto"/>
                <w:sz w:val="21"/>
                <w:szCs w:val="21"/>
                <w:highlight w:val="none"/>
              </w:rPr>
              <w:t>投标人的管理体系</w:t>
            </w:r>
          </w:p>
        </w:tc>
        <w:tc>
          <w:tcPr>
            <w:tcW w:w="4366" w:type="dxa"/>
            <w:vAlign w:val="center"/>
          </w:tcPr>
          <w:p w14:paraId="7C459F89">
            <w:pPr>
              <w:shd w:val="clear"/>
              <w:spacing w:line="240" w:lineRule="auto"/>
              <w:jc w:val="left"/>
              <w:outlineLvl w:val="0"/>
              <w:rPr>
                <w:rFonts w:hint="eastAsia" w:ascii="仿宋" w:hAnsi="仿宋" w:eastAsia="仿宋" w:cs="仿宋_GB2312"/>
                <w:color w:val="auto"/>
                <w:sz w:val="21"/>
                <w:szCs w:val="21"/>
                <w:highlight w:val="none"/>
                <w:lang w:eastAsia="zh-CN"/>
              </w:rPr>
            </w:pPr>
            <w:r>
              <w:rPr>
                <w:rFonts w:hint="eastAsia" w:ascii="仿宋" w:hAnsi="仿宋" w:eastAsia="仿宋" w:cs="仿宋_GB2312"/>
                <w:color w:val="auto"/>
                <w:sz w:val="21"/>
                <w:szCs w:val="21"/>
                <w:highlight w:val="none"/>
              </w:rPr>
              <w:t>（1）投标人具有ISO9001质量管理体系认证的得1分；（2）投标人具有ISO27001环境管理体系认证证书得1分；（3）投标人具有AAA企业信用等级认证证书得1分</w:t>
            </w:r>
            <w:r>
              <w:rPr>
                <w:rFonts w:hint="eastAsia" w:ascii="仿宋" w:hAnsi="仿宋" w:eastAsia="仿宋" w:cs="仿宋_GB2312"/>
                <w:color w:val="auto"/>
                <w:sz w:val="21"/>
                <w:szCs w:val="21"/>
                <w:highlight w:val="none"/>
                <w:lang w:eastAsia="zh-CN"/>
              </w:rPr>
              <w:t>。</w:t>
            </w:r>
          </w:p>
          <w:p w14:paraId="614A2C0F">
            <w:pPr>
              <w:shd w:val="clear"/>
              <w:spacing w:line="240" w:lineRule="auto"/>
              <w:jc w:val="left"/>
              <w:outlineLvl w:val="0"/>
              <w:rPr>
                <w:rFonts w:hint="eastAsia" w:ascii="仿宋" w:hAnsi="仿宋" w:eastAsia="仿宋" w:cs="仿宋_GB2312"/>
                <w:color w:val="auto"/>
                <w:sz w:val="21"/>
                <w:szCs w:val="21"/>
                <w:highlight w:val="none"/>
              </w:rPr>
            </w:pPr>
            <w:r>
              <w:rPr>
                <w:rFonts w:hint="eastAsia" w:ascii="仿宋" w:hAnsi="仿宋" w:eastAsia="仿宋" w:cs="仿宋_GB2312"/>
                <w:b/>
                <w:bCs/>
                <w:color w:val="auto"/>
                <w:sz w:val="21"/>
                <w:szCs w:val="21"/>
                <w:highlight w:val="none"/>
              </w:rPr>
              <w:t>说明：须提供相关证书复印件且证书须在有效期内。</w:t>
            </w:r>
          </w:p>
        </w:tc>
        <w:tc>
          <w:tcPr>
            <w:tcW w:w="584" w:type="dxa"/>
            <w:vAlign w:val="center"/>
          </w:tcPr>
          <w:p w14:paraId="549667D0">
            <w:pPr>
              <w:shd w:val="clear"/>
              <w:spacing w:line="240" w:lineRule="auto"/>
              <w:jc w:val="center"/>
              <w:outlineLvl w:val="0"/>
              <w:rPr>
                <w:rFonts w:hint="eastAsia" w:ascii="仿宋" w:hAnsi="仿宋" w:eastAsia="仿宋" w:cs="仿宋_GB2312"/>
                <w:color w:val="auto"/>
                <w:sz w:val="21"/>
                <w:szCs w:val="21"/>
                <w:highlight w:val="none"/>
                <w:lang w:eastAsia="zh-CN"/>
              </w:rPr>
            </w:pPr>
            <w:r>
              <w:rPr>
                <w:rFonts w:hint="eastAsia" w:ascii="仿宋" w:hAnsi="仿宋" w:eastAsia="仿宋" w:cs="仿宋_GB2312"/>
                <w:color w:val="auto"/>
                <w:sz w:val="21"/>
                <w:szCs w:val="21"/>
                <w:highlight w:val="none"/>
              </w:rPr>
              <w:t>3</w:t>
            </w:r>
          </w:p>
        </w:tc>
        <w:tc>
          <w:tcPr>
            <w:tcW w:w="866" w:type="dxa"/>
            <w:vAlign w:val="center"/>
          </w:tcPr>
          <w:p w14:paraId="35B5E6DE">
            <w:pPr>
              <w:shd w:val="clear"/>
              <w:spacing w:line="240" w:lineRule="auto"/>
              <w:jc w:val="center"/>
              <w:outlineLvl w:val="0"/>
              <w:rPr>
                <w:rFonts w:hint="eastAsia" w:ascii="仿宋" w:hAnsi="仿宋" w:eastAsia="仿宋" w:cs="仿宋_GB2312"/>
                <w:color w:val="auto"/>
                <w:sz w:val="21"/>
                <w:szCs w:val="21"/>
                <w:highlight w:val="none"/>
              </w:rPr>
            </w:pPr>
            <w:r>
              <w:rPr>
                <w:rFonts w:hint="eastAsia" w:ascii="仿宋" w:hAnsi="仿宋" w:eastAsia="仿宋" w:cs="仿宋_GB2312"/>
                <w:color w:val="auto"/>
                <w:sz w:val="21"/>
                <w:szCs w:val="21"/>
                <w:highlight w:val="none"/>
              </w:rPr>
              <w:t>客观分</w:t>
            </w:r>
          </w:p>
        </w:tc>
        <w:tc>
          <w:tcPr>
            <w:tcW w:w="1475" w:type="dxa"/>
            <w:vAlign w:val="center"/>
          </w:tcPr>
          <w:p w14:paraId="2E92B9CA">
            <w:pPr>
              <w:shd w:val="clear"/>
              <w:spacing w:line="240" w:lineRule="auto"/>
              <w:jc w:val="center"/>
              <w:outlineLvl w:val="0"/>
              <w:rPr>
                <w:rFonts w:hint="eastAsia" w:ascii="仿宋" w:hAnsi="仿宋" w:eastAsia="仿宋" w:cs="仿宋_GB2312"/>
                <w:color w:val="auto"/>
                <w:sz w:val="21"/>
                <w:szCs w:val="21"/>
                <w:highlight w:val="none"/>
              </w:rPr>
            </w:pPr>
            <w:r>
              <w:rPr>
                <w:rFonts w:hint="eastAsia" w:ascii="仿宋" w:hAnsi="仿宋" w:eastAsia="仿宋" w:cs="仿宋_GB2312"/>
                <w:color w:val="auto"/>
                <w:sz w:val="21"/>
                <w:szCs w:val="21"/>
                <w:highlight w:val="none"/>
              </w:rPr>
              <w:t>投标人的管理体系</w:t>
            </w:r>
          </w:p>
        </w:tc>
      </w:tr>
      <w:tr w14:paraId="32A0B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3" w:type="dxa"/>
            <w:vAlign w:val="center"/>
          </w:tcPr>
          <w:p w14:paraId="44D02786">
            <w:pPr>
              <w:shd w:val="clear"/>
              <w:spacing w:line="240" w:lineRule="auto"/>
              <w:jc w:val="center"/>
              <w:outlineLvl w:val="0"/>
              <w:rPr>
                <w:rFonts w:hint="eastAsia" w:ascii="仿宋" w:hAnsi="仿宋" w:eastAsia="仿宋" w:cs="仿宋_GB2312"/>
                <w:color w:val="auto"/>
                <w:sz w:val="21"/>
                <w:szCs w:val="21"/>
                <w:highlight w:val="none"/>
              </w:rPr>
            </w:pPr>
            <w:r>
              <w:rPr>
                <w:rFonts w:hint="eastAsia" w:ascii="仿宋" w:hAnsi="仿宋" w:eastAsia="仿宋" w:cs="仿宋_GB2312"/>
                <w:color w:val="auto"/>
                <w:sz w:val="21"/>
                <w:szCs w:val="21"/>
                <w:highlight w:val="none"/>
              </w:rPr>
              <w:t>2</w:t>
            </w:r>
          </w:p>
        </w:tc>
        <w:tc>
          <w:tcPr>
            <w:tcW w:w="1231" w:type="dxa"/>
            <w:vAlign w:val="center"/>
          </w:tcPr>
          <w:p w14:paraId="747BC5FB">
            <w:pPr>
              <w:shd w:val="clear"/>
              <w:spacing w:line="240" w:lineRule="auto"/>
              <w:jc w:val="center"/>
              <w:outlineLvl w:val="0"/>
              <w:rPr>
                <w:rFonts w:hint="eastAsia" w:ascii="仿宋" w:hAnsi="仿宋" w:eastAsia="仿宋" w:cs="仿宋_GB2312"/>
                <w:color w:val="auto"/>
                <w:sz w:val="21"/>
                <w:szCs w:val="21"/>
                <w:highlight w:val="none"/>
              </w:rPr>
            </w:pPr>
            <w:r>
              <w:rPr>
                <w:rFonts w:hint="eastAsia" w:ascii="仿宋" w:hAnsi="仿宋" w:eastAsia="仿宋" w:cs="仿宋_GB2312"/>
                <w:color w:val="auto"/>
                <w:sz w:val="21"/>
                <w:szCs w:val="21"/>
                <w:highlight w:val="none"/>
              </w:rPr>
              <w:t>投标人的业绩情况</w:t>
            </w:r>
          </w:p>
        </w:tc>
        <w:tc>
          <w:tcPr>
            <w:tcW w:w="4366" w:type="dxa"/>
            <w:vAlign w:val="center"/>
          </w:tcPr>
          <w:p w14:paraId="79BECC1C">
            <w:pPr>
              <w:shd w:val="clear"/>
              <w:spacing w:line="240" w:lineRule="auto"/>
              <w:jc w:val="left"/>
              <w:outlineLvl w:val="0"/>
              <w:rPr>
                <w:rFonts w:hint="eastAsia" w:ascii="仿宋" w:hAnsi="仿宋" w:eastAsia="仿宋" w:cs="仿宋_GB2312"/>
                <w:color w:val="auto"/>
                <w:sz w:val="21"/>
                <w:szCs w:val="21"/>
                <w:highlight w:val="none"/>
              </w:rPr>
            </w:pPr>
            <w:r>
              <w:rPr>
                <w:rFonts w:hint="eastAsia" w:ascii="仿宋" w:hAnsi="仿宋" w:eastAsia="仿宋" w:cs="仿宋_GB2312"/>
                <w:color w:val="auto"/>
                <w:sz w:val="21"/>
                <w:szCs w:val="21"/>
                <w:highlight w:val="none"/>
              </w:rPr>
              <w:t>投标人202</w:t>
            </w:r>
            <w:r>
              <w:rPr>
                <w:rFonts w:hint="eastAsia" w:ascii="仿宋" w:hAnsi="仿宋" w:eastAsia="仿宋" w:cs="仿宋_GB2312"/>
                <w:color w:val="auto"/>
                <w:sz w:val="21"/>
                <w:szCs w:val="21"/>
                <w:highlight w:val="none"/>
                <w:lang w:val="en-US" w:eastAsia="zh-CN"/>
              </w:rPr>
              <w:t>1</w:t>
            </w:r>
            <w:r>
              <w:rPr>
                <w:rFonts w:hint="eastAsia" w:ascii="仿宋" w:hAnsi="仿宋" w:eastAsia="仿宋" w:cs="仿宋_GB2312"/>
                <w:color w:val="auto"/>
                <w:sz w:val="21"/>
                <w:szCs w:val="21"/>
                <w:highlight w:val="none"/>
              </w:rPr>
              <w:t>年</w:t>
            </w:r>
            <w:r>
              <w:rPr>
                <w:rFonts w:hint="eastAsia" w:ascii="仿宋" w:hAnsi="仿宋" w:eastAsia="仿宋" w:cs="仿宋_GB2312"/>
                <w:color w:val="auto"/>
                <w:sz w:val="21"/>
                <w:szCs w:val="21"/>
                <w:highlight w:val="none"/>
                <w:lang w:val="en-US" w:eastAsia="zh-CN"/>
              </w:rPr>
              <w:t>7</w:t>
            </w:r>
            <w:r>
              <w:rPr>
                <w:rFonts w:hint="eastAsia" w:ascii="仿宋" w:hAnsi="仿宋" w:eastAsia="仿宋" w:cs="仿宋_GB2312"/>
                <w:color w:val="auto"/>
                <w:sz w:val="21"/>
                <w:szCs w:val="21"/>
                <w:highlight w:val="none"/>
              </w:rPr>
              <w:t>月1日（合同签订时间为准）至今承担的政务信息化项目业绩情况，每个得</w:t>
            </w:r>
            <w:r>
              <w:rPr>
                <w:rFonts w:hint="eastAsia" w:ascii="仿宋" w:hAnsi="仿宋" w:eastAsia="仿宋" w:cs="仿宋_GB2312"/>
                <w:color w:val="auto"/>
                <w:sz w:val="21"/>
                <w:szCs w:val="21"/>
                <w:highlight w:val="none"/>
                <w:lang w:val="en-US" w:eastAsia="zh-CN"/>
              </w:rPr>
              <w:t>0.5</w:t>
            </w:r>
            <w:r>
              <w:rPr>
                <w:rFonts w:hint="eastAsia" w:ascii="仿宋" w:hAnsi="仿宋" w:eastAsia="仿宋" w:cs="仿宋_GB2312"/>
                <w:color w:val="auto"/>
                <w:sz w:val="21"/>
                <w:szCs w:val="21"/>
                <w:highlight w:val="none"/>
              </w:rPr>
              <w:t>分。本项最高得</w:t>
            </w:r>
            <w:r>
              <w:rPr>
                <w:rFonts w:hint="eastAsia" w:ascii="仿宋" w:hAnsi="仿宋" w:eastAsia="仿宋" w:cs="仿宋_GB2312"/>
                <w:color w:val="auto"/>
                <w:sz w:val="21"/>
                <w:szCs w:val="21"/>
                <w:highlight w:val="none"/>
                <w:lang w:val="en-US" w:eastAsia="zh-CN"/>
              </w:rPr>
              <w:t>1</w:t>
            </w:r>
            <w:r>
              <w:rPr>
                <w:rFonts w:hint="eastAsia" w:ascii="仿宋" w:hAnsi="仿宋" w:eastAsia="仿宋" w:cs="仿宋_GB2312"/>
                <w:color w:val="auto"/>
                <w:sz w:val="21"/>
                <w:szCs w:val="21"/>
                <w:highlight w:val="none"/>
              </w:rPr>
              <w:t>分。</w:t>
            </w:r>
          </w:p>
          <w:p w14:paraId="0B17CAEC">
            <w:pPr>
              <w:shd w:val="clear"/>
              <w:spacing w:line="240" w:lineRule="auto"/>
              <w:jc w:val="left"/>
              <w:outlineLvl w:val="0"/>
              <w:rPr>
                <w:rFonts w:hint="eastAsia" w:ascii="仿宋" w:hAnsi="仿宋" w:eastAsia="仿宋" w:cs="仿宋_GB2312"/>
                <w:color w:val="auto"/>
                <w:sz w:val="21"/>
                <w:szCs w:val="21"/>
                <w:highlight w:val="none"/>
              </w:rPr>
            </w:pPr>
            <w:r>
              <w:rPr>
                <w:rFonts w:hint="eastAsia" w:ascii="仿宋" w:hAnsi="仿宋" w:eastAsia="仿宋" w:cs="仿宋_GB2312"/>
                <w:b/>
                <w:bCs/>
                <w:color w:val="auto"/>
                <w:sz w:val="21"/>
                <w:szCs w:val="21"/>
                <w:highlight w:val="none"/>
              </w:rPr>
              <w:t>说明：在投标文件中提供项目的合同及中标通知书复印件，未提供或不符合以上条件不得分。</w:t>
            </w:r>
          </w:p>
        </w:tc>
        <w:tc>
          <w:tcPr>
            <w:tcW w:w="584" w:type="dxa"/>
            <w:vAlign w:val="center"/>
          </w:tcPr>
          <w:p w14:paraId="46F80B1D">
            <w:pPr>
              <w:shd w:val="clear"/>
              <w:spacing w:line="240" w:lineRule="auto"/>
              <w:jc w:val="center"/>
              <w:outlineLvl w:val="0"/>
              <w:rPr>
                <w:rFonts w:hint="eastAsia" w:ascii="仿宋" w:hAnsi="仿宋" w:eastAsia="仿宋" w:cs="仿宋_GB2312"/>
                <w:color w:val="auto"/>
                <w:sz w:val="21"/>
                <w:szCs w:val="21"/>
                <w:highlight w:val="none"/>
                <w:lang w:eastAsia="zh-CN"/>
              </w:rPr>
            </w:pPr>
            <w:r>
              <w:rPr>
                <w:rFonts w:hint="eastAsia" w:ascii="仿宋" w:hAnsi="仿宋" w:eastAsia="仿宋" w:cs="仿宋_GB2312"/>
                <w:color w:val="auto"/>
                <w:sz w:val="21"/>
                <w:szCs w:val="21"/>
                <w:highlight w:val="none"/>
                <w:lang w:val="en-US" w:eastAsia="zh-CN"/>
              </w:rPr>
              <w:t>1</w:t>
            </w:r>
          </w:p>
        </w:tc>
        <w:tc>
          <w:tcPr>
            <w:tcW w:w="866" w:type="dxa"/>
            <w:vAlign w:val="center"/>
          </w:tcPr>
          <w:p w14:paraId="33BC991A">
            <w:pPr>
              <w:shd w:val="clear"/>
              <w:spacing w:line="240" w:lineRule="auto"/>
              <w:jc w:val="center"/>
              <w:outlineLvl w:val="0"/>
              <w:rPr>
                <w:rFonts w:hint="eastAsia" w:ascii="仿宋" w:hAnsi="仿宋" w:eastAsia="仿宋" w:cs="仿宋_GB2312"/>
                <w:color w:val="auto"/>
                <w:sz w:val="21"/>
                <w:szCs w:val="21"/>
                <w:highlight w:val="none"/>
              </w:rPr>
            </w:pPr>
            <w:r>
              <w:rPr>
                <w:rFonts w:hint="eastAsia" w:ascii="仿宋" w:hAnsi="仿宋" w:eastAsia="仿宋" w:cs="仿宋_GB2312"/>
                <w:color w:val="auto"/>
                <w:sz w:val="21"/>
                <w:szCs w:val="21"/>
                <w:highlight w:val="none"/>
              </w:rPr>
              <w:t>客观分</w:t>
            </w:r>
          </w:p>
        </w:tc>
        <w:tc>
          <w:tcPr>
            <w:tcW w:w="1475" w:type="dxa"/>
            <w:vAlign w:val="center"/>
          </w:tcPr>
          <w:p w14:paraId="21B2680F">
            <w:pPr>
              <w:shd w:val="clear"/>
              <w:spacing w:line="240" w:lineRule="auto"/>
              <w:jc w:val="center"/>
              <w:outlineLvl w:val="0"/>
              <w:rPr>
                <w:rFonts w:hint="eastAsia" w:ascii="仿宋" w:hAnsi="仿宋" w:eastAsia="仿宋" w:cs="仿宋_GB2312"/>
                <w:color w:val="auto"/>
                <w:sz w:val="21"/>
                <w:szCs w:val="21"/>
                <w:highlight w:val="none"/>
              </w:rPr>
            </w:pPr>
            <w:r>
              <w:rPr>
                <w:rFonts w:hint="eastAsia" w:ascii="仿宋" w:hAnsi="仿宋" w:eastAsia="仿宋" w:cs="仿宋_GB2312"/>
                <w:color w:val="auto"/>
                <w:sz w:val="21"/>
                <w:szCs w:val="21"/>
                <w:highlight w:val="none"/>
              </w:rPr>
              <w:t>投标人的业绩情况</w:t>
            </w:r>
          </w:p>
        </w:tc>
      </w:tr>
      <w:tr w14:paraId="60120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5" w:type="dxa"/>
            <w:gridSpan w:val="6"/>
            <w:vAlign w:val="center"/>
          </w:tcPr>
          <w:p w14:paraId="6302D06C">
            <w:pPr>
              <w:shd w:val="clear"/>
              <w:spacing w:line="240" w:lineRule="auto"/>
              <w:jc w:val="left"/>
              <w:outlineLvl w:val="0"/>
              <w:rPr>
                <w:rFonts w:hint="eastAsia" w:ascii="仿宋" w:hAnsi="仿宋" w:eastAsia="仿宋" w:cs="仿宋_GB2312"/>
                <w:color w:val="auto"/>
                <w:sz w:val="21"/>
                <w:szCs w:val="21"/>
                <w:highlight w:val="none"/>
              </w:rPr>
            </w:pPr>
            <w:r>
              <w:rPr>
                <w:rFonts w:hint="eastAsia" w:ascii="仿宋" w:hAnsi="仿宋" w:eastAsia="仿宋" w:cs="仿宋_GB2312"/>
                <w:b/>
                <w:bCs/>
                <w:color w:val="auto"/>
                <w:sz w:val="21"/>
                <w:szCs w:val="21"/>
                <w:highlight w:val="none"/>
              </w:rPr>
              <w:t>二、技术服务</w:t>
            </w:r>
          </w:p>
        </w:tc>
      </w:tr>
      <w:tr w14:paraId="6C1AA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3" w:type="dxa"/>
            <w:vAlign w:val="center"/>
          </w:tcPr>
          <w:p w14:paraId="7001A2C7">
            <w:pPr>
              <w:shd w:val="clear"/>
              <w:spacing w:line="240" w:lineRule="auto"/>
              <w:jc w:val="center"/>
              <w:outlineLvl w:val="0"/>
              <w:rPr>
                <w:rFonts w:hint="eastAsia" w:ascii="仿宋" w:hAnsi="仿宋" w:eastAsia="仿宋" w:cs="仿宋_GB2312"/>
                <w:color w:val="auto"/>
                <w:sz w:val="21"/>
                <w:szCs w:val="21"/>
                <w:highlight w:val="none"/>
              </w:rPr>
            </w:pPr>
            <w:r>
              <w:rPr>
                <w:rFonts w:hint="eastAsia" w:ascii="仿宋" w:hAnsi="仿宋" w:eastAsia="仿宋" w:cs="仿宋_GB2312"/>
                <w:color w:val="auto"/>
                <w:sz w:val="21"/>
                <w:szCs w:val="21"/>
                <w:highlight w:val="none"/>
              </w:rPr>
              <w:t>3</w:t>
            </w:r>
          </w:p>
        </w:tc>
        <w:tc>
          <w:tcPr>
            <w:tcW w:w="1231" w:type="dxa"/>
            <w:vAlign w:val="center"/>
          </w:tcPr>
          <w:p w14:paraId="32CFDF1C">
            <w:pPr>
              <w:shd w:val="clear"/>
              <w:spacing w:line="240" w:lineRule="auto"/>
              <w:jc w:val="center"/>
              <w:outlineLvl w:val="0"/>
              <w:rPr>
                <w:rFonts w:hint="eastAsia" w:ascii="仿宋" w:hAnsi="仿宋" w:eastAsia="仿宋" w:cs="仿宋_GB2312"/>
                <w:color w:val="auto"/>
                <w:sz w:val="21"/>
                <w:szCs w:val="21"/>
                <w:highlight w:val="none"/>
              </w:rPr>
            </w:pPr>
            <w:r>
              <w:rPr>
                <w:rFonts w:hint="eastAsia" w:ascii="仿宋" w:hAnsi="仿宋" w:eastAsia="仿宋" w:cs="仿宋_GB2312"/>
                <w:color w:val="auto"/>
                <w:sz w:val="21"/>
                <w:szCs w:val="21"/>
                <w:highlight w:val="none"/>
              </w:rPr>
              <w:t>投标方案的科学性和完整性</w:t>
            </w:r>
          </w:p>
        </w:tc>
        <w:tc>
          <w:tcPr>
            <w:tcW w:w="4366" w:type="dxa"/>
            <w:vAlign w:val="center"/>
          </w:tcPr>
          <w:p w14:paraId="6BC57235">
            <w:pPr>
              <w:shd w:val="clear"/>
              <w:spacing w:line="240" w:lineRule="auto"/>
              <w:jc w:val="left"/>
              <w:outlineLvl w:val="0"/>
              <w:rPr>
                <w:rFonts w:hint="eastAsia" w:ascii="仿宋" w:hAnsi="仿宋" w:eastAsia="仿宋" w:cs="仿宋_GB2312"/>
                <w:color w:val="auto"/>
                <w:sz w:val="21"/>
                <w:szCs w:val="21"/>
                <w:highlight w:val="none"/>
              </w:rPr>
            </w:pPr>
            <w:r>
              <w:rPr>
                <w:rFonts w:hint="eastAsia" w:ascii="仿宋" w:hAnsi="仿宋" w:eastAsia="仿宋" w:cs="仿宋_GB2312"/>
                <w:color w:val="auto"/>
                <w:sz w:val="21"/>
                <w:szCs w:val="21"/>
                <w:highlight w:val="none"/>
              </w:rPr>
              <w:t>（1）投标方案符合本项目建设总体规划、总体要求，系统必须具有实用性。完全满足要求得3分，部分满足得2分，不满足不得分。本项最高得3分。</w:t>
            </w:r>
          </w:p>
          <w:p w14:paraId="5384934E">
            <w:pPr>
              <w:shd w:val="clear"/>
              <w:spacing w:line="240" w:lineRule="auto"/>
              <w:jc w:val="left"/>
              <w:outlineLvl w:val="0"/>
              <w:rPr>
                <w:rFonts w:hint="eastAsia" w:ascii="仿宋" w:hAnsi="仿宋" w:eastAsia="仿宋" w:cs="仿宋_GB2312"/>
                <w:color w:val="auto"/>
                <w:sz w:val="21"/>
                <w:szCs w:val="21"/>
                <w:highlight w:val="none"/>
              </w:rPr>
            </w:pPr>
            <w:r>
              <w:rPr>
                <w:rFonts w:hint="eastAsia" w:ascii="仿宋" w:hAnsi="仿宋" w:eastAsia="仿宋" w:cs="仿宋_GB2312"/>
                <w:color w:val="auto"/>
                <w:sz w:val="21"/>
                <w:szCs w:val="21"/>
                <w:highlight w:val="none"/>
              </w:rPr>
              <w:t>（2）投标方案总体设计、建设方案和软件开发等，详细阐述系统的体系架构、数据结构、实现思路和关键技术，提出具体可行的实施方案，根据提供的方案内容进行评分。完全满足要求得3分，部分满足得2分，不满足不得分。本项最高得3分。</w:t>
            </w:r>
          </w:p>
          <w:p w14:paraId="5B3085D2">
            <w:pPr>
              <w:shd w:val="clear"/>
              <w:spacing w:line="240" w:lineRule="auto"/>
              <w:jc w:val="left"/>
              <w:outlineLvl w:val="0"/>
              <w:rPr>
                <w:rFonts w:hint="eastAsia" w:ascii="仿宋" w:hAnsi="仿宋" w:eastAsia="仿宋" w:cs="仿宋_GB2312"/>
                <w:color w:val="auto"/>
                <w:sz w:val="21"/>
                <w:szCs w:val="21"/>
                <w:highlight w:val="none"/>
                <w:lang w:val="en-US" w:eastAsia="zh-CN"/>
              </w:rPr>
            </w:pPr>
            <w:r>
              <w:rPr>
                <w:rFonts w:hint="eastAsia" w:ascii="仿宋" w:hAnsi="仿宋" w:eastAsia="仿宋" w:cs="仿宋_GB2312"/>
                <w:color w:val="auto"/>
                <w:sz w:val="21"/>
                <w:szCs w:val="21"/>
                <w:highlight w:val="none"/>
              </w:rPr>
              <w:t>（3）投标人是否全面熟知平台系统的相关标准、准则、要求、要素；完全满足要求得3分，部分满足得2分，不满足不得分。本项最高得3分。</w:t>
            </w:r>
          </w:p>
        </w:tc>
        <w:tc>
          <w:tcPr>
            <w:tcW w:w="584" w:type="dxa"/>
            <w:vAlign w:val="center"/>
          </w:tcPr>
          <w:p w14:paraId="31CD28ED">
            <w:pPr>
              <w:shd w:val="clear"/>
              <w:spacing w:line="240" w:lineRule="auto"/>
              <w:jc w:val="center"/>
              <w:outlineLvl w:val="0"/>
              <w:rPr>
                <w:rFonts w:hint="eastAsia" w:ascii="仿宋" w:hAnsi="仿宋" w:eastAsia="仿宋" w:cs="仿宋_GB2312"/>
                <w:color w:val="auto"/>
                <w:sz w:val="21"/>
                <w:szCs w:val="21"/>
                <w:highlight w:val="none"/>
              </w:rPr>
            </w:pPr>
            <w:r>
              <w:rPr>
                <w:rFonts w:hint="eastAsia" w:ascii="仿宋" w:hAnsi="仿宋" w:eastAsia="仿宋" w:cs="仿宋_GB2312"/>
                <w:color w:val="auto"/>
                <w:sz w:val="21"/>
                <w:szCs w:val="21"/>
                <w:highlight w:val="none"/>
                <w:lang w:val="en-US" w:eastAsia="zh-CN"/>
              </w:rPr>
              <w:t>9</w:t>
            </w:r>
          </w:p>
        </w:tc>
        <w:tc>
          <w:tcPr>
            <w:tcW w:w="866" w:type="dxa"/>
            <w:vAlign w:val="center"/>
          </w:tcPr>
          <w:p w14:paraId="49993CEE">
            <w:pPr>
              <w:shd w:val="clear"/>
              <w:spacing w:line="240" w:lineRule="auto"/>
              <w:jc w:val="center"/>
              <w:outlineLvl w:val="0"/>
              <w:rPr>
                <w:rFonts w:hint="eastAsia" w:ascii="仿宋" w:hAnsi="仿宋" w:eastAsia="仿宋" w:cs="仿宋_GB2312"/>
                <w:color w:val="auto"/>
                <w:sz w:val="21"/>
                <w:szCs w:val="21"/>
                <w:highlight w:val="none"/>
              </w:rPr>
            </w:pPr>
            <w:r>
              <w:rPr>
                <w:rFonts w:hint="eastAsia" w:ascii="仿宋" w:hAnsi="仿宋" w:eastAsia="仿宋" w:cs="仿宋_GB2312"/>
                <w:color w:val="auto"/>
                <w:sz w:val="21"/>
                <w:szCs w:val="21"/>
                <w:highlight w:val="none"/>
              </w:rPr>
              <w:t>主观分</w:t>
            </w:r>
          </w:p>
        </w:tc>
        <w:tc>
          <w:tcPr>
            <w:tcW w:w="1475" w:type="dxa"/>
            <w:vAlign w:val="center"/>
          </w:tcPr>
          <w:p w14:paraId="7DD1DAB4">
            <w:pPr>
              <w:shd w:val="clear"/>
              <w:spacing w:line="240" w:lineRule="auto"/>
              <w:jc w:val="center"/>
              <w:outlineLvl w:val="0"/>
              <w:rPr>
                <w:rFonts w:hint="eastAsia" w:ascii="仿宋" w:hAnsi="仿宋" w:eastAsia="仿宋" w:cs="仿宋_GB2312"/>
                <w:color w:val="auto"/>
                <w:sz w:val="21"/>
                <w:szCs w:val="21"/>
                <w:highlight w:val="none"/>
              </w:rPr>
            </w:pPr>
            <w:r>
              <w:rPr>
                <w:rFonts w:hint="eastAsia" w:ascii="仿宋" w:hAnsi="仿宋" w:eastAsia="仿宋" w:cs="仿宋_GB2312"/>
                <w:color w:val="auto"/>
                <w:sz w:val="21"/>
                <w:szCs w:val="21"/>
                <w:highlight w:val="none"/>
              </w:rPr>
              <w:t>投标方案</w:t>
            </w:r>
          </w:p>
        </w:tc>
      </w:tr>
      <w:tr w14:paraId="1F6A9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3" w:type="dxa"/>
            <w:vMerge w:val="restart"/>
            <w:vAlign w:val="center"/>
          </w:tcPr>
          <w:p w14:paraId="1436DDD6">
            <w:pPr>
              <w:keepNext w:val="0"/>
              <w:keepLines w:val="0"/>
              <w:pageBreakBefore w:val="0"/>
              <w:widowControl w:val="0"/>
              <w:shd w:val="clear"/>
              <w:kinsoku/>
              <w:wordWrap/>
              <w:overflowPunct/>
              <w:topLinePunct w:val="0"/>
              <w:autoSpaceDE/>
              <w:autoSpaceDN/>
              <w:bidi w:val="0"/>
              <w:adjustRightInd w:val="0"/>
              <w:snapToGrid w:val="0"/>
              <w:spacing w:line="240" w:lineRule="auto"/>
              <w:jc w:val="center"/>
              <w:textAlignment w:val="auto"/>
              <w:outlineLvl w:val="0"/>
              <w:rPr>
                <w:rFonts w:hint="eastAsia" w:ascii="仿宋" w:hAnsi="仿宋" w:eastAsia="仿宋" w:cs="仿宋_GB2312"/>
                <w:color w:val="auto"/>
                <w:sz w:val="21"/>
                <w:szCs w:val="21"/>
                <w:highlight w:val="none"/>
                <w:lang w:val="en-US" w:eastAsia="zh-CN"/>
              </w:rPr>
            </w:pPr>
            <w:r>
              <w:rPr>
                <w:rFonts w:hint="eastAsia" w:ascii="仿宋" w:hAnsi="仿宋" w:eastAsia="仿宋" w:cs="仿宋_GB2312"/>
                <w:color w:val="auto"/>
                <w:sz w:val="21"/>
                <w:szCs w:val="21"/>
                <w:highlight w:val="none"/>
                <w:lang w:val="en-US" w:eastAsia="zh-CN"/>
              </w:rPr>
              <w:t>4</w:t>
            </w:r>
          </w:p>
        </w:tc>
        <w:tc>
          <w:tcPr>
            <w:tcW w:w="1231" w:type="dxa"/>
            <w:vMerge w:val="restart"/>
            <w:vAlign w:val="center"/>
          </w:tcPr>
          <w:p w14:paraId="048D311C">
            <w:pPr>
              <w:keepNext w:val="0"/>
              <w:keepLines w:val="0"/>
              <w:pageBreakBefore w:val="0"/>
              <w:widowControl w:val="0"/>
              <w:shd w:val="clear"/>
              <w:kinsoku/>
              <w:wordWrap/>
              <w:overflowPunct/>
              <w:topLinePunct w:val="0"/>
              <w:autoSpaceDE/>
              <w:autoSpaceDN/>
              <w:bidi w:val="0"/>
              <w:adjustRightInd w:val="0"/>
              <w:snapToGrid w:val="0"/>
              <w:spacing w:line="240" w:lineRule="auto"/>
              <w:jc w:val="center"/>
              <w:textAlignment w:val="auto"/>
              <w:outlineLvl w:val="0"/>
              <w:rPr>
                <w:rFonts w:hint="eastAsia" w:ascii="仿宋" w:hAnsi="仿宋" w:eastAsia="仿宋" w:cs="仿宋_GB2312"/>
                <w:color w:val="auto"/>
                <w:sz w:val="21"/>
                <w:szCs w:val="21"/>
                <w:highlight w:val="none"/>
              </w:rPr>
            </w:pPr>
            <w:r>
              <w:rPr>
                <w:rFonts w:hint="eastAsia" w:ascii="仿宋" w:hAnsi="仿宋" w:eastAsia="仿宋" w:cs="仿宋_GB2312"/>
                <w:color w:val="auto"/>
                <w:sz w:val="21"/>
                <w:szCs w:val="21"/>
                <w:highlight w:val="none"/>
              </w:rPr>
              <w:t>投标方案与软件开发功能的吻合程度</w:t>
            </w:r>
          </w:p>
        </w:tc>
        <w:tc>
          <w:tcPr>
            <w:tcW w:w="4366" w:type="dxa"/>
            <w:vAlign w:val="center"/>
          </w:tcPr>
          <w:p w14:paraId="38AD1815">
            <w:pPr>
              <w:shd w:val="clear"/>
              <w:spacing w:line="240" w:lineRule="auto"/>
              <w:jc w:val="left"/>
              <w:outlineLvl w:val="0"/>
              <w:rPr>
                <w:rFonts w:hint="eastAsia" w:ascii="仿宋" w:hAnsi="仿宋" w:eastAsia="仿宋" w:cs="仿宋_GB2312"/>
                <w:color w:val="auto"/>
                <w:sz w:val="21"/>
                <w:szCs w:val="21"/>
                <w:highlight w:val="none"/>
                <w:lang w:val="en-US" w:eastAsia="zh-CN"/>
              </w:rPr>
            </w:pPr>
            <w:r>
              <w:rPr>
                <w:rFonts w:hint="eastAsia" w:ascii="仿宋" w:hAnsi="仿宋" w:eastAsia="仿宋" w:cs="仿宋_GB2312"/>
                <w:color w:val="auto"/>
                <w:sz w:val="21"/>
                <w:szCs w:val="21"/>
                <w:highlight w:val="none"/>
              </w:rPr>
              <w:t>投标方案与软件开发功能的吻合程度，阐述对软件功能实现并对功能模块提供文字、图片进行设计描述，方案对系统实施可能遇到的问题及其应对措施的考虑情况等。技术解决方案包括如下：</w:t>
            </w:r>
          </w:p>
        </w:tc>
        <w:tc>
          <w:tcPr>
            <w:tcW w:w="584" w:type="dxa"/>
            <w:vAlign w:val="center"/>
          </w:tcPr>
          <w:p w14:paraId="18AC2828">
            <w:pPr>
              <w:shd w:val="clear"/>
              <w:spacing w:line="240" w:lineRule="auto"/>
              <w:jc w:val="center"/>
              <w:outlineLvl w:val="0"/>
              <w:rPr>
                <w:rFonts w:hint="eastAsia" w:ascii="仿宋" w:hAnsi="仿宋" w:eastAsia="仿宋" w:cs="仿宋_GB2312"/>
                <w:color w:val="auto"/>
                <w:sz w:val="21"/>
                <w:szCs w:val="21"/>
                <w:highlight w:val="none"/>
                <w:lang w:val="en-US" w:eastAsia="zh-CN"/>
              </w:rPr>
            </w:pPr>
            <w:r>
              <w:rPr>
                <w:rFonts w:hint="eastAsia" w:ascii="仿宋" w:hAnsi="仿宋" w:eastAsia="仿宋" w:cs="仿宋_GB2312"/>
                <w:color w:val="auto"/>
                <w:sz w:val="21"/>
                <w:szCs w:val="21"/>
                <w:highlight w:val="none"/>
                <w:lang w:val="en-US" w:eastAsia="zh-CN"/>
              </w:rPr>
              <w:t>/</w:t>
            </w:r>
          </w:p>
        </w:tc>
        <w:tc>
          <w:tcPr>
            <w:tcW w:w="866" w:type="dxa"/>
            <w:vAlign w:val="center"/>
          </w:tcPr>
          <w:p w14:paraId="2ACCDAA1">
            <w:pPr>
              <w:shd w:val="clear"/>
              <w:spacing w:line="240" w:lineRule="auto"/>
              <w:jc w:val="center"/>
              <w:outlineLvl w:val="0"/>
              <w:rPr>
                <w:rFonts w:hint="eastAsia" w:ascii="仿宋" w:hAnsi="仿宋" w:eastAsia="仿宋" w:cs="仿宋_GB2312"/>
                <w:color w:val="auto"/>
                <w:sz w:val="21"/>
                <w:szCs w:val="21"/>
                <w:highlight w:val="none"/>
                <w:lang w:val="en-US" w:eastAsia="zh-CN"/>
              </w:rPr>
            </w:pPr>
            <w:r>
              <w:rPr>
                <w:rFonts w:hint="eastAsia" w:ascii="仿宋" w:hAnsi="仿宋" w:eastAsia="仿宋" w:cs="仿宋_GB2312"/>
                <w:color w:val="auto"/>
                <w:sz w:val="21"/>
                <w:szCs w:val="21"/>
                <w:highlight w:val="none"/>
                <w:lang w:val="en-US" w:eastAsia="zh-CN"/>
              </w:rPr>
              <w:t>/</w:t>
            </w:r>
          </w:p>
        </w:tc>
        <w:tc>
          <w:tcPr>
            <w:tcW w:w="1475" w:type="dxa"/>
            <w:vAlign w:val="center"/>
          </w:tcPr>
          <w:p w14:paraId="2FDEAAC4">
            <w:pPr>
              <w:shd w:val="clear"/>
              <w:spacing w:line="240" w:lineRule="auto"/>
              <w:jc w:val="center"/>
              <w:outlineLvl w:val="0"/>
              <w:rPr>
                <w:rFonts w:hint="eastAsia" w:ascii="仿宋" w:hAnsi="仿宋" w:eastAsia="仿宋" w:cs="仿宋_GB2312"/>
                <w:color w:val="auto"/>
                <w:sz w:val="21"/>
                <w:szCs w:val="21"/>
                <w:highlight w:val="none"/>
                <w:lang w:val="en-US" w:eastAsia="zh-CN"/>
              </w:rPr>
            </w:pPr>
            <w:r>
              <w:rPr>
                <w:rFonts w:hint="eastAsia" w:ascii="仿宋" w:hAnsi="仿宋" w:eastAsia="仿宋" w:cs="仿宋_GB2312"/>
                <w:color w:val="auto"/>
                <w:sz w:val="21"/>
                <w:szCs w:val="21"/>
                <w:highlight w:val="none"/>
                <w:lang w:val="en-US" w:eastAsia="zh-CN"/>
              </w:rPr>
              <w:t>/</w:t>
            </w:r>
          </w:p>
        </w:tc>
      </w:tr>
      <w:tr w14:paraId="03D7C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73" w:type="dxa"/>
            <w:vMerge w:val="continue"/>
            <w:vAlign w:val="center"/>
          </w:tcPr>
          <w:p w14:paraId="6B0E9834">
            <w:pPr>
              <w:keepNext w:val="0"/>
              <w:keepLines w:val="0"/>
              <w:pageBreakBefore w:val="0"/>
              <w:widowControl w:val="0"/>
              <w:shd w:val="clear"/>
              <w:kinsoku/>
              <w:wordWrap/>
              <w:overflowPunct/>
              <w:topLinePunct w:val="0"/>
              <w:autoSpaceDE/>
              <w:autoSpaceDN/>
              <w:bidi w:val="0"/>
              <w:adjustRightInd w:val="0"/>
              <w:snapToGrid w:val="0"/>
              <w:spacing w:line="240" w:lineRule="auto"/>
              <w:jc w:val="center"/>
              <w:textAlignment w:val="auto"/>
              <w:outlineLvl w:val="0"/>
              <w:rPr>
                <w:rFonts w:hint="eastAsia" w:ascii="仿宋" w:hAnsi="仿宋" w:eastAsia="仿宋" w:cs="仿宋_GB2312"/>
                <w:color w:val="auto"/>
                <w:sz w:val="21"/>
                <w:szCs w:val="21"/>
                <w:highlight w:val="none"/>
              </w:rPr>
            </w:pPr>
          </w:p>
        </w:tc>
        <w:tc>
          <w:tcPr>
            <w:tcW w:w="1231" w:type="dxa"/>
            <w:vMerge w:val="continue"/>
            <w:vAlign w:val="center"/>
          </w:tcPr>
          <w:p w14:paraId="509CD89F">
            <w:pPr>
              <w:keepNext w:val="0"/>
              <w:keepLines w:val="0"/>
              <w:pageBreakBefore w:val="0"/>
              <w:widowControl w:val="0"/>
              <w:shd w:val="clear"/>
              <w:kinsoku/>
              <w:wordWrap/>
              <w:overflowPunct/>
              <w:topLinePunct w:val="0"/>
              <w:autoSpaceDE/>
              <w:autoSpaceDN/>
              <w:bidi w:val="0"/>
              <w:adjustRightInd w:val="0"/>
              <w:snapToGrid w:val="0"/>
              <w:spacing w:line="240" w:lineRule="auto"/>
              <w:jc w:val="center"/>
              <w:textAlignment w:val="auto"/>
              <w:outlineLvl w:val="0"/>
              <w:rPr>
                <w:rFonts w:hint="eastAsia" w:ascii="仿宋" w:hAnsi="仿宋" w:eastAsia="仿宋" w:cs="仿宋_GB2312"/>
                <w:color w:val="auto"/>
                <w:sz w:val="21"/>
                <w:szCs w:val="21"/>
                <w:highlight w:val="none"/>
              </w:rPr>
            </w:pPr>
          </w:p>
        </w:tc>
        <w:tc>
          <w:tcPr>
            <w:tcW w:w="4366" w:type="dxa"/>
            <w:vAlign w:val="center"/>
          </w:tcPr>
          <w:p w14:paraId="249A49D1">
            <w:pPr>
              <w:shd w:val="clear"/>
              <w:spacing w:line="240" w:lineRule="auto"/>
              <w:jc w:val="left"/>
              <w:outlineLvl w:val="0"/>
              <w:rPr>
                <w:rFonts w:hint="default" w:ascii="仿宋" w:hAnsi="仿宋" w:eastAsia="仿宋" w:cs="仿宋_GB2312"/>
                <w:color w:val="auto"/>
                <w:sz w:val="21"/>
                <w:szCs w:val="21"/>
                <w:highlight w:val="none"/>
                <w:lang w:val="en-US" w:eastAsia="zh-CN"/>
              </w:rPr>
            </w:pPr>
            <w:r>
              <w:rPr>
                <w:rFonts w:hint="eastAsia" w:ascii="仿宋" w:hAnsi="仿宋" w:eastAsia="仿宋" w:cs="仿宋_GB2312"/>
                <w:color w:val="auto"/>
                <w:sz w:val="21"/>
                <w:szCs w:val="21"/>
                <w:highlight w:val="none"/>
              </w:rPr>
              <w:t>（1）根据提供的方案中“特色“一类事”集成服务场景”的“企业诉求一类事、企业入驻一类事、企业成长一类事、项目建设一类事、特色产业一类事”内容进行评分，每项内容提供完整的技术方案且完全满足采购人要求得1分，方案内容存在缺项或部分满足得0.5分，未提供方案或不满足不得分，本项最高5分。</w:t>
            </w:r>
          </w:p>
        </w:tc>
        <w:tc>
          <w:tcPr>
            <w:tcW w:w="584" w:type="dxa"/>
            <w:vAlign w:val="center"/>
          </w:tcPr>
          <w:p w14:paraId="0324FBE9">
            <w:pPr>
              <w:shd w:val="clear"/>
              <w:spacing w:line="240" w:lineRule="auto"/>
              <w:jc w:val="center"/>
              <w:outlineLvl w:val="0"/>
              <w:rPr>
                <w:rFonts w:hint="eastAsia" w:ascii="仿宋" w:hAnsi="仿宋" w:eastAsia="仿宋" w:cs="仿宋_GB2312"/>
                <w:color w:val="auto"/>
                <w:sz w:val="21"/>
                <w:szCs w:val="21"/>
                <w:highlight w:val="none"/>
                <w:lang w:eastAsia="zh-CN"/>
              </w:rPr>
            </w:pPr>
            <w:r>
              <w:rPr>
                <w:rFonts w:hint="eastAsia" w:ascii="仿宋" w:hAnsi="仿宋" w:eastAsia="仿宋" w:cs="仿宋_GB2312"/>
                <w:color w:val="auto"/>
                <w:sz w:val="21"/>
                <w:szCs w:val="21"/>
                <w:highlight w:val="none"/>
              </w:rPr>
              <w:t>5</w:t>
            </w:r>
          </w:p>
        </w:tc>
        <w:tc>
          <w:tcPr>
            <w:tcW w:w="866" w:type="dxa"/>
            <w:vAlign w:val="center"/>
          </w:tcPr>
          <w:p w14:paraId="0968D084">
            <w:pPr>
              <w:shd w:val="clear"/>
              <w:spacing w:line="240" w:lineRule="auto"/>
              <w:jc w:val="center"/>
              <w:outlineLvl w:val="0"/>
              <w:rPr>
                <w:rFonts w:hint="eastAsia" w:ascii="仿宋" w:hAnsi="仿宋" w:eastAsia="仿宋" w:cs="仿宋_GB2312"/>
                <w:color w:val="auto"/>
                <w:sz w:val="21"/>
                <w:szCs w:val="21"/>
                <w:highlight w:val="none"/>
              </w:rPr>
            </w:pPr>
            <w:r>
              <w:rPr>
                <w:rFonts w:hint="eastAsia" w:ascii="仿宋" w:hAnsi="仿宋" w:eastAsia="仿宋" w:cs="仿宋_GB2312"/>
                <w:color w:val="auto"/>
                <w:sz w:val="21"/>
                <w:szCs w:val="21"/>
                <w:highlight w:val="none"/>
              </w:rPr>
              <w:t>主观分</w:t>
            </w:r>
          </w:p>
        </w:tc>
        <w:tc>
          <w:tcPr>
            <w:tcW w:w="1475" w:type="dxa"/>
            <w:vAlign w:val="center"/>
          </w:tcPr>
          <w:p w14:paraId="04ECF37C">
            <w:pPr>
              <w:shd w:val="clear"/>
              <w:spacing w:line="240" w:lineRule="auto"/>
              <w:jc w:val="center"/>
              <w:outlineLvl w:val="0"/>
              <w:rPr>
                <w:rFonts w:hint="eastAsia" w:ascii="仿宋" w:hAnsi="仿宋" w:eastAsia="仿宋" w:cs="仿宋_GB2312"/>
                <w:color w:val="auto"/>
                <w:sz w:val="21"/>
                <w:szCs w:val="21"/>
                <w:highlight w:val="none"/>
              </w:rPr>
            </w:pPr>
            <w:r>
              <w:rPr>
                <w:rFonts w:hint="eastAsia" w:ascii="仿宋" w:hAnsi="仿宋" w:eastAsia="仿宋" w:cs="仿宋_GB2312"/>
                <w:color w:val="auto"/>
                <w:sz w:val="21"/>
                <w:szCs w:val="21"/>
                <w:highlight w:val="none"/>
              </w:rPr>
              <w:t>投标方案</w:t>
            </w:r>
          </w:p>
        </w:tc>
      </w:tr>
      <w:tr w14:paraId="26825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3" w:type="dxa"/>
            <w:vMerge w:val="continue"/>
            <w:vAlign w:val="center"/>
          </w:tcPr>
          <w:p w14:paraId="31B4A8C7">
            <w:pPr>
              <w:keepNext w:val="0"/>
              <w:keepLines w:val="0"/>
              <w:pageBreakBefore w:val="0"/>
              <w:widowControl w:val="0"/>
              <w:shd w:val="clear"/>
              <w:kinsoku/>
              <w:wordWrap/>
              <w:overflowPunct/>
              <w:topLinePunct w:val="0"/>
              <w:autoSpaceDE/>
              <w:autoSpaceDN/>
              <w:bidi w:val="0"/>
              <w:adjustRightInd w:val="0"/>
              <w:snapToGrid w:val="0"/>
              <w:spacing w:line="240" w:lineRule="auto"/>
              <w:jc w:val="center"/>
              <w:textAlignment w:val="auto"/>
              <w:outlineLvl w:val="0"/>
              <w:rPr>
                <w:rFonts w:hint="eastAsia" w:ascii="仿宋" w:hAnsi="仿宋" w:eastAsia="仿宋" w:cs="仿宋_GB2312"/>
                <w:color w:val="auto"/>
                <w:sz w:val="21"/>
                <w:szCs w:val="21"/>
                <w:highlight w:val="none"/>
              </w:rPr>
            </w:pPr>
          </w:p>
        </w:tc>
        <w:tc>
          <w:tcPr>
            <w:tcW w:w="1231" w:type="dxa"/>
            <w:vMerge w:val="continue"/>
            <w:vAlign w:val="center"/>
          </w:tcPr>
          <w:p w14:paraId="472830A3">
            <w:pPr>
              <w:pStyle w:val="24"/>
              <w:shd w:val="clear"/>
              <w:spacing w:line="240" w:lineRule="auto"/>
              <w:rPr>
                <w:rFonts w:hint="eastAsia" w:ascii="仿宋" w:hAnsi="仿宋" w:eastAsia="仿宋" w:cs="仿宋_GB2312"/>
                <w:color w:val="auto"/>
                <w:kern w:val="2"/>
                <w:sz w:val="21"/>
                <w:szCs w:val="21"/>
                <w:highlight w:val="none"/>
                <w:lang w:val="en-US" w:eastAsia="zh-CN" w:bidi="ar-SA"/>
              </w:rPr>
            </w:pPr>
          </w:p>
        </w:tc>
        <w:tc>
          <w:tcPr>
            <w:tcW w:w="4366" w:type="dxa"/>
            <w:vAlign w:val="center"/>
          </w:tcPr>
          <w:p w14:paraId="4DBA157F">
            <w:pPr>
              <w:shd w:val="clear"/>
              <w:spacing w:line="240" w:lineRule="auto"/>
              <w:jc w:val="left"/>
              <w:outlineLvl w:val="0"/>
              <w:rPr>
                <w:rFonts w:hint="default" w:ascii="仿宋" w:hAnsi="仿宋" w:eastAsia="仿宋" w:cs="仿宋_GB2312"/>
                <w:color w:val="auto"/>
                <w:sz w:val="21"/>
                <w:szCs w:val="21"/>
                <w:highlight w:val="none"/>
                <w:lang w:val="en-US" w:eastAsia="zh-CN"/>
              </w:rPr>
            </w:pPr>
            <w:r>
              <w:rPr>
                <w:rFonts w:hint="eastAsia" w:ascii="仿宋" w:hAnsi="仿宋" w:eastAsia="仿宋" w:cs="仿宋_GB2312"/>
                <w:color w:val="auto"/>
                <w:sz w:val="21"/>
                <w:szCs w:val="21"/>
                <w:highlight w:val="none"/>
              </w:rPr>
              <w:t>（2）根据提供的方案中“政策服务”的“政策搜索、政策计算器、政策推荐”内容进行评分，每项内容提供完整的技术方案且完全满足采购人要求得1分，方案内容存在缺项或部分满足得0.5分，未提供方案或不满足不得分，本项最高4分。</w:t>
            </w:r>
          </w:p>
        </w:tc>
        <w:tc>
          <w:tcPr>
            <w:tcW w:w="584" w:type="dxa"/>
            <w:vAlign w:val="center"/>
          </w:tcPr>
          <w:p w14:paraId="030A38EE">
            <w:pPr>
              <w:shd w:val="clear"/>
              <w:spacing w:line="240" w:lineRule="auto"/>
              <w:jc w:val="center"/>
              <w:outlineLvl w:val="0"/>
              <w:rPr>
                <w:rFonts w:hint="eastAsia" w:ascii="仿宋" w:hAnsi="仿宋" w:eastAsia="仿宋" w:cs="仿宋_GB2312"/>
                <w:color w:val="auto"/>
                <w:sz w:val="21"/>
                <w:szCs w:val="21"/>
                <w:highlight w:val="none"/>
                <w:lang w:val="en-US" w:eastAsia="zh-CN"/>
              </w:rPr>
            </w:pPr>
            <w:r>
              <w:rPr>
                <w:rFonts w:hint="eastAsia" w:ascii="仿宋" w:hAnsi="仿宋" w:eastAsia="仿宋" w:cs="仿宋_GB2312"/>
                <w:color w:val="auto"/>
                <w:sz w:val="21"/>
                <w:szCs w:val="21"/>
                <w:highlight w:val="none"/>
              </w:rPr>
              <w:t>4</w:t>
            </w:r>
          </w:p>
        </w:tc>
        <w:tc>
          <w:tcPr>
            <w:tcW w:w="866" w:type="dxa"/>
            <w:vAlign w:val="center"/>
          </w:tcPr>
          <w:p w14:paraId="619F1456">
            <w:pPr>
              <w:shd w:val="clear"/>
              <w:spacing w:line="240" w:lineRule="auto"/>
              <w:jc w:val="center"/>
              <w:outlineLvl w:val="0"/>
              <w:rPr>
                <w:rFonts w:hint="eastAsia" w:ascii="仿宋" w:hAnsi="仿宋" w:eastAsia="仿宋" w:cs="仿宋_GB2312"/>
                <w:color w:val="auto"/>
                <w:sz w:val="21"/>
                <w:szCs w:val="21"/>
                <w:highlight w:val="none"/>
              </w:rPr>
            </w:pPr>
            <w:r>
              <w:rPr>
                <w:rFonts w:hint="eastAsia" w:ascii="仿宋" w:hAnsi="仿宋" w:eastAsia="仿宋" w:cs="仿宋_GB2312"/>
                <w:color w:val="auto"/>
                <w:sz w:val="21"/>
                <w:szCs w:val="21"/>
                <w:highlight w:val="none"/>
              </w:rPr>
              <w:t>主观分</w:t>
            </w:r>
          </w:p>
        </w:tc>
        <w:tc>
          <w:tcPr>
            <w:tcW w:w="1475" w:type="dxa"/>
            <w:vAlign w:val="center"/>
          </w:tcPr>
          <w:p w14:paraId="29078967">
            <w:pPr>
              <w:shd w:val="clear"/>
              <w:spacing w:line="240" w:lineRule="auto"/>
              <w:jc w:val="center"/>
              <w:outlineLvl w:val="0"/>
              <w:rPr>
                <w:rFonts w:hint="eastAsia" w:ascii="仿宋" w:hAnsi="仿宋" w:eastAsia="仿宋" w:cs="仿宋_GB2312"/>
                <w:color w:val="auto"/>
                <w:sz w:val="21"/>
                <w:szCs w:val="21"/>
                <w:highlight w:val="none"/>
              </w:rPr>
            </w:pPr>
            <w:r>
              <w:rPr>
                <w:rFonts w:hint="eastAsia" w:ascii="仿宋" w:hAnsi="仿宋" w:eastAsia="仿宋" w:cs="仿宋_GB2312"/>
                <w:color w:val="auto"/>
                <w:sz w:val="21"/>
                <w:szCs w:val="21"/>
                <w:highlight w:val="none"/>
              </w:rPr>
              <w:t>投标方案</w:t>
            </w:r>
          </w:p>
        </w:tc>
      </w:tr>
      <w:tr w14:paraId="6CA39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3" w:type="dxa"/>
            <w:vMerge w:val="continue"/>
            <w:vAlign w:val="center"/>
          </w:tcPr>
          <w:p w14:paraId="1B60CD66">
            <w:pPr>
              <w:keepNext w:val="0"/>
              <w:keepLines w:val="0"/>
              <w:pageBreakBefore w:val="0"/>
              <w:widowControl w:val="0"/>
              <w:shd w:val="clear"/>
              <w:kinsoku/>
              <w:wordWrap/>
              <w:overflowPunct/>
              <w:topLinePunct w:val="0"/>
              <w:autoSpaceDE/>
              <w:autoSpaceDN/>
              <w:bidi w:val="0"/>
              <w:adjustRightInd w:val="0"/>
              <w:snapToGrid w:val="0"/>
              <w:spacing w:line="240" w:lineRule="auto"/>
              <w:jc w:val="center"/>
              <w:textAlignment w:val="auto"/>
              <w:outlineLvl w:val="0"/>
              <w:rPr>
                <w:rFonts w:hint="eastAsia" w:ascii="仿宋" w:hAnsi="仿宋" w:eastAsia="仿宋" w:cs="仿宋_GB2312"/>
                <w:color w:val="auto"/>
                <w:sz w:val="21"/>
                <w:szCs w:val="21"/>
                <w:highlight w:val="none"/>
              </w:rPr>
            </w:pPr>
          </w:p>
        </w:tc>
        <w:tc>
          <w:tcPr>
            <w:tcW w:w="1231" w:type="dxa"/>
            <w:vMerge w:val="continue"/>
            <w:vAlign w:val="center"/>
          </w:tcPr>
          <w:p w14:paraId="188F4358">
            <w:pPr>
              <w:shd w:val="clear"/>
              <w:spacing w:line="240" w:lineRule="auto"/>
              <w:jc w:val="left"/>
              <w:outlineLvl w:val="0"/>
              <w:rPr>
                <w:rFonts w:hint="eastAsia" w:ascii="仿宋" w:hAnsi="仿宋" w:eastAsia="仿宋" w:cs="仿宋_GB2312"/>
                <w:color w:val="auto"/>
                <w:kern w:val="2"/>
                <w:sz w:val="21"/>
                <w:szCs w:val="21"/>
                <w:highlight w:val="none"/>
                <w:lang w:val="en-US" w:eastAsia="zh-CN" w:bidi="ar-SA"/>
              </w:rPr>
            </w:pPr>
          </w:p>
        </w:tc>
        <w:tc>
          <w:tcPr>
            <w:tcW w:w="4366" w:type="dxa"/>
            <w:vAlign w:val="center"/>
          </w:tcPr>
          <w:p w14:paraId="13AD01D9">
            <w:pPr>
              <w:shd w:val="clear"/>
              <w:spacing w:line="240" w:lineRule="auto"/>
              <w:jc w:val="left"/>
              <w:outlineLvl w:val="0"/>
              <w:rPr>
                <w:rFonts w:hint="eastAsia" w:ascii="仿宋" w:hAnsi="仿宋" w:eastAsia="仿宋" w:cs="仿宋_GB2312"/>
                <w:color w:val="auto"/>
                <w:sz w:val="21"/>
                <w:szCs w:val="21"/>
                <w:highlight w:val="none"/>
                <w:lang w:val="en-US" w:eastAsia="zh-CN"/>
              </w:rPr>
            </w:pPr>
            <w:r>
              <w:rPr>
                <w:rFonts w:hint="eastAsia" w:ascii="仿宋" w:hAnsi="仿宋" w:eastAsia="仿宋" w:cs="仿宋_GB2312"/>
                <w:color w:val="auto"/>
                <w:sz w:val="21"/>
                <w:szCs w:val="21"/>
                <w:highlight w:val="none"/>
              </w:rPr>
              <w:t>（3）根据提供的方案中“诉求服务”的“诉求提交、电话接入、诉求提醒、常见问题、企服小管家”内容进行评分，每项内容提供完整的技术方案且完全满足采购人要求得1分，方案内容存在缺项或部分满足得0.5分，未提供方案或不满足不得分，本项最高5分。</w:t>
            </w:r>
          </w:p>
        </w:tc>
        <w:tc>
          <w:tcPr>
            <w:tcW w:w="584" w:type="dxa"/>
            <w:vAlign w:val="center"/>
          </w:tcPr>
          <w:p w14:paraId="2FFED9D9">
            <w:pPr>
              <w:shd w:val="clear"/>
              <w:spacing w:line="240" w:lineRule="auto"/>
              <w:jc w:val="center"/>
              <w:outlineLvl w:val="0"/>
              <w:rPr>
                <w:rFonts w:hint="default" w:ascii="仿宋" w:hAnsi="仿宋" w:eastAsia="仿宋" w:cs="仿宋_GB2312"/>
                <w:color w:val="auto"/>
                <w:sz w:val="21"/>
                <w:szCs w:val="21"/>
                <w:highlight w:val="none"/>
                <w:lang w:val="en-US" w:eastAsia="zh-CN"/>
              </w:rPr>
            </w:pPr>
            <w:r>
              <w:rPr>
                <w:rFonts w:hint="eastAsia" w:ascii="仿宋" w:hAnsi="仿宋" w:eastAsia="仿宋" w:cs="仿宋_GB2312"/>
                <w:color w:val="auto"/>
                <w:sz w:val="21"/>
                <w:szCs w:val="21"/>
                <w:highlight w:val="none"/>
              </w:rPr>
              <w:t>5</w:t>
            </w:r>
          </w:p>
        </w:tc>
        <w:tc>
          <w:tcPr>
            <w:tcW w:w="866" w:type="dxa"/>
            <w:vAlign w:val="center"/>
          </w:tcPr>
          <w:p w14:paraId="17C459E3">
            <w:pPr>
              <w:shd w:val="clear"/>
              <w:spacing w:line="240" w:lineRule="auto"/>
              <w:jc w:val="center"/>
              <w:outlineLvl w:val="0"/>
              <w:rPr>
                <w:rFonts w:hint="eastAsia" w:ascii="仿宋" w:hAnsi="仿宋" w:eastAsia="仿宋" w:cs="仿宋_GB2312"/>
                <w:color w:val="auto"/>
                <w:sz w:val="21"/>
                <w:szCs w:val="21"/>
                <w:highlight w:val="none"/>
              </w:rPr>
            </w:pPr>
            <w:r>
              <w:rPr>
                <w:rFonts w:hint="eastAsia" w:ascii="仿宋" w:hAnsi="仿宋" w:eastAsia="仿宋" w:cs="仿宋_GB2312"/>
                <w:color w:val="auto"/>
                <w:sz w:val="21"/>
                <w:szCs w:val="21"/>
                <w:highlight w:val="none"/>
              </w:rPr>
              <w:t>主观分</w:t>
            </w:r>
          </w:p>
        </w:tc>
        <w:tc>
          <w:tcPr>
            <w:tcW w:w="1475" w:type="dxa"/>
            <w:vAlign w:val="center"/>
          </w:tcPr>
          <w:p w14:paraId="6041F591">
            <w:pPr>
              <w:shd w:val="clear"/>
              <w:spacing w:line="240" w:lineRule="auto"/>
              <w:jc w:val="center"/>
              <w:outlineLvl w:val="0"/>
              <w:rPr>
                <w:rFonts w:hint="eastAsia" w:ascii="仿宋" w:hAnsi="仿宋" w:eastAsia="仿宋" w:cs="仿宋_GB2312"/>
                <w:color w:val="auto"/>
                <w:sz w:val="21"/>
                <w:szCs w:val="21"/>
                <w:highlight w:val="none"/>
              </w:rPr>
            </w:pPr>
            <w:r>
              <w:rPr>
                <w:rFonts w:hint="eastAsia" w:ascii="仿宋" w:hAnsi="仿宋" w:eastAsia="仿宋" w:cs="仿宋_GB2312"/>
                <w:color w:val="auto"/>
                <w:sz w:val="21"/>
                <w:szCs w:val="21"/>
                <w:highlight w:val="none"/>
              </w:rPr>
              <w:t>投标方案</w:t>
            </w:r>
          </w:p>
        </w:tc>
      </w:tr>
      <w:tr w14:paraId="6B1D1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3" w:type="dxa"/>
            <w:vMerge w:val="continue"/>
            <w:vAlign w:val="center"/>
          </w:tcPr>
          <w:p w14:paraId="4CF8069D">
            <w:pPr>
              <w:keepNext w:val="0"/>
              <w:keepLines w:val="0"/>
              <w:pageBreakBefore w:val="0"/>
              <w:widowControl w:val="0"/>
              <w:shd w:val="clear"/>
              <w:kinsoku/>
              <w:wordWrap/>
              <w:overflowPunct/>
              <w:topLinePunct w:val="0"/>
              <w:autoSpaceDE/>
              <w:autoSpaceDN/>
              <w:bidi w:val="0"/>
              <w:adjustRightInd w:val="0"/>
              <w:snapToGrid w:val="0"/>
              <w:spacing w:line="240" w:lineRule="auto"/>
              <w:jc w:val="center"/>
              <w:textAlignment w:val="auto"/>
              <w:outlineLvl w:val="0"/>
              <w:rPr>
                <w:rFonts w:hint="eastAsia" w:ascii="仿宋" w:hAnsi="仿宋" w:eastAsia="仿宋" w:cs="仿宋_GB2312"/>
                <w:color w:val="auto"/>
                <w:sz w:val="21"/>
                <w:szCs w:val="21"/>
                <w:highlight w:val="none"/>
              </w:rPr>
            </w:pPr>
          </w:p>
        </w:tc>
        <w:tc>
          <w:tcPr>
            <w:tcW w:w="1231" w:type="dxa"/>
            <w:vMerge w:val="continue"/>
            <w:vAlign w:val="center"/>
          </w:tcPr>
          <w:p w14:paraId="7E71F227">
            <w:pPr>
              <w:pStyle w:val="24"/>
              <w:shd w:val="clear"/>
              <w:spacing w:line="240" w:lineRule="auto"/>
              <w:rPr>
                <w:rFonts w:hint="eastAsia" w:ascii="仿宋" w:hAnsi="仿宋" w:eastAsia="仿宋" w:cs="仿宋_GB2312"/>
                <w:color w:val="auto"/>
                <w:kern w:val="2"/>
                <w:sz w:val="21"/>
                <w:szCs w:val="21"/>
                <w:highlight w:val="none"/>
                <w:lang w:val="en-US" w:eastAsia="zh-CN" w:bidi="ar-SA"/>
              </w:rPr>
            </w:pPr>
          </w:p>
        </w:tc>
        <w:tc>
          <w:tcPr>
            <w:tcW w:w="4366" w:type="dxa"/>
            <w:vAlign w:val="center"/>
          </w:tcPr>
          <w:p w14:paraId="763349F2">
            <w:pPr>
              <w:shd w:val="clear"/>
              <w:spacing w:line="240" w:lineRule="auto"/>
              <w:jc w:val="left"/>
              <w:outlineLvl w:val="0"/>
              <w:rPr>
                <w:rFonts w:hint="eastAsia" w:ascii="仿宋" w:hAnsi="仿宋" w:eastAsia="仿宋" w:cs="仿宋_GB2312"/>
                <w:color w:val="auto"/>
                <w:sz w:val="21"/>
                <w:szCs w:val="21"/>
                <w:highlight w:val="none"/>
                <w:lang w:val="en-US" w:eastAsia="zh-CN"/>
              </w:rPr>
            </w:pPr>
            <w:r>
              <w:rPr>
                <w:rFonts w:hint="eastAsia" w:ascii="仿宋" w:hAnsi="仿宋" w:eastAsia="仿宋" w:cs="仿宋_GB2312"/>
                <w:color w:val="auto"/>
                <w:sz w:val="21"/>
                <w:szCs w:val="21"/>
                <w:highlight w:val="none"/>
              </w:rPr>
              <w:t>（4）根据提供的方案中“企业与公众端平台”的“金融服务、人才服务、法律服务、科创服务、外创服务”内容进行评分，每项内容提供完整的技术方案且完全满足采购人要求得1分，方案内容存在缺项或部分满足得0.5分，未提供方案或不满足不得分，本项最高5分。</w:t>
            </w:r>
          </w:p>
        </w:tc>
        <w:tc>
          <w:tcPr>
            <w:tcW w:w="584" w:type="dxa"/>
            <w:vAlign w:val="center"/>
          </w:tcPr>
          <w:p w14:paraId="62D6EBC3">
            <w:pPr>
              <w:shd w:val="clear"/>
              <w:spacing w:line="240" w:lineRule="auto"/>
              <w:jc w:val="center"/>
              <w:outlineLvl w:val="0"/>
              <w:rPr>
                <w:rFonts w:hint="default" w:ascii="仿宋" w:hAnsi="仿宋" w:eastAsia="仿宋" w:cs="仿宋_GB2312"/>
                <w:color w:val="auto"/>
                <w:sz w:val="21"/>
                <w:szCs w:val="21"/>
                <w:highlight w:val="none"/>
                <w:lang w:val="en-US" w:eastAsia="zh-CN"/>
              </w:rPr>
            </w:pPr>
            <w:r>
              <w:rPr>
                <w:rFonts w:hint="eastAsia" w:ascii="仿宋" w:hAnsi="仿宋" w:eastAsia="仿宋" w:cs="仿宋_GB2312"/>
                <w:color w:val="auto"/>
                <w:sz w:val="21"/>
                <w:szCs w:val="21"/>
                <w:highlight w:val="none"/>
              </w:rPr>
              <w:t>5</w:t>
            </w:r>
          </w:p>
        </w:tc>
        <w:tc>
          <w:tcPr>
            <w:tcW w:w="866" w:type="dxa"/>
            <w:vAlign w:val="center"/>
          </w:tcPr>
          <w:p w14:paraId="55CBD792">
            <w:pPr>
              <w:shd w:val="clear"/>
              <w:spacing w:line="240" w:lineRule="auto"/>
              <w:jc w:val="center"/>
              <w:outlineLvl w:val="0"/>
              <w:rPr>
                <w:rFonts w:hint="eastAsia" w:ascii="仿宋" w:hAnsi="仿宋" w:eastAsia="仿宋" w:cs="仿宋_GB2312"/>
                <w:color w:val="auto"/>
                <w:sz w:val="21"/>
                <w:szCs w:val="21"/>
                <w:highlight w:val="none"/>
              </w:rPr>
            </w:pPr>
            <w:r>
              <w:rPr>
                <w:rFonts w:hint="eastAsia" w:ascii="仿宋" w:hAnsi="仿宋" w:eastAsia="仿宋" w:cs="仿宋_GB2312"/>
                <w:color w:val="auto"/>
                <w:sz w:val="21"/>
                <w:szCs w:val="21"/>
                <w:highlight w:val="none"/>
              </w:rPr>
              <w:t>主观分</w:t>
            </w:r>
          </w:p>
        </w:tc>
        <w:tc>
          <w:tcPr>
            <w:tcW w:w="1475" w:type="dxa"/>
            <w:vAlign w:val="center"/>
          </w:tcPr>
          <w:p w14:paraId="4E6E6AAC">
            <w:pPr>
              <w:shd w:val="clear"/>
              <w:spacing w:line="240" w:lineRule="auto"/>
              <w:jc w:val="center"/>
              <w:outlineLvl w:val="0"/>
              <w:rPr>
                <w:rFonts w:hint="eastAsia" w:ascii="仿宋" w:hAnsi="仿宋" w:eastAsia="仿宋" w:cs="仿宋_GB2312"/>
                <w:color w:val="auto"/>
                <w:sz w:val="21"/>
                <w:szCs w:val="21"/>
                <w:highlight w:val="none"/>
              </w:rPr>
            </w:pPr>
            <w:r>
              <w:rPr>
                <w:rFonts w:hint="eastAsia" w:ascii="仿宋" w:hAnsi="仿宋" w:eastAsia="仿宋" w:cs="仿宋_GB2312"/>
                <w:color w:val="auto"/>
                <w:sz w:val="21"/>
                <w:szCs w:val="21"/>
                <w:highlight w:val="none"/>
              </w:rPr>
              <w:t>投标方案</w:t>
            </w:r>
          </w:p>
        </w:tc>
      </w:tr>
      <w:tr w14:paraId="44D41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2" w:hRule="atLeast"/>
        </w:trPr>
        <w:tc>
          <w:tcPr>
            <w:tcW w:w="673" w:type="dxa"/>
            <w:vMerge w:val="continue"/>
            <w:vAlign w:val="center"/>
          </w:tcPr>
          <w:p w14:paraId="3772742F">
            <w:pPr>
              <w:keepNext w:val="0"/>
              <w:keepLines w:val="0"/>
              <w:pageBreakBefore w:val="0"/>
              <w:widowControl w:val="0"/>
              <w:shd w:val="clear"/>
              <w:kinsoku/>
              <w:wordWrap/>
              <w:overflowPunct/>
              <w:topLinePunct w:val="0"/>
              <w:autoSpaceDE/>
              <w:autoSpaceDN/>
              <w:bidi w:val="0"/>
              <w:adjustRightInd w:val="0"/>
              <w:snapToGrid w:val="0"/>
              <w:spacing w:line="240" w:lineRule="auto"/>
              <w:jc w:val="center"/>
              <w:textAlignment w:val="auto"/>
              <w:outlineLvl w:val="0"/>
              <w:rPr>
                <w:rFonts w:hint="eastAsia" w:ascii="仿宋" w:hAnsi="仿宋" w:eastAsia="仿宋" w:cs="仿宋_GB2312"/>
                <w:color w:val="auto"/>
                <w:sz w:val="21"/>
                <w:szCs w:val="21"/>
                <w:highlight w:val="none"/>
              </w:rPr>
            </w:pPr>
          </w:p>
        </w:tc>
        <w:tc>
          <w:tcPr>
            <w:tcW w:w="1231" w:type="dxa"/>
            <w:vMerge w:val="continue"/>
            <w:vAlign w:val="center"/>
          </w:tcPr>
          <w:p w14:paraId="051506FD">
            <w:pPr>
              <w:shd w:val="clear"/>
              <w:spacing w:line="240" w:lineRule="auto"/>
              <w:jc w:val="left"/>
              <w:outlineLvl w:val="0"/>
              <w:rPr>
                <w:rFonts w:hint="eastAsia" w:ascii="仿宋" w:hAnsi="仿宋" w:eastAsia="仿宋" w:cs="仿宋_GB2312"/>
                <w:color w:val="auto"/>
                <w:kern w:val="2"/>
                <w:sz w:val="21"/>
                <w:szCs w:val="21"/>
                <w:highlight w:val="none"/>
                <w:lang w:val="en-US" w:eastAsia="zh-CN" w:bidi="ar-SA"/>
              </w:rPr>
            </w:pPr>
          </w:p>
        </w:tc>
        <w:tc>
          <w:tcPr>
            <w:tcW w:w="4366" w:type="dxa"/>
            <w:vAlign w:val="center"/>
          </w:tcPr>
          <w:p w14:paraId="5CFEBB18">
            <w:pPr>
              <w:shd w:val="clear"/>
              <w:spacing w:line="240" w:lineRule="auto"/>
              <w:jc w:val="left"/>
              <w:outlineLvl w:val="0"/>
              <w:rPr>
                <w:rFonts w:hint="eastAsia" w:ascii="仿宋" w:hAnsi="仿宋" w:eastAsia="仿宋" w:cs="仿宋_GB2312"/>
                <w:color w:val="auto"/>
                <w:sz w:val="21"/>
                <w:szCs w:val="21"/>
                <w:highlight w:val="none"/>
                <w:lang w:val="en-US" w:eastAsia="zh-CN"/>
              </w:rPr>
            </w:pPr>
            <w:r>
              <w:rPr>
                <w:rFonts w:hint="eastAsia" w:ascii="仿宋" w:hAnsi="仿宋" w:eastAsia="仿宋" w:cs="仿宋_GB2312"/>
                <w:color w:val="auto"/>
                <w:sz w:val="21"/>
                <w:szCs w:val="21"/>
                <w:highlight w:val="none"/>
              </w:rPr>
              <w:t>（5）根据提供的方案中“特色服务”的“我要找楼宇、园区信息管理、我要找场地、楼宇信息管理”内容进行评分，每项内容提供完整的技术方案且完全满足采购人要求得1分，方案内容存在缺项或部分满足得0.5分，未提供方案或不满足不得分，本项最高4分。</w:t>
            </w:r>
          </w:p>
        </w:tc>
        <w:tc>
          <w:tcPr>
            <w:tcW w:w="584" w:type="dxa"/>
            <w:vAlign w:val="center"/>
          </w:tcPr>
          <w:p w14:paraId="6B24B504">
            <w:pPr>
              <w:shd w:val="clear"/>
              <w:spacing w:line="240" w:lineRule="auto"/>
              <w:jc w:val="center"/>
              <w:outlineLvl w:val="0"/>
              <w:rPr>
                <w:rFonts w:hint="default" w:ascii="仿宋" w:hAnsi="仿宋" w:eastAsia="仿宋" w:cs="仿宋_GB2312"/>
                <w:color w:val="auto"/>
                <w:sz w:val="21"/>
                <w:szCs w:val="21"/>
                <w:highlight w:val="none"/>
                <w:lang w:val="en-US" w:eastAsia="zh-CN"/>
              </w:rPr>
            </w:pPr>
            <w:r>
              <w:rPr>
                <w:rFonts w:hint="eastAsia" w:ascii="仿宋" w:hAnsi="仿宋" w:eastAsia="仿宋" w:cs="仿宋_GB2312"/>
                <w:color w:val="auto"/>
                <w:sz w:val="21"/>
                <w:szCs w:val="21"/>
                <w:highlight w:val="none"/>
              </w:rPr>
              <w:t>4</w:t>
            </w:r>
          </w:p>
        </w:tc>
        <w:tc>
          <w:tcPr>
            <w:tcW w:w="866" w:type="dxa"/>
            <w:vAlign w:val="center"/>
          </w:tcPr>
          <w:p w14:paraId="201735C7">
            <w:pPr>
              <w:shd w:val="clear"/>
              <w:spacing w:line="240" w:lineRule="auto"/>
              <w:jc w:val="center"/>
              <w:outlineLvl w:val="0"/>
              <w:rPr>
                <w:rFonts w:hint="eastAsia" w:ascii="仿宋" w:hAnsi="仿宋" w:eastAsia="仿宋" w:cs="仿宋_GB2312"/>
                <w:color w:val="auto"/>
                <w:sz w:val="21"/>
                <w:szCs w:val="21"/>
                <w:highlight w:val="none"/>
              </w:rPr>
            </w:pPr>
            <w:r>
              <w:rPr>
                <w:rFonts w:hint="eastAsia" w:ascii="仿宋" w:hAnsi="仿宋" w:eastAsia="仿宋" w:cs="仿宋_GB2312"/>
                <w:color w:val="auto"/>
                <w:sz w:val="21"/>
                <w:szCs w:val="21"/>
                <w:highlight w:val="none"/>
              </w:rPr>
              <w:t>主观分</w:t>
            </w:r>
          </w:p>
        </w:tc>
        <w:tc>
          <w:tcPr>
            <w:tcW w:w="1475" w:type="dxa"/>
            <w:shd w:val="clear" w:color="auto" w:fill="auto"/>
            <w:vAlign w:val="center"/>
          </w:tcPr>
          <w:p w14:paraId="41EC8219">
            <w:pPr>
              <w:shd w:val="clear"/>
              <w:spacing w:line="240" w:lineRule="auto"/>
              <w:jc w:val="center"/>
              <w:outlineLvl w:val="0"/>
              <w:rPr>
                <w:rFonts w:hint="eastAsia" w:ascii="仿宋" w:hAnsi="仿宋" w:eastAsia="仿宋" w:cs="仿宋_GB2312"/>
                <w:color w:val="auto"/>
                <w:sz w:val="21"/>
                <w:szCs w:val="21"/>
                <w:highlight w:val="none"/>
              </w:rPr>
            </w:pPr>
            <w:r>
              <w:rPr>
                <w:rFonts w:hint="eastAsia" w:ascii="仿宋" w:hAnsi="仿宋" w:eastAsia="仿宋" w:cs="仿宋_GB2312"/>
                <w:color w:val="auto"/>
                <w:sz w:val="21"/>
                <w:szCs w:val="21"/>
                <w:highlight w:val="none"/>
              </w:rPr>
              <w:t>投标方案</w:t>
            </w:r>
          </w:p>
        </w:tc>
      </w:tr>
      <w:tr w14:paraId="2F31F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3" w:type="dxa"/>
            <w:vMerge w:val="continue"/>
            <w:vAlign w:val="center"/>
          </w:tcPr>
          <w:p w14:paraId="3297359B">
            <w:pPr>
              <w:keepNext w:val="0"/>
              <w:keepLines w:val="0"/>
              <w:pageBreakBefore w:val="0"/>
              <w:widowControl w:val="0"/>
              <w:shd w:val="clear"/>
              <w:kinsoku/>
              <w:wordWrap/>
              <w:overflowPunct/>
              <w:topLinePunct w:val="0"/>
              <w:autoSpaceDE/>
              <w:autoSpaceDN/>
              <w:bidi w:val="0"/>
              <w:adjustRightInd w:val="0"/>
              <w:snapToGrid w:val="0"/>
              <w:spacing w:line="240" w:lineRule="auto"/>
              <w:jc w:val="center"/>
              <w:textAlignment w:val="auto"/>
              <w:outlineLvl w:val="0"/>
              <w:rPr>
                <w:rFonts w:hint="eastAsia" w:ascii="仿宋" w:hAnsi="仿宋" w:eastAsia="仿宋" w:cs="仿宋_GB2312"/>
                <w:color w:val="auto"/>
                <w:sz w:val="21"/>
                <w:szCs w:val="21"/>
                <w:highlight w:val="none"/>
              </w:rPr>
            </w:pPr>
          </w:p>
        </w:tc>
        <w:tc>
          <w:tcPr>
            <w:tcW w:w="1231" w:type="dxa"/>
            <w:vMerge w:val="continue"/>
            <w:vAlign w:val="center"/>
          </w:tcPr>
          <w:p w14:paraId="519B6904">
            <w:pPr>
              <w:pStyle w:val="24"/>
              <w:shd w:val="clear"/>
              <w:spacing w:line="240" w:lineRule="auto"/>
              <w:rPr>
                <w:rFonts w:hint="eastAsia" w:ascii="仿宋" w:hAnsi="仿宋" w:eastAsia="仿宋" w:cs="仿宋_GB2312"/>
                <w:color w:val="auto"/>
                <w:kern w:val="2"/>
                <w:sz w:val="21"/>
                <w:szCs w:val="21"/>
                <w:highlight w:val="none"/>
                <w:lang w:val="en-US" w:eastAsia="zh-CN" w:bidi="ar-SA"/>
              </w:rPr>
            </w:pPr>
          </w:p>
        </w:tc>
        <w:tc>
          <w:tcPr>
            <w:tcW w:w="4366" w:type="dxa"/>
            <w:vAlign w:val="center"/>
          </w:tcPr>
          <w:p w14:paraId="0EA8B5F7">
            <w:pPr>
              <w:shd w:val="clear"/>
              <w:spacing w:line="240" w:lineRule="auto"/>
              <w:jc w:val="left"/>
              <w:outlineLvl w:val="0"/>
              <w:rPr>
                <w:rFonts w:hint="eastAsia" w:ascii="仿宋" w:hAnsi="仿宋" w:eastAsia="仿宋" w:cs="仿宋_GB2312"/>
                <w:color w:val="auto"/>
                <w:sz w:val="21"/>
                <w:szCs w:val="21"/>
                <w:highlight w:val="none"/>
                <w:lang w:val="en-US" w:eastAsia="zh-CN"/>
              </w:rPr>
            </w:pPr>
            <w:r>
              <w:rPr>
                <w:rFonts w:hint="eastAsia" w:ascii="仿宋" w:hAnsi="仿宋" w:eastAsia="仿宋" w:cs="仿宋_GB2312"/>
                <w:color w:val="auto"/>
                <w:sz w:val="21"/>
                <w:szCs w:val="21"/>
                <w:highlight w:val="none"/>
              </w:rPr>
              <w:t>（6）根据提供的方案内容中“商务社区”的“兴趣社（管理、活动）、社区活动（管理、展示、报名、评价）、会议室（信息管理、预定、预定审核、台账）、托育机构/场所信息维护及联系方式”内容进行评分，每项内容提供完整的技术方案且完全满足采购人要求得1分，方案内容存在缺项或部分满足得0.5分，未提供方案或不满足不得分，本项最高5分。</w:t>
            </w:r>
          </w:p>
        </w:tc>
        <w:tc>
          <w:tcPr>
            <w:tcW w:w="584" w:type="dxa"/>
            <w:vAlign w:val="center"/>
          </w:tcPr>
          <w:p w14:paraId="07FEDD01">
            <w:pPr>
              <w:shd w:val="clear"/>
              <w:spacing w:line="240" w:lineRule="auto"/>
              <w:jc w:val="center"/>
              <w:outlineLvl w:val="0"/>
              <w:rPr>
                <w:rFonts w:hint="default" w:ascii="仿宋" w:hAnsi="仿宋" w:eastAsia="仿宋" w:cs="仿宋_GB2312"/>
                <w:color w:val="auto"/>
                <w:sz w:val="21"/>
                <w:szCs w:val="21"/>
                <w:highlight w:val="none"/>
                <w:lang w:val="en-US" w:eastAsia="zh-CN"/>
              </w:rPr>
            </w:pPr>
            <w:r>
              <w:rPr>
                <w:rFonts w:hint="eastAsia" w:ascii="仿宋" w:hAnsi="仿宋" w:eastAsia="仿宋" w:cs="仿宋_GB2312"/>
                <w:color w:val="auto"/>
                <w:sz w:val="21"/>
                <w:szCs w:val="21"/>
                <w:highlight w:val="none"/>
              </w:rPr>
              <w:t>4</w:t>
            </w:r>
          </w:p>
        </w:tc>
        <w:tc>
          <w:tcPr>
            <w:tcW w:w="866" w:type="dxa"/>
            <w:vAlign w:val="center"/>
          </w:tcPr>
          <w:p w14:paraId="65C352E2">
            <w:pPr>
              <w:shd w:val="clear"/>
              <w:spacing w:line="240" w:lineRule="auto"/>
              <w:jc w:val="center"/>
              <w:outlineLvl w:val="0"/>
              <w:rPr>
                <w:rFonts w:hint="eastAsia" w:ascii="仿宋" w:hAnsi="仿宋" w:eastAsia="仿宋" w:cs="仿宋_GB2312"/>
                <w:color w:val="auto"/>
                <w:sz w:val="21"/>
                <w:szCs w:val="21"/>
                <w:highlight w:val="none"/>
              </w:rPr>
            </w:pPr>
            <w:r>
              <w:rPr>
                <w:rFonts w:hint="eastAsia" w:ascii="仿宋" w:hAnsi="仿宋" w:eastAsia="仿宋" w:cs="仿宋_GB2312"/>
                <w:color w:val="auto"/>
                <w:sz w:val="21"/>
                <w:szCs w:val="21"/>
                <w:highlight w:val="none"/>
              </w:rPr>
              <w:t>主观分</w:t>
            </w:r>
          </w:p>
        </w:tc>
        <w:tc>
          <w:tcPr>
            <w:tcW w:w="1475" w:type="dxa"/>
            <w:vAlign w:val="center"/>
          </w:tcPr>
          <w:p w14:paraId="1F0881C4">
            <w:pPr>
              <w:shd w:val="clear"/>
              <w:spacing w:line="240" w:lineRule="auto"/>
              <w:jc w:val="center"/>
              <w:outlineLvl w:val="0"/>
              <w:rPr>
                <w:rFonts w:hint="eastAsia" w:ascii="仿宋" w:hAnsi="仿宋" w:eastAsia="仿宋" w:cs="仿宋_GB2312"/>
                <w:color w:val="auto"/>
                <w:sz w:val="21"/>
                <w:szCs w:val="21"/>
                <w:highlight w:val="none"/>
              </w:rPr>
            </w:pPr>
            <w:r>
              <w:rPr>
                <w:rFonts w:hint="eastAsia" w:ascii="仿宋" w:hAnsi="仿宋" w:eastAsia="仿宋" w:cs="仿宋_GB2312"/>
                <w:color w:val="auto"/>
                <w:sz w:val="21"/>
                <w:szCs w:val="21"/>
                <w:highlight w:val="none"/>
              </w:rPr>
              <w:t>投标方案</w:t>
            </w:r>
          </w:p>
        </w:tc>
      </w:tr>
      <w:tr w14:paraId="23F9C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3" w:type="dxa"/>
            <w:vMerge w:val="continue"/>
            <w:vAlign w:val="center"/>
          </w:tcPr>
          <w:p w14:paraId="00DACE5B">
            <w:pPr>
              <w:keepNext w:val="0"/>
              <w:keepLines w:val="0"/>
              <w:pageBreakBefore w:val="0"/>
              <w:widowControl w:val="0"/>
              <w:shd w:val="clear"/>
              <w:kinsoku/>
              <w:wordWrap/>
              <w:overflowPunct/>
              <w:topLinePunct w:val="0"/>
              <w:autoSpaceDE/>
              <w:autoSpaceDN/>
              <w:bidi w:val="0"/>
              <w:adjustRightInd w:val="0"/>
              <w:snapToGrid w:val="0"/>
              <w:spacing w:line="240" w:lineRule="auto"/>
              <w:jc w:val="center"/>
              <w:textAlignment w:val="auto"/>
              <w:outlineLvl w:val="0"/>
              <w:rPr>
                <w:rFonts w:hint="eastAsia" w:ascii="仿宋" w:hAnsi="仿宋" w:eastAsia="仿宋" w:cs="仿宋_GB2312"/>
                <w:color w:val="auto"/>
                <w:sz w:val="21"/>
                <w:szCs w:val="21"/>
                <w:highlight w:val="none"/>
                <w:lang w:val="en-US" w:eastAsia="zh-CN"/>
              </w:rPr>
            </w:pPr>
          </w:p>
        </w:tc>
        <w:tc>
          <w:tcPr>
            <w:tcW w:w="1231" w:type="dxa"/>
            <w:vMerge w:val="continue"/>
            <w:vAlign w:val="center"/>
          </w:tcPr>
          <w:p w14:paraId="42030806">
            <w:pPr>
              <w:shd w:val="clear"/>
              <w:spacing w:line="240" w:lineRule="auto"/>
              <w:jc w:val="left"/>
              <w:outlineLvl w:val="0"/>
              <w:rPr>
                <w:rFonts w:hint="default" w:ascii="仿宋" w:hAnsi="仿宋" w:eastAsia="仿宋" w:cs="仿宋_GB2312"/>
                <w:color w:val="auto"/>
                <w:kern w:val="2"/>
                <w:sz w:val="21"/>
                <w:szCs w:val="21"/>
                <w:highlight w:val="none"/>
                <w:lang w:val="en-US" w:eastAsia="zh-CN" w:bidi="ar-SA"/>
              </w:rPr>
            </w:pPr>
          </w:p>
        </w:tc>
        <w:tc>
          <w:tcPr>
            <w:tcW w:w="4366" w:type="dxa"/>
            <w:vAlign w:val="center"/>
          </w:tcPr>
          <w:p w14:paraId="334F2071">
            <w:pPr>
              <w:shd w:val="clear"/>
              <w:spacing w:line="240" w:lineRule="auto"/>
              <w:jc w:val="left"/>
              <w:outlineLvl w:val="0"/>
              <w:rPr>
                <w:rFonts w:hint="eastAsia" w:ascii="仿宋" w:hAnsi="仿宋" w:eastAsia="仿宋" w:cs="仿宋_GB2312"/>
                <w:color w:val="auto"/>
                <w:sz w:val="21"/>
                <w:szCs w:val="21"/>
                <w:highlight w:val="none"/>
                <w:lang w:val="en-US" w:eastAsia="zh-CN"/>
              </w:rPr>
            </w:pPr>
            <w:r>
              <w:rPr>
                <w:rFonts w:hint="eastAsia" w:ascii="仿宋" w:hAnsi="仿宋" w:eastAsia="仿宋" w:cs="仿宋_GB2312"/>
                <w:color w:val="auto"/>
                <w:sz w:val="21"/>
                <w:szCs w:val="21"/>
                <w:highlight w:val="none"/>
              </w:rPr>
              <w:t>（7）根据提供的方案内容中“平台支撑功能-企业管理”的“企业画像、企业对标、注册企业管理、对比校验”内容进行评分，每项内容提供完整的技术方案且完全满足采购人要求得1分，方案内容存在缺项或部分满足得0.5分，未提供方案或不满足不得分，本项最高5分。</w:t>
            </w:r>
          </w:p>
        </w:tc>
        <w:tc>
          <w:tcPr>
            <w:tcW w:w="584" w:type="dxa"/>
            <w:vAlign w:val="center"/>
          </w:tcPr>
          <w:p w14:paraId="7FD10369">
            <w:pPr>
              <w:shd w:val="clear"/>
              <w:spacing w:line="240" w:lineRule="auto"/>
              <w:jc w:val="center"/>
              <w:outlineLvl w:val="0"/>
              <w:rPr>
                <w:rFonts w:hint="eastAsia" w:ascii="仿宋" w:hAnsi="仿宋" w:eastAsia="仿宋" w:cs="仿宋_GB2312"/>
                <w:color w:val="auto"/>
                <w:sz w:val="21"/>
                <w:szCs w:val="21"/>
                <w:highlight w:val="none"/>
              </w:rPr>
            </w:pPr>
            <w:r>
              <w:rPr>
                <w:rFonts w:hint="eastAsia" w:ascii="仿宋" w:hAnsi="仿宋" w:eastAsia="仿宋" w:cs="仿宋_GB2312"/>
                <w:color w:val="auto"/>
                <w:sz w:val="21"/>
                <w:szCs w:val="21"/>
                <w:highlight w:val="none"/>
              </w:rPr>
              <w:t>4</w:t>
            </w:r>
          </w:p>
        </w:tc>
        <w:tc>
          <w:tcPr>
            <w:tcW w:w="866" w:type="dxa"/>
            <w:vAlign w:val="center"/>
          </w:tcPr>
          <w:p w14:paraId="7388CEA1">
            <w:pPr>
              <w:shd w:val="clear"/>
              <w:spacing w:line="240" w:lineRule="auto"/>
              <w:jc w:val="center"/>
              <w:outlineLvl w:val="0"/>
              <w:rPr>
                <w:rFonts w:hint="eastAsia" w:ascii="仿宋" w:hAnsi="仿宋" w:eastAsia="仿宋" w:cs="仿宋_GB2312"/>
                <w:color w:val="auto"/>
                <w:sz w:val="21"/>
                <w:szCs w:val="21"/>
                <w:highlight w:val="none"/>
              </w:rPr>
            </w:pPr>
            <w:r>
              <w:rPr>
                <w:rFonts w:hint="eastAsia" w:ascii="仿宋" w:hAnsi="仿宋" w:eastAsia="仿宋" w:cs="仿宋_GB2312"/>
                <w:color w:val="auto"/>
                <w:sz w:val="21"/>
                <w:szCs w:val="21"/>
                <w:highlight w:val="none"/>
              </w:rPr>
              <w:t>主观分</w:t>
            </w:r>
          </w:p>
        </w:tc>
        <w:tc>
          <w:tcPr>
            <w:tcW w:w="1475" w:type="dxa"/>
            <w:vAlign w:val="center"/>
          </w:tcPr>
          <w:p w14:paraId="1FE92B67">
            <w:pPr>
              <w:shd w:val="clear"/>
              <w:spacing w:line="240" w:lineRule="auto"/>
              <w:jc w:val="center"/>
              <w:outlineLvl w:val="0"/>
              <w:rPr>
                <w:rFonts w:hint="eastAsia" w:ascii="仿宋" w:hAnsi="仿宋" w:eastAsia="仿宋" w:cs="仿宋_GB2312"/>
                <w:color w:val="auto"/>
                <w:sz w:val="21"/>
                <w:szCs w:val="21"/>
                <w:highlight w:val="none"/>
              </w:rPr>
            </w:pPr>
            <w:r>
              <w:rPr>
                <w:rFonts w:hint="eastAsia" w:ascii="仿宋" w:hAnsi="仿宋" w:eastAsia="仿宋" w:cs="仿宋_GB2312"/>
                <w:color w:val="auto"/>
                <w:sz w:val="21"/>
                <w:szCs w:val="21"/>
                <w:highlight w:val="none"/>
              </w:rPr>
              <w:t>投标方案</w:t>
            </w:r>
          </w:p>
        </w:tc>
      </w:tr>
      <w:tr w14:paraId="0E883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3" w:type="dxa"/>
            <w:vMerge w:val="continue"/>
            <w:vAlign w:val="center"/>
          </w:tcPr>
          <w:p w14:paraId="6C6B5267">
            <w:pPr>
              <w:keepNext w:val="0"/>
              <w:keepLines w:val="0"/>
              <w:pageBreakBefore w:val="0"/>
              <w:widowControl w:val="0"/>
              <w:shd w:val="clear"/>
              <w:kinsoku/>
              <w:wordWrap/>
              <w:overflowPunct/>
              <w:topLinePunct w:val="0"/>
              <w:autoSpaceDE/>
              <w:autoSpaceDN/>
              <w:bidi w:val="0"/>
              <w:adjustRightInd w:val="0"/>
              <w:snapToGrid w:val="0"/>
              <w:spacing w:line="240" w:lineRule="auto"/>
              <w:jc w:val="center"/>
              <w:textAlignment w:val="auto"/>
              <w:outlineLvl w:val="0"/>
              <w:rPr>
                <w:rFonts w:hint="eastAsia" w:ascii="仿宋" w:hAnsi="仿宋" w:eastAsia="仿宋" w:cs="仿宋_GB2312"/>
                <w:color w:val="auto"/>
                <w:sz w:val="21"/>
                <w:szCs w:val="21"/>
                <w:highlight w:val="none"/>
              </w:rPr>
            </w:pPr>
          </w:p>
        </w:tc>
        <w:tc>
          <w:tcPr>
            <w:tcW w:w="1231" w:type="dxa"/>
            <w:vMerge w:val="continue"/>
            <w:vAlign w:val="center"/>
          </w:tcPr>
          <w:p w14:paraId="2B185199">
            <w:pPr>
              <w:pStyle w:val="24"/>
              <w:shd w:val="clear"/>
              <w:spacing w:line="240" w:lineRule="auto"/>
              <w:rPr>
                <w:rFonts w:hint="eastAsia" w:ascii="仿宋" w:hAnsi="仿宋" w:eastAsia="仿宋" w:cs="仿宋_GB2312"/>
                <w:color w:val="auto"/>
                <w:kern w:val="2"/>
                <w:sz w:val="21"/>
                <w:szCs w:val="21"/>
                <w:highlight w:val="none"/>
                <w:lang w:val="en-US" w:eastAsia="zh-CN" w:bidi="ar-SA"/>
              </w:rPr>
            </w:pPr>
          </w:p>
        </w:tc>
        <w:tc>
          <w:tcPr>
            <w:tcW w:w="4366" w:type="dxa"/>
            <w:vAlign w:val="center"/>
          </w:tcPr>
          <w:p w14:paraId="0C23C2C7">
            <w:pPr>
              <w:shd w:val="clear"/>
              <w:spacing w:line="240" w:lineRule="auto"/>
              <w:jc w:val="left"/>
              <w:outlineLvl w:val="0"/>
              <w:rPr>
                <w:rFonts w:hint="eastAsia" w:ascii="仿宋" w:hAnsi="仿宋" w:eastAsia="仿宋" w:cs="仿宋_GB2312"/>
                <w:color w:val="auto"/>
                <w:sz w:val="21"/>
                <w:szCs w:val="21"/>
                <w:highlight w:val="none"/>
                <w:lang w:val="en-US" w:eastAsia="zh-CN"/>
              </w:rPr>
            </w:pPr>
            <w:r>
              <w:rPr>
                <w:rFonts w:hint="eastAsia" w:ascii="仿宋" w:hAnsi="仿宋" w:eastAsia="仿宋" w:cs="仿宋_GB2312"/>
                <w:color w:val="auto"/>
                <w:sz w:val="21"/>
                <w:szCs w:val="21"/>
                <w:highlight w:val="none"/>
              </w:rPr>
              <w:t>（8）根据提供的方案内容中“平台支撑功能-业务支撑模块”的“多入口打通、用户融合认证、多角色体系”内容进行评分，每项内容提供完整的技术方案且完全满足采购人要求得1分，方案内容存在缺项或部分满足得0.5分，未提供方案或不满足不得分，本项最高4分。</w:t>
            </w:r>
          </w:p>
        </w:tc>
        <w:tc>
          <w:tcPr>
            <w:tcW w:w="584" w:type="dxa"/>
            <w:vAlign w:val="center"/>
          </w:tcPr>
          <w:p w14:paraId="6810E89A">
            <w:pPr>
              <w:shd w:val="clear"/>
              <w:spacing w:line="240" w:lineRule="auto"/>
              <w:jc w:val="center"/>
              <w:outlineLvl w:val="0"/>
              <w:rPr>
                <w:rFonts w:hint="default" w:ascii="仿宋" w:hAnsi="仿宋" w:eastAsia="仿宋" w:cs="仿宋_GB2312"/>
                <w:color w:val="auto"/>
                <w:sz w:val="21"/>
                <w:szCs w:val="21"/>
                <w:highlight w:val="none"/>
                <w:lang w:val="en-US"/>
              </w:rPr>
            </w:pPr>
            <w:r>
              <w:rPr>
                <w:rFonts w:hint="eastAsia" w:ascii="仿宋" w:hAnsi="仿宋" w:eastAsia="仿宋" w:cs="仿宋_GB2312"/>
                <w:color w:val="auto"/>
                <w:sz w:val="21"/>
                <w:szCs w:val="21"/>
                <w:highlight w:val="none"/>
              </w:rPr>
              <w:t>3</w:t>
            </w:r>
          </w:p>
        </w:tc>
        <w:tc>
          <w:tcPr>
            <w:tcW w:w="866" w:type="dxa"/>
            <w:vAlign w:val="center"/>
          </w:tcPr>
          <w:p w14:paraId="50115810">
            <w:pPr>
              <w:shd w:val="clear"/>
              <w:spacing w:line="240" w:lineRule="auto"/>
              <w:jc w:val="center"/>
              <w:outlineLvl w:val="0"/>
              <w:rPr>
                <w:rFonts w:hint="eastAsia" w:ascii="仿宋" w:hAnsi="仿宋" w:eastAsia="仿宋" w:cs="仿宋_GB2312"/>
                <w:color w:val="auto"/>
                <w:sz w:val="21"/>
                <w:szCs w:val="21"/>
                <w:highlight w:val="none"/>
              </w:rPr>
            </w:pPr>
            <w:r>
              <w:rPr>
                <w:rFonts w:hint="eastAsia" w:ascii="仿宋" w:hAnsi="仿宋" w:eastAsia="仿宋" w:cs="仿宋_GB2312"/>
                <w:color w:val="auto"/>
                <w:sz w:val="21"/>
                <w:szCs w:val="21"/>
                <w:highlight w:val="none"/>
              </w:rPr>
              <w:t>主观分</w:t>
            </w:r>
          </w:p>
        </w:tc>
        <w:tc>
          <w:tcPr>
            <w:tcW w:w="1475" w:type="dxa"/>
            <w:vAlign w:val="center"/>
          </w:tcPr>
          <w:p w14:paraId="1CF79B6D">
            <w:pPr>
              <w:shd w:val="clear"/>
              <w:spacing w:line="240" w:lineRule="auto"/>
              <w:jc w:val="center"/>
              <w:outlineLvl w:val="0"/>
              <w:rPr>
                <w:rFonts w:hint="eastAsia" w:ascii="仿宋" w:hAnsi="仿宋" w:eastAsia="仿宋" w:cs="仿宋_GB2312"/>
                <w:color w:val="auto"/>
                <w:sz w:val="21"/>
                <w:szCs w:val="21"/>
                <w:highlight w:val="none"/>
              </w:rPr>
            </w:pPr>
            <w:r>
              <w:rPr>
                <w:rFonts w:hint="eastAsia" w:ascii="仿宋" w:hAnsi="仿宋" w:eastAsia="仿宋" w:cs="仿宋_GB2312"/>
                <w:color w:val="auto"/>
                <w:sz w:val="21"/>
                <w:szCs w:val="21"/>
                <w:highlight w:val="none"/>
              </w:rPr>
              <w:t>投标方案</w:t>
            </w:r>
          </w:p>
        </w:tc>
      </w:tr>
      <w:tr w14:paraId="3269C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3" w:type="dxa"/>
            <w:vAlign w:val="center"/>
          </w:tcPr>
          <w:p w14:paraId="5506E800">
            <w:pPr>
              <w:shd w:val="clear"/>
              <w:spacing w:line="240" w:lineRule="auto"/>
              <w:jc w:val="center"/>
              <w:outlineLvl w:val="0"/>
              <w:rPr>
                <w:rFonts w:hint="eastAsia" w:ascii="仿宋" w:hAnsi="仿宋" w:eastAsia="仿宋" w:cs="仿宋_GB2312"/>
                <w:color w:val="auto"/>
                <w:sz w:val="21"/>
                <w:szCs w:val="21"/>
                <w:highlight w:val="none"/>
                <w:lang w:val="en-US" w:eastAsia="zh-CN"/>
              </w:rPr>
            </w:pPr>
            <w:r>
              <w:rPr>
                <w:rFonts w:hint="eastAsia" w:ascii="仿宋" w:hAnsi="仿宋" w:eastAsia="仿宋" w:cs="仿宋_GB2312"/>
                <w:color w:val="auto"/>
                <w:sz w:val="21"/>
                <w:szCs w:val="21"/>
                <w:highlight w:val="none"/>
              </w:rPr>
              <w:t>5</w:t>
            </w:r>
          </w:p>
        </w:tc>
        <w:tc>
          <w:tcPr>
            <w:tcW w:w="1231" w:type="dxa"/>
            <w:vAlign w:val="center"/>
          </w:tcPr>
          <w:p w14:paraId="44A8BEBA">
            <w:pPr>
              <w:shd w:val="clear"/>
              <w:spacing w:line="240" w:lineRule="auto"/>
              <w:jc w:val="center"/>
              <w:outlineLvl w:val="0"/>
              <w:rPr>
                <w:rFonts w:hint="eastAsia" w:ascii="仿宋" w:hAnsi="仿宋" w:eastAsia="仿宋" w:cs="仿宋_GB2312"/>
                <w:color w:val="auto"/>
                <w:sz w:val="21"/>
                <w:szCs w:val="21"/>
                <w:highlight w:val="none"/>
                <w:lang w:val="en-US" w:eastAsia="zh-CN"/>
              </w:rPr>
            </w:pPr>
            <w:r>
              <w:rPr>
                <w:rFonts w:hint="eastAsia" w:ascii="仿宋" w:hAnsi="仿宋" w:eastAsia="仿宋" w:cs="仿宋_GB2312"/>
                <w:color w:val="auto"/>
                <w:sz w:val="21"/>
                <w:szCs w:val="21"/>
                <w:highlight w:val="none"/>
              </w:rPr>
              <w:t>项目组人员素质情况</w:t>
            </w:r>
          </w:p>
        </w:tc>
        <w:tc>
          <w:tcPr>
            <w:tcW w:w="4366" w:type="dxa"/>
            <w:vAlign w:val="center"/>
          </w:tcPr>
          <w:p w14:paraId="6661B8F9">
            <w:pPr>
              <w:shd w:val="clear"/>
              <w:spacing w:line="240" w:lineRule="auto"/>
              <w:jc w:val="left"/>
              <w:outlineLvl w:val="0"/>
              <w:rPr>
                <w:rFonts w:hint="eastAsia" w:ascii="仿宋" w:hAnsi="仿宋" w:eastAsia="仿宋" w:cs="仿宋_GB2312"/>
                <w:color w:val="auto"/>
                <w:sz w:val="21"/>
                <w:szCs w:val="21"/>
                <w:highlight w:val="none"/>
              </w:rPr>
            </w:pPr>
            <w:r>
              <w:rPr>
                <w:rFonts w:hint="eastAsia" w:ascii="仿宋" w:hAnsi="仿宋" w:eastAsia="仿宋" w:cs="仿宋_GB2312"/>
                <w:color w:val="auto"/>
                <w:sz w:val="21"/>
                <w:szCs w:val="21"/>
                <w:highlight w:val="none"/>
              </w:rPr>
              <w:t>（1）拟担任本项目项目经理具有信息系统项目管理师（高级）或PMP证书、注册信息安全专业人员（CISP）、高级工程师证书，每本证书得1分，最高得3分。</w:t>
            </w:r>
          </w:p>
          <w:p w14:paraId="1826D9D9">
            <w:pPr>
              <w:shd w:val="clear"/>
              <w:spacing w:line="240" w:lineRule="auto"/>
              <w:jc w:val="left"/>
              <w:outlineLvl w:val="0"/>
              <w:rPr>
                <w:rFonts w:hint="eastAsia" w:ascii="仿宋" w:hAnsi="仿宋" w:eastAsia="仿宋" w:cs="仿宋_GB2312"/>
                <w:color w:val="auto"/>
                <w:sz w:val="21"/>
                <w:szCs w:val="21"/>
                <w:highlight w:val="none"/>
              </w:rPr>
            </w:pPr>
            <w:r>
              <w:rPr>
                <w:rFonts w:hint="eastAsia" w:ascii="仿宋" w:hAnsi="仿宋" w:eastAsia="仿宋" w:cs="仿宋_GB2312"/>
                <w:color w:val="auto"/>
                <w:sz w:val="21"/>
                <w:szCs w:val="21"/>
                <w:highlight w:val="none"/>
              </w:rPr>
              <w:t>（2）项目安全负责人具备高级网络信息安全工程师证书和高级工程师任职资格证书的，得2分，不具备不得分。</w:t>
            </w:r>
          </w:p>
          <w:p w14:paraId="5FB10FB1">
            <w:pPr>
              <w:shd w:val="clear"/>
              <w:spacing w:line="240" w:lineRule="auto"/>
              <w:jc w:val="left"/>
              <w:outlineLvl w:val="0"/>
              <w:rPr>
                <w:rFonts w:hint="eastAsia" w:ascii="仿宋" w:hAnsi="仿宋" w:eastAsia="仿宋" w:cs="仿宋_GB2312"/>
                <w:color w:val="auto"/>
                <w:sz w:val="21"/>
                <w:szCs w:val="21"/>
                <w:highlight w:val="none"/>
              </w:rPr>
            </w:pPr>
            <w:r>
              <w:rPr>
                <w:rFonts w:hint="eastAsia" w:ascii="仿宋" w:hAnsi="仿宋" w:eastAsia="仿宋" w:cs="仿宋_GB2312"/>
                <w:color w:val="auto"/>
                <w:sz w:val="21"/>
                <w:szCs w:val="21"/>
                <w:highlight w:val="none"/>
              </w:rPr>
              <w:t>（3）投标人提供的项目组团队</w:t>
            </w:r>
            <w:r>
              <w:rPr>
                <w:rFonts w:hint="eastAsia" w:ascii="仿宋" w:hAnsi="仿宋" w:eastAsia="仿宋" w:cs="仿宋_GB2312"/>
                <w:color w:val="auto"/>
                <w:sz w:val="21"/>
                <w:szCs w:val="21"/>
                <w:highlight w:val="none"/>
                <w:lang w:eastAsia="zh-CN"/>
              </w:rPr>
              <w:t>（</w:t>
            </w:r>
            <w:r>
              <w:rPr>
                <w:rFonts w:hint="eastAsia" w:ascii="仿宋" w:hAnsi="仿宋" w:eastAsia="仿宋" w:cs="仿宋_GB2312"/>
                <w:color w:val="auto"/>
                <w:sz w:val="21"/>
                <w:szCs w:val="21"/>
                <w:highlight w:val="none"/>
                <w:lang w:val="en-US" w:eastAsia="zh-CN"/>
              </w:rPr>
              <w:t>不包括</w:t>
            </w:r>
            <w:r>
              <w:rPr>
                <w:rFonts w:hint="eastAsia" w:ascii="仿宋" w:hAnsi="仿宋" w:eastAsia="仿宋" w:cs="仿宋_GB2312"/>
                <w:color w:val="auto"/>
                <w:sz w:val="21"/>
                <w:szCs w:val="21"/>
                <w:highlight w:val="none"/>
              </w:rPr>
              <w:t>项目经理</w:t>
            </w:r>
            <w:r>
              <w:rPr>
                <w:rFonts w:hint="eastAsia" w:ascii="仿宋" w:hAnsi="仿宋" w:eastAsia="仿宋" w:cs="仿宋_GB2312"/>
                <w:color w:val="auto"/>
                <w:sz w:val="21"/>
                <w:szCs w:val="21"/>
                <w:highlight w:val="none"/>
                <w:lang w:val="en-US" w:eastAsia="zh-CN"/>
              </w:rPr>
              <w:t>和</w:t>
            </w:r>
            <w:r>
              <w:rPr>
                <w:rFonts w:hint="eastAsia" w:ascii="仿宋" w:hAnsi="仿宋" w:eastAsia="仿宋" w:cs="仿宋_GB2312"/>
                <w:color w:val="auto"/>
                <w:sz w:val="21"/>
                <w:szCs w:val="21"/>
                <w:highlight w:val="none"/>
              </w:rPr>
              <w:t>项目安全负责人</w:t>
            </w:r>
            <w:r>
              <w:rPr>
                <w:rFonts w:hint="eastAsia" w:ascii="仿宋" w:hAnsi="仿宋" w:eastAsia="仿宋" w:cs="仿宋_GB2312"/>
                <w:color w:val="auto"/>
                <w:sz w:val="21"/>
                <w:szCs w:val="21"/>
                <w:highlight w:val="none"/>
                <w:lang w:eastAsia="zh-CN"/>
              </w:rPr>
              <w:t>）</w:t>
            </w:r>
            <w:r>
              <w:rPr>
                <w:rFonts w:hint="eastAsia" w:ascii="仿宋" w:hAnsi="仿宋" w:eastAsia="仿宋" w:cs="仿宋_GB2312"/>
                <w:color w:val="auto"/>
                <w:sz w:val="21"/>
                <w:szCs w:val="21"/>
                <w:highlight w:val="none"/>
              </w:rPr>
              <w:t>至少配置人员10名得</w:t>
            </w:r>
            <w:r>
              <w:rPr>
                <w:rFonts w:hint="eastAsia" w:ascii="仿宋" w:hAnsi="仿宋" w:eastAsia="仿宋" w:cs="仿宋_GB2312"/>
                <w:color w:val="auto"/>
                <w:sz w:val="21"/>
                <w:szCs w:val="21"/>
                <w:highlight w:val="none"/>
                <w:lang w:val="en-US" w:eastAsia="zh-CN"/>
              </w:rPr>
              <w:t>1</w:t>
            </w:r>
            <w:r>
              <w:rPr>
                <w:rFonts w:hint="eastAsia" w:ascii="仿宋" w:hAnsi="仿宋" w:eastAsia="仿宋" w:cs="仿宋_GB2312"/>
                <w:color w:val="auto"/>
                <w:sz w:val="21"/>
                <w:szCs w:val="21"/>
                <w:highlight w:val="none"/>
              </w:rPr>
              <w:t>分。</w:t>
            </w:r>
          </w:p>
          <w:p w14:paraId="71DBCC0A">
            <w:pPr>
              <w:shd w:val="clear"/>
              <w:spacing w:line="240" w:lineRule="auto"/>
              <w:jc w:val="left"/>
              <w:outlineLvl w:val="0"/>
              <w:rPr>
                <w:rFonts w:hint="eastAsia" w:ascii="仿宋" w:hAnsi="仿宋" w:eastAsia="仿宋" w:cs="仿宋_GB2312"/>
                <w:color w:val="auto"/>
                <w:sz w:val="21"/>
                <w:szCs w:val="21"/>
                <w:highlight w:val="none"/>
                <w:lang w:eastAsia="zh-CN"/>
              </w:rPr>
            </w:pPr>
            <w:r>
              <w:rPr>
                <w:rFonts w:hint="eastAsia" w:ascii="仿宋" w:hAnsi="仿宋" w:eastAsia="仿宋" w:cs="仿宋_GB2312"/>
                <w:color w:val="auto"/>
                <w:sz w:val="21"/>
                <w:szCs w:val="21"/>
                <w:highlight w:val="none"/>
              </w:rPr>
              <w:t>说明：以上</w:t>
            </w:r>
            <w:r>
              <w:rPr>
                <w:rFonts w:hint="eastAsia" w:ascii="仿宋" w:hAnsi="仿宋" w:eastAsia="仿宋" w:cs="仿宋_GB2312"/>
                <w:color w:val="auto"/>
                <w:sz w:val="21"/>
                <w:szCs w:val="21"/>
                <w:highlight w:val="none"/>
                <w:lang w:val="en-US" w:eastAsia="zh-CN"/>
              </w:rPr>
              <w:t>3</w:t>
            </w:r>
            <w:r>
              <w:rPr>
                <w:rFonts w:hint="eastAsia" w:ascii="仿宋" w:hAnsi="仿宋" w:eastAsia="仿宋" w:cs="仿宋_GB2312"/>
                <w:color w:val="auto"/>
                <w:sz w:val="21"/>
                <w:szCs w:val="21"/>
                <w:highlight w:val="none"/>
              </w:rPr>
              <w:t>项人员不重复计分。根据投标文件中提供的人员证书同时提供人员在投标人单位近三个月的社保缴纳证明进行评分，未提供或不符合以上条件不得分。</w:t>
            </w:r>
          </w:p>
        </w:tc>
        <w:tc>
          <w:tcPr>
            <w:tcW w:w="584" w:type="dxa"/>
            <w:vAlign w:val="center"/>
          </w:tcPr>
          <w:p w14:paraId="401AFD39">
            <w:pPr>
              <w:shd w:val="clear"/>
              <w:spacing w:line="240" w:lineRule="auto"/>
              <w:jc w:val="center"/>
              <w:outlineLvl w:val="0"/>
              <w:rPr>
                <w:rFonts w:hint="eastAsia" w:ascii="仿宋" w:hAnsi="仿宋" w:eastAsia="仿宋" w:cs="仿宋_GB2312"/>
                <w:color w:val="auto"/>
                <w:sz w:val="21"/>
                <w:szCs w:val="21"/>
                <w:highlight w:val="none"/>
                <w:lang w:eastAsia="zh-CN"/>
              </w:rPr>
            </w:pPr>
            <w:r>
              <w:rPr>
                <w:rFonts w:hint="eastAsia" w:ascii="仿宋" w:hAnsi="仿宋" w:eastAsia="仿宋" w:cs="仿宋_GB2312"/>
                <w:color w:val="auto"/>
                <w:sz w:val="21"/>
                <w:szCs w:val="21"/>
                <w:highlight w:val="none"/>
                <w:lang w:val="en-US" w:eastAsia="zh-CN"/>
              </w:rPr>
              <w:t>6</w:t>
            </w:r>
          </w:p>
        </w:tc>
        <w:tc>
          <w:tcPr>
            <w:tcW w:w="866" w:type="dxa"/>
            <w:vAlign w:val="center"/>
          </w:tcPr>
          <w:p w14:paraId="28894665">
            <w:pPr>
              <w:shd w:val="clear"/>
              <w:spacing w:line="240" w:lineRule="auto"/>
              <w:jc w:val="center"/>
              <w:outlineLvl w:val="0"/>
              <w:rPr>
                <w:rFonts w:hint="eastAsia" w:ascii="仿宋" w:hAnsi="仿宋" w:eastAsia="仿宋" w:cs="仿宋_GB2312"/>
                <w:color w:val="auto"/>
                <w:sz w:val="21"/>
                <w:szCs w:val="21"/>
                <w:highlight w:val="none"/>
              </w:rPr>
            </w:pPr>
            <w:r>
              <w:rPr>
                <w:rFonts w:hint="eastAsia" w:ascii="仿宋" w:hAnsi="仿宋" w:eastAsia="仿宋" w:cs="仿宋_GB2312"/>
                <w:color w:val="auto"/>
                <w:sz w:val="21"/>
                <w:szCs w:val="21"/>
                <w:highlight w:val="none"/>
                <w:lang w:val="en-US" w:eastAsia="zh-CN"/>
              </w:rPr>
              <w:t>客观</w:t>
            </w:r>
            <w:r>
              <w:rPr>
                <w:rFonts w:hint="eastAsia" w:ascii="仿宋" w:hAnsi="仿宋" w:eastAsia="仿宋" w:cs="仿宋_GB2312"/>
                <w:color w:val="auto"/>
                <w:sz w:val="21"/>
                <w:szCs w:val="21"/>
                <w:highlight w:val="none"/>
              </w:rPr>
              <w:t>分</w:t>
            </w:r>
          </w:p>
        </w:tc>
        <w:tc>
          <w:tcPr>
            <w:tcW w:w="1475" w:type="dxa"/>
            <w:vAlign w:val="center"/>
          </w:tcPr>
          <w:p w14:paraId="22C6B3AA">
            <w:pPr>
              <w:shd w:val="clear"/>
              <w:spacing w:line="240" w:lineRule="auto"/>
              <w:jc w:val="center"/>
              <w:outlineLvl w:val="0"/>
              <w:rPr>
                <w:rFonts w:hint="eastAsia" w:ascii="仿宋" w:hAnsi="仿宋" w:eastAsia="仿宋" w:cs="仿宋_GB2312"/>
                <w:color w:val="auto"/>
                <w:sz w:val="21"/>
                <w:szCs w:val="21"/>
                <w:highlight w:val="none"/>
                <w:lang w:eastAsia="zh-CN"/>
              </w:rPr>
            </w:pPr>
            <w:r>
              <w:rPr>
                <w:rFonts w:hint="eastAsia" w:ascii="仿宋" w:hAnsi="仿宋" w:eastAsia="仿宋" w:cs="仿宋_GB2312"/>
                <w:color w:val="auto"/>
                <w:sz w:val="21"/>
                <w:szCs w:val="21"/>
                <w:highlight w:val="none"/>
              </w:rPr>
              <w:t>项目组人员</w:t>
            </w:r>
          </w:p>
        </w:tc>
      </w:tr>
      <w:tr w14:paraId="7A8AF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3" w:type="dxa"/>
            <w:vAlign w:val="center"/>
          </w:tcPr>
          <w:p w14:paraId="2EFEDEBB">
            <w:pPr>
              <w:shd w:val="clear"/>
              <w:spacing w:line="240" w:lineRule="auto"/>
              <w:jc w:val="center"/>
              <w:outlineLvl w:val="0"/>
              <w:rPr>
                <w:rFonts w:hint="eastAsia" w:ascii="仿宋" w:hAnsi="仿宋" w:eastAsia="仿宋" w:cs="仿宋_GB2312"/>
                <w:color w:val="auto"/>
                <w:sz w:val="21"/>
                <w:szCs w:val="21"/>
                <w:highlight w:val="none"/>
              </w:rPr>
            </w:pPr>
            <w:r>
              <w:rPr>
                <w:rFonts w:hint="eastAsia" w:ascii="仿宋" w:hAnsi="仿宋" w:eastAsia="仿宋" w:cs="仿宋_GB2312"/>
                <w:color w:val="auto"/>
                <w:sz w:val="21"/>
                <w:szCs w:val="21"/>
                <w:highlight w:val="none"/>
              </w:rPr>
              <w:t>6</w:t>
            </w:r>
          </w:p>
        </w:tc>
        <w:tc>
          <w:tcPr>
            <w:tcW w:w="1231" w:type="dxa"/>
            <w:vAlign w:val="center"/>
          </w:tcPr>
          <w:p w14:paraId="68BCE113">
            <w:pPr>
              <w:shd w:val="clear"/>
              <w:spacing w:line="240" w:lineRule="auto"/>
              <w:jc w:val="center"/>
              <w:outlineLvl w:val="0"/>
              <w:rPr>
                <w:rFonts w:hint="eastAsia" w:ascii="仿宋" w:hAnsi="仿宋" w:eastAsia="仿宋" w:cs="仿宋_GB2312"/>
                <w:color w:val="auto"/>
                <w:sz w:val="21"/>
                <w:szCs w:val="21"/>
                <w:highlight w:val="none"/>
              </w:rPr>
            </w:pPr>
            <w:r>
              <w:rPr>
                <w:rFonts w:hint="eastAsia" w:ascii="仿宋" w:hAnsi="仿宋" w:eastAsia="仿宋" w:cs="仿宋_GB2312"/>
                <w:color w:val="auto"/>
                <w:sz w:val="21"/>
                <w:szCs w:val="21"/>
                <w:highlight w:val="none"/>
              </w:rPr>
              <w:t>组织实施方案</w:t>
            </w:r>
          </w:p>
        </w:tc>
        <w:tc>
          <w:tcPr>
            <w:tcW w:w="4366" w:type="dxa"/>
            <w:vAlign w:val="top"/>
          </w:tcPr>
          <w:p w14:paraId="32D3E74B">
            <w:pPr>
              <w:shd w:val="clear"/>
              <w:spacing w:line="240" w:lineRule="auto"/>
              <w:jc w:val="left"/>
              <w:outlineLvl w:val="0"/>
              <w:rPr>
                <w:rFonts w:hint="eastAsia" w:ascii="仿宋" w:hAnsi="仿宋" w:eastAsia="仿宋" w:cs="仿宋_GB2312"/>
                <w:color w:val="auto"/>
                <w:sz w:val="21"/>
                <w:szCs w:val="21"/>
                <w:highlight w:val="none"/>
              </w:rPr>
            </w:pPr>
            <w:r>
              <w:rPr>
                <w:rFonts w:hint="eastAsia" w:ascii="仿宋" w:hAnsi="仿宋" w:eastAsia="仿宋" w:cs="仿宋_GB2312"/>
                <w:color w:val="auto"/>
                <w:sz w:val="21"/>
                <w:szCs w:val="21"/>
                <w:highlight w:val="none"/>
              </w:rPr>
              <w:t>根据投标人提供的组织实施方案进行评分，包括：①实施组织机构、管理和协调方法；②工作程序和步骤；③关键步骤的思路和要点。根据提供的方案内容进行评分。每一项内容完整、全部满足用户需求的得1分，部分满足得0.5分，不满足得0分。最高得3分。</w:t>
            </w:r>
          </w:p>
        </w:tc>
        <w:tc>
          <w:tcPr>
            <w:tcW w:w="584" w:type="dxa"/>
            <w:vAlign w:val="center"/>
          </w:tcPr>
          <w:p w14:paraId="49A95E1C">
            <w:pPr>
              <w:shd w:val="clear"/>
              <w:spacing w:line="240" w:lineRule="auto"/>
              <w:jc w:val="center"/>
              <w:outlineLvl w:val="0"/>
              <w:rPr>
                <w:rFonts w:hint="default" w:ascii="仿宋" w:hAnsi="仿宋" w:eastAsia="仿宋" w:cs="仿宋_GB2312"/>
                <w:color w:val="auto"/>
                <w:sz w:val="21"/>
                <w:szCs w:val="21"/>
                <w:highlight w:val="none"/>
                <w:lang w:val="en-US" w:eastAsia="zh-CN"/>
              </w:rPr>
            </w:pPr>
            <w:r>
              <w:rPr>
                <w:rFonts w:hint="eastAsia" w:ascii="仿宋" w:hAnsi="仿宋" w:eastAsia="仿宋" w:cs="仿宋_GB2312"/>
                <w:color w:val="auto"/>
                <w:sz w:val="21"/>
                <w:szCs w:val="21"/>
                <w:highlight w:val="none"/>
                <w:lang w:val="en-US" w:eastAsia="zh-CN"/>
              </w:rPr>
              <w:t>3</w:t>
            </w:r>
          </w:p>
        </w:tc>
        <w:tc>
          <w:tcPr>
            <w:tcW w:w="866" w:type="dxa"/>
            <w:vAlign w:val="center"/>
          </w:tcPr>
          <w:p w14:paraId="38506387">
            <w:pPr>
              <w:shd w:val="clear"/>
              <w:spacing w:line="240" w:lineRule="auto"/>
              <w:jc w:val="center"/>
              <w:outlineLvl w:val="0"/>
              <w:rPr>
                <w:rFonts w:hint="eastAsia" w:ascii="仿宋" w:hAnsi="仿宋" w:eastAsia="仿宋" w:cs="仿宋_GB2312"/>
                <w:color w:val="auto"/>
                <w:sz w:val="21"/>
                <w:szCs w:val="21"/>
                <w:highlight w:val="none"/>
                <w:lang w:val="en-US" w:eastAsia="zh-CN"/>
              </w:rPr>
            </w:pPr>
            <w:r>
              <w:rPr>
                <w:rFonts w:hint="eastAsia" w:ascii="仿宋" w:hAnsi="仿宋" w:eastAsia="仿宋" w:cs="仿宋_GB2312"/>
                <w:color w:val="auto"/>
                <w:sz w:val="21"/>
                <w:szCs w:val="21"/>
                <w:highlight w:val="none"/>
              </w:rPr>
              <w:t>主观分</w:t>
            </w:r>
          </w:p>
        </w:tc>
        <w:tc>
          <w:tcPr>
            <w:tcW w:w="1475" w:type="dxa"/>
            <w:vAlign w:val="center"/>
          </w:tcPr>
          <w:p w14:paraId="02DE458B">
            <w:pPr>
              <w:shd w:val="clear"/>
              <w:spacing w:line="240" w:lineRule="auto"/>
              <w:jc w:val="center"/>
              <w:outlineLvl w:val="0"/>
              <w:rPr>
                <w:rFonts w:hint="eastAsia" w:ascii="仿宋" w:hAnsi="仿宋" w:eastAsia="仿宋" w:cs="仿宋_GB2312"/>
                <w:color w:val="auto"/>
                <w:sz w:val="21"/>
                <w:szCs w:val="21"/>
                <w:highlight w:val="none"/>
                <w:lang w:eastAsia="zh-CN"/>
              </w:rPr>
            </w:pPr>
          </w:p>
        </w:tc>
      </w:tr>
      <w:tr w14:paraId="677AB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3" w:type="dxa"/>
            <w:vAlign w:val="center"/>
          </w:tcPr>
          <w:p w14:paraId="1294FD2D">
            <w:pPr>
              <w:shd w:val="clear"/>
              <w:spacing w:line="240" w:lineRule="auto"/>
              <w:jc w:val="center"/>
              <w:outlineLvl w:val="0"/>
              <w:rPr>
                <w:rFonts w:hint="eastAsia" w:ascii="仿宋" w:hAnsi="仿宋" w:eastAsia="仿宋" w:cs="仿宋_GB2312"/>
                <w:color w:val="auto"/>
                <w:sz w:val="21"/>
                <w:szCs w:val="21"/>
                <w:highlight w:val="none"/>
              </w:rPr>
            </w:pPr>
            <w:r>
              <w:rPr>
                <w:rFonts w:hint="eastAsia" w:ascii="仿宋" w:hAnsi="仿宋" w:eastAsia="仿宋" w:cs="仿宋_GB2312"/>
                <w:color w:val="auto"/>
                <w:sz w:val="21"/>
                <w:szCs w:val="21"/>
                <w:highlight w:val="none"/>
              </w:rPr>
              <w:t>7</w:t>
            </w:r>
          </w:p>
        </w:tc>
        <w:tc>
          <w:tcPr>
            <w:tcW w:w="1231" w:type="dxa"/>
            <w:vAlign w:val="center"/>
          </w:tcPr>
          <w:p w14:paraId="58F6969A">
            <w:pPr>
              <w:shd w:val="clear"/>
              <w:spacing w:line="240" w:lineRule="auto"/>
              <w:jc w:val="center"/>
              <w:outlineLvl w:val="0"/>
              <w:rPr>
                <w:rFonts w:hint="eastAsia" w:ascii="仿宋" w:hAnsi="仿宋" w:eastAsia="仿宋" w:cs="仿宋_GB2312"/>
                <w:color w:val="auto"/>
                <w:sz w:val="21"/>
                <w:szCs w:val="21"/>
                <w:highlight w:val="none"/>
              </w:rPr>
            </w:pPr>
            <w:r>
              <w:rPr>
                <w:rFonts w:hint="eastAsia" w:ascii="仿宋" w:hAnsi="仿宋" w:eastAsia="仿宋" w:cs="仿宋_GB2312"/>
                <w:color w:val="auto"/>
                <w:sz w:val="21"/>
                <w:szCs w:val="21"/>
                <w:highlight w:val="none"/>
              </w:rPr>
              <w:t>质量保证措施和建设工期</w:t>
            </w:r>
          </w:p>
          <w:p w14:paraId="4AB2EBBE">
            <w:pPr>
              <w:shd w:val="clear"/>
              <w:spacing w:line="240" w:lineRule="auto"/>
              <w:jc w:val="center"/>
              <w:outlineLvl w:val="0"/>
              <w:rPr>
                <w:rFonts w:hint="default" w:ascii="仿宋" w:hAnsi="仿宋" w:eastAsia="仿宋" w:cs="仿宋_GB2312"/>
                <w:color w:val="auto"/>
                <w:sz w:val="21"/>
                <w:szCs w:val="21"/>
                <w:highlight w:val="none"/>
                <w:lang w:val="en-US" w:eastAsia="zh-CN"/>
              </w:rPr>
            </w:pPr>
          </w:p>
        </w:tc>
        <w:tc>
          <w:tcPr>
            <w:tcW w:w="4366" w:type="dxa"/>
            <w:vAlign w:val="top"/>
          </w:tcPr>
          <w:p w14:paraId="603B2C5E">
            <w:pPr>
              <w:shd w:val="clear"/>
              <w:spacing w:line="240" w:lineRule="auto"/>
              <w:jc w:val="left"/>
              <w:outlineLvl w:val="0"/>
              <w:rPr>
                <w:rFonts w:hint="eastAsia" w:ascii="仿宋" w:hAnsi="仿宋" w:eastAsia="仿宋" w:cs="仿宋_GB2312"/>
                <w:color w:val="auto"/>
                <w:sz w:val="21"/>
                <w:szCs w:val="21"/>
                <w:highlight w:val="none"/>
              </w:rPr>
            </w:pPr>
            <w:r>
              <w:rPr>
                <w:rFonts w:hint="eastAsia" w:ascii="仿宋" w:hAnsi="仿宋" w:eastAsia="仿宋" w:cs="仿宋_GB2312"/>
                <w:color w:val="auto"/>
                <w:sz w:val="21"/>
                <w:szCs w:val="21"/>
                <w:highlight w:val="none"/>
              </w:rPr>
              <w:t>根据投标人提供的质量保证措施和建设工期方案进行评分，包括：①是否明确的建设质量目标；②是否有质量保证措施；③是否具有工期保证措施。根据提供的方案内容进行评分。每一项内容完整、全部满足用户需求的得1分，部分满足得0.5分，不满足得0分。最高得3分。</w:t>
            </w:r>
          </w:p>
        </w:tc>
        <w:tc>
          <w:tcPr>
            <w:tcW w:w="584" w:type="dxa"/>
            <w:vAlign w:val="center"/>
          </w:tcPr>
          <w:p w14:paraId="288AA598">
            <w:pPr>
              <w:shd w:val="clear"/>
              <w:spacing w:line="240" w:lineRule="auto"/>
              <w:jc w:val="center"/>
              <w:outlineLvl w:val="0"/>
              <w:rPr>
                <w:rFonts w:hint="default" w:ascii="仿宋" w:hAnsi="仿宋" w:eastAsia="仿宋" w:cs="仿宋_GB2312"/>
                <w:color w:val="auto"/>
                <w:sz w:val="21"/>
                <w:szCs w:val="21"/>
                <w:highlight w:val="none"/>
                <w:lang w:val="en-US" w:eastAsia="zh-CN"/>
              </w:rPr>
            </w:pPr>
            <w:r>
              <w:rPr>
                <w:rFonts w:hint="eastAsia" w:ascii="仿宋" w:hAnsi="仿宋" w:eastAsia="仿宋" w:cs="仿宋_GB2312"/>
                <w:color w:val="auto"/>
                <w:sz w:val="21"/>
                <w:szCs w:val="21"/>
                <w:highlight w:val="none"/>
                <w:lang w:val="en-US" w:eastAsia="zh-CN"/>
              </w:rPr>
              <w:t>3</w:t>
            </w:r>
          </w:p>
        </w:tc>
        <w:tc>
          <w:tcPr>
            <w:tcW w:w="866" w:type="dxa"/>
            <w:vAlign w:val="center"/>
          </w:tcPr>
          <w:p w14:paraId="59FF95AA">
            <w:pPr>
              <w:shd w:val="clear"/>
              <w:spacing w:line="240" w:lineRule="auto"/>
              <w:jc w:val="center"/>
              <w:outlineLvl w:val="0"/>
              <w:rPr>
                <w:rFonts w:hint="eastAsia" w:ascii="仿宋" w:hAnsi="仿宋" w:eastAsia="仿宋" w:cs="仿宋_GB2312"/>
                <w:color w:val="auto"/>
                <w:sz w:val="21"/>
                <w:szCs w:val="21"/>
                <w:highlight w:val="none"/>
                <w:lang w:val="en-US" w:eastAsia="zh-CN"/>
              </w:rPr>
            </w:pPr>
            <w:r>
              <w:rPr>
                <w:rFonts w:hint="eastAsia" w:ascii="仿宋" w:hAnsi="仿宋" w:eastAsia="仿宋" w:cs="仿宋_GB2312"/>
                <w:color w:val="auto"/>
                <w:sz w:val="21"/>
                <w:szCs w:val="21"/>
                <w:highlight w:val="none"/>
              </w:rPr>
              <w:t>主观分</w:t>
            </w:r>
          </w:p>
        </w:tc>
        <w:tc>
          <w:tcPr>
            <w:tcW w:w="1475" w:type="dxa"/>
            <w:vAlign w:val="center"/>
          </w:tcPr>
          <w:p w14:paraId="7EEEEBBB">
            <w:pPr>
              <w:shd w:val="clear"/>
              <w:spacing w:line="240" w:lineRule="auto"/>
              <w:jc w:val="center"/>
              <w:outlineLvl w:val="0"/>
              <w:rPr>
                <w:rFonts w:hint="eastAsia" w:ascii="仿宋" w:hAnsi="仿宋" w:eastAsia="仿宋" w:cs="仿宋_GB2312"/>
                <w:color w:val="auto"/>
                <w:sz w:val="21"/>
                <w:szCs w:val="21"/>
                <w:highlight w:val="none"/>
                <w:lang w:eastAsia="zh-CN"/>
              </w:rPr>
            </w:pPr>
          </w:p>
        </w:tc>
      </w:tr>
      <w:tr w14:paraId="27BFB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3" w:type="dxa"/>
            <w:vAlign w:val="center"/>
          </w:tcPr>
          <w:p w14:paraId="15FB3793">
            <w:pPr>
              <w:shd w:val="clear"/>
              <w:spacing w:line="240" w:lineRule="auto"/>
              <w:jc w:val="center"/>
              <w:outlineLvl w:val="0"/>
              <w:rPr>
                <w:rFonts w:hint="eastAsia" w:ascii="仿宋" w:hAnsi="仿宋" w:eastAsia="仿宋" w:cs="仿宋_GB2312"/>
                <w:color w:val="auto"/>
                <w:sz w:val="21"/>
                <w:szCs w:val="21"/>
                <w:highlight w:val="none"/>
                <w:lang w:val="en-US" w:eastAsia="zh-CN"/>
              </w:rPr>
            </w:pPr>
            <w:r>
              <w:rPr>
                <w:rFonts w:hint="eastAsia" w:ascii="仿宋" w:hAnsi="仿宋" w:eastAsia="仿宋" w:cs="仿宋_GB2312"/>
                <w:color w:val="auto"/>
                <w:sz w:val="21"/>
                <w:szCs w:val="21"/>
                <w:highlight w:val="none"/>
                <w:lang w:val="en-US" w:eastAsia="zh-CN"/>
              </w:rPr>
              <w:t>8</w:t>
            </w:r>
          </w:p>
        </w:tc>
        <w:tc>
          <w:tcPr>
            <w:tcW w:w="1231" w:type="dxa"/>
            <w:vAlign w:val="center"/>
          </w:tcPr>
          <w:p w14:paraId="5C2ED908">
            <w:pPr>
              <w:shd w:val="clear"/>
              <w:spacing w:line="240" w:lineRule="auto"/>
              <w:jc w:val="center"/>
              <w:outlineLvl w:val="0"/>
              <w:rPr>
                <w:rFonts w:hint="eastAsia" w:ascii="仿宋" w:hAnsi="仿宋" w:eastAsia="仿宋" w:cs="仿宋_GB2312"/>
                <w:color w:val="auto"/>
                <w:sz w:val="21"/>
                <w:szCs w:val="21"/>
                <w:highlight w:val="none"/>
                <w:lang w:val="en-US" w:eastAsia="zh-CN"/>
              </w:rPr>
            </w:pPr>
            <w:r>
              <w:rPr>
                <w:rFonts w:hint="eastAsia" w:ascii="仿宋" w:hAnsi="仿宋" w:eastAsia="仿宋" w:cs="仿宋_GB2312"/>
                <w:color w:val="auto"/>
                <w:sz w:val="21"/>
                <w:szCs w:val="21"/>
                <w:highlight w:val="none"/>
                <w:lang w:val="en-US" w:eastAsia="zh-CN"/>
              </w:rPr>
              <w:t>数据安全和网络安全（保密措施）</w:t>
            </w:r>
          </w:p>
        </w:tc>
        <w:tc>
          <w:tcPr>
            <w:tcW w:w="4366" w:type="dxa"/>
            <w:vAlign w:val="top"/>
          </w:tcPr>
          <w:p w14:paraId="6297494C">
            <w:pPr>
              <w:shd w:val="clear"/>
              <w:spacing w:line="240" w:lineRule="auto"/>
              <w:jc w:val="left"/>
              <w:outlineLvl w:val="0"/>
              <w:rPr>
                <w:rFonts w:hint="eastAsia" w:ascii="仿宋" w:hAnsi="仿宋" w:eastAsia="仿宋" w:cs="仿宋_GB2312"/>
                <w:color w:val="auto"/>
                <w:sz w:val="21"/>
                <w:szCs w:val="21"/>
                <w:highlight w:val="none"/>
              </w:rPr>
            </w:pPr>
            <w:r>
              <w:rPr>
                <w:rFonts w:hint="eastAsia" w:ascii="仿宋" w:hAnsi="仿宋" w:eastAsia="仿宋" w:cs="仿宋_GB2312"/>
                <w:color w:val="auto"/>
                <w:sz w:val="21"/>
                <w:szCs w:val="21"/>
                <w:highlight w:val="none"/>
              </w:rPr>
              <w:t>根据投标人提供的</w:t>
            </w:r>
            <w:r>
              <w:rPr>
                <w:rFonts w:hint="eastAsia" w:ascii="仿宋" w:hAnsi="仿宋" w:eastAsia="仿宋" w:cs="仿宋_GB2312"/>
                <w:color w:val="auto"/>
                <w:sz w:val="21"/>
                <w:szCs w:val="21"/>
                <w:highlight w:val="none"/>
                <w:lang w:val="en-US" w:eastAsia="zh-CN"/>
              </w:rPr>
              <w:t>数据安全和网络安全</w:t>
            </w:r>
            <w:r>
              <w:rPr>
                <w:rFonts w:hint="eastAsia" w:ascii="仿宋" w:hAnsi="仿宋" w:eastAsia="仿宋" w:cs="仿宋_GB2312"/>
                <w:color w:val="auto"/>
                <w:sz w:val="21"/>
                <w:szCs w:val="21"/>
                <w:highlight w:val="none"/>
              </w:rPr>
              <w:t>方案进行评分，包括：①是否明确的</w:t>
            </w:r>
            <w:r>
              <w:rPr>
                <w:rFonts w:hint="eastAsia" w:ascii="仿宋" w:hAnsi="仿宋" w:eastAsia="仿宋" w:cs="仿宋_GB2312"/>
                <w:color w:val="auto"/>
                <w:sz w:val="21"/>
                <w:szCs w:val="21"/>
                <w:highlight w:val="none"/>
                <w:lang w:val="en-US" w:eastAsia="zh-CN"/>
              </w:rPr>
              <w:t>数据安全和网络安全</w:t>
            </w:r>
            <w:r>
              <w:rPr>
                <w:rFonts w:hint="eastAsia" w:ascii="仿宋" w:hAnsi="仿宋" w:eastAsia="仿宋" w:cs="仿宋_GB2312"/>
                <w:color w:val="auto"/>
                <w:sz w:val="21"/>
                <w:szCs w:val="21"/>
                <w:highlight w:val="none"/>
              </w:rPr>
              <w:t>目标；②是否有</w:t>
            </w:r>
            <w:r>
              <w:rPr>
                <w:rFonts w:hint="eastAsia" w:ascii="仿宋" w:hAnsi="仿宋" w:eastAsia="仿宋" w:cs="仿宋_GB2312"/>
                <w:color w:val="auto"/>
                <w:sz w:val="21"/>
                <w:szCs w:val="21"/>
                <w:highlight w:val="none"/>
                <w:lang w:val="en-US" w:eastAsia="zh-CN"/>
              </w:rPr>
              <w:t>数据安全</w:t>
            </w:r>
            <w:r>
              <w:rPr>
                <w:rFonts w:hint="eastAsia" w:ascii="仿宋" w:hAnsi="仿宋" w:eastAsia="仿宋" w:cs="仿宋_GB2312"/>
                <w:color w:val="auto"/>
                <w:sz w:val="21"/>
                <w:szCs w:val="21"/>
                <w:highlight w:val="none"/>
              </w:rPr>
              <w:t>保证措施；③是否有</w:t>
            </w:r>
            <w:r>
              <w:rPr>
                <w:rFonts w:hint="eastAsia" w:ascii="仿宋" w:hAnsi="仿宋" w:eastAsia="仿宋" w:cs="仿宋_GB2312"/>
                <w:color w:val="auto"/>
                <w:sz w:val="21"/>
                <w:szCs w:val="21"/>
                <w:highlight w:val="none"/>
                <w:lang w:val="en-US" w:eastAsia="zh-CN"/>
              </w:rPr>
              <w:t>网络安全</w:t>
            </w:r>
            <w:r>
              <w:rPr>
                <w:rFonts w:hint="eastAsia" w:ascii="仿宋" w:hAnsi="仿宋" w:eastAsia="仿宋" w:cs="仿宋_GB2312"/>
                <w:color w:val="auto"/>
                <w:sz w:val="21"/>
                <w:szCs w:val="21"/>
                <w:highlight w:val="none"/>
              </w:rPr>
              <w:t>措施。根据提供的方案内容进行评分。每一项内容完整、全部满足用户需求的得1分，部分满足得0.5分，不满足得0分。最高得3分。</w:t>
            </w:r>
          </w:p>
        </w:tc>
        <w:tc>
          <w:tcPr>
            <w:tcW w:w="584" w:type="dxa"/>
            <w:vAlign w:val="center"/>
          </w:tcPr>
          <w:p w14:paraId="699FC54B">
            <w:pPr>
              <w:shd w:val="clear"/>
              <w:spacing w:line="240" w:lineRule="auto"/>
              <w:jc w:val="center"/>
              <w:outlineLvl w:val="0"/>
              <w:rPr>
                <w:rFonts w:hint="default" w:ascii="仿宋" w:hAnsi="仿宋" w:eastAsia="仿宋" w:cs="仿宋_GB2312"/>
                <w:color w:val="auto"/>
                <w:sz w:val="21"/>
                <w:szCs w:val="21"/>
                <w:highlight w:val="none"/>
                <w:lang w:val="en-US" w:eastAsia="zh-CN"/>
              </w:rPr>
            </w:pPr>
            <w:r>
              <w:rPr>
                <w:rFonts w:hint="eastAsia" w:ascii="仿宋" w:hAnsi="仿宋" w:eastAsia="仿宋" w:cs="仿宋_GB2312"/>
                <w:color w:val="auto"/>
                <w:sz w:val="21"/>
                <w:szCs w:val="21"/>
                <w:highlight w:val="none"/>
                <w:lang w:val="en-US" w:eastAsia="zh-CN"/>
              </w:rPr>
              <w:t>3</w:t>
            </w:r>
          </w:p>
        </w:tc>
        <w:tc>
          <w:tcPr>
            <w:tcW w:w="866" w:type="dxa"/>
            <w:vAlign w:val="center"/>
          </w:tcPr>
          <w:p w14:paraId="22CC8D49">
            <w:pPr>
              <w:shd w:val="clear"/>
              <w:spacing w:line="240" w:lineRule="auto"/>
              <w:jc w:val="center"/>
              <w:outlineLvl w:val="0"/>
              <w:rPr>
                <w:rFonts w:hint="eastAsia" w:ascii="仿宋" w:hAnsi="仿宋" w:eastAsia="仿宋" w:cs="仿宋_GB2312"/>
                <w:color w:val="auto"/>
                <w:sz w:val="21"/>
                <w:szCs w:val="21"/>
                <w:highlight w:val="none"/>
              </w:rPr>
            </w:pPr>
            <w:r>
              <w:rPr>
                <w:rFonts w:hint="eastAsia" w:ascii="仿宋" w:hAnsi="仿宋" w:eastAsia="仿宋" w:cs="仿宋_GB2312"/>
                <w:color w:val="auto"/>
                <w:sz w:val="21"/>
                <w:szCs w:val="21"/>
                <w:highlight w:val="none"/>
              </w:rPr>
              <w:t>主观分</w:t>
            </w:r>
          </w:p>
        </w:tc>
        <w:tc>
          <w:tcPr>
            <w:tcW w:w="1475" w:type="dxa"/>
            <w:vAlign w:val="center"/>
          </w:tcPr>
          <w:p w14:paraId="46543672">
            <w:pPr>
              <w:shd w:val="clear"/>
              <w:spacing w:line="240" w:lineRule="auto"/>
              <w:jc w:val="center"/>
              <w:outlineLvl w:val="0"/>
              <w:rPr>
                <w:rFonts w:hint="eastAsia" w:ascii="仿宋" w:hAnsi="仿宋" w:eastAsia="仿宋" w:cs="仿宋_GB2312"/>
                <w:color w:val="auto"/>
                <w:sz w:val="21"/>
                <w:szCs w:val="21"/>
                <w:highlight w:val="none"/>
                <w:lang w:eastAsia="zh-CN"/>
              </w:rPr>
            </w:pPr>
          </w:p>
        </w:tc>
      </w:tr>
      <w:tr w14:paraId="76F6B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3" w:type="dxa"/>
            <w:vAlign w:val="center"/>
          </w:tcPr>
          <w:p w14:paraId="31BC396B">
            <w:pPr>
              <w:shd w:val="clear"/>
              <w:spacing w:line="240" w:lineRule="auto"/>
              <w:jc w:val="center"/>
              <w:outlineLvl w:val="0"/>
              <w:rPr>
                <w:rFonts w:hint="eastAsia" w:ascii="仿宋" w:hAnsi="仿宋" w:eastAsia="仿宋" w:cs="仿宋_GB2312"/>
                <w:color w:val="auto"/>
                <w:sz w:val="21"/>
                <w:szCs w:val="21"/>
                <w:highlight w:val="none"/>
                <w:lang w:val="en-US" w:eastAsia="zh-CN"/>
              </w:rPr>
            </w:pPr>
            <w:r>
              <w:rPr>
                <w:rFonts w:hint="eastAsia" w:ascii="仿宋" w:hAnsi="仿宋" w:eastAsia="仿宋" w:cs="仿宋_GB2312"/>
                <w:color w:val="auto"/>
                <w:sz w:val="21"/>
                <w:szCs w:val="21"/>
                <w:highlight w:val="none"/>
                <w:lang w:val="en-US" w:eastAsia="zh-CN"/>
              </w:rPr>
              <w:t>9</w:t>
            </w:r>
          </w:p>
        </w:tc>
        <w:tc>
          <w:tcPr>
            <w:tcW w:w="1231" w:type="dxa"/>
            <w:vAlign w:val="center"/>
          </w:tcPr>
          <w:p w14:paraId="19D9EFB6">
            <w:pPr>
              <w:shd w:val="clear"/>
              <w:spacing w:line="240" w:lineRule="auto"/>
              <w:jc w:val="center"/>
              <w:outlineLvl w:val="0"/>
              <w:rPr>
                <w:rFonts w:hint="eastAsia" w:ascii="仿宋" w:hAnsi="仿宋" w:eastAsia="仿宋" w:cs="仿宋_GB2312"/>
                <w:color w:val="auto"/>
                <w:sz w:val="21"/>
                <w:szCs w:val="21"/>
                <w:highlight w:val="none"/>
              </w:rPr>
            </w:pPr>
            <w:r>
              <w:rPr>
                <w:rFonts w:hint="eastAsia" w:ascii="仿宋" w:hAnsi="仿宋" w:eastAsia="仿宋" w:cs="仿宋_GB2312"/>
                <w:color w:val="auto"/>
                <w:sz w:val="21"/>
                <w:szCs w:val="21"/>
                <w:highlight w:val="none"/>
              </w:rPr>
              <w:t>培训、测试</w:t>
            </w:r>
          </w:p>
        </w:tc>
        <w:tc>
          <w:tcPr>
            <w:tcW w:w="4366" w:type="dxa"/>
            <w:vAlign w:val="top"/>
          </w:tcPr>
          <w:p w14:paraId="51FE616C">
            <w:pPr>
              <w:shd w:val="clear"/>
              <w:spacing w:line="240" w:lineRule="auto"/>
              <w:jc w:val="center"/>
              <w:outlineLvl w:val="0"/>
              <w:rPr>
                <w:rFonts w:hint="eastAsia" w:ascii="仿宋" w:hAnsi="仿宋" w:eastAsia="仿宋" w:cs="仿宋_GB2312"/>
                <w:color w:val="auto"/>
                <w:sz w:val="21"/>
                <w:szCs w:val="21"/>
                <w:highlight w:val="none"/>
              </w:rPr>
            </w:pPr>
            <w:r>
              <w:rPr>
                <w:rFonts w:hint="eastAsia" w:ascii="仿宋" w:hAnsi="仿宋" w:eastAsia="仿宋" w:cs="仿宋_GB2312"/>
                <w:color w:val="auto"/>
                <w:sz w:val="21"/>
                <w:szCs w:val="21"/>
                <w:highlight w:val="none"/>
              </w:rPr>
              <w:t>根据投标人提供的培训、测试方案进行评分，包括：①测试方案；②培训方案。每一项内容完整、全部满足用户需求的得1分，部分满足得0.5分，不满足得0分。最高得2分。</w:t>
            </w:r>
          </w:p>
        </w:tc>
        <w:tc>
          <w:tcPr>
            <w:tcW w:w="584" w:type="dxa"/>
            <w:vAlign w:val="center"/>
          </w:tcPr>
          <w:p w14:paraId="064177E0">
            <w:pPr>
              <w:shd w:val="clear"/>
              <w:spacing w:line="240" w:lineRule="auto"/>
              <w:jc w:val="center"/>
              <w:outlineLvl w:val="0"/>
              <w:rPr>
                <w:rFonts w:hint="default" w:ascii="仿宋" w:hAnsi="仿宋" w:eastAsia="仿宋" w:cs="仿宋_GB2312"/>
                <w:color w:val="auto"/>
                <w:sz w:val="21"/>
                <w:szCs w:val="21"/>
                <w:highlight w:val="none"/>
                <w:lang w:val="en-US" w:eastAsia="zh-CN"/>
              </w:rPr>
            </w:pPr>
            <w:r>
              <w:rPr>
                <w:rFonts w:hint="eastAsia" w:ascii="仿宋" w:hAnsi="仿宋" w:eastAsia="仿宋" w:cs="仿宋_GB2312"/>
                <w:color w:val="auto"/>
                <w:sz w:val="21"/>
                <w:szCs w:val="21"/>
                <w:highlight w:val="none"/>
                <w:lang w:val="en-US" w:eastAsia="zh-CN"/>
              </w:rPr>
              <w:t>2</w:t>
            </w:r>
          </w:p>
        </w:tc>
        <w:tc>
          <w:tcPr>
            <w:tcW w:w="866" w:type="dxa"/>
            <w:vAlign w:val="center"/>
          </w:tcPr>
          <w:p w14:paraId="41C8658B">
            <w:pPr>
              <w:shd w:val="clear"/>
              <w:spacing w:line="240" w:lineRule="auto"/>
              <w:jc w:val="center"/>
              <w:outlineLvl w:val="0"/>
              <w:rPr>
                <w:rFonts w:hint="eastAsia" w:ascii="仿宋" w:hAnsi="仿宋" w:eastAsia="仿宋" w:cs="仿宋_GB2312"/>
                <w:color w:val="auto"/>
                <w:sz w:val="21"/>
                <w:szCs w:val="21"/>
                <w:highlight w:val="none"/>
                <w:lang w:val="en-US" w:eastAsia="zh-CN"/>
              </w:rPr>
            </w:pPr>
            <w:r>
              <w:rPr>
                <w:rFonts w:hint="eastAsia" w:ascii="仿宋" w:hAnsi="仿宋" w:eastAsia="仿宋" w:cs="仿宋_GB2312"/>
                <w:color w:val="auto"/>
                <w:sz w:val="21"/>
                <w:szCs w:val="21"/>
                <w:highlight w:val="none"/>
              </w:rPr>
              <w:t>主观分</w:t>
            </w:r>
          </w:p>
        </w:tc>
        <w:tc>
          <w:tcPr>
            <w:tcW w:w="1475" w:type="dxa"/>
            <w:vAlign w:val="center"/>
          </w:tcPr>
          <w:p w14:paraId="497C534D">
            <w:pPr>
              <w:shd w:val="clear"/>
              <w:spacing w:line="240" w:lineRule="auto"/>
              <w:jc w:val="center"/>
              <w:outlineLvl w:val="0"/>
              <w:rPr>
                <w:rFonts w:hint="eastAsia" w:ascii="仿宋" w:hAnsi="仿宋" w:eastAsia="仿宋" w:cs="仿宋_GB2312"/>
                <w:color w:val="auto"/>
                <w:sz w:val="21"/>
                <w:szCs w:val="21"/>
                <w:highlight w:val="none"/>
                <w:lang w:eastAsia="zh-CN"/>
              </w:rPr>
            </w:pPr>
          </w:p>
        </w:tc>
      </w:tr>
      <w:tr w14:paraId="78BF7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3" w:type="dxa"/>
            <w:vAlign w:val="center"/>
          </w:tcPr>
          <w:p w14:paraId="6DBF4DEB">
            <w:pPr>
              <w:shd w:val="clear"/>
              <w:spacing w:line="240" w:lineRule="auto"/>
              <w:jc w:val="center"/>
              <w:outlineLvl w:val="0"/>
              <w:rPr>
                <w:rFonts w:hint="default" w:ascii="仿宋" w:hAnsi="仿宋" w:eastAsia="仿宋" w:cs="仿宋_GB2312"/>
                <w:color w:val="auto"/>
                <w:sz w:val="21"/>
                <w:szCs w:val="21"/>
                <w:highlight w:val="none"/>
                <w:lang w:val="en-US" w:eastAsia="zh-CN"/>
              </w:rPr>
            </w:pPr>
            <w:r>
              <w:rPr>
                <w:rFonts w:hint="eastAsia" w:ascii="仿宋" w:hAnsi="仿宋" w:eastAsia="仿宋" w:cs="仿宋_GB2312"/>
                <w:color w:val="auto"/>
                <w:sz w:val="21"/>
                <w:szCs w:val="21"/>
                <w:highlight w:val="none"/>
                <w:lang w:val="en-US" w:eastAsia="zh-CN"/>
              </w:rPr>
              <w:t>10</w:t>
            </w:r>
          </w:p>
        </w:tc>
        <w:tc>
          <w:tcPr>
            <w:tcW w:w="1231" w:type="dxa"/>
            <w:vAlign w:val="center"/>
          </w:tcPr>
          <w:p w14:paraId="12FE993A">
            <w:pPr>
              <w:shd w:val="clear"/>
              <w:spacing w:line="240" w:lineRule="auto"/>
              <w:jc w:val="center"/>
              <w:outlineLvl w:val="0"/>
              <w:rPr>
                <w:rFonts w:hint="eastAsia" w:ascii="仿宋" w:hAnsi="仿宋" w:eastAsia="仿宋" w:cs="仿宋_GB2312"/>
                <w:color w:val="auto"/>
                <w:sz w:val="21"/>
                <w:szCs w:val="21"/>
                <w:highlight w:val="none"/>
              </w:rPr>
            </w:pPr>
            <w:r>
              <w:rPr>
                <w:rFonts w:hint="eastAsia" w:ascii="仿宋" w:hAnsi="仿宋" w:eastAsia="仿宋" w:cs="仿宋_GB2312"/>
                <w:color w:val="auto"/>
                <w:sz w:val="21"/>
                <w:szCs w:val="21"/>
                <w:highlight w:val="none"/>
              </w:rPr>
              <w:t>试运行、验收</w:t>
            </w:r>
          </w:p>
        </w:tc>
        <w:tc>
          <w:tcPr>
            <w:tcW w:w="4366" w:type="dxa"/>
            <w:vAlign w:val="top"/>
          </w:tcPr>
          <w:p w14:paraId="689D6ED5">
            <w:pPr>
              <w:shd w:val="clear"/>
              <w:spacing w:line="240" w:lineRule="auto"/>
              <w:jc w:val="center"/>
              <w:outlineLvl w:val="0"/>
              <w:rPr>
                <w:rFonts w:hint="eastAsia" w:ascii="仿宋" w:hAnsi="仿宋" w:eastAsia="仿宋" w:cs="仿宋_GB2312"/>
                <w:color w:val="auto"/>
                <w:sz w:val="21"/>
                <w:szCs w:val="21"/>
                <w:highlight w:val="none"/>
              </w:rPr>
            </w:pPr>
            <w:r>
              <w:rPr>
                <w:rFonts w:hint="eastAsia" w:ascii="仿宋" w:hAnsi="仿宋" w:eastAsia="仿宋" w:cs="仿宋_GB2312"/>
                <w:color w:val="auto"/>
                <w:sz w:val="21"/>
                <w:szCs w:val="21"/>
                <w:highlight w:val="none"/>
              </w:rPr>
              <w:t>根据投标人提供的试运行、验收进行评分，包括：①试运行方案；②验收方案。每一项内容完整、全部满足用户需求的得1分，部分满足得0.5分，不满足得0分。最高得2分。</w:t>
            </w:r>
          </w:p>
        </w:tc>
        <w:tc>
          <w:tcPr>
            <w:tcW w:w="584" w:type="dxa"/>
            <w:vAlign w:val="center"/>
          </w:tcPr>
          <w:p w14:paraId="3DCC621B">
            <w:pPr>
              <w:shd w:val="clear"/>
              <w:spacing w:line="240" w:lineRule="auto"/>
              <w:jc w:val="center"/>
              <w:outlineLvl w:val="0"/>
              <w:rPr>
                <w:rFonts w:hint="default" w:ascii="仿宋" w:hAnsi="仿宋" w:eastAsia="仿宋" w:cs="仿宋_GB2312"/>
                <w:color w:val="auto"/>
                <w:sz w:val="21"/>
                <w:szCs w:val="21"/>
                <w:highlight w:val="none"/>
                <w:lang w:val="en-US" w:eastAsia="zh-CN"/>
              </w:rPr>
            </w:pPr>
            <w:r>
              <w:rPr>
                <w:rFonts w:hint="eastAsia" w:ascii="仿宋" w:hAnsi="仿宋" w:eastAsia="仿宋" w:cs="仿宋_GB2312"/>
                <w:color w:val="auto"/>
                <w:sz w:val="21"/>
                <w:szCs w:val="21"/>
                <w:highlight w:val="none"/>
                <w:lang w:val="en-US" w:eastAsia="zh-CN"/>
              </w:rPr>
              <w:t>2</w:t>
            </w:r>
          </w:p>
        </w:tc>
        <w:tc>
          <w:tcPr>
            <w:tcW w:w="866" w:type="dxa"/>
            <w:vAlign w:val="center"/>
          </w:tcPr>
          <w:p w14:paraId="636AF189">
            <w:pPr>
              <w:shd w:val="clear"/>
              <w:spacing w:line="240" w:lineRule="auto"/>
              <w:jc w:val="center"/>
              <w:outlineLvl w:val="0"/>
              <w:rPr>
                <w:rFonts w:hint="eastAsia" w:ascii="仿宋" w:hAnsi="仿宋" w:eastAsia="仿宋" w:cs="仿宋_GB2312"/>
                <w:color w:val="auto"/>
                <w:sz w:val="21"/>
                <w:szCs w:val="21"/>
                <w:highlight w:val="none"/>
                <w:lang w:val="en-US" w:eastAsia="zh-CN"/>
              </w:rPr>
            </w:pPr>
            <w:r>
              <w:rPr>
                <w:rFonts w:hint="eastAsia" w:ascii="仿宋" w:hAnsi="仿宋" w:eastAsia="仿宋" w:cs="仿宋_GB2312"/>
                <w:color w:val="auto"/>
                <w:sz w:val="21"/>
                <w:szCs w:val="21"/>
                <w:highlight w:val="none"/>
              </w:rPr>
              <w:t>主观分</w:t>
            </w:r>
          </w:p>
        </w:tc>
        <w:tc>
          <w:tcPr>
            <w:tcW w:w="1475" w:type="dxa"/>
            <w:vAlign w:val="center"/>
          </w:tcPr>
          <w:p w14:paraId="3D97276B">
            <w:pPr>
              <w:shd w:val="clear"/>
              <w:spacing w:line="240" w:lineRule="auto"/>
              <w:jc w:val="center"/>
              <w:outlineLvl w:val="0"/>
              <w:rPr>
                <w:rFonts w:hint="eastAsia" w:ascii="仿宋" w:hAnsi="仿宋" w:eastAsia="仿宋" w:cs="仿宋_GB2312"/>
                <w:color w:val="auto"/>
                <w:sz w:val="21"/>
                <w:szCs w:val="21"/>
                <w:highlight w:val="none"/>
                <w:lang w:eastAsia="zh-CN"/>
              </w:rPr>
            </w:pPr>
          </w:p>
        </w:tc>
      </w:tr>
      <w:tr w14:paraId="504AF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3" w:type="dxa"/>
            <w:vAlign w:val="center"/>
          </w:tcPr>
          <w:p w14:paraId="25DB0F8C">
            <w:pPr>
              <w:shd w:val="clear"/>
              <w:spacing w:line="240" w:lineRule="auto"/>
              <w:jc w:val="center"/>
              <w:outlineLvl w:val="0"/>
              <w:rPr>
                <w:rFonts w:hint="default" w:ascii="仿宋" w:hAnsi="仿宋" w:eastAsia="仿宋" w:cs="仿宋_GB2312"/>
                <w:color w:val="auto"/>
                <w:sz w:val="21"/>
                <w:szCs w:val="21"/>
                <w:highlight w:val="none"/>
                <w:lang w:val="en-US" w:eastAsia="zh-CN"/>
              </w:rPr>
            </w:pPr>
            <w:r>
              <w:rPr>
                <w:rFonts w:hint="eastAsia" w:ascii="仿宋" w:hAnsi="仿宋" w:eastAsia="仿宋" w:cs="仿宋_GB2312"/>
                <w:color w:val="auto"/>
                <w:sz w:val="21"/>
                <w:szCs w:val="21"/>
                <w:highlight w:val="none"/>
                <w:lang w:val="en-US" w:eastAsia="zh-CN"/>
              </w:rPr>
              <w:t>11</w:t>
            </w:r>
          </w:p>
        </w:tc>
        <w:tc>
          <w:tcPr>
            <w:tcW w:w="1231" w:type="dxa"/>
            <w:vAlign w:val="center"/>
          </w:tcPr>
          <w:p w14:paraId="7266368D">
            <w:pPr>
              <w:shd w:val="clear"/>
              <w:spacing w:line="240" w:lineRule="auto"/>
              <w:jc w:val="center"/>
              <w:outlineLvl w:val="0"/>
              <w:rPr>
                <w:rFonts w:hint="eastAsia" w:ascii="仿宋" w:hAnsi="仿宋" w:eastAsia="仿宋" w:cs="仿宋_GB2312"/>
                <w:color w:val="auto"/>
                <w:sz w:val="21"/>
                <w:szCs w:val="21"/>
                <w:highlight w:val="none"/>
              </w:rPr>
            </w:pPr>
            <w:r>
              <w:rPr>
                <w:rFonts w:hint="eastAsia" w:ascii="仿宋" w:hAnsi="仿宋" w:eastAsia="仿宋" w:cs="仿宋_GB2312"/>
                <w:color w:val="auto"/>
                <w:sz w:val="21"/>
                <w:szCs w:val="21"/>
                <w:highlight w:val="none"/>
              </w:rPr>
              <w:t>售后服务方案</w:t>
            </w:r>
          </w:p>
        </w:tc>
        <w:tc>
          <w:tcPr>
            <w:tcW w:w="4366" w:type="dxa"/>
            <w:vAlign w:val="top"/>
          </w:tcPr>
          <w:p w14:paraId="77E54E38">
            <w:pPr>
              <w:shd w:val="clear"/>
              <w:spacing w:line="240" w:lineRule="auto"/>
              <w:jc w:val="left"/>
              <w:outlineLvl w:val="0"/>
              <w:rPr>
                <w:rFonts w:hint="eastAsia" w:ascii="仿宋" w:hAnsi="仿宋" w:eastAsia="仿宋" w:cs="仿宋_GB2312"/>
                <w:color w:val="auto"/>
                <w:sz w:val="21"/>
                <w:szCs w:val="21"/>
                <w:highlight w:val="none"/>
              </w:rPr>
            </w:pPr>
            <w:r>
              <w:rPr>
                <w:rFonts w:hint="eastAsia" w:ascii="仿宋" w:hAnsi="仿宋" w:eastAsia="仿宋" w:cs="仿宋_GB2312"/>
                <w:color w:val="auto"/>
                <w:sz w:val="21"/>
                <w:szCs w:val="21"/>
                <w:highlight w:val="none"/>
              </w:rPr>
              <w:t>（1）终验合格后提供不少于1年7*24免费售后技术支持服务（包括故障排除、性能调优、技术咨询等，并负责处理、协调与各系统软件、硬件等供应商的关系），满足得1分，不满足不得分。</w:t>
            </w:r>
          </w:p>
          <w:p w14:paraId="0C3B9A51">
            <w:pPr>
              <w:shd w:val="clear"/>
              <w:spacing w:line="240" w:lineRule="auto"/>
              <w:jc w:val="left"/>
              <w:outlineLvl w:val="0"/>
              <w:rPr>
                <w:rFonts w:hint="eastAsia" w:ascii="仿宋" w:hAnsi="仿宋" w:eastAsia="仿宋" w:cs="仿宋_GB2312"/>
                <w:color w:val="auto"/>
                <w:sz w:val="21"/>
                <w:szCs w:val="21"/>
                <w:highlight w:val="none"/>
              </w:rPr>
            </w:pPr>
            <w:r>
              <w:rPr>
                <w:rFonts w:hint="eastAsia" w:ascii="仿宋" w:hAnsi="仿宋" w:eastAsia="仿宋" w:cs="仿宋_GB2312"/>
                <w:color w:val="auto"/>
                <w:sz w:val="21"/>
                <w:szCs w:val="21"/>
                <w:highlight w:val="none"/>
              </w:rPr>
              <w:t>（2）承诺维护期内提供同版本软件免费客户化修改与免费升级服务，确保招标人使用软件一直是行业内最新版本，并为用户提供长期的技术支持，满足得1分，不满足不得分。</w:t>
            </w:r>
          </w:p>
          <w:p w14:paraId="02463287">
            <w:pPr>
              <w:shd w:val="clear"/>
              <w:spacing w:line="240" w:lineRule="auto"/>
              <w:jc w:val="left"/>
              <w:outlineLvl w:val="0"/>
              <w:rPr>
                <w:rFonts w:hint="eastAsia" w:ascii="仿宋" w:hAnsi="仿宋" w:eastAsia="仿宋" w:cs="仿宋_GB2312"/>
                <w:color w:val="auto"/>
                <w:sz w:val="21"/>
                <w:szCs w:val="21"/>
                <w:highlight w:val="none"/>
              </w:rPr>
            </w:pPr>
            <w:r>
              <w:rPr>
                <w:rFonts w:hint="eastAsia" w:ascii="仿宋" w:hAnsi="仿宋" w:eastAsia="仿宋" w:cs="仿宋_GB2312"/>
                <w:color w:val="auto"/>
                <w:sz w:val="21"/>
                <w:szCs w:val="21"/>
                <w:highlight w:val="none"/>
              </w:rPr>
              <w:t>（3）承诺系统在维保期内发生故障，投标人应及时予以响应（免费上门服务），运维期内所有的服务均为免费服务,提供7×24小时技术支持和服务，2小时内作出实质性响应，4小时内到现场，问题解决后48小时内，提交问题处理报告。在重大活动期间（如两会、春节、互联网大会、国庆）针对系统进行保障值守，确保活动期间系统正常运行。满足得2分，不满足不得分。</w:t>
            </w:r>
          </w:p>
        </w:tc>
        <w:tc>
          <w:tcPr>
            <w:tcW w:w="584" w:type="dxa"/>
            <w:vAlign w:val="center"/>
          </w:tcPr>
          <w:p w14:paraId="09C4D91D">
            <w:pPr>
              <w:widowControl/>
              <w:spacing w:line="240" w:lineRule="auto"/>
              <w:ind w:firstLine="0" w:firstLineChars="0"/>
              <w:jc w:val="center"/>
              <w:rPr>
                <w:rFonts w:hint="default" w:ascii="仿宋" w:hAnsi="仿宋" w:eastAsia="仿宋" w:cs="仿宋_GB2312"/>
                <w:color w:val="auto"/>
                <w:sz w:val="21"/>
                <w:szCs w:val="21"/>
                <w:highlight w:val="none"/>
                <w:lang w:val="en-US" w:eastAsia="zh-CN"/>
              </w:rPr>
            </w:pPr>
            <w:r>
              <w:rPr>
                <w:rFonts w:hint="eastAsia" w:ascii="仿宋" w:hAnsi="仿宋" w:eastAsia="仿宋" w:cs="仿宋_GB2312"/>
                <w:color w:val="auto"/>
                <w:sz w:val="21"/>
                <w:szCs w:val="21"/>
                <w:highlight w:val="none"/>
                <w:lang w:val="en-US" w:eastAsia="zh-CN"/>
              </w:rPr>
              <w:t>4</w:t>
            </w:r>
          </w:p>
        </w:tc>
        <w:tc>
          <w:tcPr>
            <w:tcW w:w="866" w:type="dxa"/>
            <w:vAlign w:val="center"/>
          </w:tcPr>
          <w:p w14:paraId="1824392A">
            <w:pPr>
              <w:shd w:val="clear"/>
              <w:spacing w:line="240" w:lineRule="auto"/>
              <w:jc w:val="center"/>
              <w:outlineLvl w:val="0"/>
              <w:rPr>
                <w:rFonts w:hint="eastAsia" w:ascii="仿宋" w:hAnsi="仿宋" w:eastAsia="仿宋" w:cs="仿宋_GB2312"/>
                <w:color w:val="auto"/>
                <w:sz w:val="21"/>
                <w:szCs w:val="21"/>
                <w:highlight w:val="none"/>
                <w:lang w:val="en-US" w:eastAsia="zh-CN"/>
              </w:rPr>
            </w:pPr>
            <w:r>
              <w:rPr>
                <w:rFonts w:hint="eastAsia" w:ascii="仿宋" w:hAnsi="仿宋" w:eastAsia="仿宋" w:cs="仿宋_GB2312"/>
                <w:color w:val="auto"/>
                <w:sz w:val="21"/>
                <w:szCs w:val="21"/>
                <w:highlight w:val="none"/>
              </w:rPr>
              <w:t>主观分</w:t>
            </w:r>
          </w:p>
        </w:tc>
        <w:tc>
          <w:tcPr>
            <w:tcW w:w="1475" w:type="dxa"/>
            <w:vAlign w:val="center"/>
          </w:tcPr>
          <w:p w14:paraId="7D84B648">
            <w:pPr>
              <w:shd w:val="clear"/>
              <w:spacing w:line="240" w:lineRule="auto"/>
              <w:jc w:val="center"/>
              <w:outlineLvl w:val="0"/>
              <w:rPr>
                <w:rFonts w:hint="eastAsia" w:ascii="仿宋" w:hAnsi="仿宋" w:eastAsia="仿宋" w:cs="仿宋_GB2312"/>
                <w:color w:val="auto"/>
                <w:sz w:val="21"/>
                <w:szCs w:val="21"/>
                <w:highlight w:val="none"/>
                <w:lang w:eastAsia="zh-CN"/>
              </w:rPr>
            </w:pPr>
          </w:p>
        </w:tc>
      </w:tr>
      <w:tr w14:paraId="6C742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3" w:type="dxa"/>
            <w:vMerge w:val="restart"/>
            <w:vAlign w:val="center"/>
          </w:tcPr>
          <w:p w14:paraId="0649007C">
            <w:pPr>
              <w:shd w:val="clear"/>
              <w:spacing w:line="240" w:lineRule="auto"/>
              <w:jc w:val="center"/>
              <w:outlineLvl w:val="0"/>
              <w:rPr>
                <w:rFonts w:hint="default" w:ascii="仿宋" w:hAnsi="仿宋" w:eastAsia="仿宋" w:cs="仿宋_GB2312"/>
                <w:color w:val="auto"/>
                <w:sz w:val="21"/>
                <w:szCs w:val="21"/>
                <w:highlight w:val="none"/>
                <w:lang w:val="en-US" w:eastAsia="zh-CN"/>
              </w:rPr>
            </w:pPr>
            <w:r>
              <w:rPr>
                <w:rFonts w:hint="eastAsia" w:ascii="仿宋" w:hAnsi="仿宋" w:eastAsia="仿宋" w:cs="仿宋_GB2312"/>
                <w:color w:val="auto"/>
                <w:sz w:val="21"/>
                <w:szCs w:val="21"/>
                <w:highlight w:val="none"/>
                <w:lang w:val="en-US" w:eastAsia="zh-CN"/>
              </w:rPr>
              <w:t>12</w:t>
            </w:r>
          </w:p>
        </w:tc>
        <w:tc>
          <w:tcPr>
            <w:tcW w:w="1231" w:type="dxa"/>
            <w:vMerge w:val="restart"/>
            <w:vAlign w:val="center"/>
          </w:tcPr>
          <w:p w14:paraId="28EDC306">
            <w:pPr>
              <w:shd w:val="clear"/>
              <w:spacing w:line="240" w:lineRule="auto"/>
              <w:jc w:val="center"/>
              <w:outlineLvl w:val="0"/>
              <w:rPr>
                <w:rFonts w:hint="eastAsia" w:ascii="仿宋" w:hAnsi="仿宋" w:eastAsia="仿宋" w:cs="仿宋_GB2312"/>
                <w:color w:val="auto"/>
                <w:sz w:val="21"/>
                <w:szCs w:val="21"/>
                <w:highlight w:val="none"/>
              </w:rPr>
            </w:pPr>
            <w:r>
              <w:rPr>
                <w:rFonts w:hint="eastAsia" w:ascii="仿宋" w:hAnsi="仿宋" w:eastAsia="仿宋" w:cs="仿宋_GB2312"/>
                <w:color w:val="auto"/>
                <w:sz w:val="21"/>
                <w:szCs w:val="21"/>
                <w:highlight w:val="none"/>
              </w:rPr>
              <w:t>系统方案演示（演示时间为15分钟）</w:t>
            </w:r>
          </w:p>
        </w:tc>
        <w:tc>
          <w:tcPr>
            <w:tcW w:w="4366" w:type="dxa"/>
            <w:vAlign w:val="center"/>
          </w:tcPr>
          <w:p w14:paraId="0B9DDF3C">
            <w:pPr>
              <w:shd w:val="clear"/>
              <w:spacing w:line="240" w:lineRule="auto"/>
              <w:jc w:val="left"/>
              <w:outlineLvl w:val="0"/>
              <w:rPr>
                <w:rFonts w:hint="eastAsia" w:ascii="仿宋" w:hAnsi="仿宋" w:eastAsia="仿宋" w:cs="仿宋_GB2312"/>
                <w:color w:val="auto"/>
                <w:sz w:val="21"/>
                <w:szCs w:val="21"/>
                <w:highlight w:val="none"/>
              </w:rPr>
            </w:pPr>
            <w:r>
              <w:rPr>
                <w:rFonts w:hint="eastAsia" w:ascii="仿宋" w:hAnsi="仿宋" w:eastAsia="仿宋" w:cs="仿宋_GB2312"/>
                <w:color w:val="auto"/>
                <w:sz w:val="21"/>
                <w:szCs w:val="21"/>
                <w:highlight w:val="none"/>
              </w:rPr>
              <w:t>是否有可演示的原型，原型系统是否紧密结合业务，体现与现有系统在系统架构、功能、数据结构上的无缝集成，能符合单位实际情况，演示人员必须为本公司的项目经理并提供在投标人单位近三个月的社保缴纳证明。无原型演示、演示人员身份不符或演示不符合业务实际情况(采用图片、PPT等属非原型演示)此项不得分，本项最高得20分（20分）：</w:t>
            </w:r>
          </w:p>
        </w:tc>
        <w:tc>
          <w:tcPr>
            <w:tcW w:w="584" w:type="dxa"/>
            <w:vAlign w:val="center"/>
          </w:tcPr>
          <w:p w14:paraId="41F691CA">
            <w:pPr>
              <w:widowControl/>
              <w:spacing w:line="240" w:lineRule="auto"/>
              <w:ind w:firstLine="0" w:firstLineChars="0"/>
              <w:jc w:val="center"/>
              <w:rPr>
                <w:rFonts w:hint="default" w:ascii="仿宋" w:hAnsi="仿宋" w:eastAsia="仿宋" w:cs="仿宋_GB2312"/>
                <w:color w:val="auto"/>
                <w:sz w:val="21"/>
                <w:szCs w:val="21"/>
                <w:highlight w:val="none"/>
                <w:lang w:val="en-US" w:eastAsia="zh-CN"/>
              </w:rPr>
            </w:pPr>
            <w:r>
              <w:rPr>
                <w:rFonts w:hint="eastAsia" w:ascii="仿宋" w:hAnsi="仿宋" w:eastAsia="仿宋" w:cs="仿宋_GB2312"/>
                <w:color w:val="auto"/>
                <w:sz w:val="21"/>
                <w:szCs w:val="21"/>
                <w:highlight w:val="none"/>
                <w:lang w:val="en-US" w:eastAsia="zh-CN"/>
              </w:rPr>
              <w:t>/</w:t>
            </w:r>
          </w:p>
        </w:tc>
        <w:tc>
          <w:tcPr>
            <w:tcW w:w="866" w:type="dxa"/>
            <w:vAlign w:val="center"/>
          </w:tcPr>
          <w:p w14:paraId="6886325E">
            <w:pPr>
              <w:shd w:val="clear"/>
              <w:spacing w:line="240" w:lineRule="auto"/>
              <w:jc w:val="center"/>
              <w:outlineLvl w:val="0"/>
              <w:rPr>
                <w:rFonts w:hint="eastAsia" w:ascii="仿宋" w:hAnsi="仿宋" w:eastAsia="仿宋" w:cs="仿宋_GB2312"/>
                <w:color w:val="auto"/>
                <w:sz w:val="21"/>
                <w:szCs w:val="21"/>
                <w:highlight w:val="none"/>
                <w:lang w:val="en-US" w:eastAsia="zh-CN"/>
              </w:rPr>
            </w:pPr>
            <w:r>
              <w:rPr>
                <w:rFonts w:hint="eastAsia" w:ascii="仿宋" w:hAnsi="仿宋" w:eastAsia="仿宋" w:cs="仿宋_GB2312"/>
                <w:color w:val="auto"/>
                <w:sz w:val="21"/>
                <w:szCs w:val="21"/>
                <w:highlight w:val="none"/>
                <w:lang w:val="en-US" w:eastAsia="zh-CN"/>
              </w:rPr>
              <w:t>/</w:t>
            </w:r>
          </w:p>
        </w:tc>
        <w:tc>
          <w:tcPr>
            <w:tcW w:w="1475" w:type="dxa"/>
            <w:vAlign w:val="center"/>
          </w:tcPr>
          <w:p w14:paraId="06703DCC">
            <w:pPr>
              <w:shd w:val="clear"/>
              <w:spacing w:line="240" w:lineRule="auto"/>
              <w:jc w:val="center"/>
              <w:outlineLvl w:val="0"/>
              <w:rPr>
                <w:rFonts w:hint="default" w:ascii="仿宋" w:hAnsi="仿宋" w:eastAsia="仿宋" w:cs="仿宋_GB2312"/>
                <w:color w:val="auto"/>
                <w:sz w:val="21"/>
                <w:szCs w:val="21"/>
                <w:highlight w:val="none"/>
                <w:lang w:val="en-US" w:eastAsia="zh-CN"/>
              </w:rPr>
            </w:pPr>
            <w:r>
              <w:rPr>
                <w:rFonts w:hint="eastAsia" w:ascii="仿宋" w:hAnsi="仿宋" w:eastAsia="仿宋" w:cs="仿宋_GB2312"/>
                <w:color w:val="auto"/>
                <w:sz w:val="21"/>
                <w:szCs w:val="21"/>
                <w:highlight w:val="none"/>
                <w:lang w:val="en-US" w:eastAsia="zh-CN"/>
              </w:rPr>
              <w:t>/</w:t>
            </w:r>
          </w:p>
        </w:tc>
      </w:tr>
      <w:tr w14:paraId="31BBD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3" w:type="dxa"/>
            <w:vMerge w:val="continue"/>
            <w:vAlign w:val="center"/>
          </w:tcPr>
          <w:p w14:paraId="6BD8D505">
            <w:pPr>
              <w:shd w:val="clear"/>
              <w:spacing w:line="240" w:lineRule="auto"/>
              <w:jc w:val="center"/>
              <w:outlineLvl w:val="0"/>
              <w:rPr>
                <w:rFonts w:hint="eastAsia" w:ascii="仿宋" w:hAnsi="仿宋" w:eastAsia="仿宋" w:cs="仿宋_GB2312"/>
                <w:color w:val="auto"/>
                <w:sz w:val="21"/>
                <w:szCs w:val="21"/>
                <w:highlight w:val="none"/>
              </w:rPr>
            </w:pPr>
          </w:p>
        </w:tc>
        <w:tc>
          <w:tcPr>
            <w:tcW w:w="1231" w:type="dxa"/>
            <w:vMerge w:val="continue"/>
            <w:vAlign w:val="center"/>
          </w:tcPr>
          <w:p w14:paraId="45FEC849">
            <w:pPr>
              <w:shd w:val="clear"/>
              <w:spacing w:line="240" w:lineRule="auto"/>
              <w:jc w:val="center"/>
              <w:outlineLvl w:val="0"/>
              <w:rPr>
                <w:rFonts w:hint="eastAsia" w:ascii="仿宋" w:hAnsi="仿宋" w:eastAsia="仿宋" w:cs="仿宋_GB2312"/>
                <w:color w:val="auto"/>
                <w:sz w:val="21"/>
                <w:szCs w:val="21"/>
                <w:highlight w:val="none"/>
              </w:rPr>
            </w:pPr>
          </w:p>
        </w:tc>
        <w:tc>
          <w:tcPr>
            <w:tcW w:w="4366" w:type="dxa"/>
            <w:vAlign w:val="center"/>
          </w:tcPr>
          <w:p w14:paraId="61F2C94E">
            <w:pPr>
              <w:shd w:val="clear"/>
              <w:spacing w:line="240" w:lineRule="auto"/>
              <w:jc w:val="left"/>
              <w:outlineLvl w:val="0"/>
              <w:rPr>
                <w:rFonts w:hint="eastAsia" w:ascii="仿宋" w:hAnsi="仿宋" w:eastAsia="仿宋" w:cs="仿宋_GB2312"/>
                <w:color w:val="auto"/>
                <w:sz w:val="21"/>
                <w:szCs w:val="21"/>
                <w:highlight w:val="none"/>
              </w:rPr>
            </w:pPr>
            <w:r>
              <w:rPr>
                <w:rFonts w:hint="eastAsia" w:ascii="仿宋" w:hAnsi="仿宋" w:eastAsia="仿宋" w:cs="仿宋_GB2312"/>
                <w:color w:val="auto"/>
                <w:sz w:val="21"/>
                <w:szCs w:val="21"/>
                <w:highlight w:val="none"/>
              </w:rPr>
              <w:t xml:space="preserve">（1）产业链分析能力演示要求： </w:t>
            </w:r>
          </w:p>
          <w:p w14:paraId="41DEE2E9">
            <w:pPr>
              <w:shd w:val="clear"/>
              <w:spacing w:line="240" w:lineRule="auto"/>
              <w:jc w:val="left"/>
              <w:outlineLvl w:val="0"/>
              <w:rPr>
                <w:rFonts w:hint="eastAsia" w:ascii="仿宋" w:hAnsi="仿宋" w:eastAsia="仿宋" w:cs="仿宋_GB2312"/>
                <w:color w:val="auto"/>
                <w:sz w:val="21"/>
                <w:szCs w:val="21"/>
                <w:highlight w:val="none"/>
              </w:rPr>
            </w:pPr>
            <w:r>
              <w:rPr>
                <w:rFonts w:hint="eastAsia" w:ascii="仿宋" w:hAnsi="仿宋" w:eastAsia="仿宋" w:cs="仿宋_GB2312"/>
                <w:color w:val="auto"/>
                <w:sz w:val="21"/>
                <w:szCs w:val="21"/>
                <w:highlight w:val="none"/>
              </w:rPr>
              <w:t>①演示产业概况，对产业概况分析，图形化展示辖区企业数量及增速（总体及规上企业）、产业总产值及增速、营业总收入及增速（总体及规上企业）、纳税情况（总体及规上企业）、资质企业数量分布、产业人才情况、创新成果情况、产业资本情况、产业政策情况、产业资讯等。</w:t>
            </w:r>
          </w:p>
          <w:p w14:paraId="518485DB">
            <w:pPr>
              <w:shd w:val="clear"/>
              <w:spacing w:line="240" w:lineRule="auto"/>
              <w:jc w:val="left"/>
              <w:outlineLvl w:val="0"/>
              <w:rPr>
                <w:rFonts w:hint="eastAsia" w:ascii="仿宋" w:hAnsi="仿宋" w:eastAsia="仿宋" w:cs="仿宋_GB2312"/>
                <w:color w:val="auto"/>
                <w:sz w:val="21"/>
                <w:szCs w:val="21"/>
                <w:highlight w:val="none"/>
              </w:rPr>
            </w:pPr>
            <w:r>
              <w:rPr>
                <w:rFonts w:hint="eastAsia" w:ascii="仿宋" w:hAnsi="仿宋" w:eastAsia="仿宋" w:cs="仿宋_GB2312"/>
                <w:color w:val="auto"/>
                <w:sz w:val="21"/>
                <w:szCs w:val="21"/>
                <w:highlight w:val="none"/>
              </w:rPr>
              <w:t>②演示产业赛道，展示数字经济、生命健康、智能制造、电竞文娱产业内部组成部分（即各个产业链赛道）在市场规模大小和产业链要素（企业、人才、成果、融资）方面所具有实力，产业赛道上面具有相关的人才、企业、成果和融资等信息，在赛道所在的产业链可支持多链分析，分析该产业的上中下游以及外围的企业链和资金链。</w:t>
            </w:r>
          </w:p>
          <w:p w14:paraId="64B3B9D6">
            <w:pPr>
              <w:shd w:val="clear"/>
              <w:spacing w:line="240" w:lineRule="auto"/>
              <w:jc w:val="left"/>
              <w:outlineLvl w:val="0"/>
              <w:rPr>
                <w:rFonts w:hint="eastAsia" w:ascii="仿宋" w:hAnsi="仿宋" w:eastAsia="仿宋" w:cs="仿宋_GB2312"/>
                <w:color w:val="auto"/>
                <w:sz w:val="21"/>
                <w:szCs w:val="21"/>
                <w:highlight w:val="none"/>
              </w:rPr>
            </w:pPr>
            <w:r>
              <w:rPr>
                <w:rFonts w:hint="eastAsia" w:ascii="仿宋" w:hAnsi="仿宋" w:eastAsia="仿宋" w:cs="仿宋_GB2312"/>
                <w:color w:val="auto"/>
                <w:sz w:val="21"/>
                <w:szCs w:val="21"/>
                <w:highlight w:val="none"/>
              </w:rPr>
              <w:t>③演示要素落图，展示创新成果、产业资本、高端人才、重大项目等产业关键要素，创新成果需展示创新成果统计、近5年发明授权数量趋势、企业机构分布情况。产业资本需展示产业资本的数量规模、近5年的变化趋势、融资活跃地区、融资活跃机构、融资动态。高端人才需展示高端人才总数、近5年人才趋势变化、人才等级分布、人才服务分布、领军人物名录等情况。重大项目需展示区域重大项目开工数量、项目建设趋势、项目投资趋势、项目分布占比、项目动态以及项目在地理位置上的分布情况。</w:t>
            </w:r>
          </w:p>
          <w:p w14:paraId="16FF8552">
            <w:pPr>
              <w:shd w:val="clear"/>
              <w:spacing w:line="240" w:lineRule="auto"/>
              <w:jc w:val="left"/>
              <w:outlineLvl w:val="0"/>
              <w:rPr>
                <w:rFonts w:hint="eastAsia" w:ascii="仿宋" w:hAnsi="仿宋" w:eastAsia="仿宋" w:cs="仿宋_GB2312"/>
                <w:color w:val="auto"/>
                <w:sz w:val="21"/>
                <w:szCs w:val="21"/>
                <w:highlight w:val="none"/>
              </w:rPr>
            </w:pPr>
            <w:r>
              <w:rPr>
                <w:rFonts w:hint="eastAsia" w:ascii="仿宋" w:hAnsi="仿宋" w:eastAsia="仿宋" w:cs="仿宋_GB2312"/>
                <w:color w:val="auto"/>
                <w:sz w:val="21"/>
                <w:szCs w:val="21"/>
                <w:highlight w:val="none"/>
              </w:rPr>
              <w:t>④演示区域经济对标，展示本区域和其它区的产业情况进行一系列相同指标的对比分析，对标分析项为财税、投资、消费、国民经济、产业经济、金融等维度下的若干个指标进行对标分析。</w:t>
            </w:r>
          </w:p>
          <w:p w14:paraId="60ACBB08">
            <w:pPr>
              <w:shd w:val="clear"/>
              <w:spacing w:line="240" w:lineRule="auto"/>
              <w:jc w:val="left"/>
              <w:outlineLvl w:val="0"/>
              <w:rPr>
                <w:rFonts w:hint="eastAsia" w:ascii="仿宋" w:hAnsi="仿宋" w:eastAsia="仿宋" w:cs="仿宋_GB2312"/>
                <w:color w:val="auto"/>
                <w:sz w:val="21"/>
                <w:szCs w:val="21"/>
                <w:highlight w:val="none"/>
              </w:rPr>
            </w:pPr>
            <w:r>
              <w:rPr>
                <w:rFonts w:hint="eastAsia" w:ascii="仿宋" w:hAnsi="仿宋" w:eastAsia="仿宋" w:cs="仿宋_GB2312"/>
                <w:color w:val="auto"/>
                <w:sz w:val="21"/>
                <w:szCs w:val="21"/>
                <w:highlight w:val="none"/>
              </w:rPr>
              <w:t>说明：此项功能成功演示得4分，每少一项扣1分，扣完为止，不演示则不得分。</w:t>
            </w:r>
          </w:p>
        </w:tc>
        <w:tc>
          <w:tcPr>
            <w:tcW w:w="584" w:type="dxa"/>
            <w:vAlign w:val="center"/>
          </w:tcPr>
          <w:p w14:paraId="35C560FF">
            <w:pPr>
              <w:widowControl/>
              <w:spacing w:line="240" w:lineRule="auto"/>
              <w:ind w:firstLine="0" w:firstLineChars="0"/>
              <w:jc w:val="center"/>
              <w:rPr>
                <w:rFonts w:hint="eastAsia" w:ascii="仿宋" w:hAnsi="仿宋" w:eastAsia="仿宋" w:cs="仿宋_GB2312"/>
                <w:color w:val="auto"/>
                <w:sz w:val="21"/>
                <w:szCs w:val="21"/>
                <w:highlight w:val="none"/>
                <w:lang w:val="en-US" w:eastAsia="zh-CN"/>
              </w:rPr>
            </w:pPr>
            <w:r>
              <w:rPr>
                <w:rFonts w:hint="eastAsia" w:ascii="仿宋" w:hAnsi="仿宋" w:eastAsia="仿宋" w:cs="仿宋_GB2312"/>
                <w:color w:val="auto"/>
                <w:sz w:val="21"/>
                <w:szCs w:val="21"/>
                <w:highlight w:val="none"/>
              </w:rPr>
              <w:t>4</w:t>
            </w:r>
          </w:p>
        </w:tc>
        <w:tc>
          <w:tcPr>
            <w:tcW w:w="866" w:type="dxa"/>
            <w:vAlign w:val="center"/>
          </w:tcPr>
          <w:p w14:paraId="3D1194C9">
            <w:pPr>
              <w:shd w:val="clear"/>
              <w:spacing w:line="240" w:lineRule="auto"/>
              <w:jc w:val="center"/>
              <w:outlineLvl w:val="0"/>
              <w:rPr>
                <w:rFonts w:hint="eastAsia" w:ascii="仿宋" w:hAnsi="仿宋" w:eastAsia="仿宋" w:cs="仿宋_GB2312"/>
                <w:color w:val="auto"/>
                <w:sz w:val="21"/>
                <w:szCs w:val="21"/>
                <w:highlight w:val="none"/>
                <w:lang w:val="en-US" w:eastAsia="zh-CN"/>
              </w:rPr>
            </w:pPr>
            <w:r>
              <w:rPr>
                <w:rFonts w:hint="eastAsia" w:ascii="仿宋" w:hAnsi="仿宋" w:eastAsia="仿宋" w:cs="仿宋_GB2312"/>
                <w:color w:val="auto"/>
                <w:sz w:val="21"/>
                <w:szCs w:val="21"/>
                <w:highlight w:val="none"/>
              </w:rPr>
              <w:t>主观分</w:t>
            </w:r>
          </w:p>
        </w:tc>
        <w:tc>
          <w:tcPr>
            <w:tcW w:w="1475" w:type="dxa"/>
            <w:vAlign w:val="center"/>
          </w:tcPr>
          <w:p w14:paraId="622075C5">
            <w:pPr>
              <w:shd w:val="clear"/>
              <w:spacing w:line="240" w:lineRule="auto"/>
              <w:jc w:val="center"/>
              <w:outlineLvl w:val="0"/>
              <w:rPr>
                <w:rFonts w:hint="eastAsia" w:ascii="仿宋" w:hAnsi="仿宋" w:eastAsia="仿宋" w:cs="仿宋_GB2312"/>
                <w:color w:val="auto"/>
                <w:sz w:val="21"/>
                <w:szCs w:val="21"/>
                <w:highlight w:val="none"/>
                <w:lang w:eastAsia="zh-CN"/>
              </w:rPr>
            </w:pPr>
            <w:r>
              <w:rPr>
                <w:rFonts w:hint="eastAsia" w:ascii="仿宋" w:hAnsi="仿宋" w:eastAsia="仿宋" w:cs="仿宋_GB2312"/>
                <w:color w:val="auto"/>
                <w:sz w:val="21"/>
                <w:szCs w:val="21"/>
                <w:highlight w:val="none"/>
              </w:rPr>
              <w:t>系统方案演示</w:t>
            </w:r>
          </w:p>
        </w:tc>
      </w:tr>
      <w:tr w14:paraId="3B440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3" w:type="dxa"/>
            <w:vMerge w:val="continue"/>
            <w:vAlign w:val="center"/>
          </w:tcPr>
          <w:p w14:paraId="7C897B67">
            <w:pPr>
              <w:shd w:val="clear"/>
              <w:spacing w:line="240" w:lineRule="auto"/>
              <w:jc w:val="center"/>
              <w:outlineLvl w:val="0"/>
              <w:rPr>
                <w:rFonts w:hint="eastAsia" w:ascii="仿宋" w:hAnsi="仿宋" w:eastAsia="仿宋" w:cs="仿宋_GB2312"/>
                <w:color w:val="auto"/>
                <w:sz w:val="21"/>
                <w:szCs w:val="21"/>
                <w:highlight w:val="none"/>
              </w:rPr>
            </w:pPr>
          </w:p>
        </w:tc>
        <w:tc>
          <w:tcPr>
            <w:tcW w:w="1231" w:type="dxa"/>
            <w:vMerge w:val="continue"/>
            <w:vAlign w:val="center"/>
          </w:tcPr>
          <w:p w14:paraId="1042B9A7">
            <w:pPr>
              <w:shd w:val="clear"/>
              <w:spacing w:line="240" w:lineRule="auto"/>
              <w:jc w:val="center"/>
              <w:outlineLvl w:val="0"/>
              <w:rPr>
                <w:rFonts w:hint="eastAsia" w:ascii="仿宋" w:hAnsi="仿宋" w:eastAsia="仿宋" w:cs="仿宋_GB2312"/>
                <w:color w:val="auto"/>
                <w:sz w:val="21"/>
                <w:szCs w:val="21"/>
                <w:highlight w:val="none"/>
              </w:rPr>
            </w:pPr>
          </w:p>
        </w:tc>
        <w:tc>
          <w:tcPr>
            <w:tcW w:w="4366" w:type="dxa"/>
            <w:vAlign w:val="center"/>
          </w:tcPr>
          <w:p w14:paraId="6F7CE931">
            <w:pPr>
              <w:shd w:val="clear"/>
              <w:spacing w:line="240" w:lineRule="auto"/>
              <w:jc w:val="left"/>
              <w:outlineLvl w:val="0"/>
              <w:rPr>
                <w:rFonts w:hint="eastAsia" w:ascii="仿宋" w:hAnsi="仿宋" w:eastAsia="仿宋" w:cs="仿宋_GB2312"/>
                <w:color w:val="auto"/>
                <w:sz w:val="21"/>
                <w:szCs w:val="21"/>
                <w:highlight w:val="none"/>
              </w:rPr>
            </w:pPr>
            <w:r>
              <w:rPr>
                <w:rFonts w:hint="eastAsia" w:ascii="仿宋" w:hAnsi="仿宋" w:eastAsia="仿宋" w:cs="仿宋_GB2312"/>
                <w:color w:val="auto"/>
                <w:sz w:val="21"/>
                <w:szCs w:val="21"/>
                <w:highlight w:val="none"/>
              </w:rPr>
              <w:t xml:space="preserve">（2）企业服务一类事能力演示要求： </w:t>
            </w:r>
          </w:p>
          <w:p w14:paraId="56209F22">
            <w:pPr>
              <w:shd w:val="clear"/>
              <w:spacing w:line="240" w:lineRule="auto"/>
              <w:jc w:val="left"/>
              <w:outlineLvl w:val="0"/>
              <w:rPr>
                <w:rFonts w:hint="eastAsia" w:ascii="仿宋" w:hAnsi="仿宋" w:eastAsia="仿宋" w:cs="仿宋_GB2312"/>
                <w:color w:val="auto"/>
                <w:sz w:val="21"/>
                <w:szCs w:val="21"/>
                <w:highlight w:val="none"/>
              </w:rPr>
            </w:pPr>
            <w:r>
              <w:rPr>
                <w:rFonts w:hint="eastAsia" w:ascii="仿宋" w:hAnsi="仿宋" w:eastAsia="仿宋" w:cs="仿宋_GB2312"/>
                <w:color w:val="auto"/>
                <w:sz w:val="21"/>
                <w:szCs w:val="21"/>
                <w:highlight w:val="none"/>
              </w:rPr>
              <w:t>①演示企业诉求一类事、企业入驻一类事、企业成长一类事、项目建设一类事四个完整功能模块并实现与浙里办互信。</w:t>
            </w:r>
          </w:p>
          <w:p w14:paraId="4F65D39B">
            <w:pPr>
              <w:shd w:val="clear"/>
              <w:spacing w:line="240" w:lineRule="auto"/>
              <w:jc w:val="left"/>
              <w:outlineLvl w:val="0"/>
              <w:rPr>
                <w:rFonts w:hint="eastAsia" w:ascii="仿宋" w:hAnsi="仿宋" w:eastAsia="仿宋" w:cs="仿宋_GB2312"/>
                <w:color w:val="auto"/>
                <w:sz w:val="21"/>
                <w:szCs w:val="21"/>
                <w:highlight w:val="none"/>
              </w:rPr>
            </w:pPr>
            <w:r>
              <w:rPr>
                <w:rFonts w:hint="eastAsia" w:ascii="仿宋" w:hAnsi="仿宋" w:eastAsia="仿宋" w:cs="仿宋_GB2312"/>
                <w:color w:val="auto"/>
                <w:sz w:val="21"/>
                <w:szCs w:val="21"/>
                <w:highlight w:val="none"/>
              </w:rPr>
              <w:t>②演示特色产业一类事具体实现，包括不少于医疗器械、药品、医疗机构、互联网、出版、影视、文娱演出等特色服务展示。</w:t>
            </w:r>
          </w:p>
          <w:p w14:paraId="5EE1D1D4">
            <w:pPr>
              <w:shd w:val="clear"/>
              <w:spacing w:line="240" w:lineRule="auto"/>
              <w:jc w:val="left"/>
              <w:outlineLvl w:val="0"/>
              <w:rPr>
                <w:rFonts w:hint="eastAsia" w:ascii="仿宋" w:hAnsi="仿宋" w:eastAsia="仿宋" w:cs="仿宋_GB2312"/>
                <w:color w:val="auto"/>
                <w:sz w:val="21"/>
                <w:szCs w:val="21"/>
                <w:highlight w:val="none"/>
              </w:rPr>
            </w:pPr>
            <w:r>
              <w:rPr>
                <w:rFonts w:hint="eastAsia" w:ascii="仿宋" w:hAnsi="仿宋" w:eastAsia="仿宋" w:cs="仿宋_GB2312"/>
                <w:color w:val="auto"/>
                <w:sz w:val="21"/>
                <w:szCs w:val="21"/>
                <w:highlight w:val="none"/>
              </w:rPr>
              <w:t>说明：此项功能成功演示得4分，每少一项扣2分，扣完为止，不演示则不得分。</w:t>
            </w:r>
          </w:p>
        </w:tc>
        <w:tc>
          <w:tcPr>
            <w:tcW w:w="584" w:type="dxa"/>
            <w:vAlign w:val="center"/>
          </w:tcPr>
          <w:p w14:paraId="0FB82B30">
            <w:pPr>
              <w:widowControl/>
              <w:spacing w:line="240" w:lineRule="auto"/>
              <w:ind w:firstLine="0" w:firstLineChars="0"/>
              <w:jc w:val="center"/>
              <w:rPr>
                <w:rFonts w:hint="eastAsia" w:ascii="仿宋" w:hAnsi="仿宋" w:eastAsia="仿宋" w:cs="仿宋_GB2312"/>
                <w:color w:val="auto"/>
                <w:sz w:val="21"/>
                <w:szCs w:val="21"/>
                <w:highlight w:val="none"/>
                <w:lang w:val="en-US" w:eastAsia="zh-CN"/>
              </w:rPr>
            </w:pPr>
            <w:r>
              <w:rPr>
                <w:rFonts w:hint="eastAsia" w:ascii="仿宋" w:hAnsi="仿宋" w:eastAsia="仿宋" w:cs="仿宋_GB2312"/>
                <w:color w:val="auto"/>
                <w:sz w:val="21"/>
                <w:szCs w:val="21"/>
                <w:highlight w:val="none"/>
              </w:rPr>
              <w:t>4</w:t>
            </w:r>
          </w:p>
        </w:tc>
        <w:tc>
          <w:tcPr>
            <w:tcW w:w="866" w:type="dxa"/>
            <w:vAlign w:val="center"/>
          </w:tcPr>
          <w:p w14:paraId="06048487">
            <w:pPr>
              <w:shd w:val="clear"/>
              <w:spacing w:line="240" w:lineRule="auto"/>
              <w:jc w:val="center"/>
              <w:outlineLvl w:val="0"/>
              <w:rPr>
                <w:rFonts w:hint="eastAsia" w:ascii="仿宋" w:hAnsi="仿宋" w:eastAsia="仿宋" w:cs="仿宋_GB2312"/>
                <w:color w:val="auto"/>
                <w:sz w:val="21"/>
                <w:szCs w:val="21"/>
                <w:highlight w:val="none"/>
                <w:lang w:val="en-US" w:eastAsia="zh-CN"/>
              </w:rPr>
            </w:pPr>
            <w:r>
              <w:rPr>
                <w:rFonts w:hint="eastAsia" w:ascii="仿宋" w:hAnsi="仿宋" w:eastAsia="仿宋" w:cs="仿宋_GB2312"/>
                <w:color w:val="auto"/>
                <w:sz w:val="21"/>
                <w:szCs w:val="21"/>
                <w:highlight w:val="none"/>
              </w:rPr>
              <w:t>主观分</w:t>
            </w:r>
          </w:p>
        </w:tc>
        <w:tc>
          <w:tcPr>
            <w:tcW w:w="1475" w:type="dxa"/>
            <w:vAlign w:val="center"/>
          </w:tcPr>
          <w:p w14:paraId="5260F7EA">
            <w:pPr>
              <w:shd w:val="clear"/>
              <w:spacing w:line="240" w:lineRule="auto"/>
              <w:jc w:val="center"/>
              <w:outlineLvl w:val="0"/>
              <w:rPr>
                <w:rFonts w:hint="eastAsia" w:ascii="仿宋" w:hAnsi="仿宋" w:eastAsia="仿宋" w:cs="仿宋_GB2312"/>
                <w:color w:val="auto"/>
                <w:sz w:val="21"/>
                <w:szCs w:val="21"/>
                <w:highlight w:val="none"/>
                <w:lang w:eastAsia="zh-CN"/>
              </w:rPr>
            </w:pPr>
            <w:r>
              <w:rPr>
                <w:rFonts w:hint="eastAsia" w:ascii="仿宋" w:hAnsi="仿宋" w:eastAsia="仿宋" w:cs="仿宋_GB2312"/>
                <w:color w:val="auto"/>
                <w:sz w:val="21"/>
                <w:szCs w:val="21"/>
                <w:highlight w:val="none"/>
              </w:rPr>
              <w:t>系统方案演示</w:t>
            </w:r>
          </w:p>
        </w:tc>
      </w:tr>
      <w:tr w14:paraId="3F81E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3" w:type="dxa"/>
            <w:vMerge w:val="continue"/>
            <w:vAlign w:val="center"/>
          </w:tcPr>
          <w:p w14:paraId="74B66EF4">
            <w:pPr>
              <w:shd w:val="clear"/>
              <w:spacing w:line="240" w:lineRule="auto"/>
              <w:jc w:val="center"/>
              <w:outlineLvl w:val="0"/>
              <w:rPr>
                <w:rFonts w:hint="eastAsia" w:ascii="仿宋" w:hAnsi="仿宋" w:eastAsia="仿宋" w:cs="仿宋_GB2312"/>
                <w:color w:val="auto"/>
                <w:sz w:val="21"/>
                <w:szCs w:val="21"/>
                <w:highlight w:val="none"/>
              </w:rPr>
            </w:pPr>
          </w:p>
        </w:tc>
        <w:tc>
          <w:tcPr>
            <w:tcW w:w="1231" w:type="dxa"/>
            <w:vMerge w:val="continue"/>
            <w:vAlign w:val="center"/>
          </w:tcPr>
          <w:p w14:paraId="7483B1C9">
            <w:pPr>
              <w:shd w:val="clear"/>
              <w:spacing w:line="240" w:lineRule="auto"/>
              <w:jc w:val="center"/>
              <w:outlineLvl w:val="0"/>
              <w:rPr>
                <w:rFonts w:hint="eastAsia" w:ascii="仿宋" w:hAnsi="仿宋" w:eastAsia="仿宋" w:cs="仿宋_GB2312"/>
                <w:color w:val="auto"/>
                <w:sz w:val="21"/>
                <w:szCs w:val="21"/>
                <w:highlight w:val="none"/>
              </w:rPr>
            </w:pPr>
          </w:p>
        </w:tc>
        <w:tc>
          <w:tcPr>
            <w:tcW w:w="4366" w:type="dxa"/>
            <w:vAlign w:val="center"/>
          </w:tcPr>
          <w:p w14:paraId="27BEF91B">
            <w:pPr>
              <w:shd w:val="clear"/>
              <w:spacing w:line="240" w:lineRule="auto"/>
              <w:jc w:val="left"/>
              <w:outlineLvl w:val="0"/>
              <w:rPr>
                <w:rFonts w:hint="eastAsia" w:ascii="仿宋" w:hAnsi="仿宋" w:eastAsia="仿宋" w:cs="仿宋_GB2312"/>
                <w:color w:val="auto"/>
                <w:sz w:val="21"/>
                <w:szCs w:val="21"/>
                <w:highlight w:val="none"/>
              </w:rPr>
            </w:pPr>
            <w:r>
              <w:rPr>
                <w:rFonts w:hint="eastAsia" w:ascii="仿宋" w:hAnsi="仿宋" w:eastAsia="仿宋" w:cs="仿宋_GB2312"/>
                <w:color w:val="auto"/>
                <w:sz w:val="21"/>
                <w:szCs w:val="21"/>
                <w:highlight w:val="none"/>
              </w:rPr>
              <w:t>（3）政策服务能力演示要求：</w:t>
            </w:r>
          </w:p>
          <w:p w14:paraId="0038B38C">
            <w:pPr>
              <w:shd w:val="clear"/>
              <w:spacing w:line="240" w:lineRule="auto"/>
              <w:jc w:val="left"/>
              <w:outlineLvl w:val="0"/>
              <w:rPr>
                <w:rFonts w:hint="eastAsia" w:ascii="仿宋" w:hAnsi="仿宋" w:eastAsia="仿宋" w:cs="仿宋_GB2312"/>
                <w:color w:val="auto"/>
                <w:sz w:val="21"/>
                <w:szCs w:val="21"/>
                <w:highlight w:val="none"/>
              </w:rPr>
            </w:pPr>
            <w:r>
              <w:rPr>
                <w:rFonts w:hint="eastAsia" w:ascii="仿宋" w:hAnsi="仿宋" w:eastAsia="仿宋" w:cs="仿宋_GB2312"/>
                <w:color w:val="auto"/>
                <w:sz w:val="21"/>
                <w:szCs w:val="21"/>
                <w:highlight w:val="none"/>
              </w:rPr>
              <w:t>①演示普惠型、专业型、定向型、免申即享型政策项目的新增、编辑、上线、下线等生命周期管理。</w:t>
            </w:r>
          </w:p>
          <w:p w14:paraId="5A4B88A2">
            <w:pPr>
              <w:shd w:val="clear"/>
              <w:spacing w:line="240" w:lineRule="auto"/>
              <w:jc w:val="left"/>
              <w:outlineLvl w:val="0"/>
              <w:rPr>
                <w:rFonts w:hint="eastAsia" w:ascii="仿宋" w:hAnsi="仿宋" w:eastAsia="仿宋" w:cs="仿宋_GB2312"/>
                <w:color w:val="auto"/>
                <w:sz w:val="21"/>
                <w:szCs w:val="21"/>
                <w:highlight w:val="none"/>
              </w:rPr>
            </w:pPr>
            <w:r>
              <w:rPr>
                <w:rFonts w:hint="eastAsia" w:ascii="仿宋" w:hAnsi="仿宋" w:eastAsia="仿宋" w:cs="仿宋_GB2312"/>
                <w:color w:val="auto"/>
                <w:sz w:val="21"/>
                <w:szCs w:val="21"/>
                <w:highlight w:val="none"/>
              </w:rPr>
              <w:t>②演示按企业标签为高新区内企业精准推送匹配条件的政策项目，在匹配结果页面最上方提供匹配结果的总结，以及当前企业的匹配用标签等。</w:t>
            </w:r>
          </w:p>
          <w:p w14:paraId="6440B758">
            <w:pPr>
              <w:shd w:val="clear"/>
              <w:spacing w:line="240" w:lineRule="auto"/>
              <w:jc w:val="left"/>
              <w:outlineLvl w:val="0"/>
              <w:rPr>
                <w:rFonts w:hint="eastAsia" w:ascii="仿宋" w:hAnsi="仿宋" w:eastAsia="仿宋" w:cs="仿宋_GB2312"/>
                <w:color w:val="auto"/>
                <w:sz w:val="21"/>
                <w:szCs w:val="21"/>
                <w:highlight w:val="none"/>
              </w:rPr>
            </w:pPr>
            <w:r>
              <w:rPr>
                <w:rFonts w:hint="eastAsia" w:ascii="仿宋" w:hAnsi="仿宋" w:eastAsia="仿宋" w:cs="仿宋_GB2312"/>
                <w:color w:val="auto"/>
                <w:sz w:val="21"/>
                <w:szCs w:val="21"/>
                <w:highlight w:val="none"/>
              </w:rPr>
              <w:t>③演示政策沙盘模拟，提供政策模拟和模拟横比的图形化展示，政策模拟支持扶持方式、最高补贴金额、申报比例、申报成功比例、补贴金额比例、补贴对象数量等维度，由系统自动计算政策的预估效果。模拟横比支持在补贴信息、补贴对象以及预估对象三方面横比并可输出模拟横比结果。</w:t>
            </w:r>
          </w:p>
          <w:p w14:paraId="268AF4D9">
            <w:pPr>
              <w:shd w:val="clear"/>
              <w:spacing w:line="240" w:lineRule="auto"/>
              <w:jc w:val="left"/>
              <w:outlineLvl w:val="0"/>
              <w:rPr>
                <w:rFonts w:hint="eastAsia" w:ascii="仿宋" w:hAnsi="仿宋" w:eastAsia="仿宋" w:cs="仿宋_GB2312"/>
                <w:color w:val="auto"/>
                <w:sz w:val="21"/>
                <w:szCs w:val="21"/>
                <w:highlight w:val="none"/>
              </w:rPr>
            </w:pPr>
            <w:r>
              <w:rPr>
                <w:rFonts w:hint="eastAsia" w:ascii="仿宋" w:hAnsi="仿宋" w:eastAsia="仿宋" w:cs="仿宋_GB2312"/>
                <w:color w:val="auto"/>
                <w:sz w:val="21"/>
                <w:szCs w:val="21"/>
                <w:highlight w:val="none"/>
              </w:rPr>
              <w:t>说明：此项功能成功演示得4分，每少一项扣2分，扣完为止，不演示则不得分。</w:t>
            </w:r>
          </w:p>
        </w:tc>
        <w:tc>
          <w:tcPr>
            <w:tcW w:w="584" w:type="dxa"/>
            <w:vAlign w:val="center"/>
          </w:tcPr>
          <w:p w14:paraId="23106121">
            <w:pPr>
              <w:widowControl/>
              <w:spacing w:line="240" w:lineRule="auto"/>
              <w:ind w:firstLine="0" w:firstLineChars="0"/>
              <w:jc w:val="center"/>
              <w:rPr>
                <w:rFonts w:hint="eastAsia" w:ascii="仿宋" w:hAnsi="仿宋" w:eastAsia="仿宋" w:cs="仿宋_GB2312"/>
                <w:color w:val="auto"/>
                <w:sz w:val="21"/>
                <w:szCs w:val="21"/>
                <w:highlight w:val="none"/>
                <w:lang w:val="en-US" w:eastAsia="zh-CN"/>
              </w:rPr>
            </w:pPr>
            <w:r>
              <w:rPr>
                <w:rFonts w:hint="eastAsia" w:ascii="仿宋" w:hAnsi="仿宋" w:eastAsia="仿宋" w:cs="仿宋_GB2312"/>
                <w:color w:val="auto"/>
                <w:sz w:val="21"/>
                <w:szCs w:val="21"/>
                <w:highlight w:val="none"/>
              </w:rPr>
              <w:t>4</w:t>
            </w:r>
          </w:p>
        </w:tc>
        <w:tc>
          <w:tcPr>
            <w:tcW w:w="866" w:type="dxa"/>
            <w:vAlign w:val="center"/>
          </w:tcPr>
          <w:p w14:paraId="7344E2B7">
            <w:pPr>
              <w:shd w:val="clear"/>
              <w:spacing w:line="240" w:lineRule="auto"/>
              <w:jc w:val="center"/>
              <w:outlineLvl w:val="0"/>
              <w:rPr>
                <w:rFonts w:hint="eastAsia" w:ascii="仿宋" w:hAnsi="仿宋" w:eastAsia="仿宋" w:cs="仿宋_GB2312"/>
                <w:color w:val="auto"/>
                <w:sz w:val="21"/>
                <w:szCs w:val="21"/>
                <w:highlight w:val="none"/>
                <w:lang w:val="en-US" w:eastAsia="zh-CN"/>
              </w:rPr>
            </w:pPr>
            <w:r>
              <w:rPr>
                <w:rFonts w:hint="eastAsia" w:ascii="仿宋" w:hAnsi="仿宋" w:eastAsia="仿宋" w:cs="仿宋_GB2312"/>
                <w:color w:val="auto"/>
                <w:sz w:val="21"/>
                <w:szCs w:val="21"/>
                <w:highlight w:val="none"/>
              </w:rPr>
              <w:t>主观分</w:t>
            </w:r>
          </w:p>
        </w:tc>
        <w:tc>
          <w:tcPr>
            <w:tcW w:w="1475" w:type="dxa"/>
            <w:vAlign w:val="center"/>
          </w:tcPr>
          <w:p w14:paraId="282D3227">
            <w:pPr>
              <w:shd w:val="clear"/>
              <w:spacing w:line="240" w:lineRule="auto"/>
              <w:jc w:val="center"/>
              <w:outlineLvl w:val="0"/>
              <w:rPr>
                <w:rFonts w:hint="eastAsia" w:ascii="仿宋" w:hAnsi="仿宋" w:eastAsia="仿宋" w:cs="仿宋_GB2312"/>
                <w:color w:val="auto"/>
                <w:sz w:val="21"/>
                <w:szCs w:val="21"/>
                <w:highlight w:val="none"/>
                <w:lang w:eastAsia="zh-CN"/>
              </w:rPr>
            </w:pPr>
            <w:r>
              <w:rPr>
                <w:rFonts w:hint="eastAsia" w:ascii="仿宋" w:hAnsi="仿宋" w:eastAsia="仿宋" w:cs="仿宋_GB2312"/>
                <w:color w:val="auto"/>
                <w:sz w:val="21"/>
                <w:szCs w:val="21"/>
                <w:highlight w:val="none"/>
              </w:rPr>
              <w:t>系统方案演示</w:t>
            </w:r>
          </w:p>
        </w:tc>
      </w:tr>
      <w:tr w14:paraId="6150F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3" w:type="dxa"/>
            <w:vMerge w:val="continue"/>
            <w:vAlign w:val="center"/>
          </w:tcPr>
          <w:p w14:paraId="4513AD8C">
            <w:pPr>
              <w:shd w:val="clear"/>
              <w:spacing w:line="240" w:lineRule="auto"/>
              <w:jc w:val="center"/>
              <w:outlineLvl w:val="0"/>
              <w:rPr>
                <w:rFonts w:hint="eastAsia" w:ascii="仿宋" w:hAnsi="仿宋" w:eastAsia="仿宋" w:cs="仿宋_GB2312"/>
                <w:color w:val="auto"/>
                <w:sz w:val="21"/>
                <w:szCs w:val="21"/>
                <w:highlight w:val="none"/>
              </w:rPr>
            </w:pPr>
          </w:p>
        </w:tc>
        <w:tc>
          <w:tcPr>
            <w:tcW w:w="1231" w:type="dxa"/>
            <w:vMerge w:val="continue"/>
            <w:vAlign w:val="center"/>
          </w:tcPr>
          <w:p w14:paraId="0D27A28D">
            <w:pPr>
              <w:shd w:val="clear"/>
              <w:spacing w:line="240" w:lineRule="auto"/>
              <w:jc w:val="center"/>
              <w:outlineLvl w:val="0"/>
              <w:rPr>
                <w:rFonts w:hint="eastAsia" w:ascii="仿宋" w:hAnsi="仿宋" w:eastAsia="仿宋" w:cs="仿宋_GB2312"/>
                <w:color w:val="auto"/>
                <w:sz w:val="21"/>
                <w:szCs w:val="21"/>
                <w:highlight w:val="none"/>
              </w:rPr>
            </w:pPr>
          </w:p>
        </w:tc>
        <w:tc>
          <w:tcPr>
            <w:tcW w:w="4366" w:type="dxa"/>
            <w:vAlign w:val="center"/>
          </w:tcPr>
          <w:p w14:paraId="5A6EE6DA">
            <w:pPr>
              <w:shd w:val="clear"/>
              <w:spacing w:line="240" w:lineRule="auto"/>
              <w:jc w:val="left"/>
              <w:outlineLvl w:val="0"/>
              <w:rPr>
                <w:rFonts w:hint="eastAsia" w:ascii="仿宋" w:hAnsi="仿宋" w:eastAsia="仿宋" w:cs="仿宋_GB2312"/>
                <w:color w:val="auto"/>
                <w:sz w:val="21"/>
                <w:szCs w:val="21"/>
                <w:highlight w:val="none"/>
              </w:rPr>
            </w:pPr>
            <w:r>
              <w:rPr>
                <w:rFonts w:hint="eastAsia" w:ascii="仿宋" w:hAnsi="仿宋" w:eastAsia="仿宋" w:cs="仿宋_GB2312"/>
                <w:color w:val="auto"/>
                <w:sz w:val="21"/>
                <w:szCs w:val="21"/>
                <w:highlight w:val="none"/>
              </w:rPr>
              <w:t>（4）业务扩展支撑能力演示要求：</w:t>
            </w:r>
          </w:p>
          <w:p w14:paraId="34AD867D">
            <w:pPr>
              <w:shd w:val="clear"/>
              <w:spacing w:line="240" w:lineRule="auto"/>
              <w:jc w:val="left"/>
              <w:outlineLvl w:val="0"/>
              <w:rPr>
                <w:rFonts w:hint="eastAsia" w:ascii="仿宋" w:hAnsi="仿宋" w:eastAsia="仿宋" w:cs="仿宋_GB2312"/>
                <w:color w:val="auto"/>
                <w:sz w:val="21"/>
                <w:szCs w:val="21"/>
                <w:highlight w:val="none"/>
              </w:rPr>
            </w:pPr>
            <w:r>
              <w:rPr>
                <w:rFonts w:hint="eastAsia" w:ascii="仿宋" w:hAnsi="仿宋" w:eastAsia="仿宋" w:cs="仿宋_GB2312"/>
                <w:color w:val="auto"/>
                <w:sz w:val="21"/>
                <w:szCs w:val="21"/>
                <w:highlight w:val="none"/>
              </w:rPr>
              <w:t>①流程可视化定制：流程设计器至少预置普通、路由、子流程、转移、选择等活动模板，支持拖拽式流程设计，支持流程在线发布、提取、校验等，支持活动常规属性、分配策略等在线设置。</w:t>
            </w:r>
          </w:p>
          <w:p w14:paraId="590D4BA0">
            <w:pPr>
              <w:shd w:val="clear"/>
              <w:spacing w:line="240" w:lineRule="auto"/>
              <w:jc w:val="left"/>
              <w:outlineLvl w:val="0"/>
              <w:rPr>
                <w:rFonts w:hint="eastAsia" w:ascii="仿宋" w:hAnsi="仿宋" w:eastAsia="仿宋" w:cs="仿宋_GB2312"/>
                <w:color w:val="auto"/>
                <w:sz w:val="21"/>
                <w:szCs w:val="21"/>
                <w:highlight w:val="none"/>
              </w:rPr>
            </w:pPr>
            <w:r>
              <w:rPr>
                <w:rFonts w:hint="eastAsia" w:ascii="仿宋" w:hAnsi="仿宋" w:eastAsia="仿宋" w:cs="仿宋_GB2312"/>
                <w:color w:val="auto"/>
                <w:sz w:val="21"/>
                <w:szCs w:val="21"/>
                <w:highlight w:val="none"/>
              </w:rPr>
              <w:t>②流程环节灵活配置：支持基本属性、业务表单、操作配置、扩展属性在线配置，基本属性配置至少包括办理有效期、催办规则、催办限制、相关属性、消息模式、流程变量等。</w:t>
            </w:r>
          </w:p>
          <w:p w14:paraId="3058CA69">
            <w:pPr>
              <w:shd w:val="clear"/>
              <w:spacing w:line="240" w:lineRule="auto"/>
              <w:jc w:val="left"/>
              <w:outlineLvl w:val="0"/>
              <w:rPr>
                <w:rFonts w:hint="eastAsia" w:ascii="仿宋" w:hAnsi="仿宋" w:eastAsia="仿宋" w:cs="仿宋_GB2312"/>
                <w:color w:val="auto"/>
                <w:sz w:val="21"/>
                <w:szCs w:val="21"/>
                <w:highlight w:val="none"/>
              </w:rPr>
            </w:pPr>
            <w:r>
              <w:rPr>
                <w:rFonts w:hint="eastAsia" w:ascii="仿宋" w:hAnsi="仿宋" w:eastAsia="仿宋" w:cs="仿宋_GB2312"/>
                <w:color w:val="auto"/>
                <w:sz w:val="21"/>
                <w:szCs w:val="21"/>
                <w:highlight w:val="none"/>
              </w:rPr>
              <w:t>③流程环节操作权限配置：可按读者、起草人、未办理人、已办理人、管理员等维度进行环节的正文、附件等操作权限在线配置，操作权限至少包括打印、查看流程图、会签加签、转办、撤销签收、替换处理人、编辑正文等，支持一键查看权限。</w:t>
            </w:r>
          </w:p>
          <w:p w14:paraId="1949449A">
            <w:pPr>
              <w:shd w:val="clear"/>
              <w:spacing w:line="240" w:lineRule="auto"/>
              <w:jc w:val="left"/>
              <w:outlineLvl w:val="0"/>
              <w:rPr>
                <w:rFonts w:hint="eastAsia" w:ascii="仿宋" w:hAnsi="仿宋" w:eastAsia="仿宋" w:cs="仿宋_GB2312"/>
                <w:color w:val="auto"/>
                <w:sz w:val="21"/>
                <w:szCs w:val="21"/>
                <w:highlight w:val="none"/>
              </w:rPr>
            </w:pPr>
            <w:r>
              <w:rPr>
                <w:rFonts w:hint="eastAsia" w:ascii="仿宋" w:hAnsi="仿宋" w:eastAsia="仿宋" w:cs="仿宋_GB2312"/>
                <w:color w:val="auto"/>
                <w:sz w:val="21"/>
                <w:szCs w:val="21"/>
                <w:highlight w:val="none"/>
              </w:rPr>
              <w:t>④流程效益分析：以图文方式展示流程效益分析，包括流程整体监控、流程环节监控、处理人效率监控等，提供趋势、占比等图形展示方式。</w:t>
            </w:r>
          </w:p>
          <w:p w14:paraId="6DD3A3C5">
            <w:pPr>
              <w:shd w:val="clear"/>
              <w:spacing w:line="240" w:lineRule="auto"/>
              <w:jc w:val="left"/>
              <w:outlineLvl w:val="0"/>
              <w:rPr>
                <w:rFonts w:hint="eastAsia" w:ascii="仿宋" w:hAnsi="仿宋" w:eastAsia="仿宋" w:cs="仿宋_GB2312"/>
                <w:color w:val="auto"/>
                <w:sz w:val="21"/>
                <w:szCs w:val="21"/>
                <w:highlight w:val="none"/>
              </w:rPr>
            </w:pPr>
            <w:r>
              <w:rPr>
                <w:rFonts w:hint="eastAsia" w:ascii="仿宋" w:hAnsi="仿宋" w:eastAsia="仿宋" w:cs="仿宋_GB2312"/>
                <w:color w:val="auto"/>
                <w:sz w:val="21"/>
                <w:szCs w:val="21"/>
                <w:highlight w:val="none"/>
              </w:rPr>
              <w:t>说明：此项功能成功演示得4分，每少一项扣1分，扣完为止，不演示则不得分。</w:t>
            </w:r>
          </w:p>
        </w:tc>
        <w:tc>
          <w:tcPr>
            <w:tcW w:w="584" w:type="dxa"/>
            <w:vAlign w:val="center"/>
          </w:tcPr>
          <w:p w14:paraId="0192C0A7">
            <w:pPr>
              <w:widowControl/>
              <w:spacing w:line="240" w:lineRule="auto"/>
              <w:ind w:firstLine="0" w:firstLineChars="0"/>
              <w:jc w:val="center"/>
              <w:rPr>
                <w:rFonts w:hint="eastAsia" w:ascii="仿宋" w:hAnsi="仿宋" w:eastAsia="仿宋" w:cs="仿宋_GB2312"/>
                <w:color w:val="auto"/>
                <w:sz w:val="21"/>
                <w:szCs w:val="21"/>
                <w:highlight w:val="none"/>
                <w:lang w:val="en-US" w:eastAsia="zh-CN"/>
              </w:rPr>
            </w:pPr>
            <w:r>
              <w:rPr>
                <w:rFonts w:hint="eastAsia" w:ascii="仿宋" w:hAnsi="仿宋" w:eastAsia="仿宋" w:cs="仿宋_GB2312"/>
                <w:color w:val="auto"/>
                <w:sz w:val="21"/>
                <w:szCs w:val="21"/>
                <w:highlight w:val="none"/>
              </w:rPr>
              <w:t>4</w:t>
            </w:r>
          </w:p>
        </w:tc>
        <w:tc>
          <w:tcPr>
            <w:tcW w:w="866" w:type="dxa"/>
            <w:vAlign w:val="center"/>
          </w:tcPr>
          <w:p w14:paraId="036D114B">
            <w:pPr>
              <w:shd w:val="clear"/>
              <w:spacing w:line="240" w:lineRule="auto"/>
              <w:jc w:val="center"/>
              <w:outlineLvl w:val="0"/>
              <w:rPr>
                <w:rFonts w:hint="eastAsia" w:ascii="仿宋" w:hAnsi="仿宋" w:eastAsia="仿宋" w:cs="仿宋_GB2312"/>
                <w:color w:val="auto"/>
                <w:sz w:val="21"/>
                <w:szCs w:val="21"/>
                <w:highlight w:val="none"/>
                <w:lang w:val="en-US" w:eastAsia="zh-CN"/>
              </w:rPr>
            </w:pPr>
            <w:r>
              <w:rPr>
                <w:rFonts w:hint="eastAsia" w:ascii="仿宋" w:hAnsi="仿宋" w:eastAsia="仿宋" w:cs="仿宋_GB2312"/>
                <w:color w:val="auto"/>
                <w:sz w:val="21"/>
                <w:szCs w:val="21"/>
                <w:highlight w:val="none"/>
              </w:rPr>
              <w:t>主观分</w:t>
            </w:r>
          </w:p>
        </w:tc>
        <w:tc>
          <w:tcPr>
            <w:tcW w:w="1475" w:type="dxa"/>
            <w:vAlign w:val="center"/>
          </w:tcPr>
          <w:p w14:paraId="6F64A1E3">
            <w:pPr>
              <w:shd w:val="clear"/>
              <w:spacing w:line="240" w:lineRule="auto"/>
              <w:jc w:val="center"/>
              <w:outlineLvl w:val="0"/>
              <w:rPr>
                <w:rFonts w:hint="eastAsia" w:ascii="仿宋" w:hAnsi="仿宋" w:eastAsia="仿宋" w:cs="仿宋_GB2312"/>
                <w:color w:val="auto"/>
                <w:sz w:val="21"/>
                <w:szCs w:val="21"/>
                <w:highlight w:val="none"/>
                <w:lang w:eastAsia="zh-CN"/>
              </w:rPr>
            </w:pPr>
            <w:r>
              <w:rPr>
                <w:rFonts w:hint="eastAsia" w:ascii="仿宋" w:hAnsi="仿宋" w:eastAsia="仿宋" w:cs="仿宋_GB2312"/>
                <w:color w:val="auto"/>
                <w:sz w:val="21"/>
                <w:szCs w:val="21"/>
                <w:highlight w:val="none"/>
              </w:rPr>
              <w:t>系统方案演示</w:t>
            </w:r>
          </w:p>
        </w:tc>
      </w:tr>
      <w:tr w14:paraId="7587C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3" w:type="dxa"/>
            <w:vMerge w:val="continue"/>
            <w:vAlign w:val="center"/>
          </w:tcPr>
          <w:p w14:paraId="3AE860F9">
            <w:pPr>
              <w:shd w:val="clear"/>
              <w:spacing w:line="240" w:lineRule="auto"/>
              <w:jc w:val="center"/>
              <w:outlineLvl w:val="0"/>
              <w:rPr>
                <w:rFonts w:hint="eastAsia" w:ascii="仿宋" w:hAnsi="仿宋" w:eastAsia="仿宋" w:cs="仿宋_GB2312"/>
                <w:color w:val="auto"/>
                <w:sz w:val="21"/>
                <w:szCs w:val="21"/>
                <w:highlight w:val="none"/>
              </w:rPr>
            </w:pPr>
          </w:p>
        </w:tc>
        <w:tc>
          <w:tcPr>
            <w:tcW w:w="1231" w:type="dxa"/>
            <w:vMerge w:val="continue"/>
            <w:vAlign w:val="center"/>
          </w:tcPr>
          <w:p w14:paraId="3300E646">
            <w:pPr>
              <w:shd w:val="clear"/>
              <w:spacing w:line="240" w:lineRule="auto"/>
              <w:jc w:val="center"/>
              <w:outlineLvl w:val="0"/>
              <w:rPr>
                <w:rFonts w:hint="eastAsia" w:ascii="仿宋" w:hAnsi="仿宋" w:eastAsia="仿宋" w:cs="仿宋_GB2312"/>
                <w:color w:val="auto"/>
                <w:sz w:val="21"/>
                <w:szCs w:val="21"/>
                <w:highlight w:val="none"/>
              </w:rPr>
            </w:pPr>
          </w:p>
        </w:tc>
        <w:tc>
          <w:tcPr>
            <w:tcW w:w="4366" w:type="dxa"/>
            <w:vAlign w:val="center"/>
          </w:tcPr>
          <w:p w14:paraId="66D7B4F9">
            <w:pPr>
              <w:shd w:val="clear"/>
              <w:spacing w:line="240" w:lineRule="auto"/>
              <w:jc w:val="left"/>
              <w:outlineLvl w:val="0"/>
              <w:rPr>
                <w:rFonts w:hint="eastAsia" w:ascii="仿宋" w:hAnsi="仿宋" w:eastAsia="仿宋" w:cs="仿宋_GB2312"/>
                <w:color w:val="auto"/>
                <w:sz w:val="21"/>
                <w:szCs w:val="21"/>
                <w:highlight w:val="none"/>
              </w:rPr>
            </w:pPr>
            <w:r>
              <w:rPr>
                <w:rFonts w:hint="eastAsia" w:ascii="仿宋" w:hAnsi="仿宋" w:eastAsia="仿宋" w:cs="仿宋_GB2312"/>
                <w:color w:val="auto"/>
                <w:sz w:val="21"/>
                <w:szCs w:val="21"/>
                <w:highlight w:val="none"/>
              </w:rPr>
              <w:t>（5）区统一可信数字身份平台集成能力演示要求：</w:t>
            </w:r>
          </w:p>
          <w:p w14:paraId="179417FC">
            <w:pPr>
              <w:shd w:val="clear"/>
              <w:spacing w:line="240" w:lineRule="auto"/>
              <w:jc w:val="left"/>
              <w:outlineLvl w:val="0"/>
              <w:rPr>
                <w:rFonts w:hint="eastAsia" w:ascii="仿宋" w:hAnsi="仿宋" w:eastAsia="仿宋" w:cs="仿宋_GB2312"/>
                <w:color w:val="auto"/>
                <w:sz w:val="21"/>
                <w:szCs w:val="21"/>
                <w:highlight w:val="none"/>
              </w:rPr>
            </w:pPr>
            <w:r>
              <w:rPr>
                <w:rFonts w:hint="eastAsia" w:ascii="仿宋" w:hAnsi="仿宋" w:eastAsia="仿宋" w:cs="仿宋_GB2312"/>
                <w:color w:val="auto"/>
                <w:sz w:val="21"/>
                <w:szCs w:val="21"/>
                <w:highlight w:val="none"/>
              </w:rPr>
              <w:t>①统一登录及浙政钉互信认证：访问高新云梯暖企通管理平台登录界面，自动跳转到区可信数字身份平台认证入口，选择浙政钉扫码登录，通过浙政钉扫码，认证通过后自动登录到平台管理界面，实现统一登录和浙政钉互信认证。</w:t>
            </w:r>
          </w:p>
          <w:p w14:paraId="2BA510BC">
            <w:pPr>
              <w:shd w:val="clear"/>
              <w:spacing w:line="240" w:lineRule="auto"/>
              <w:jc w:val="left"/>
              <w:outlineLvl w:val="0"/>
              <w:rPr>
                <w:rFonts w:hint="eastAsia" w:ascii="仿宋" w:hAnsi="仿宋" w:eastAsia="仿宋" w:cs="仿宋_GB2312"/>
                <w:color w:val="auto"/>
                <w:sz w:val="21"/>
                <w:szCs w:val="21"/>
                <w:highlight w:val="none"/>
              </w:rPr>
            </w:pPr>
            <w:r>
              <w:rPr>
                <w:rFonts w:hint="eastAsia" w:ascii="仿宋" w:hAnsi="仿宋" w:eastAsia="仿宋" w:cs="仿宋_GB2312"/>
                <w:color w:val="auto"/>
                <w:sz w:val="21"/>
                <w:szCs w:val="21"/>
                <w:highlight w:val="none"/>
              </w:rPr>
              <w:t>②多因素认证：集成可信数字身份平台融合认证能力，实现二次或多次认证，访问高新云梯暖企通登录界面，自动跳转到区可信数字身份平台认证入口，输入账号密码验证通过后，弹出二次认证界面，再次输入短信动态验证码，验证通过则登录到平台管理界面。</w:t>
            </w:r>
          </w:p>
          <w:p w14:paraId="359A7041">
            <w:pPr>
              <w:shd w:val="clear"/>
              <w:spacing w:line="240" w:lineRule="auto"/>
              <w:jc w:val="left"/>
              <w:outlineLvl w:val="0"/>
              <w:rPr>
                <w:rFonts w:hint="eastAsia" w:ascii="仿宋" w:hAnsi="仿宋" w:eastAsia="仿宋" w:cs="仿宋_GB2312"/>
                <w:color w:val="auto"/>
                <w:sz w:val="21"/>
                <w:szCs w:val="21"/>
                <w:highlight w:val="none"/>
              </w:rPr>
            </w:pPr>
            <w:r>
              <w:rPr>
                <w:rFonts w:hint="eastAsia" w:ascii="仿宋" w:hAnsi="仿宋" w:eastAsia="仿宋" w:cs="仿宋_GB2312"/>
                <w:color w:val="auto"/>
                <w:sz w:val="21"/>
                <w:szCs w:val="21"/>
                <w:highlight w:val="none"/>
              </w:rPr>
              <w:t>说明：此项功能成功演示得4分，每少一项扣2分，扣完为止，不演示则不得分。</w:t>
            </w:r>
          </w:p>
        </w:tc>
        <w:tc>
          <w:tcPr>
            <w:tcW w:w="584" w:type="dxa"/>
            <w:vAlign w:val="center"/>
          </w:tcPr>
          <w:p w14:paraId="2BDE680B">
            <w:pPr>
              <w:widowControl/>
              <w:spacing w:line="240" w:lineRule="auto"/>
              <w:ind w:firstLine="0" w:firstLineChars="0"/>
              <w:jc w:val="center"/>
              <w:rPr>
                <w:rFonts w:hint="eastAsia" w:ascii="仿宋" w:hAnsi="仿宋" w:eastAsia="仿宋" w:cs="仿宋_GB2312"/>
                <w:color w:val="auto"/>
                <w:sz w:val="21"/>
                <w:szCs w:val="21"/>
                <w:highlight w:val="none"/>
                <w:lang w:val="en-US" w:eastAsia="zh-CN"/>
              </w:rPr>
            </w:pPr>
            <w:r>
              <w:rPr>
                <w:rFonts w:hint="eastAsia" w:ascii="仿宋" w:hAnsi="仿宋" w:eastAsia="仿宋" w:cs="仿宋_GB2312"/>
                <w:color w:val="auto"/>
                <w:sz w:val="21"/>
                <w:szCs w:val="21"/>
                <w:highlight w:val="none"/>
              </w:rPr>
              <w:t>4</w:t>
            </w:r>
          </w:p>
        </w:tc>
        <w:tc>
          <w:tcPr>
            <w:tcW w:w="866" w:type="dxa"/>
            <w:vAlign w:val="center"/>
          </w:tcPr>
          <w:p w14:paraId="78BB573E">
            <w:pPr>
              <w:shd w:val="clear"/>
              <w:spacing w:line="240" w:lineRule="auto"/>
              <w:jc w:val="center"/>
              <w:outlineLvl w:val="0"/>
              <w:rPr>
                <w:rFonts w:hint="eastAsia" w:ascii="仿宋" w:hAnsi="仿宋" w:eastAsia="仿宋" w:cs="仿宋_GB2312"/>
                <w:color w:val="auto"/>
                <w:sz w:val="21"/>
                <w:szCs w:val="21"/>
                <w:highlight w:val="none"/>
                <w:lang w:val="en-US" w:eastAsia="zh-CN"/>
              </w:rPr>
            </w:pPr>
            <w:r>
              <w:rPr>
                <w:rFonts w:hint="eastAsia" w:ascii="仿宋" w:hAnsi="仿宋" w:eastAsia="仿宋" w:cs="仿宋_GB2312"/>
                <w:color w:val="auto"/>
                <w:sz w:val="21"/>
                <w:szCs w:val="21"/>
                <w:highlight w:val="none"/>
              </w:rPr>
              <w:t>主观分</w:t>
            </w:r>
          </w:p>
        </w:tc>
        <w:tc>
          <w:tcPr>
            <w:tcW w:w="1475" w:type="dxa"/>
            <w:vAlign w:val="center"/>
          </w:tcPr>
          <w:p w14:paraId="1FD6771E">
            <w:pPr>
              <w:shd w:val="clear"/>
              <w:spacing w:line="240" w:lineRule="auto"/>
              <w:jc w:val="center"/>
              <w:outlineLvl w:val="0"/>
              <w:rPr>
                <w:rFonts w:hint="eastAsia" w:ascii="仿宋" w:hAnsi="仿宋" w:eastAsia="仿宋" w:cs="仿宋_GB2312"/>
                <w:color w:val="auto"/>
                <w:sz w:val="21"/>
                <w:szCs w:val="21"/>
                <w:highlight w:val="none"/>
                <w:lang w:eastAsia="zh-CN"/>
              </w:rPr>
            </w:pPr>
            <w:r>
              <w:rPr>
                <w:rFonts w:hint="eastAsia" w:ascii="仿宋" w:hAnsi="仿宋" w:eastAsia="仿宋" w:cs="仿宋_GB2312"/>
                <w:color w:val="auto"/>
                <w:sz w:val="21"/>
                <w:szCs w:val="21"/>
                <w:highlight w:val="none"/>
              </w:rPr>
              <w:t>系统方案演示</w:t>
            </w:r>
          </w:p>
        </w:tc>
      </w:tr>
      <w:tr w14:paraId="6925E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5" w:type="dxa"/>
            <w:gridSpan w:val="6"/>
            <w:vAlign w:val="center"/>
          </w:tcPr>
          <w:p w14:paraId="5AAE3934">
            <w:pPr>
              <w:shd w:val="clear"/>
              <w:spacing w:line="240" w:lineRule="auto"/>
              <w:jc w:val="left"/>
              <w:outlineLvl w:val="0"/>
              <w:rPr>
                <w:rFonts w:hint="eastAsia" w:ascii="仿宋" w:hAnsi="仿宋" w:eastAsia="仿宋" w:cs="仿宋_GB2312"/>
                <w:color w:val="auto"/>
                <w:sz w:val="21"/>
                <w:szCs w:val="21"/>
                <w:highlight w:val="none"/>
                <w:lang w:val="en-US" w:eastAsia="zh-CN"/>
              </w:rPr>
            </w:pPr>
            <w:r>
              <w:rPr>
                <w:rFonts w:hint="eastAsia" w:ascii="仿宋" w:hAnsi="仿宋" w:eastAsia="仿宋" w:cs="仿宋_GB2312"/>
                <w:b/>
                <w:bCs/>
                <w:color w:val="auto"/>
                <w:sz w:val="21"/>
                <w:szCs w:val="21"/>
                <w:highlight w:val="none"/>
                <w:lang w:val="en-US" w:eastAsia="zh-CN"/>
              </w:rPr>
              <w:t>三、</w:t>
            </w:r>
            <w:r>
              <w:rPr>
                <w:rFonts w:hint="eastAsia" w:ascii="仿宋" w:hAnsi="仿宋" w:eastAsia="仿宋" w:cs="仿宋_GB2312"/>
                <w:b/>
                <w:bCs/>
                <w:color w:val="auto"/>
                <w:sz w:val="21"/>
                <w:szCs w:val="21"/>
                <w:highlight w:val="none"/>
              </w:rPr>
              <w:t>投标报价</w:t>
            </w:r>
          </w:p>
        </w:tc>
      </w:tr>
      <w:tr w14:paraId="6613E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3" w:type="dxa"/>
            <w:vAlign w:val="center"/>
          </w:tcPr>
          <w:p w14:paraId="06936C09">
            <w:pPr>
              <w:keepNext w:val="0"/>
              <w:keepLines w:val="0"/>
              <w:pageBreakBefore w:val="0"/>
              <w:widowControl w:val="0"/>
              <w:shd w:val="clear"/>
              <w:kinsoku/>
              <w:wordWrap/>
              <w:overflowPunct/>
              <w:topLinePunct w:val="0"/>
              <w:autoSpaceDE/>
              <w:autoSpaceDN/>
              <w:bidi w:val="0"/>
              <w:adjustRightInd w:val="0"/>
              <w:snapToGrid w:val="0"/>
              <w:spacing w:line="240" w:lineRule="auto"/>
              <w:jc w:val="center"/>
              <w:textAlignment w:val="auto"/>
              <w:outlineLvl w:val="0"/>
              <w:rPr>
                <w:rFonts w:hint="default" w:ascii="仿宋" w:hAnsi="仿宋" w:eastAsia="仿宋" w:cs="仿宋_GB2312"/>
                <w:color w:val="auto"/>
                <w:sz w:val="21"/>
                <w:szCs w:val="21"/>
                <w:highlight w:val="none"/>
                <w:lang w:val="en-US" w:eastAsia="zh-CN"/>
              </w:rPr>
            </w:pPr>
            <w:r>
              <w:rPr>
                <w:rFonts w:hint="eastAsia" w:ascii="仿宋" w:hAnsi="仿宋" w:eastAsia="仿宋" w:cs="仿宋_GB2312"/>
                <w:color w:val="auto"/>
                <w:sz w:val="21"/>
                <w:szCs w:val="21"/>
                <w:highlight w:val="none"/>
                <w:lang w:val="en-US" w:eastAsia="zh-CN"/>
              </w:rPr>
              <w:t>13</w:t>
            </w:r>
          </w:p>
        </w:tc>
        <w:tc>
          <w:tcPr>
            <w:tcW w:w="1231" w:type="dxa"/>
            <w:vAlign w:val="center"/>
          </w:tcPr>
          <w:p w14:paraId="331D1F17">
            <w:pPr>
              <w:keepNext w:val="0"/>
              <w:keepLines w:val="0"/>
              <w:pageBreakBefore w:val="0"/>
              <w:widowControl w:val="0"/>
              <w:shd w:val="clear"/>
              <w:kinsoku/>
              <w:wordWrap/>
              <w:overflowPunct/>
              <w:topLinePunct w:val="0"/>
              <w:autoSpaceDE/>
              <w:autoSpaceDN/>
              <w:bidi w:val="0"/>
              <w:adjustRightInd w:val="0"/>
              <w:snapToGrid w:val="0"/>
              <w:spacing w:line="240" w:lineRule="auto"/>
              <w:jc w:val="center"/>
              <w:textAlignment w:val="auto"/>
              <w:outlineLvl w:val="0"/>
              <w:rPr>
                <w:rFonts w:hint="default" w:ascii="仿宋" w:hAnsi="仿宋" w:eastAsia="仿宋" w:cs="仿宋_GB2312"/>
                <w:color w:val="auto"/>
                <w:sz w:val="21"/>
                <w:szCs w:val="21"/>
                <w:highlight w:val="none"/>
                <w:lang w:val="en-US" w:eastAsia="zh-CN"/>
              </w:rPr>
            </w:pPr>
            <w:r>
              <w:rPr>
                <w:rFonts w:hint="eastAsia" w:ascii="仿宋" w:hAnsi="仿宋" w:eastAsia="仿宋" w:cs="仿宋_GB2312"/>
                <w:color w:val="auto"/>
                <w:sz w:val="21"/>
                <w:szCs w:val="21"/>
                <w:highlight w:val="none"/>
              </w:rPr>
              <w:t>投标报价</w:t>
            </w:r>
          </w:p>
        </w:tc>
        <w:tc>
          <w:tcPr>
            <w:tcW w:w="4366" w:type="dxa"/>
          </w:tcPr>
          <w:p w14:paraId="5582E978">
            <w:pPr>
              <w:shd w:val="clear"/>
              <w:spacing w:line="240" w:lineRule="auto"/>
              <w:jc w:val="left"/>
              <w:outlineLvl w:val="0"/>
              <w:rPr>
                <w:rFonts w:hint="eastAsia" w:ascii="仿宋" w:hAnsi="仿宋" w:eastAsia="仿宋" w:cs="仿宋_GB2312"/>
                <w:color w:val="auto"/>
                <w:sz w:val="21"/>
                <w:szCs w:val="21"/>
                <w:highlight w:val="none"/>
              </w:rPr>
            </w:pPr>
            <w:r>
              <w:rPr>
                <w:rFonts w:hint="eastAsia" w:ascii="仿宋" w:hAnsi="仿宋" w:eastAsia="仿宋" w:cs="仿宋_GB2312"/>
                <w:color w:val="auto"/>
                <w:sz w:val="21"/>
                <w:szCs w:val="21"/>
                <w:highlight w:val="none"/>
              </w:rPr>
              <w:t>有效投标报价的最低价作为评标基准价，其最低报价为满分；按［投标报价得分=（评标基准价/投标报价）*权重］的计算公式计算。</w:t>
            </w:r>
          </w:p>
          <w:p w14:paraId="6CD8AC76">
            <w:pPr>
              <w:shd w:val="clear"/>
              <w:spacing w:line="240" w:lineRule="auto"/>
              <w:jc w:val="left"/>
              <w:outlineLvl w:val="0"/>
              <w:rPr>
                <w:rFonts w:hint="eastAsia" w:ascii="仿宋" w:hAnsi="仿宋" w:eastAsia="仿宋" w:cs="仿宋_GB2312"/>
                <w:color w:val="auto"/>
                <w:sz w:val="21"/>
                <w:szCs w:val="21"/>
                <w:highlight w:val="none"/>
              </w:rPr>
            </w:pPr>
            <w:r>
              <w:rPr>
                <w:rFonts w:hint="eastAsia" w:ascii="仿宋" w:hAnsi="仿宋" w:eastAsia="仿宋" w:cs="仿宋_GB2312"/>
                <w:color w:val="auto"/>
                <w:sz w:val="21"/>
                <w:szCs w:val="21"/>
                <w:highlight w:val="none"/>
              </w:rPr>
              <w:t>评标过程中，不得去掉报价中的最高报价和最低报价。</w:t>
            </w:r>
          </w:p>
          <w:p w14:paraId="4CE5D7FC">
            <w:pPr>
              <w:shd w:val="clear"/>
              <w:spacing w:line="240" w:lineRule="auto"/>
              <w:jc w:val="left"/>
              <w:outlineLvl w:val="0"/>
              <w:rPr>
                <w:rFonts w:hint="eastAsia" w:ascii="仿宋" w:hAnsi="仿宋" w:eastAsia="仿宋" w:cs="仿宋_GB2312"/>
                <w:color w:val="auto"/>
                <w:sz w:val="21"/>
                <w:szCs w:val="21"/>
                <w:highlight w:val="none"/>
              </w:rPr>
            </w:pPr>
            <w:r>
              <w:rPr>
                <w:rFonts w:hint="eastAsia" w:ascii="仿宋" w:hAnsi="仿宋" w:eastAsia="仿宋" w:cs="仿宋_GB2312"/>
                <w:color w:val="auto"/>
                <w:sz w:val="21"/>
                <w:szCs w:val="21"/>
                <w:highlight w:val="none"/>
              </w:rPr>
              <w:t>本项目专门面向中小企业采购，不进行价格调整。</w:t>
            </w:r>
          </w:p>
        </w:tc>
        <w:tc>
          <w:tcPr>
            <w:tcW w:w="584" w:type="dxa"/>
            <w:shd w:val="clear" w:color="auto" w:fill="auto"/>
            <w:vAlign w:val="center"/>
          </w:tcPr>
          <w:p w14:paraId="3D3CB28A">
            <w:pPr>
              <w:shd w:val="clear"/>
              <w:spacing w:line="240" w:lineRule="auto"/>
              <w:jc w:val="center"/>
              <w:outlineLvl w:val="0"/>
              <w:rPr>
                <w:rFonts w:hint="default" w:ascii="仿宋" w:hAnsi="仿宋" w:eastAsia="仿宋" w:cs="仿宋_GB2312"/>
                <w:color w:val="auto"/>
                <w:sz w:val="21"/>
                <w:szCs w:val="21"/>
                <w:highlight w:val="none"/>
                <w:lang w:val="en-US" w:eastAsia="zh-CN"/>
              </w:rPr>
            </w:pPr>
            <w:r>
              <w:rPr>
                <w:rFonts w:hint="eastAsia" w:ascii="仿宋" w:hAnsi="仿宋" w:eastAsia="仿宋" w:cs="仿宋_GB2312"/>
                <w:color w:val="auto"/>
                <w:sz w:val="21"/>
                <w:szCs w:val="21"/>
                <w:highlight w:val="none"/>
                <w:shd w:val="clear"/>
                <w:lang w:val="en-US" w:eastAsia="zh-CN"/>
              </w:rPr>
              <w:t>10</w:t>
            </w:r>
          </w:p>
        </w:tc>
        <w:tc>
          <w:tcPr>
            <w:tcW w:w="866" w:type="dxa"/>
            <w:shd w:val="clear" w:color="auto" w:fill="auto"/>
            <w:vAlign w:val="center"/>
          </w:tcPr>
          <w:p w14:paraId="75EC243A">
            <w:pPr>
              <w:shd w:val="clear"/>
              <w:spacing w:line="240" w:lineRule="auto"/>
              <w:jc w:val="center"/>
              <w:outlineLvl w:val="0"/>
              <w:rPr>
                <w:rFonts w:hint="eastAsia" w:ascii="仿宋" w:hAnsi="仿宋" w:eastAsia="仿宋" w:cs="仿宋_GB2312"/>
                <w:color w:val="auto"/>
                <w:sz w:val="21"/>
                <w:szCs w:val="21"/>
                <w:highlight w:val="none"/>
              </w:rPr>
            </w:pPr>
            <w:r>
              <w:rPr>
                <w:rFonts w:hint="eastAsia" w:ascii="仿宋" w:hAnsi="仿宋" w:eastAsia="仿宋" w:cs="仿宋_GB2312"/>
                <w:color w:val="auto"/>
                <w:sz w:val="21"/>
                <w:szCs w:val="21"/>
                <w:highlight w:val="none"/>
              </w:rPr>
              <w:t>客观分</w:t>
            </w:r>
          </w:p>
        </w:tc>
        <w:tc>
          <w:tcPr>
            <w:tcW w:w="1475" w:type="dxa"/>
            <w:vAlign w:val="center"/>
          </w:tcPr>
          <w:p w14:paraId="24F7A676">
            <w:pPr>
              <w:shd w:val="clear"/>
              <w:spacing w:line="240" w:lineRule="auto"/>
              <w:jc w:val="center"/>
              <w:outlineLvl w:val="0"/>
              <w:rPr>
                <w:rFonts w:hint="eastAsia" w:ascii="仿宋" w:hAnsi="仿宋" w:eastAsia="仿宋" w:cs="仿宋_GB2312"/>
                <w:color w:val="auto"/>
                <w:sz w:val="21"/>
                <w:szCs w:val="21"/>
                <w:highlight w:val="none"/>
              </w:rPr>
            </w:pPr>
            <w:r>
              <w:rPr>
                <w:rFonts w:hint="eastAsia" w:ascii="仿宋" w:hAnsi="仿宋" w:eastAsia="仿宋" w:cs="仿宋_GB2312"/>
                <w:color w:val="auto"/>
                <w:sz w:val="21"/>
                <w:szCs w:val="21"/>
                <w:highlight w:val="none"/>
              </w:rPr>
              <w:t>/</w:t>
            </w:r>
          </w:p>
        </w:tc>
      </w:tr>
      <w:tr w14:paraId="6DBE5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3" w:type="dxa"/>
            <w:vAlign w:val="center"/>
          </w:tcPr>
          <w:p w14:paraId="3F938D7F">
            <w:pPr>
              <w:keepNext w:val="0"/>
              <w:keepLines w:val="0"/>
              <w:pageBreakBefore w:val="0"/>
              <w:widowControl w:val="0"/>
              <w:shd w:val="clear"/>
              <w:kinsoku/>
              <w:wordWrap/>
              <w:overflowPunct/>
              <w:topLinePunct w:val="0"/>
              <w:autoSpaceDE/>
              <w:autoSpaceDN/>
              <w:bidi w:val="0"/>
              <w:adjustRightInd w:val="0"/>
              <w:snapToGrid w:val="0"/>
              <w:spacing w:line="240" w:lineRule="auto"/>
              <w:jc w:val="center"/>
              <w:textAlignment w:val="auto"/>
              <w:outlineLvl w:val="0"/>
              <w:rPr>
                <w:rFonts w:hint="eastAsia" w:ascii="仿宋" w:hAnsi="仿宋" w:eastAsia="仿宋" w:cs="仿宋_GB2312"/>
                <w:color w:val="auto"/>
                <w:sz w:val="21"/>
                <w:szCs w:val="21"/>
                <w:highlight w:val="none"/>
                <w:lang w:val="en-US" w:eastAsia="zh-CN"/>
              </w:rPr>
            </w:pPr>
            <w:r>
              <w:rPr>
                <w:rFonts w:hint="eastAsia" w:ascii="仿宋" w:hAnsi="仿宋" w:eastAsia="仿宋" w:cs="仿宋_GB2312"/>
                <w:color w:val="auto"/>
                <w:sz w:val="21"/>
                <w:szCs w:val="21"/>
                <w:highlight w:val="none"/>
                <w:lang w:val="en-US" w:eastAsia="zh-CN"/>
              </w:rPr>
              <w:t>14</w:t>
            </w:r>
          </w:p>
        </w:tc>
        <w:tc>
          <w:tcPr>
            <w:tcW w:w="5597" w:type="dxa"/>
            <w:gridSpan w:val="2"/>
            <w:vAlign w:val="center"/>
          </w:tcPr>
          <w:p w14:paraId="20204028">
            <w:pPr>
              <w:shd w:val="clear"/>
              <w:spacing w:line="240" w:lineRule="auto"/>
              <w:jc w:val="center"/>
              <w:outlineLvl w:val="0"/>
              <w:rPr>
                <w:rFonts w:hint="eastAsia" w:ascii="仿宋" w:hAnsi="仿宋" w:eastAsia="仿宋" w:cs="仿宋_GB2312"/>
                <w:color w:val="auto"/>
                <w:sz w:val="21"/>
                <w:szCs w:val="21"/>
                <w:highlight w:val="none"/>
                <w:lang w:val="en-US" w:eastAsia="zh-CN"/>
              </w:rPr>
            </w:pPr>
            <w:r>
              <w:rPr>
                <w:rFonts w:hint="eastAsia" w:ascii="仿宋" w:hAnsi="仿宋" w:eastAsia="仿宋" w:cs="仿宋_GB2312"/>
                <w:color w:val="auto"/>
                <w:sz w:val="21"/>
                <w:szCs w:val="21"/>
                <w:highlight w:val="none"/>
                <w:lang w:val="en-US" w:eastAsia="zh-CN"/>
              </w:rPr>
              <w:t>总分</w:t>
            </w:r>
          </w:p>
        </w:tc>
        <w:tc>
          <w:tcPr>
            <w:tcW w:w="584" w:type="dxa"/>
            <w:vAlign w:val="center"/>
          </w:tcPr>
          <w:p w14:paraId="7763DB7C">
            <w:pPr>
              <w:shd w:val="clear"/>
              <w:spacing w:line="240" w:lineRule="auto"/>
              <w:jc w:val="center"/>
              <w:outlineLvl w:val="0"/>
              <w:rPr>
                <w:rFonts w:hint="default" w:ascii="仿宋" w:hAnsi="仿宋" w:eastAsia="仿宋" w:cs="仿宋_GB2312"/>
                <w:color w:val="auto"/>
                <w:sz w:val="21"/>
                <w:szCs w:val="21"/>
                <w:highlight w:val="none"/>
                <w:lang w:val="en-US" w:eastAsia="zh-CN"/>
              </w:rPr>
            </w:pPr>
            <w:r>
              <w:rPr>
                <w:rFonts w:hint="eastAsia" w:ascii="仿宋" w:hAnsi="仿宋" w:eastAsia="仿宋" w:cs="仿宋_GB2312"/>
                <w:color w:val="auto"/>
                <w:sz w:val="21"/>
                <w:szCs w:val="21"/>
                <w:highlight w:val="none"/>
                <w:lang w:val="en-US" w:eastAsia="zh-CN"/>
              </w:rPr>
              <w:t>100</w:t>
            </w:r>
          </w:p>
        </w:tc>
        <w:tc>
          <w:tcPr>
            <w:tcW w:w="866" w:type="dxa"/>
            <w:vAlign w:val="center"/>
          </w:tcPr>
          <w:p w14:paraId="5FC91441">
            <w:pPr>
              <w:shd w:val="clear"/>
              <w:spacing w:line="240" w:lineRule="auto"/>
              <w:jc w:val="center"/>
              <w:outlineLvl w:val="0"/>
              <w:rPr>
                <w:rFonts w:hint="eastAsia" w:ascii="仿宋" w:hAnsi="仿宋" w:eastAsia="仿宋" w:cs="仿宋_GB2312"/>
                <w:color w:val="auto"/>
                <w:sz w:val="21"/>
                <w:szCs w:val="21"/>
                <w:highlight w:val="none"/>
              </w:rPr>
            </w:pPr>
          </w:p>
        </w:tc>
        <w:tc>
          <w:tcPr>
            <w:tcW w:w="1475" w:type="dxa"/>
            <w:vAlign w:val="center"/>
          </w:tcPr>
          <w:p w14:paraId="77C2D946">
            <w:pPr>
              <w:shd w:val="clear"/>
              <w:spacing w:line="240" w:lineRule="auto"/>
              <w:jc w:val="center"/>
              <w:outlineLvl w:val="0"/>
              <w:rPr>
                <w:rFonts w:hint="eastAsia" w:ascii="仿宋" w:hAnsi="仿宋" w:eastAsia="仿宋" w:cs="仿宋_GB2312"/>
                <w:color w:val="auto"/>
                <w:sz w:val="21"/>
                <w:szCs w:val="21"/>
                <w:highlight w:val="none"/>
              </w:rPr>
            </w:pPr>
          </w:p>
        </w:tc>
      </w:tr>
    </w:tbl>
    <w:p w14:paraId="79F6FB47">
      <w:pPr>
        <w:shd w:val="clear"/>
        <w:rPr>
          <w:color w:val="auto"/>
          <w:highlight w:val="none"/>
        </w:rPr>
      </w:pPr>
    </w:p>
    <w:p w14:paraId="5D76CEF5">
      <w:pPr>
        <w:shd w:val="clear"/>
        <w:snapToGrid w:val="0"/>
        <w:spacing w:line="360" w:lineRule="auto"/>
        <w:rPr>
          <w:rFonts w:ascii="宋体" w:hAnsi="宋体" w:cs="宋体"/>
          <w:b/>
          <w:color w:val="auto"/>
          <w:sz w:val="24"/>
          <w:highlight w:val="none"/>
        </w:rPr>
      </w:pPr>
      <w:r>
        <w:rPr>
          <w:rFonts w:hint="eastAsia" w:ascii="宋体" w:hAnsi="宋体" w:cs="宋体"/>
          <w:color w:val="auto"/>
          <w:sz w:val="20"/>
          <w:szCs w:val="20"/>
          <w:highlight w:val="none"/>
          <w:shd w:val="clear" w:color="auto" w:fill="FFFFFF"/>
        </w:rPr>
        <w:t> *</w:t>
      </w: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 </w:t>
      </w:r>
    </w:p>
    <w:p w14:paraId="5B4381EB">
      <w:pPr>
        <w:shd w:val="clea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一、评标方法</w:t>
      </w:r>
    </w:p>
    <w:p w14:paraId="035961BF">
      <w:pPr>
        <w:shd w:val="clea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336E9CCB">
      <w:pPr>
        <w:shd w:val="clea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二、评标标准</w:t>
      </w:r>
    </w:p>
    <w:p w14:paraId="077C39BF">
      <w:pPr>
        <w:shd w:val="clea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29C9206F">
      <w:pPr>
        <w:shd w:val="clear"/>
        <w:spacing w:line="360" w:lineRule="auto"/>
        <w:outlineLvl w:val="0"/>
        <w:rPr>
          <w:rFonts w:ascii="宋体" w:hAnsi="宋体" w:cs="宋体"/>
          <w:b/>
          <w:color w:val="auto"/>
          <w:sz w:val="36"/>
          <w:szCs w:val="36"/>
          <w:highlight w:val="none"/>
        </w:rPr>
      </w:pPr>
      <w:r>
        <w:rPr>
          <w:rFonts w:hint="eastAsia" w:ascii="宋体" w:hAnsi="宋体" w:cs="宋体"/>
          <w:b/>
          <w:color w:val="auto"/>
          <w:sz w:val="36"/>
          <w:szCs w:val="36"/>
          <w:highlight w:val="none"/>
        </w:rPr>
        <w:t>三、评标程序</w:t>
      </w:r>
    </w:p>
    <w:p w14:paraId="6E8068C3">
      <w:pPr>
        <w:shd w:val="clea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084E7E8A">
      <w:pPr>
        <w:shd w:val="clea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1CB0FDA9">
      <w:pPr>
        <w:shd w:val="clea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7EA2D04A">
      <w:pPr>
        <w:shd w:val="clea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14:paraId="4C77C740">
      <w:pPr>
        <w:pStyle w:val="131"/>
        <w:shd w:val="clear"/>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0295E922">
      <w:pPr>
        <w:pStyle w:val="131"/>
        <w:shd w:val="clear"/>
        <w:spacing w:before="0"/>
        <w:ind w:firstLine="480"/>
        <w:rPr>
          <w:rFonts w:hint="eastAsia" w:ascii="宋体" w:hAnsi="宋体" w:eastAsia="宋体" w:cs="宋体"/>
          <w:color w:val="auto"/>
          <w:kern w:val="0"/>
          <w:szCs w:val="24"/>
          <w:highlight w:val="none"/>
          <w:lang w:eastAsia="zh-CN"/>
        </w:rPr>
      </w:pPr>
      <w:r>
        <w:rPr>
          <w:rFonts w:hint="eastAsia" w:ascii="宋体" w:hAnsi="宋体" w:cs="宋体"/>
          <w:color w:val="auto"/>
          <w:kern w:val="0"/>
          <w:szCs w:val="24"/>
          <w:highlight w:val="none"/>
        </w:rPr>
        <w:t>3.4.1.1投标文件中开标一览表(报价表)内容与投标文件中相应内容不一致的，以开标一览表(报价表)为准</w:t>
      </w:r>
      <w:r>
        <w:rPr>
          <w:rFonts w:hint="eastAsia" w:ascii="宋体" w:hAnsi="宋体" w:cs="宋体"/>
          <w:color w:val="auto"/>
          <w:kern w:val="0"/>
          <w:szCs w:val="24"/>
          <w:highlight w:val="none"/>
          <w:lang w:eastAsia="zh-CN"/>
        </w:rPr>
        <w:t>；</w:t>
      </w:r>
    </w:p>
    <w:p w14:paraId="1FE54F47">
      <w:pPr>
        <w:pStyle w:val="131"/>
        <w:shd w:val="clear"/>
        <w:spacing w:before="0"/>
        <w:ind w:firstLine="480"/>
        <w:rPr>
          <w:rFonts w:hint="eastAsia" w:ascii="宋体" w:hAnsi="宋体" w:eastAsia="宋体" w:cs="宋体"/>
          <w:color w:val="auto"/>
          <w:kern w:val="0"/>
          <w:szCs w:val="24"/>
          <w:highlight w:val="none"/>
          <w:lang w:eastAsia="zh-CN"/>
        </w:rPr>
      </w:pPr>
      <w:r>
        <w:rPr>
          <w:rFonts w:hint="eastAsia" w:ascii="宋体" w:hAnsi="宋体" w:cs="宋体"/>
          <w:color w:val="auto"/>
          <w:kern w:val="0"/>
          <w:szCs w:val="24"/>
          <w:highlight w:val="none"/>
        </w:rPr>
        <w:t>3.4.1.2大写金额和小写金额不一致的，以大写金额为准</w:t>
      </w:r>
      <w:r>
        <w:rPr>
          <w:rFonts w:hint="eastAsia" w:ascii="宋体" w:hAnsi="宋体" w:cs="宋体"/>
          <w:color w:val="auto"/>
          <w:kern w:val="0"/>
          <w:szCs w:val="24"/>
          <w:highlight w:val="none"/>
          <w:lang w:eastAsia="zh-CN"/>
        </w:rPr>
        <w:t>；</w:t>
      </w:r>
    </w:p>
    <w:p w14:paraId="4739BCA3">
      <w:pPr>
        <w:pStyle w:val="131"/>
        <w:shd w:val="clear"/>
        <w:spacing w:before="0"/>
        <w:ind w:firstLine="480"/>
        <w:rPr>
          <w:rFonts w:hint="eastAsia" w:ascii="宋体" w:hAnsi="宋体" w:eastAsia="宋体" w:cs="宋体"/>
          <w:color w:val="auto"/>
          <w:kern w:val="0"/>
          <w:szCs w:val="24"/>
          <w:highlight w:val="none"/>
          <w:lang w:eastAsia="zh-CN"/>
        </w:rPr>
      </w:pPr>
      <w:r>
        <w:rPr>
          <w:rFonts w:hint="eastAsia" w:ascii="宋体" w:hAnsi="宋体" w:cs="宋体"/>
          <w:color w:val="auto"/>
          <w:kern w:val="0"/>
          <w:szCs w:val="24"/>
          <w:highlight w:val="none"/>
        </w:rPr>
        <w:t>3.4.1.3单价金额小数点或者百分比有明显错位的，以开标一览表的总价为准，并修改单价</w:t>
      </w:r>
      <w:r>
        <w:rPr>
          <w:rFonts w:hint="eastAsia" w:ascii="宋体" w:hAnsi="宋体" w:cs="宋体"/>
          <w:color w:val="auto"/>
          <w:kern w:val="0"/>
          <w:szCs w:val="24"/>
          <w:highlight w:val="none"/>
          <w:lang w:eastAsia="zh-CN"/>
        </w:rPr>
        <w:t>；</w:t>
      </w:r>
    </w:p>
    <w:p w14:paraId="48DFCE0C">
      <w:pPr>
        <w:pStyle w:val="131"/>
        <w:shd w:val="clear"/>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7F5218A6">
      <w:pPr>
        <w:pStyle w:val="131"/>
        <w:shd w:val="clear"/>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740CB30A">
      <w:pPr>
        <w:shd w:val="clea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181895E6">
      <w:pPr>
        <w:shd w:val="clea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6128C161">
      <w:pPr>
        <w:pStyle w:val="131"/>
        <w:shd w:val="clear"/>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5507D2E9">
      <w:pPr>
        <w:pStyle w:val="131"/>
        <w:shd w:val="clear"/>
        <w:spacing w:before="0"/>
        <w:ind w:firstLine="480"/>
        <w:rPr>
          <w:rFonts w:hint="default" w:ascii="宋体" w:hAnsi="宋体" w:eastAsia="宋体" w:cs="宋体"/>
          <w:color w:val="auto"/>
          <w:kern w:val="0"/>
          <w:szCs w:val="24"/>
          <w:highlight w:val="none"/>
          <w:lang w:val="en-US" w:eastAsia="zh-CN"/>
        </w:rPr>
      </w:pPr>
      <w:r>
        <w:rPr>
          <w:rFonts w:hint="eastAsia" w:ascii="宋体" w:hAnsi="宋体" w:cs="宋体"/>
          <w:color w:val="auto"/>
          <w:kern w:val="0"/>
          <w:szCs w:val="24"/>
          <w:highlight w:val="none"/>
        </w:rPr>
        <w:t>3.4.5对于未预留份额专门面向中小企业的政府采购服务项目，以及预留份额政府采购服务项目中的非预留部分标项，对小型和微型企业的投标报价给予10%-</w:t>
      </w:r>
      <w:r>
        <w:rPr>
          <w:rFonts w:ascii="宋体" w:hAnsi="宋体" w:cs="宋体"/>
          <w:color w:val="auto"/>
          <w:kern w:val="0"/>
          <w:szCs w:val="24"/>
          <w:highlight w:val="none"/>
        </w:rPr>
        <w:t>20</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kern w:val="0"/>
          <w:szCs w:val="24"/>
          <w:highlight w:val="none"/>
        </w:rPr>
        <w:t>6</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r>
        <w:rPr>
          <w:rFonts w:hint="eastAsia" w:ascii="宋体" w:hAnsi="宋体" w:cs="宋体"/>
          <w:b/>
          <w:bCs/>
          <w:color w:val="auto"/>
          <w:kern w:val="0"/>
          <w:szCs w:val="24"/>
          <w:highlight w:val="none"/>
          <w:lang w:eastAsia="zh-CN"/>
        </w:rPr>
        <w:t>（</w:t>
      </w:r>
      <w:r>
        <w:rPr>
          <w:rFonts w:hint="eastAsia" w:ascii="宋体" w:hAnsi="宋体" w:cs="宋体"/>
          <w:b/>
          <w:bCs/>
          <w:color w:val="auto"/>
          <w:kern w:val="0"/>
          <w:szCs w:val="24"/>
          <w:highlight w:val="none"/>
          <w:lang w:val="en-US" w:eastAsia="zh-CN"/>
        </w:rPr>
        <w:t>本项目不适用。）</w:t>
      </w:r>
    </w:p>
    <w:p w14:paraId="20AFC07A">
      <w:pPr>
        <w:shd w:val="clea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4276C98A">
      <w:pPr>
        <w:shd w:val="clea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57822570">
      <w:pPr>
        <w:shd w:val="clea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234261DC">
      <w:pPr>
        <w:keepNext w:val="0"/>
        <w:keepLines w:val="0"/>
        <w:pageBreakBefore w:val="0"/>
        <w:widowControl/>
        <w:shd w:val="clear" w:color="auto"/>
        <w:kinsoku/>
        <w:wordWrap/>
        <w:overflowPunct/>
        <w:topLinePunct w:val="0"/>
        <w:autoSpaceDE/>
        <w:autoSpaceDN/>
        <w:bidi w:val="0"/>
        <w:adjustRightInd/>
        <w:snapToGrid/>
        <w:spacing w:line="240" w:lineRule="auto"/>
        <w:jc w:val="left"/>
        <w:textAlignment w:val="auto"/>
        <w:rPr>
          <w:rFonts w:ascii="宋体" w:hAnsi="宋体" w:cs="宋体"/>
          <w:b/>
          <w:color w:val="auto"/>
          <w:sz w:val="32"/>
          <w:highlight w:val="none"/>
        </w:rPr>
      </w:pPr>
      <w:r>
        <w:rPr>
          <w:rFonts w:hint="eastAsia" w:ascii="宋体" w:hAnsi="宋体" w:cs="宋体"/>
          <w:b/>
          <w:color w:val="auto"/>
          <w:sz w:val="32"/>
          <w:highlight w:val="none"/>
        </w:rPr>
        <w:t>四、评标中的其他事项</w:t>
      </w:r>
    </w:p>
    <w:p w14:paraId="427072AB">
      <w:pPr>
        <w:pStyle w:val="131"/>
        <w:shd w:val="clear"/>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77BB14E5">
      <w:pPr>
        <w:pStyle w:val="27"/>
        <w:shd w:val="clear"/>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21276AC0">
      <w:pPr>
        <w:shd w:val="clea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14:paraId="06BA2CEC">
      <w:pPr>
        <w:shd w:val="clea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326F0C0F">
      <w:pPr>
        <w:shd w:val="clea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1FE144F0">
      <w:pPr>
        <w:shd w:val="clea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14:paraId="3D19B7A8">
      <w:pPr>
        <w:shd w:val="clea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2797E24D">
      <w:pPr>
        <w:shd w:val="clear"/>
        <w:snapToGrid w:val="0"/>
        <w:spacing w:line="360" w:lineRule="auto"/>
        <w:ind w:firstLine="120" w:firstLineChars="50"/>
        <w:jc w:val="left"/>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 xml:space="preserve">   4.2.6投标文件出现不是唯一的、有选择性投标报价的</w:t>
      </w:r>
      <w:r>
        <w:rPr>
          <w:rFonts w:hint="eastAsia" w:ascii="宋体" w:hAnsi="宋体" w:cs="宋体"/>
          <w:color w:val="auto"/>
          <w:kern w:val="0"/>
          <w:sz w:val="24"/>
          <w:highlight w:val="none"/>
          <w:lang w:eastAsia="zh-CN"/>
        </w:rPr>
        <w:t>；</w:t>
      </w:r>
    </w:p>
    <w:p w14:paraId="1B558E42">
      <w:pPr>
        <w:shd w:val="clear"/>
        <w:spacing w:line="360" w:lineRule="auto"/>
        <w:ind w:firstLine="480" w:firstLineChars="200"/>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4.2.7投标报价超过招标文件中规定的预算金额或者最高限价的</w:t>
      </w:r>
      <w:r>
        <w:rPr>
          <w:rFonts w:hint="eastAsia" w:ascii="宋体" w:hAnsi="宋体" w:cs="宋体"/>
          <w:color w:val="auto"/>
          <w:kern w:val="0"/>
          <w:sz w:val="24"/>
          <w:highlight w:val="none"/>
          <w:lang w:eastAsia="zh-CN"/>
        </w:rPr>
        <w:t>；</w:t>
      </w:r>
    </w:p>
    <w:p w14:paraId="27D58952">
      <w:pPr>
        <w:shd w:val="clear"/>
        <w:spacing w:line="360" w:lineRule="auto"/>
        <w:ind w:firstLine="480" w:firstLineChars="200"/>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r>
        <w:rPr>
          <w:rFonts w:hint="eastAsia" w:ascii="宋体" w:hAnsi="宋体" w:cs="宋体"/>
          <w:color w:val="auto"/>
          <w:kern w:val="0"/>
          <w:sz w:val="24"/>
          <w:highlight w:val="none"/>
          <w:lang w:eastAsia="zh-CN"/>
        </w:rPr>
        <w:t>；</w:t>
      </w:r>
    </w:p>
    <w:p w14:paraId="311461A6">
      <w:pPr>
        <w:shd w:val="clea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4.2.9投标人对根据修正原则修正后的报价不确认的；</w:t>
      </w:r>
    </w:p>
    <w:p w14:paraId="47C17176">
      <w:pPr>
        <w:shd w:val="clea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4.2.10投标人提供虚假材料投标的；</w:t>
      </w:r>
    </w:p>
    <w:p w14:paraId="0704C37F">
      <w:pPr>
        <w:shd w:val="clear"/>
        <w:spacing w:line="360" w:lineRule="auto"/>
        <w:ind w:firstLine="240" w:firstLineChars="100"/>
        <w:rPr>
          <w:rFonts w:ascii="宋体" w:hAnsi="宋体" w:cs="宋体"/>
          <w:color w:val="auto"/>
          <w:kern w:val="0"/>
          <w:sz w:val="24"/>
          <w:highlight w:val="none"/>
        </w:rPr>
      </w:pPr>
      <w:r>
        <w:rPr>
          <w:rFonts w:hint="eastAsia" w:ascii="宋体" w:hAnsi="宋体" w:cs="宋体"/>
          <w:color w:val="auto"/>
          <w:kern w:val="0"/>
          <w:sz w:val="24"/>
          <w:highlight w:val="none"/>
        </w:rPr>
        <w:t xml:space="preserve">  4.2.11投标人有恶意串通、妨碍其他投标人的竞争行为、损害采购人或者其他投标人的合法权益情形的；</w:t>
      </w:r>
    </w:p>
    <w:p w14:paraId="164F8C1D">
      <w:pPr>
        <w:shd w:val="clea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4.2.12投标人仅提交备份投标文件，未在电子交易平台传输递交投标文件的，投标无效；</w:t>
      </w:r>
    </w:p>
    <w:p w14:paraId="5DC87106">
      <w:pPr>
        <w:pStyle w:val="2"/>
        <w:shd w:val="clear"/>
        <w:ind w:left="862" w:leftChars="205"/>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4.2.13 投标文件不满足招标文件的其它实质性要求的；</w:t>
      </w:r>
    </w:p>
    <w:p w14:paraId="79D50243">
      <w:pPr>
        <w:shd w:val="clea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4.2.14法律、法规、规章（适用本市的）及省级以上规范性文件（适用本市的）规定的其他无效情形。</w:t>
      </w:r>
    </w:p>
    <w:p w14:paraId="1B441DD4">
      <w:pPr>
        <w:pStyle w:val="27"/>
        <w:shd w:val="clear"/>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2B215375">
      <w:pPr>
        <w:pStyle w:val="27"/>
        <w:shd w:val="clear"/>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14:paraId="12D34A13">
      <w:pPr>
        <w:pStyle w:val="27"/>
        <w:shd w:val="clear"/>
        <w:snapToGrid w:val="0"/>
        <w:spacing w:line="360" w:lineRule="auto"/>
        <w:rPr>
          <w:rFonts w:cs="宋体"/>
          <w:color w:val="auto"/>
          <w:highlight w:val="none"/>
        </w:rPr>
      </w:pPr>
      <w:r>
        <w:rPr>
          <w:rFonts w:hint="eastAsia" w:cs="宋体"/>
          <w:color w:val="auto"/>
          <w:highlight w:val="none"/>
        </w:rPr>
        <w:t>5.2出现影响采购公正的违法、违规行为的；</w:t>
      </w:r>
    </w:p>
    <w:p w14:paraId="5C4ADDF4">
      <w:pPr>
        <w:pStyle w:val="27"/>
        <w:shd w:val="clear"/>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14:paraId="7C8D68F7">
      <w:pPr>
        <w:pStyle w:val="27"/>
        <w:shd w:val="clear"/>
        <w:snapToGrid w:val="0"/>
        <w:spacing w:line="360" w:lineRule="auto"/>
        <w:rPr>
          <w:rFonts w:cs="宋体"/>
          <w:color w:val="auto"/>
          <w:highlight w:val="none"/>
        </w:rPr>
      </w:pPr>
      <w:r>
        <w:rPr>
          <w:rFonts w:hint="eastAsia" w:cs="宋体"/>
          <w:color w:val="auto"/>
          <w:highlight w:val="none"/>
        </w:rPr>
        <w:t>5.4因重大变故，采购任务取消的。</w:t>
      </w:r>
    </w:p>
    <w:p w14:paraId="533FCE79">
      <w:pPr>
        <w:pStyle w:val="27"/>
        <w:shd w:val="clear"/>
        <w:snapToGrid w:val="0"/>
        <w:spacing w:line="360" w:lineRule="auto"/>
        <w:rPr>
          <w:rFonts w:cs="宋体"/>
          <w:color w:val="auto"/>
          <w:highlight w:val="none"/>
        </w:rPr>
      </w:pPr>
      <w:r>
        <w:rPr>
          <w:rFonts w:hint="eastAsia" w:cs="宋体"/>
          <w:color w:val="auto"/>
          <w:highlight w:val="none"/>
        </w:rPr>
        <w:t>废标后，采购代理机构应当将废标理由通知所有投标人。</w:t>
      </w:r>
    </w:p>
    <w:p w14:paraId="5BC86AB9">
      <w:pPr>
        <w:pStyle w:val="27"/>
        <w:shd w:val="clear"/>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3CFDF01B">
      <w:pPr>
        <w:pStyle w:val="27"/>
        <w:shd w:val="clear"/>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7FE3637B">
      <w:pPr>
        <w:pStyle w:val="27"/>
        <w:shd w:val="clear"/>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14:paraId="69897AB8">
      <w:pPr>
        <w:pStyle w:val="27"/>
        <w:shd w:val="clear"/>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14:paraId="7F52C602">
      <w:pPr>
        <w:pStyle w:val="27"/>
        <w:shd w:val="clear"/>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14:paraId="762998DC">
      <w:pPr>
        <w:pStyle w:val="27"/>
        <w:shd w:val="clear"/>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14:paraId="34E81151">
      <w:pPr>
        <w:pStyle w:val="27"/>
        <w:shd w:val="clear"/>
        <w:snapToGrid w:val="0"/>
        <w:spacing w:line="360" w:lineRule="auto"/>
        <w:rPr>
          <w:rFonts w:hint="eastAsia" w:ascii="宋体" w:hAnsi="宋体" w:cs="宋体"/>
          <w:b/>
          <w:color w:val="auto"/>
          <w:sz w:val="36"/>
          <w:szCs w:val="36"/>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bookmarkEnd w:id="27"/>
      <w:bookmarkStart w:id="407" w:name="第五部分"/>
      <w:bookmarkStart w:id="408" w:name="_Toc86217003"/>
      <w:r>
        <w:rPr>
          <w:rFonts w:hint="eastAsia" w:ascii="宋体" w:hAnsi="宋体" w:cs="宋体"/>
          <w:b/>
          <w:color w:val="auto"/>
          <w:sz w:val="36"/>
          <w:szCs w:val="36"/>
          <w:highlight w:val="none"/>
        </w:rPr>
        <w:br w:type="page"/>
      </w:r>
    </w:p>
    <w:p w14:paraId="7AE9D3FA">
      <w:pPr>
        <w:shd w:val="clea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14:paraId="60EFC2A6">
      <w:pPr>
        <w:shd w:val="clear"/>
        <w:snapToGrid w:val="0"/>
        <w:spacing w:before="120" w:beforeLines="50" w:after="120" w:afterLines="50" w:line="360" w:lineRule="auto"/>
        <w:jc w:val="center"/>
        <w:outlineLvl w:val="0"/>
        <w:rPr>
          <w:b/>
          <w:bCs/>
          <w:color w:val="auto"/>
          <w:sz w:val="28"/>
          <w:szCs w:val="28"/>
          <w:highlight w:val="none"/>
        </w:rPr>
      </w:pPr>
      <w:bookmarkStart w:id="409" w:name="_Toc339872468"/>
      <w:bookmarkStart w:id="410" w:name="_Toc326765771"/>
      <w:bookmarkStart w:id="411" w:name="_Toc350327365"/>
      <w:bookmarkStart w:id="412" w:name="_Toc349721554"/>
      <w:bookmarkStart w:id="413" w:name="_Toc328381300"/>
      <w:r>
        <w:rPr>
          <w:rFonts w:hint="eastAsia" w:hAnsi="宋体"/>
          <w:b/>
          <w:color w:val="auto"/>
          <w:sz w:val="24"/>
          <w:highlight w:val="none"/>
        </w:rPr>
        <w:t>（招标文件中仅提供部分合同格式条款，最终合同文本以双方签字盖章为准）</w:t>
      </w:r>
    </w:p>
    <w:bookmarkEnd w:id="409"/>
    <w:bookmarkEnd w:id="410"/>
    <w:bookmarkEnd w:id="411"/>
    <w:bookmarkEnd w:id="412"/>
    <w:bookmarkEnd w:id="413"/>
    <w:p w14:paraId="5B591E6E">
      <w:pPr>
        <w:rPr>
          <w:rFonts w:ascii="宋体" w:hAnsi="宋体" w:cs="宋体"/>
          <w:color w:val="auto"/>
          <w:sz w:val="24"/>
          <w:highlight w:val="none"/>
          <w:u w:val="single"/>
        </w:rPr>
      </w:pPr>
      <w:r>
        <w:rPr>
          <w:rFonts w:hint="eastAsia" w:ascii="宋体" w:hAnsi="宋体" w:cs="宋体"/>
          <w:color w:val="auto"/>
          <w:sz w:val="24"/>
          <w:highlight w:val="none"/>
        </w:rPr>
        <w:t>合同编号：</w:t>
      </w:r>
      <w:r>
        <w:rPr>
          <w:rFonts w:hint="eastAsia" w:ascii="宋体" w:hAnsi="宋体" w:cs="宋体"/>
          <w:color w:val="auto"/>
          <w:sz w:val="24"/>
          <w:highlight w:val="none"/>
          <w:u w:val="single"/>
        </w:rPr>
        <w:t xml:space="preserve">           </w:t>
      </w:r>
    </w:p>
    <w:p w14:paraId="480144ED">
      <w:pPr>
        <w:spacing w:line="480" w:lineRule="auto"/>
        <w:jc w:val="center"/>
        <w:rPr>
          <w:rFonts w:ascii="宋体" w:hAnsi="宋体" w:cs="宋体"/>
          <w:b/>
          <w:color w:val="auto"/>
          <w:sz w:val="28"/>
          <w:szCs w:val="28"/>
          <w:highlight w:val="none"/>
        </w:rPr>
      </w:pPr>
    </w:p>
    <w:p w14:paraId="00370C80">
      <w:pPr>
        <w:spacing w:line="480" w:lineRule="auto"/>
        <w:jc w:val="center"/>
        <w:rPr>
          <w:rFonts w:ascii="宋体" w:hAnsi="宋体" w:cs="宋体"/>
          <w:b/>
          <w:color w:val="auto"/>
          <w:sz w:val="24"/>
          <w:highlight w:val="none"/>
        </w:rPr>
      </w:pPr>
    </w:p>
    <w:p w14:paraId="6850FE81">
      <w:pPr>
        <w:spacing w:line="480" w:lineRule="auto"/>
        <w:jc w:val="center"/>
        <w:rPr>
          <w:rFonts w:ascii="宋体" w:hAnsi="宋体" w:cs="宋体"/>
          <w:b/>
          <w:color w:val="auto"/>
          <w:sz w:val="24"/>
          <w:highlight w:val="none"/>
        </w:rPr>
      </w:pPr>
    </w:p>
    <w:p w14:paraId="123750CF">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政府采购合同参考范本</w:t>
      </w:r>
    </w:p>
    <w:p w14:paraId="391C31E3">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（服务类）</w:t>
      </w:r>
    </w:p>
    <w:p w14:paraId="66270884">
      <w:pPr>
        <w:pStyle w:val="701"/>
        <w:ind w:firstLine="2843" w:firstLineChars="1180"/>
        <w:rPr>
          <w:rFonts w:ascii="宋体" w:hAnsi="宋体" w:cs="宋体"/>
          <w:b/>
          <w:color w:val="auto"/>
          <w:szCs w:val="24"/>
          <w:highlight w:val="none"/>
        </w:rPr>
      </w:pPr>
      <w:r>
        <w:rPr>
          <w:rFonts w:hint="eastAsia" w:ascii="宋体" w:hAnsi="宋体" w:cs="宋体"/>
          <w:b/>
          <w:color w:val="auto"/>
          <w:szCs w:val="24"/>
          <w:highlight w:val="none"/>
        </w:rPr>
        <w:t>第一部分 合同书</w:t>
      </w:r>
    </w:p>
    <w:p w14:paraId="440F2200">
      <w:pPr>
        <w:spacing w:before="120" w:line="22" w:lineRule="atLeast"/>
        <w:rPr>
          <w:rFonts w:ascii="宋体" w:hAnsi="宋体" w:cs="宋体"/>
          <w:color w:val="auto"/>
          <w:sz w:val="24"/>
          <w:highlight w:val="none"/>
        </w:rPr>
      </w:pPr>
    </w:p>
    <w:p w14:paraId="5CC06765">
      <w:pPr>
        <w:pStyle w:val="2"/>
        <w:rPr>
          <w:color w:val="auto"/>
          <w:highlight w:val="none"/>
        </w:rPr>
      </w:pPr>
    </w:p>
    <w:p w14:paraId="1A20870D">
      <w:pPr>
        <w:spacing w:before="120" w:line="22" w:lineRule="atLeast"/>
        <w:ind w:left="960"/>
        <w:rPr>
          <w:rFonts w:ascii="宋体" w:hAnsi="宋体" w:cs="宋体"/>
          <w:color w:val="auto"/>
          <w:sz w:val="24"/>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p>
    <w:p w14:paraId="2C66511D">
      <w:pPr>
        <w:pStyle w:val="598"/>
        <w:spacing w:before="120" w:line="22" w:lineRule="atLeast"/>
        <w:rPr>
          <w:rFonts w:ascii="宋体" w:hAnsi="宋体" w:eastAsia="宋体" w:cs="宋体"/>
          <w:color w:val="auto"/>
          <w:szCs w:val="24"/>
          <w:highlight w:val="none"/>
        </w:rPr>
      </w:pPr>
    </w:p>
    <w:p w14:paraId="766541E1">
      <w:pPr>
        <w:pStyle w:val="598"/>
        <w:spacing w:before="120" w:line="22" w:lineRule="atLeast"/>
        <w:rPr>
          <w:rFonts w:ascii="宋体" w:hAnsi="宋体" w:eastAsia="宋体" w:cs="宋体"/>
          <w:color w:val="auto"/>
          <w:szCs w:val="24"/>
          <w:highlight w:val="none"/>
        </w:rPr>
      </w:pPr>
    </w:p>
    <w:p w14:paraId="0B110513">
      <w:pPr>
        <w:rPr>
          <w:rFonts w:ascii="宋体" w:hAnsi="宋体" w:cs="宋体"/>
          <w:color w:val="auto"/>
          <w:sz w:val="24"/>
          <w:highlight w:val="none"/>
        </w:rPr>
      </w:pPr>
    </w:p>
    <w:p w14:paraId="58389E7E">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甲方：</w:t>
      </w:r>
      <w:r>
        <w:rPr>
          <w:rFonts w:hint="eastAsia" w:ascii="宋体" w:hAnsi="宋体" w:cs="宋体"/>
          <w:color w:val="auto"/>
          <w:sz w:val="24"/>
          <w:highlight w:val="none"/>
          <w:u w:val="single"/>
        </w:rPr>
        <w:t xml:space="preserve">                                       </w:t>
      </w:r>
    </w:p>
    <w:p w14:paraId="0EFF3152">
      <w:pPr>
        <w:spacing w:before="120" w:line="22" w:lineRule="atLeast"/>
        <w:rPr>
          <w:rFonts w:ascii="宋体" w:hAnsi="宋体" w:cs="宋体"/>
          <w:color w:val="auto"/>
          <w:sz w:val="24"/>
          <w:highlight w:val="none"/>
        </w:rPr>
      </w:pPr>
    </w:p>
    <w:p w14:paraId="6AC63C84">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乙方：</w:t>
      </w:r>
      <w:r>
        <w:rPr>
          <w:rFonts w:hint="eastAsia" w:ascii="宋体" w:hAnsi="宋体" w:cs="宋体"/>
          <w:color w:val="auto"/>
          <w:sz w:val="24"/>
          <w:highlight w:val="none"/>
          <w:u w:val="single"/>
        </w:rPr>
        <w:t xml:space="preserve">                                       </w:t>
      </w:r>
    </w:p>
    <w:p w14:paraId="48F11318">
      <w:pPr>
        <w:spacing w:before="120" w:line="22" w:lineRule="atLeast"/>
        <w:rPr>
          <w:rFonts w:ascii="宋体" w:hAnsi="宋体" w:cs="宋体"/>
          <w:color w:val="auto"/>
          <w:sz w:val="24"/>
          <w:highlight w:val="none"/>
        </w:rPr>
      </w:pPr>
    </w:p>
    <w:p w14:paraId="5EABF9AF">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签订地：</w:t>
      </w:r>
      <w:r>
        <w:rPr>
          <w:rFonts w:hint="eastAsia" w:ascii="宋体" w:hAnsi="宋体" w:cs="宋体"/>
          <w:color w:val="auto"/>
          <w:sz w:val="24"/>
          <w:highlight w:val="none"/>
          <w:u w:val="single"/>
        </w:rPr>
        <w:t xml:space="preserve">                                     </w:t>
      </w:r>
    </w:p>
    <w:p w14:paraId="061A826A">
      <w:pPr>
        <w:spacing w:before="120" w:line="22" w:lineRule="atLeast"/>
        <w:rPr>
          <w:rFonts w:ascii="宋体" w:hAnsi="宋体" w:cs="宋体"/>
          <w:color w:val="auto"/>
          <w:sz w:val="24"/>
          <w:highlight w:val="none"/>
        </w:rPr>
      </w:pPr>
    </w:p>
    <w:p w14:paraId="7FF3DA17">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31413AC4">
      <w:pPr>
        <w:widowControl/>
        <w:jc w:val="left"/>
        <w:rPr>
          <w:rFonts w:ascii="宋体" w:hAnsi="宋体" w:cs="宋体"/>
          <w:color w:val="auto"/>
          <w:kern w:val="0"/>
          <w:sz w:val="24"/>
          <w:highlight w:val="none"/>
        </w:rPr>
        <w:sectPr>
          <w:pgSz w:w="11907" w:h="16840"/>
          <w:pgMar w:top="1474" w:right="1814" w:bottom="1474" w:left="1814" w:header="851" w:footer="851" w:gutter="0"/>
          <w:cols w:space="720" w:num="1"/>
        </w:sectPr>
      </w:pPr>
    </w:p>
    <w:p w14:paraId="081F007F">
      <w:pPr>
        <w:rPr>
          <w:rFonts w:ascii="宋体" w:hAnsi="宋体" w:cs="宋体"/>
          <w:b/>
          <w:color w:val="auto"/>
          <w:sz w:val="24"/>
          <w:highlight w:val="none"/>
        </w:rPr>
      </w:pPr>
    </w:p>
    <w:p w14:paraId="3AC92E0B">
      <w:pPr>
        <w:spacing w:line="560" w:lineRule="exact"/>
        <w:ind w:firstLine="480" w:firstLineChars="200"/>
        <w:rPr>
          <w:rFonts w:ascii="宋体" w:hAnsi="宋体"/>
          <w:color w:val="auto"/>
          <w:sz w:val="24"/>
          <w:highlight w:val="none"/>
        </w:rPr>
      </w:pPr>
      <w:r>
        <w:rPr>
          <w:rFonts w:ascii="宋体" w:hAnsi="宋体"/>
          <w:color w:val="auto"/>
          <w:sz w:val="24"/>
          <w:highlight w:val="none"/>
          <w:u w:val="single"/>
          <w:lang w:val="zh-CN"/>
        </w:rPr>
        <w:t xml:space="preserve">        </w:t>
      </w:r>
      <w:r>
        <w:rPr>
          <w:rFonts w:hint="eastAsia" w:ascii="宋体" w:hAnsi="宋体"/>
          <w:color w:val="auto"/>
          <w:sz w:val="24"/>
          <w:highlight w:val="none"/>
          <w:lang w:val="zh-CN"/>
        </w:rPr>
        <w:t>年</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月</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日</w:t>
      </w:r>
      <w:r>
        <w:rPr>
          <w:rFonts w:hint="eastAsia" w:ascii="宋体" w:hAnsi="宋体"/>
          <w:color w:val="auto"/>
          <w:sz w:val="24"/>
          <w:highlight w:val="none"/>
        </w:rPr>
        <w:t>，</w:t>
      </w:r>
      <w:r>
        <w:rPr>
          <w:rFonts w:ascii="宋体" w:hAnsi="宋体"/>
          <w:color w:val="auto"/>
          <w:sz w:val="24"/>
          <w:highlight w:val="none"/>
          <w:u w:val="single"/>
        </w:rPr>
        <w:t xml:space="preserve">   </w:t>
      </w:r>
      <w:r>
        <w:rPr>
          <w:rFonts w:hint="eastAsia" w:ascii="宋体" w:hAnsi="宋体" w:cs="宋体"/>
          <w:color w:val="auto"/>
          <w:sz w:val="24"/>
          <w:highlight w:val="none"/>
          <w:u w:val="single"/>
        </w:rPr>
        <w:t>（采购人）</w:t>
      </w:r>
      <w:r>
        <w:rPr>
          <w:rFonts w:ascii="宋体" w:hAnsi="宋体"/>
          <w:color w:val="auto"/>
          <w:sz w:val="24"/>
          <w:highlight w:val="none"/>
          <w:u w:val="single"/>
        </w:rPr>
        <w:t xml:space="preserve">   </w:t>
      </w:r>
      <w:r>
        <w:rPr>
          <w:rFonts w:hint="eastAsia" w:ascii="宋体" w:hAnsi="宋体"/>
          <w:color w:val="auto"/>
          <w:sz w:val="24"/>
          <w:highlight w:val="none"/>
        </w:rPr>
        <w:t>以</w:t>
      </w:r>
      <w:r>
        <w:rPr>
          <w:rFonts w:ascii="宋体" w:hAnsi="宋体"/>
          <w:color w:val="auto"/>
          <w:sz w:val="24"/>
          <w:highlight w:val="none"/>
          <w:u w:val="single"/>
        </w:rPr>
        <w:t xml:space="preserve">   （政府采购方式）  </w:t>
      </w:r>
      <w:r>
        <w:rPr>
          <w:rFonts w:hint="eastAsia" w:ascii="宋体" w:hAnsi="宋体"/>
          <w:color w:val="auto"/>
          <w:sz w:val="24"/>
          <w:highlight w:val="none"/>
        </w:rPr>
        <w:t>对</w:t>
      </w:r>
      <w:r>
        <w:rPr>
          <w:rFonts w:ascii="宋体" w:hAnsi="宋体"/>
          <w:color w:val="auto"/>
          <w:sz w:val="24"/>
          <w:highlight w:val="none"/>
          <w:u w:val="single"/>
        </w:rPr>
        <w:t xml:space="preserve">  </w:t>
      </w:r>
      <w:r>
        <w:rPr>
          <w:rFonts w:hint="eastAsia" w:ascii="宋体" w:hAnsi="宋体" w:cs="宋体"/>
          <w:color w:val="auto"/>
          <w:sz w:val="24"/>
          <w:highlight w:val="none"/>
          <w:u w:val="single"/>
        </w:rPr>
        <w:t xml:space="preserve">（项目名称）  </w:t>
      </w:r>
      <w:r>
        <w:rPr>
          <w:rFonts w:ascii="宋体" w:hAnsi="宋体"/>
          <w:color w:val="auto"/>
          <w:sz w:val="24"/>
          <w:highlight w:val="none"/>
          <w:u w:val="single"/>
        </w:rPr>
        <w:t xml:space="preserve">  </w:t>
      </w:r>
      <w:r>
        <w:rPr>
          <w:rFonts w:hint="eastAsia" w:ascii="宋体" w:hAnsi="宋体"/>
          <w:color w:val="auto"/>
          <w:sz w:val="24"/>
          <w:highlight w:val="none"/>
        </w:rPr>
        <w:t>项目进行了采购。经</w:t>
      </w:r>
      <w:r>
        <w:rPr>
          <w:rFonts w:ascii="宋体" w:hAnsi="宋体"/>
          <w:color w:val="auto"/>
          <w:sz w:val="24"/>
          <w:highlight w:val="none"/>
          <w:u w:val="single"/>
        </w:rPr>
        <w:t xml:space="preserve">   （相关评定主体名称）   </w:t>
      </w:r>
      <w:r>
        <w:rPr>
          <w:rFonts w:hint="eastAsia" w:ascii="宋体" w:hAnsi="宋体"/>
          <w:color w:val="auto"/>
          <w:sz w:val="24"/>
          <w:highlight w:val="none"/>
        </w:rPr>
        <w:t>评定，</w:t>
      </w:r>
      <w:r>
        <w:rPr>
          <w:rFonts w:ascii="宋体" w:hAnsi="宋体"/>
          <w:color w:val="auto"/>
          <w:sz w:val="24"/>
          <w:highlight w:val="none"/>
          <w:u w:val="single"/>
        </w:rPr>
        <w:t xml:space="preserve">   （中标</w:t>
      </w:r>
      <w:r>
        <w:rPr>
          <w:rFonts w:hint="eastAsia" w:ascii="宋体" w:hAnsi="宋体"/>
          <w:color w:val="auto"/>
          <w:sz w:val="24"/>
          <w:highlight w:val="none"/>
          <w:u w:val="single"/>
        </w:rPr>
        <w:t>或者成交</w:t>
      </w:r>
      <w:r>
        <w:rPr>
          <w:rFonts w:ascii="宋体" w:hAnsi="宋体"/>
          <w:color w:val="auto"/>
          <w:sz w:val="24"/>
          <w:highlight w:val="none"/>
          <w:u w:val="single"/>
        </w:rPr>
        <w:t xml:space="preserve">供应商名称） </w:t>
      </w:r>
      <w:r>
        <w:rPr>
          <w:rFonts w:hint="eastAsia" w:ascii="宋体" w:hAnsi="宋体"/>
          <w:color w:val="auto"/>
          <w:sz w:val="24"/>
          <w:highlight w:val="none"/>
        </w:rPr>
        <w:t>为该项目</w:t>
      </w:r>
      <w:r>
        <w:rPr>
          <w:rFonts w:hint="eastAsia" w:ascii="宋体" w:hAnsi="宋体" w:cs="宋体"/>
          <w:color w:val="auto"/>
          <w:sz w:val="24"/>
          <w:highlight w:val="none"/>
        </w:rPr>
        <w:t>中标或者成交供应商</w:t>
      </w:r>
      <w:r>
        <w:rPr>
          <w:rFonts w:hint="eastAsia" w:ascii="宋体" w:hAnsi="宋体"/>
          <w:color w:val="auto"/>
          <w:sz w:val="24"/>
          <w:highlight w:val="none"/>
        </w:rPr>
        <w:t>。现于</w:t>
      </w:r>
      <w:r>
        <w:rPr>
          <w:rFonts w:hint="eastAsia" w:ascii="宋体" w:hAnsi="宋体" w:cs="宋体"/>
          <w:color w:val="auto"/>
          <w:sz w:val="24"/>
          <w:highlight w:val="none"/>
        </w:rPr>
        <w:t>中标或者成交通知书</w:t>
      </w:r>
      <w:r>
        <w:rPr>
          <w:rFonts w:hint="eastAsia" w:ascii="宋体" w:hAnsi="宋体"/>
          <w:color w:val="auto"/>
          <w:sz w:val="24"/>
          <w:highlight w:val="none"/>
        </w:rPr>
        <w:t>发出之日起10个工作日内，按照采购文件确定的事项签订本合同。</w:t>
      </w:r>
    </w:p>
    <w:p w14:paraId="0D6B436E">
      <w:pPr>
        <w:spacing w:line="560" w:lineRule="exact"/>
        <w:ind w:firstLine="480" w:firstLineChars="200"/>
        <w:rPr>
          <w:rFonts w:ascii="宋体" w:hAnsi="宋体"/>
          <w:color w:val="auto"/>
          <w:sz w:val="24"/>
          <w:highlight w:val="none"/>
        </w:rPr>
      </w:pPr>
      <w:r>
        <w:rPr>
          <w:rFonts w:hint="eastAsia" w:ascii="宋体" w:hAnsi="宋体"/>
          <w:color w:val="auto"/>
          <w:sz w:val="24"/>
          <w:highlight w:val="none"/>
          <w:lang w:val="zh-CN"/>
        </w:rPr>
        <w:t>根据《中华人民共和国民法典》《中华人民共和国政府采购法》等相关法律法规之规定，按照平等、自愿、公平和诚实信用的原则，经</w:t>
      </w:r>
      <w:r>
        <w:rPr>
          <w:rFonts w:ascii="宋体" w:hAnsi="宋体"/>
          <w:color w:val="auto"/>
          <w:sz w:val="24"/>
          <w:highlight w:val="none"/>
          <w:u w:val="single"/>
        </w:rPr>
        <w:t xml:space="preserve">   </w:t>
      </w:r>
      <w:r>
        <w:rPr>
          <w:rFonts w:ascii="宋体" w:hAnsi="宋体"/>
          <w:color w:val="auto"/>
          <w:sz w:val="24"/>
          <w:highlight w:val="none"/>
          <w:u w:val="single"/>
        </w:rPr>
        <w:t xml:space="preserve">（采购人） </w:t>
      </w:r>
      <w:r>
        <w:rPr>
          <w:rFonts w:ascii="宋体" w:hAnsi="宋体"/>
          <w:color w:val="auto"/>
          <w:sz w:val="24"/>
          <w:highlight w:val="none"/>
          <w:u w:val="single"/>
        </w:rPr>
        <w:t xml:space="preserve">  </w:t>
      </w:r>
      <w:r>
        <w:rPr>
          <w:rFonts w:ascii="宋体" w:hAnsi="宋体"/>
          <w:color w:val="auto"/>
          <w:sz w:val="24"/>
          <w:highlight w:val="none"/>
          <w:lang w:val="zh-CN"/>
        </w:rPr>
        <w:t>(以下简称：甲方)和</w:t>
      </w:r>
      <w:r>
        <w:rPr>
          <w:rFonts w:ascii="宋体" w:hAnsi="宋体"/>
          <w:color w:val="auto"/>
          <w:sz w:val="24"/>
          <w:highlight w:val="none"/>
          <w:u w:val="single"/>
        </w:rPr>
        <w:t xml:space="preserve">   （中</w:t>
      </w:r>
      <w:r>
        <w:rPr>
          <w:rFonts w:hint="eastAsia" w:ascii="宋体" w:hAnsi="宋体"/>
          <w:color w:val="auto"/>
          <w:sz w:val="24"/>
          <w:highlight w:val="none"/>
          <w:u w:val="single"/>
        </w:rPr>
        <w:t>或者成交</w:t>
      </w:r>
      <w:r>
        <w:rPr>
          <w:rFonts w:ascii="宋体" w:hAnsi="宋体"/>
          <w:color w:val="auto"/>
          <w:sz w:val="24"/>
          <w:highlight w:val="none"/>
          <w:u w:val="single"/>
        </w:rPr>
        <w:t xml:space="preserve">标供应商名称）   </w:t>
      </w:r>
      <w:r>
        <w:rPr>
          <w:rFonts w:ascii="宋体" w:hAnsi="宋体"/>
          <w:color w:val="auto"/>
          <w:sz w:val="24"/>
          <w:highlight w:val="none"/>
          <w:lang w:val="zh-CN"/>
        </w:rPr>
        <w:t>(以下简称：乙方)协商一致，约定以下合同</w:t>
      </w:r>
      <w:r>
        <w:rPr>
          <w:rFonts w:hint="eastAsia" w:ascii="宋体" w:hAnsi="宋体"/>
          <w:color w:val="auto"/>
          <w:sz w:val="24"/>
          <w:highlight w:val="none"/>
        </w:rPr>
        <w:t>条款，以兹共同遵守、全面履行。</w:t>
      </w:r>
    </w:p>
    <w:p w14:paraId="5BA26CF9">
      <w:pPr>
        <w:spacing w:line="560" w:lineRule="exact"/>
        <w:ind w:firstLine="482" w:firstLineChars="200"/>
        <w:outlineLvl w:val="0"/>
        <w:rPr>
          <w:rFonts w:ascii="宋体" w:hAnsi="宋体"/>
          <w:color w:val="auto"/>
          <w:sz w:val="24"/>
          <w:highlight w:val="none"/>
        </w:rPr>
      </w:pPr>
      <w:bookmarkStart w:id="414" w:name="_Toc19273"/>
      <w:bookmarkStart w:id="415" w:name="_Toc20421"/>
      <w:bookmarkStart w:id="416" w:name="_Toc28855"/>
      <w:bookmarkStart w:id="417" w:name="_Toc15367"/>
      <w:bookmarkStart w:id="418" w:name="_Toc22967"/>
      <w:r>
        <w:rPr>
          <w:rFonts w:ascii="宋体" w:hAnsi="宋体"/>
          <w:b/>
          <w:color w:val="auto"/>
          <w:sz w:val="24"/>
          <w:highlight w:val="none"/>
        </w:rPr>
        <w:t xml:space="preserve">1.1 </w:t>
      </w:r>
      <w:r>
        <w:rPr>
          <w:rFonts w:hint="eastAsia" w:ascii="宋体" w:hAnsi="宋体"/>
          <w:b/>
          <w:color w:val="auto"/>
          <w:sz w:val="24"/>
          <w:highlight w:val="none"/>
        </w:rPr>
        <w:t>合同组成部分</w:t>
      </w:r>
      <w:bookmarkEnd w:id="414"/>
      <w:bookmarkEnd w:id="415"/>
      <w:bookmarkEnd w:id="416"/>
      <w:bookmarkEnd w:id="417"/>
      <w:bookmarkEnd w:id="418"/>
    </w:p>
    <w:p w14:paraId="7961D022">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6352D226">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1.1.1 </w:t>
      </w:r>
      <w:r>
        <w:rPr>
          <w:rFonts w:hint="eastAsia" w:ascii="宋体" w:hAnsi="宋体"/>
          <w:color w:val="auto"/>
          <w:sz w:val="24"/>
          <w:highlight w:val="none"/>
        </w:rPr>
        <w:t>本合同及其补充合同、变更协议；</w:t>
      </w:r>
    </w:p>
    <w:p w14:paraId="7CA3CD91">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1.1.2 </w:t>
      </w:r>
      <w:r>
        <w:rPr>
          <w:rFonts w:hint="eastAsia" w:ascii="宋体" w:hAnsi="宋体"/>
          <w:color w:val="auto"/>
          <w:sz w:val="24"/>
          <w:highlight w:val="none"/>
        </w:rPr>
        <w:t>中标或者成交通知书；</w:t>
      </w:r>
    </w:p>
    <w:p w14:paraId="0CA6BE7D">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1.1.3 </w:t>
      </w:r>
      <w:r>
        <w:rPr>
          <w:rFonts w:hint="eastAsia" w:ascii="宋体" w:hAnsi="宋体"/>
          <w:color w:val="auto"/>
          <w:sz w:val="24"/>
          <w:highlight w:val="none"/>
        </w:rPr>
        <w:t>投标或者响应文件（含澄清或者说明文件）；</w:t>
      </w:r>
    </w:p>
    <w:p w14:paraId="58D441F9">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1.1.4 </w:t>
      </w:r>
      <w:r>
        <w:rPr>
          <w:rFonts w:hint="eastAsia" w:ascii="宋体" w:hAnsi="宋体"/>
          <w:color w:val="auto"/>
          <w:sz w:val="24"/>
          <w:highlight w:val="none"/>
        </w:rPr>
        <w:t>采购文件（含澄清或者修改文件）；</w:t>
      </w:r>
    </w:p>
    <w:p w14:paraId="3E80E6D7">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1.1.5 </w:t>
      </w:r>
      <w:r>
        <w:rPr>
          <w:rFonts w:hint="eastAsia" w:ascii="宋体" w:hAnsi="宋体"/>
          <w:color w:val="auto"/>
          <w:sz w:val="24"/>
          <w:highlight w:val="none"/>
        </w:rPr>
        <w:t>其他相关采购文件。</w:t>
      </w:r>
    </w:p>
    <w:p w14:paraId="3FF1FECB">
      <w:pPr>
        <w:spacing w:line="560" w:lineRule="exact"/>
        <w:ind w:firstLine="482" w:firstLineChars="200"/>
        <w:outlineLvl w:val="0"/>
        <w:rPr>
          <w:rFonts w:ascii="宋体" w:hAnsi="宋体"/>
          <w:b/>
          <w:color w:val="auto"/>
          <w:sz w:val="24"/>
          <w:highlight w:val="none"/>
        </w:rPr>
      </w:pPr>
      <w:bookmarkStart w:id="419" w:name="_Toc6311"/>
      <w:bookmarkStart w:id="420" w:name="_Toc22185"/>
      <w:bookmarkStart w:id="421" w:name="_Toc6773"/>
      <w:bookmarkStart w:id="422" w:name="_Toc2918"/>
      <w:bookmarkStart w:id="423" w:name="_Toc18585"/>
      <w:r>
        <w:rPr>
          <w:rFonts w:ascii="宋体" w:hAnsi="宋体"/>
          <w:b/>
          <w:color w:val="auto"/>
          <w:sz w:val="24"/>
          <w:highlight w:val="none"/>
        </w:rPr>
        <w:t xml:space="preserve">1.2 </w:t>
      </w:r>
      <w:r>
        <w:rPr>
          <w:rFonts w:hint="eastAsia" w:ascii="宋体" w:hAnsi="宋体"/>
          <w:b/>
          <w:color w:val="auto"/>
          <w:sz w:val="24"/>
          <w:highlight w:val="none"/>
        </w:rPr>
        <w:t>标的</w:t>
      </w:r>
      <w:bookmarkEnd w:id="419"/>
      <w:bookmarkEnd w:id="420"/>
      <w:bookmarkEnd w:id="421"/>
      <w:bookmarkEnd w:id="422"/>
      <w:bookmarkEnd w:id="423"/>
    </w:p>
    <w:p w14:paraId="768E49CF">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1.2.1 </w:t>
      </w:r>
      <w:r>
        <w:rPr>
          <w:rFonts w:hint="eastAsia" w:ascii="宋体" w:hAnsi="宋体"/>
          <w:color w:val="auto"/>
          <w:sz w:val="24"/>
          <w:highlight w:val="none"/>
        </w:rPr>
        <w:t>服务内容</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rPr>
        <w:t>；</w:t>
      </w:r>
    </w:p>
    <w:p w14:paraId="05095332">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1.2.2 </w:t>
      </w:r>
      <w:r>
        <w:rPr>
          <w:rFonts w:hint="eastAsia" w:ascii="宋体" w:hAnsi="宋体"/>
          <w:color w:val="auto"/>
          <w:sz w:val="24"/>
          <w:highlight w:val="none"/>
        </w:rPr>
        <w:t>服务标准</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rPr>
        <w:t>；</w:t>
      </w:r>
    </w:p>
    <w:p w14:paraId="480C3060">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1.2.3 </w:t>
      </w:r>
      <w:r>
        <w:rPr>
          <w:rFonts w:hint="eastAsia" w:ascii="宋体" w:hAnsi="宋体"/>
          <w:color w:val="auto"/>
          <w:sz w:val="24"/>
          <w:highlight w:val="none"/>
        </w:rPr>
        <w:t>技术保障：</w:t>
      </w:r>
      <w:r>
        <w:rPr>
          <w:rFonts w:ascii="宋体" w:hAnsi="宋体"/>
          <w:color w:val="auto"/>
          <w:sz w:val="24"/>
          <w:highlight w:val="none"/>
          <w:u w:val="single"/>
        </w:rPr>
        <w:t xml:space="preserve">　　　　　　　　　                      　      </w:t>
      </w:r>
      <w:r>
        <w:rPr>
          <w:rFonts w:hint="eastAsia" w:ascii="宋体" w:hAnsi="宋体"/>
          <w:color w:val="auto"/>
          <w:sz w:val="24"/>
          <w:highlight w:val="none"/>
          <w:u w:val="single"/>
        </w:rPr>
        <w:t>；</w:t>
      </w:r>
    </w:p>
    <w:p w14:paraId="3649C919">
      <w:pPr>
        <w:spacing w:line="560" w:lineRule="exact"/>
        <w:ind w:firstLine="480" w:firstLineChars="200"/>
        <w:jc w:val="left"/>
        <w:rPr>
          <w:rFonts w:ascii="宋体" w:hAnsi="宋体"/>
          <w:color w:val="auto"/>
          <w:sz w:val="24"/>
          <w:highlight w:val="none"/>
        </w:rPr>
      </w:pPr>
      <w:r>
        <w:rPr>
          <w:rFonts w:hint="eastAsia" w:ascii="宋体" w:hAnsi="宋体"/>
          <w:color w:val="auto"/>
          <w:sz w:val="24"/>
          <w:highlight w:val="none"/>
        </w:rPr>
        <w:t>1.2.4 服务人员组成：</w:t>
      </w:r>
      <w:r>
        <w:rPr>
          <w:rFonts w:ascii="宋体" w:hAnsi="宋体"/>
          <w:color w:val="auto"/>
          <w:sz w:val="24"/>
          <w:highlight w:val="none"/>
          <w:u w:val="single"/>
        </w:rPr>
        <w:t xml:space="preserve">　　             　      </w:t>
      </w:r>
      <w:r>
        <w:rPr>
          <w:rFonts w:hint="eastAsia" w:ascii="宋体" w:hAnsi="宋体"/>
          <w:color w:val="auto"/>
          <w:sz w:val="24"/>
          <w:highlight w:val="none"/>
        </w:rPr>
        <w:t>；</w:t>
      </w:r>
    </w:p>
    <w:p w14:paraId="74ED9BF7">
      <w:pPr>
        <w:pStyle w:val="958"/>
        <w:spacing w:before="0" w:beforeAutospacing="0" w:after="0" w:afterAutospacing="0" w:line="360" w:lineRule="auto"/>
        <w:ind w:firstLine="480"/>
        <w:rPr>
          <w:color w:val="auto"/>
          <w:highlight w:val="none"/>
        </w:rPr>
      </w:pPr>
      <w:r>
        <w:rPr>
          <w:rFonts w:hint="eastAsia"/>
          <w:color w:val="auto"/>
          <w:highlight w:val="none"/>
        </w:rPr>
        <w:t>1.2.5合同</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否）涉及货物。若涉及货物的，则：</w:t>
      </w:r>
    </w:p>
    <w:p w14:paraId="674BF327">
      <w:pPr>
        <w:spacing w:line="560" w:lineRule="exact"/>
        <w:ind w:firstLine="480" w:firstLineChars="200"/>
        <w:rPr>
          <w:rFonts w:ascii="宋体" w:hAnsi="宋体" w:cs="宋体"/>
          <w:color w:val="auto"/>
          <w:sz w:val="24"/>
          <w:highlight w:val="none"/>
          <w:u w:val="single"/>
        </w:rPr>
      </w:pPr>
      <w:bookmarkStart w:id="424" w:name="_Toc4929"/>
      <w:bookmarkStart w:id="425" w:name="_Toc21124"/>
      <w:bookmarkStart w:id="426" w:name="_Toc1386"/>
      <w:bookmarkStart w:id="427" w:name="_Toc13918"/>
      <w:bookmarkStart w:id="428" w:name="_Toc5635"/>
      <w:r>
        <w:rPr>
          <w:rFonts w:hint="eastAsia" w:ascii="宋体" w:hAnsi="宋体" w:cs="宋体"/>
          <w:color w:val="auto"/>
          <w:sz w:val="24"/>
          <w:highlight w:val="none"/>
        </w:rPr>
        <w:t>1.2.5.1 货物名称、品牌、规格型号、花色：</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28B02935">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1.2.5.2 货物数量：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00F6BB9B">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1.2.5.3 货物质量：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1D0F8D8C">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1.3 价款</w:t>
      </w:r>
      <w:bookmarkEnd w:id="424"/>
      <w:bookmarkEnd w:id="425"/>
      <w:bookmarkEnd w:id="426"/>
      <w:bookmarkEnd w:id="427"/>
      <w:bookmarkEnd w:id="428"/>
    </w:p>
    <w:p w14:paraId="20868678">
      <w:pPr>
        <w:spacing w:line="560" w:lineRule="exact"/>
        <w:ind w:firstLine="480" w:firstLineChars="200"/>
        <w:rPr>
          <w:rFonts w:ascii="宋体" w:hAnsi="宋体"/>
          <w:color w:val="auto"/>
          <w:sz w:val="24"/>
          <w:highlight w:val="none"/>
        </w:rPr>
      </w:pPr>
      <w:r>
        <w:rPr>
          <w:rFonts w:hint="eastAsia" w:ascii="宋体" w:hAnsi="宋体" w:cs="宋体"/>
          <w:color w:val="auto"/>
          <w:sz w:val="24"/>
          <w:highlight w:val="none"/>
        </w:rPr>
        <w:t>本项目采用以下</w:t>
      </w: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1.3.1 </w:t>
      </w:r>
      <w:r>
        <w:rPr>
          <w:rFonts w:hint="eastAsia" w:ascii="宋体" w:hAnsi="宋体" w:cs="宋体"/>
          <w:color w:val="auto"/>
          <w:sz w:val="24"/>
          <w:highlight w:val="none"/>
        </w:rPr>
        <w:t>条款规定的计价方式计价。</w:t>
      </w:r>
    </w:p>
    <w:p w14:paraId="4399CC71">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1.3.1总价合同，</w:t>
      </w:r>
      <w:r>
        <w:rPr>
          <w:rFonts w:ascii="宋体" w:hAnsi="宋体"/>
          <w:color w:val="auto"/>
          <w:sz w:val="24"/>
          <w:highlight w:val="none"/>
        </w:rPr>
        <w:t>本合同总价</w:t>
      </w:r>
      <w:r>
        <w:rPr>
          <w:rFonts w:hint="eastAsia" w:ascii="宋体" w:hAnsi="宋体"/>
          <w:color w:val="auto"/>
          <w:sz w:val="24"/>
          <w:highlight w:val="none"/>
        </w:rPr>
        <w:t>（含税）</w:t>
      </w:r>
      <w:r>
        <w:rPr>
          <w:rFonts w:ascii="宋体" w:hAnsi="宋体"/>
          <w:color w:val="auto"/>
          <w:sz w:val="24"/>
          <w:highlight w:val="none"/>
        </w:rPr>
        <w:t>为</w:t>
      </w:r>
      <w:r>
        <w:rPr>
          <w:rFonts w:hint="eastAsia" w:ascii="宋体" w:hAnsi="宋体"/>
          <w:color w:val="auto"/>
          <w:sz w:val="24"/>
          <w:highlight w:val="none"/>
        </w:rPr>
        <w:t>：￥</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r>
        <w:rPr>
          <w:rFonts w:ascii="宋体" w:hAnsi="宋体"/>
          <w:color w:val="auto"/>
          <w:sz w:val="24"/>
          <w:highlight w:val="none"/>
        </w:rPr>
        <w:t>。</w:t>
      </w:r>
    </w:p>
    <w:p w14:paraId="44B2E10F">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分项价格：</w:t>
      </w: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29888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102D44FB">
            <w:pPr>
              <w:pStyle w:val="319"/>
              <w:spacing w:line="560" w:lineRule="exact"/>
              <w:jc w:val="center"/>
              <w:rPr>
                <w:rFonts w:hAnsi="宋体"/>
                <w:color w:val="auto"/>
                <w:sz w:val="24"/>
                <w:szCs w:val="24"/>
                <w:highlight w:val="none"/>
              </w:rPr>
            </w:pPr>
            <w:r>
              <w:rPr>
                <w:rFonts w:hAnsi="宋体"/>
                <w:color w:val="auto"/>
                <w:sz w:val="24"/>
                <w:szCs w:val="24"/>
                <w:highlight w:val="none"/>
              </w:rPr>
              <w:t>序号</w:t>
            </w:r>
          </w:p>
        </w:tc>
        <w:tc>
          <w:tcPr>
            <w:tcW w:w="3402" w:type="dxa"/>
            <w:vAlign w:val="center"/>
          </w:tcPr>
          <w:p w14:paraId="7A57802C">
            <w:pPr>
              <w:pStyle w:val="319"/>
              <w:spacing w:line="560" w:lineRule="exact"/>
              <w:ind w:firstLine="200"/>
              <w:jc w:val="center"/>
              <w:rPr>
                <w:rFonts w:hAnsi="宋体"/>
                <w:color w:val="auto"/>
                <w:sz w:val="24"/>
                <w:szCs w:val="24"/>
                <w:highlight w:val="none"/>
              </w:rPr>
            </w:pPr>
            <w:r>
              <w:rPr>
                <w:rFonts w:hint="eastAsia" w:hAnsi="宋体"/>
                <w:color w:val="auto"/>
                <w:sz w:val="24"/>
                <w:szCs w:val="24"/>
                <w:highlight w:val="none"/>
              </w:rPr>
              <w:t>分项名称</w:t>
            </w:r>
          </w:p>
        </w:tc>
        <w:tc>
          <w:tcPr>
            <w:tcW w:w="2552" w:type="dxa"/>
            <w:vAlign w:val="center"/>
          </w:tcPr>
          <w:p w14:paraId="293943A9">
            <w:pPr>
              <w:pStyle w:val="319"/>
              <w:spacing w:line="560" w:lineRule="exact"/>
              <w:jc w:val="center"/>
              <w:rPr>
                <w:rFonts w:hAnsi="宋体"/>
                <w:color w:val="auto"/>
                <w:sz w:val="24"/>
                <w:szCs w:val="24"/>
                <w:highlight w:val="none"/>
              </w:rPr>
            </w:pPr>
            <w:r>
              <w:rPr>
                <w:rFonts w:hAnsi="宋体"/>
                <w:color w:val="auto"/>
                <w:sz w:val="24"/>
                <w:szCs w:val="24"/>
                <w:highlight w:val="none"/>
              </w:rPr>
              <w:t>分项价格</w:t>
            </w:r>
          </w:p>
        </w:tc>
      </w:tr>
      <w:tr w14:paraId="25273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EC5497B">
            <w:pPr>
              <w:pStyle w:val="319"/>
              <w:spacing w:line="560" w:lineRule="exact"/>
              <w:ind w:firstLine="200"/>
              <w:jc w:val="center"/>
              <w:rPr>
                <w:rFonts w:hAnsi="宋体"/>
                <w:color w:val="auto"/>
                <w:sz w:val="24"/>
                <w:szCs w:val="24"/>
                <w:highlight w:val="none"/>
              </w:rPr>
            </w:pPr>
          </w:p>
        </w:tc>
        <w:tc>
          <w:tcPr>
            <w:tcW w:w="3402" w:type="dxa"/>
            <w:vAlign w:val="center"/>
          </w:tcPr>
          <w:p w14:paraId="32FFEABC">
            <w:pPr>
              <w:pStyle w:val="319"/>
              <w:spacing w:line="560" w:lineRule="exact"/>
              <w:ind w:firstLine="200"/>
              <w:jc w:val="center"/>
              <w:rPr>
                <w:rFonts w:hAnsi="宋体"/>
                <w:color w:val="auto"/>
                <w:sz w:val="24"/>
                <w:szCs w:val="24"/>
                <w:highlight w:val="none"/>
              </w:rPr>
            </w:pPr>
          </w:p>
        </w:tc>
        <w:tc>
          <w:tcPr>
            <w:tcW w:w="2552" w:type="dxa"/>
            <w:vAlign w:val="center"/>
          </w:tcPr>
          <w:p w14:paraId="6CC5669F">
            <w:pPr>
              <w:pStyle w:val="319"/>
              <w:spacing w:line="560" w:lineRule="exact"/>
              <w:ind w:firstLine="200"/>
              <w:jc w:val="center"/>
              <w:rPr>
                <w:rFonts w:hAnsi="宋体"/>
                <w:color w:val="auto"/>
                <w:sz w:val="24"/>
                <w:szCs w:val="24"/>
                <w:highlight w:val="none"/>
              </w:rPr>
            </w:pPr>
          </w:p>
        </w:tc>
      </w:tr>
      <w:tr w14:paraId="366DF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F09D930">
            <w:pPr>
              <w:pStyle w:val="319"/>
              <w:spacing w:line="560" w:lineRule="exact"/>
              <w:ind w:firstLine="200"/>
              <w:jc w:val="center"/>
              <w:rPr>
                <w:rFonts w:hAnsi="宋体"/>
                <w:color w:val="auto"/>
                <w:sz w:val="24"/>
                <w:szCs w:val="24"/>
                <w:highlight w:val="none"/>
              </w:rPr>
            </w:pPr>
          </w:p>
        </w:tc>
        <w:tc>
          <w:tcPr>
            <w:tcW w:w="3402" w:type="dxa"/>
            <w:vAlign w:val="center"/>
          </w:tcPr>
          <w:p w14:paraId="592A71C3">
            <w:pPr>
              <w:pStyle w:val="319"/>
              <w:spacing w:line="560" w:lineRule="exact"/>
              <w:ind w:firstLine="200"/>
              <w:jc w:val="center"/>
              <w:rPr>
                <w:rFonts w:hAnsi="宋体"/>
                <w:color w:val="auto"/>
                <w:sz w:val="24"/>
                <w:szCs w:val="24"/>
                <w:highlight w:val="none"/>
              </w:rPr>
            </w:pPr>
          </w:p>
        </w:tc>
        <w:tc>
          <w:tcPr>
            <w:tcW w:w="2552" w:type="dxa"/>
            <w:vAlign w:val="center"/>
          </w:tcPr>
          <w:p w14:paraId="575EA660">
            <w:pPr>
              <w:pStyle w:val="319"/>
              <w:spacing w:line="560" w:lineRule="exact"/>
              <w:ind w:firstLine="200"/>
              <w:jc w:val="center"/>
              <w:rPr>
                <w:rFonts w:hAnsi="宋体"/>
                <w:color w:val="auto"/>
                <w:sz w:val="24"/>
                <w:szCs w:val="24"/>
                <w:highlight w:val="none"/>
              </w:rPr>
            </w:pPr>
          </w:p>
        </w:tc>
      </w:tr>
      <w:tr w14:paraId="6E668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845D8C6">
            <w:pPr>
              <w:pStyle w:val="319"/>
              <w:spacing w:line="560" w:lineRule="exact"/>
              <w:ind w:firstLine="200"/>
              <w:jc w:val="center"/>
              <w:rPr>
                <w:rFonts w:hAnsi="宋体"/>
                <w:color w:val="auto"/>
                <w:sz w:val="24"/>
                <w:szCs w:val="24"/>
                <w:highlight w:val="none"/>
              </w:rPr>
            </w:pPr>
          </w:p>
        </w:tc>
        <w:tc>
          <w:tcPr>
            <w:tcW w:w="3402" w:type="dxa"/>
            <w:vAlign w:val="center"/>
          </w:tcPr>
          <w:p w14:paraId="08709B97">
            <w:pPr>
              <w:pStyle w:val="319"/>
              <w:spacing w:line="560" w:lineRule="exact"/>
              <w:ind w:firstLine="200"/>
              <w:jc w:val="center"/>
              <w:rPr>
                <w:rFonts w:hAnsi="宋体"/>
                <w:color w:val="auto"/>
                <w:sz w:val="24"/>
                <w:szCs w:val="24"/>
                <w:highlight w:val="none"/>
              </w:rPr>
            </w:pPr>
          </w:p>
        </w:tc>
        <w:tc>
          <w:tcPr>
            <w:tcW w:w="2552" w:type="dxa"/>
            <w:vAlign w:val="center"/>
          </w:tcPr>
          <w:p w14:paraId="3016DDC6">
            <w:pPr>
              <w:pStyle w:val="319"/>
              <w:spacing w:line="560" w:lineRule="exact"/>
              <w:ind w:firstLine="200"/>
              <w:jc w:val="center"/>
              <w:rPr>
                <w:rFonts w:hAnsi="宋体"/>
                <w:color w:val="auto"/>
                <w:sz w:val="24"/>
                <w:szCs w:val="24"/>
                <w:highlight w:val="none"/>
              </w:rPr>
            </w:pPr>
          </w:p>
        </w:tc>
      </w:tr>
      <w:tr w14:paraId="38E6E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0716D8A">
            <w:pPr>
              <w:pStyle w:val="319"/>
              <w:spacing w:line="560" w:lineRule="exact"/>
              <w:ind w:firstLine="200"/>
              <w:jc w:val="center"/>
              <w:rPr>
                <w:rFonts w:hAnsi="宋体"/>
                <w:color w:val="auto"/>
                <w:sz w:val="24"/>
                <w:szCs w:val="24"/>
                <w:highlight w:val="none"/>
              </w:rPr>
            </w:pPr>
          </w:p>
        </w:tc>
        <w:tc>
          <w:tcPr>
            <w:tcW w:w="3402" w:type="dxa"/>
            <w:vAlign w:val="center"/>
          </w:tcPr>
          <w:p w14:paraId="0E2AF345">
            <w:pPr>
              <w:pStyle w:val="319"/>
              <w:spacing w:line="560" w:lineRule="exact"/>
              <w:ind w:firstLine="200"/>
              <w:jc w:val="center"/>
              <w:rPr>
                <w:rFonts w:hAnsi="宋体"/>
                <w:color w:val="auto"/>
                <w:sz w:val="24"/>
                <w:szCs w:val="24"/>
                <w:highlight w:val="none"/>
              </w:rPr>
            </w:pPr>
          </w:p>
        </w:tc>
        <w:tc>
          <w:tcPr>
            <w:tcW w:w="2552" w:type="dxa"/>
            <w:vAlign w:val="center"/>
          </w:tcPr>
          <w:p w14:paraId="41A5E124">
            <w:pPr>
              <w:pStyle w:val="319"/>
              <w:spacing w:line="560" w:lineRule="exact"/>
              <w:ind w:firstLine="200"/>
              <w:jc w:val="center"/>
              <w:rPr>
                <w:rFonts w:hAnsi="宋体"/>
                <w:color w:val="auto"/>
                <w:sz w:val="24"/>
                <w:szCs w:val="24"/>
                <w:highlight w:val="none"/>
              </w:rPr>
            </w:pPr>
          </w:p>
        </w:tc>
      </w:tr>
      <w:tr w14:paraId="0D146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1C9EC210">
            <w:pPr>
              <w:pStyle w:val="319"/>
              <w:spacing w:line="560" w:lineRule="exact"/>
              <w:ind w:firstLine="200"/>
              <w:jc w:val="center"/>
              <w:rPr>
                <w:rFonts w:hAnsi="宋体"/>
                <w:color w:val="auto"/>
                <w:sz w:val="24"/>
                <w:szCs w:val="24"/>
                <w:highlight w:val="none"/>
              </w:rPr>
            </w:pPr>
            <w:r>
              <w:rPr>
                <w:rFonts w:hint="eastAsia" w:hAnsi="宋体"/>
                <w:color w:val="auto"/>
                <w:sz w:val="24"/>
                <w:szCs w:val="24"/>
                <w:highlight w:val="none"/>
              </w:rPr>
              <w:t>总价</w:t>
            </w:r>
          </w:p>
        </w:tc>
        <w:tc>
          <w:tcPr>
            <w:tcW w:w="2552" w:type="dxa"/>
            <w:vAlign w:val="center"/>
          </w:tcPr>
          <w:p w14:paraId="3070708F">
            <w:pPr>
              <w:pStyle w:val="319"/>
              <w:spacing w:line="560" w:lineRule="exact"/>
              <w:ind w:firstLine="200"/>
              <w:jc w:val="center"/>
              <w:rPr>
                <w:rFonts w:hAnsi="宋体"/>
                <w:color w:val="auto"/>
                <w:sz w:val="24"/>
                <w:szCs w:val="24"/>
                <w:highlight w:val="none"/>
              </w:rPr>
            </w:pPr>
          </w:p>
        </w:tc>
      </w:tr>
    </w:tbl>
    <w:p w14:paraId="47004726">
      <w:pPr>
        <w:spacing w:line="560" w:lineRule="exact"/>
        <w:ind w:firstLine="480" w:firstLineChars="200"/>
        <w:rPr>
          <w:rFonts w:ascii="宋体" w:hAnsi="宋体"/>
          <w:color w:val="auto"/>
          <w:sz w:val="24"/>
          <w:highlight w:val="none"/>
        </w:rPr>
      </w:pPr>
      <w:bookmarkStart w:id="429" w:name="_Toc14993"/>
      <w:bookmarkStart w:id="430" w:name="_Toc30158"/>
      <w:bookmarkStart w:id="431" w:name="_Toc3654"/>
      <w:bookmarkStart w:id="432" w:name="_Toc26916"/>
      <w:bookmarkStart w:id="433" w:name="_Toc30506"/>
      <w:r>
        <w:rPr>
          <w:rFonts w:hint="eastAsia" w:ascii="宋体" w:hAnsi="宋体"/>
          <w:bCs/>
          <w:color w:val="auto"/>
          <w:sz w:val="24"/>
          <w:highlight w:val="none"/>
        </w:rPr>
        <w:t>1.3.2单价合同，本合同单价（含税）标准为：</w:t>
      </w:r>
      <w:r>
        <w:rPr>
          <w:rFonts w:hint="eastAsia" w:ascii="宋体" w:hAnsi="宋体"/>
          <w:bCs/>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服务工作量的计量方式为：</w:t>
      </w:r>
      <w:r>
        <w:rPr>
          <w:rFonts w:hint="eastAsia" w:ascii="宋体" w:hAnsi="宋体"/>
          <w:bCs/>
          <w:color w:val="auto"/>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bCs/>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单价合同，在合同履行期间内，根据实际完成的工作量</w:t>
      </w:r>
      <w:r>
        <w:rPr>
          <w:rFonts w:hint="eastAsia" w:ascii="宋体" w:hAnsi="宋体"/>
          <w:color w:val="auto"/>
          <w:sz w:val="24"/>
          <w:highlight w:val="none"/>
        </w:rPr>
        <w:t>据实结算，但结算总价上限不得超过预算金额或者双方确定的金额￥</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p>
    <w:p w14:paraId="5B5BB3AC">
      <w:pPr>
        <w:pStyle w:val="2"/>
        <w:rPr>
          <w:color w:val="auto"/>
          <w:highlight w:val="none"/>
          <w:lang w:val="en-US"/>
        </w:rPr>
      </w:pPr>
      <w:r>
        <w:rPr>
          <w:rFonts w:hint="eastAsia" w:ascii="宋体" w:hAnsi="宋体"/>
          <w:color w:val="auto"/>
          <w:sz w:val="24"/>
          <w:highlight w:val="none"/>
          <w:lang w:val="en-US"/>
        </w:rPr>
        <w:t xml:space="preserve">    </w:t>
      </w:r>
      <w:r>
        <w:rPr>
          <w:rFonts w:hint="eastAsia" w:ascii="宋体" w:hAnsi="宋体" w:eastAsia="宋体" w:cs="宋体"/>
          <w:b w:val="0"/>
          <w:bCs w:val="0"/>
          <w:color w:val="auto"/>
          <w:sz w:val="24"/>
          <w:highlight w:val="none"/>
          <w:lang w:val="en-US"/>
        </w:rPr>
        <w:t>1.3.3其他计价方式：</w:t>
      </w:r>
      <w:r>
        <w:rPr>
          <w:rFonts w:hint="eastAsia" w:ascii="宋体" w:hAnsi="宋体" w:eastAsia="宋体" w:cs="宋体"/>
          <w:b w:val="0"/>
          <w:bCs w:val="0"/>
          <w:color w:val="auto"/>
          <w:sz w:val="24"/>
          <w:highlight w:val="none"/>
          <w:u w:val="single"/>
          <w:lang w:val="en-US"/>
        </w:rPr>
        <w:t xml:space="preserve">                   </w:t>
      </w:r>
      <w:r>
        <w:rPr>
          <w:rFonts w:hint="eastAsia" w:ascii="宋体" w:hAnsi="宋体" w:eastAsia="宋体" w:cs="宋体"/>
          <w:b w:val="0"/>
          <w:bCs w:val="0"/>
          <w:color w:val="auto"/>
          <w:sz w:val="24"/>
          <w:highlight w:val="none"/>
        </w:rPr>
        <w:t>。</w:t>
      </w:r>
    </w:p>
    <w:bookmarkEnd w:id="429"/>
    <w:bookmarkEnd w:id="430"/>
    <w:bookmarkEnd w:id="431"/>
    <w:bookmarkEnd w:id="432"/>
    <w:bookmarkEnd w:id="433"/>
    <w:p w14:paraId="0EBA0AD8">
      <w:pPr>
        <w:pStyle w:val="958"/>
        <w:spacing w:before="0" w:beforeAutospacing="0" w:after="0" w:afterAutospacing="0" w:line="360" w:lineRule="auto"/>
        <w:ind w:firstLine="480"/>
        <w:rPr>
          <w:b/>
          <w:color w:val="auto"/>
          <w:highlight w:val="none"/>
        </w:rPr>
      </w:pPr>
      <w:bookmarkStart w:id="434" w:name="_Toc1814"/>
      <w:bookmarkStart w:id="435" w:name="_Toc22618"/>
      <w:bookmarkStart w:id="436" w:name="_Toc10340"/>
      <w:bookmarkStart w:id="437" w:name="_Toc3625"/>
      <w:bookmarkStart w:id="438" w:name="_Toc4760"/>
      <w:bookmarkStart w:id="439" w:name="_Toc11108"/>
      <w:bookmarkStart w:id="440" w:name="_Toc8772"/>
      <w:bookmarkStart w:id="441" w:name="_Toc31421"/>
      <w:r>
        <w:rPr>
          <w:rFonts w:hint="eastAsia"/>
          <w:b/>
          <w:color w:val="auto"/>
          <w:highlight w:val="none"/>
        </w:rPr>
        <w:t>1.4履约保证金</w:t>
      </w:r>
    </w:p>
    <w:p w14:paraId="0A4F76FC">
      <w:pPr>
        <w:pStyle w:val="958"/>
        <w:spacing w:before="0" w:beforeAutospacing="0" w:after="0" w:afterAutospacing="0" w:line="360" w:lineRule="auto"/>
        <w:ind w:firstLine="480"/>
        <w:rPr>
          <w:color w:val="auto"/>
          <w:highlight w:val="none"/>
        </w:rPr>
      </w:pPr>
      <w:r>
        <w:rPr>
          <w:rFonts w:hint="eastAsia"/>
          <w:color w:val="auto"/>
          <w:highlight w:val="none"/>
        </w:rPr>
        <w:t>乙方</w:t>
      </w:r>
      <w:r>
        <w:rPr>
          <w:rFonts w:hint="eastAsia"/>
          <w:color w:val="auto"/>
          <w:highlight w:val="none"/>
          <w:u w:val="single"/>
        </w:rPr>
        <w:t xml:space="preserve"> </w:t>
      </w:r>
      <w:r>
        <w:rPr>
          <w:rFonts w:hint="eastAsia"/>
          <w:color w:val="auto"/>
          <w:highlight w:val="none"/>
          <w:u w:val="single"/>
          <w:lang w:val="en-US" w:eastAsia="zh-CN"/>
        </w:rPr>
        <w:t>否</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否）需要支付履约保证金。若需要支付履约保证金的，则：</w:t>
      </w:r>
    </w:p>
    <w:p w14:paraId="619134B7">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1.4.1履约保证金的比例为合同金额的</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val="en-US" w:eastAsia="zh-CN"/>
        </w:rPr>
        <w:t>0</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238F149F">
      <w:pPr>
        <w:spacing w:line="560" w:lineRule="exact"/>
        <w:ind w:firstLine="480" w:firstLineChars="200"/>
        <w:outlineLvl w:val="0"/>
        <w:rPr>
          <w:rFonts w:hint="eastAsia" w:ascii="宋体" w:hAnsi="宋体" w:cs="宋体"/>
          <w:color w:val="auto"/>
          <w:kern w:val="0"/>
          <w:sz w:val="24"/>
          <w:highlight w:val="none"/>
        </w:rPr>
      </w:pPr>
      <w:r>
        <w:rPr>
          <w:rFonts w:hint="eastAsia" w:ascii="宋体" w:hAnsi="宋体" w:cs="宋体"/>
          <w:color w:val="auto"/>
          <w:kern w:val="0"/>
          <w:sz w:val="24"/>
          <w:highlight w:val="none"/>
        </w:rPr>
        <w:t>1.4.2履约保证金支付方式详见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726660D2">
      <w:pPr>
        <w:pStyle w:val="958"/>
        <w:spacing w:line="360" w:lineRule="auto"/>
        <w:ind w:left="0" w:firstLine="480" w:firstLineChars="200"/>
        <w:rPr>
          <w:rFonts w:hint="eastAsia" w:ascii="宋体" w:hAnsi="宋体" w:eastAsia="宋体" w:cs="Times New Roman"/>
          <w:color w:val="auto"/>
          <w:kern w:val="2"/>
          <w:highlight w:val="none"/>
          <w:lang w:val="en-US"/>
        </w:rPr>
      </w:pPr>
      <w:r>
        <w:rPr>
          <w:rFonts w:hint="eastAsia" w:ascii="宋体" w:hAnsi="宋体" w:eastAsia="宋体" w:cs="Times New Roman"/>
          <w:b w:val="0"/>
          <w:bCs w:val="0"/>
          <w:color w:val="auto"/>
          <w:kern w:val="2"/>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4F89516C">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1.4.4甲方在项目验收结束后及时退还履约保证金。甲方在项目通过验收之日起</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个工作日内将履约保证金无息退还乙方，逾期退还的，乙方可要求甲方支付违约金，违约金按每迟延退还一日的应退还而未退还金额的</w:t>
      </w:r>
      <w:r>
        <w:rPr>
          <w:rFonts w:hint="eastAsia" w:ascii="宋体" w:hAnsi="宋体" w:cs="宋体"/>
          <w:color w:val="auto"/>
          <w:kern w:val="0"/>
          <w:sz w:val="24"/>
          <w:highlight w:val="none"/>
          <w:u w:val="single"/>
        </w:rPr>
        <w:t xml:space="preserve">  0.05（可根据情况修改）  </w:t>
      </w:r>
      <w:r>
        <w:rPr>
          <w:rFonts w:hint="eastAsia" w:ascii="宋体" w:hAnsi="宋体" w:cs="宋体"/>
          <w:color w:val="auto"/>
          <w:kern w:val="0"/>
          <w:sz w:val="24"/>
          <w:highlight w:val="none"/>
        </w:rPr>
        <w:t>%计算，最高限额为本合同履约保证金的</w:t>
      </w:r>
      <w:r>
        <w:rPr>
          <w:rFonts w:hint="eastAsia" w:ascii="宋体" w:hAnsi="宋体" w:cs="宋体"/>
          <w:color w:val="auto"/>
          <w:kern w:val="0"/>
          <w:sz w:val="24"/>
          <w:highlight w:val="none"/>
          <w:u w:val="single"/>
        </w:rPr>
        <w:t xml:space="preserve">  20  </w:t>
      </w:r>
      <w:r>
        <w:rPr>
          <w:rFonts w:hint="eastAsia" w:ascii="宋体" w:hAnsi="宋体" w:cs="宋体"/>
          <w:color w:val="auto"/>
          <w:kern w:val="0"/>
          <w:sz w:val="24"/>
          <w:highlight w:val="none"/>
        </w:rPr>
        <w:t xml:space="preserve"> %。</w:t>
      </w:r>
    </w:p>
    <w:p w14:paraId="52A3AFBC">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1.5</w:t>
      </w:r>
      <w:bookmarkEnd w:id="434"/>
      <w:bookmarkEnd w:id="435"/>
      <w:bookmarkEnd w:id="436"/>
      <w:r>
        <w:rPr>
          <w:rFonts w:hint="eastAsia" w:ascii="宋体" w:hAnsi="宋体" w:cs="宋体"/>
          <w:b/>
          <w:color w:val="auto"/>
          <w:sz w:val="24"/>
          <w:highlight w:val="none"/>
        </w:rPr>
        <w:t>预付款</w:t>
      </w:r>
    </w:p>
    <w:p w14:paraId="3BA75F02">
      <w:pPr>
        <w:pStyle w:val="958"/>
        <w:spacing w:before="0" w:beforeAutospacing="0" w:after="0" w:afterAutospacing="0" w:line="360" w:lineRule="auto"/>
        <w:ind w:firstLine="480"/>
        <w:rPr>
          <w:color w:val="auto"/>
          <w:highlight w:val="none"/>
        </w:rPr>
      </w:pPr>
      <w:r>
        <w:rPr>
          <w:rFonts w:hint="eastAsia"/>
          <w:color w:val="auto"/>
          <w:highlight w:val="none"/>
        </w:rPr>
        <w:t>甲方</w:t>
      </w:r>
      <w:r>
        <w:rPr>
          <w:rFonts w:hint="eastAsia"/>
          <w:color w:val="auto"/>
          <w:highlight w:val="none"/>
          <w:u w:val="single"/>
        </w:rPr>
        <w:t xml:space="preserve">   </w:t>
      </w:r>
      <w:r>
        <w:rPr>
          <w:rFonts w:hint="eastAsia"/>
          <w:color w:val="auto"/>
          <w:highlight w:val="none"/>
          <w:u w:val="single"/>
          <w:lang w:eastAsia="zh-CN"/>
        </w:rPr>
        <w:t>是</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否）需要支付预付款。若需要支付预付款的，则：</w:t>
      </w:r>
    </w:p>
    <w:p w14:paraId="6F8E67C6">
      <w:pPr>
        <w:spacing w:line="56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1.5.1预付款比例、支付</w:t>
      </w:r>
      <w:r>
        <w:rPr>
          <w:rFonts w:hint="eastAsia" w:ascii="宋体" w:hAnsi="宋体" w:cs="宋体"/>
          <w:color w:val="auto"/>
          <w:kern w:val="0"/>
          <w:sz w:val="24"/>
          <w:highlight w:val="none"/>
        </w:rPr>
        <w:t>方式、时间详见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568527FB">
      <w:pPr>
        <w:pStyle w:val="958"/>
        <w:spacing w:before="0" w:beforeAutospacing="0" w:after="0" w:afterAutospacing="0" w:line="360" w:lineRule="auto"/>
        <w:ind w:firstLine="480"/>
        <w:rPr>
          <w:color w:val="auto"/>
          <w:highlight w:val="none"/>
        </w:rPr>
      </w:pPr>
      <w:r>
        <w:rPr>
          <w:rFonts w:hint="eastAsia"/>
          <w:color w:val="auto"/>
          <w:highlight w:val="none"/>
        </w:rPr>
        <w:t>1.5.2预付款的扣回方式详见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5A3B49A8">
      <w:pPr>
        <w:pStyle w:val="958"/>
        <w:spacing w:before="0" w:beforeAutospacing="0" w:after="0" w:afterAutospacing="0" w:line="360" w:lineRule="auto"/>
        <w:ind w:firstLine="480"/>
        <w:rPr>
          <w:color w:val="auto"/>
          <w:highlight w:val="none"/>
          <w:u w:val="single"/>
        </w:rPr>
      </w:pPr>
      <w:r>
        <w:rPr>
          <w:rFonts w:hint="eastAsia"/>
          <w:color w:val="auto"/>
          <w:highlight w:val="none"/>
        </w:rPr>
        <w:t>1.5.3预付款的担保措施详见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276DD9CF">
      <w:pPr>
        <w:pStyle w:val="958"/>
        <w:spacing w:before="0" w:beforeAutospacing="0" w:after="0" w:afterAutospacing="0" w:line="360" w:lineRule="auto"/>
        <w:ind w:firstLine="480"/>
        <w:rPr>
          <w:b/>
          <w:bCs/>
          <w:color w:val="auto"/>
          <w:highlight w:val="none"/>
        </w:rPr>
      </w:pPr>
      <w:r>
        <w:rPr>
          <w:rFonts w:hint="eastAsia"/>
          <w:b/>
          <w:bCs/>
          <w:color w:val="auto"/>
          <w:highlight w:val="none"/>
        </w:rPr>
        <w:t>1.6资金支付</w:t>
      </w:r>
    </w:p>
    <w:p w14:paraId="4D1D8992">
      <w:pPr>
        <w:pStyle w:val="958"/>
        <w:spacing w:before="0" w:beforeAutospacing="0" w:after="0" w:afterAutospacing="0" w:line="360" w:lineRule="auto"/>
        <w:ind w:firstLine="480"/>
        <w:rPr>
          <w:color w:val="auto"/>
          <w:highlight w:val="none"/>
        </w:rPr>
      </w:pPr>
      <w:r>
        <w:rPr>
          <w:rFonts w:hint="eastAsia"/>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4FC4AB0E">
      <w:pPr>
        <w:spacing w:line="560" w:lineRule="exact"/>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1.6.2资金支付的方式、时间和条件详见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2AA3E913">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1.</w:t>
      </w:r>
      <w:r>
        <w:rPr>
          <w:rFonts w:hint="eastAsia" w:ascii="宋体" w:hAnsi="宋体"/>
          <w:b/>
          <w:color w:val="auto"/>
          <w:sz w:val="24"/>
          <w:highlight w:val="none"/>
        </w:rPr>
        <w:t>7</w:t>
      </w:r>
      <w:r>
        <w:rPr>
          <w:rFonts w:ascii="宋体" w:hAnsi="宋体"/>
          <w:b/>
          <w:color w:val="auto"/>
          <w:sz w:val="24"/>
          <w:highlight w:val="none"/>
        </w:rPr>
        <w:t xml:space="preserve"> 履行期限</w:t>
      </w:r>
      <w:r>
        <w:rPr>
          <w:rFonts w:hint="eastAsia" w:ascii="宋体" w:hAnsi="宋体"/>
          <w:b/>
          <w:color w:val="auto"/>
          <w:sz w:val="24"/>
          <w:highlight w:val="none"/>
        </w:rPr>
        <w:t>、地点和方式</w:t>
      </w:r>
      <w:bookmarkEnd w:id="437"/>
      <w:bookmarkEnd w:id="438"/>
      <w:bookmarkEnd w:id="439"/>
      <w:bookmarkEnd w:id="440"/>
      <w:bookmarkEnd w:id="441"/>
    </w:p>
    <w:p w14:paraId="44F4B4E9">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.1 </w:t>
      </w:r>
      <w:r>
        <w:rPr>
          <w:rFonts w:hint="eastAsia" w:ascii="宋体" w:hAnsi="宋体"/>
          <w:color w:val="auto"/>
          <w:sz w:val="24"/>
          <w:highlight w:val="none"/>
        </w:rPr>
        <w:t>服务交付（实施）的时间（期限）</w:t>
      </w:r>
      <w:r>
        <w:rPr>
          <w:rFonts w:ascii="宋体" w:hAnsi="宋体"/>
          <w:color w:val="auto"/>
          <w:sz w:val="24"/>
          <w:highlight w:val="none"/>
        </w:rPr>
        <w:t>：</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6F680DFE">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.2 </w:t>
      </w:r>
      <w:r>
        <w:rPr>
          <w:rFonts w:hint="eastAsia" w:ascii="宋体" w:hAnsi="宋体"/>
          <w:color w:val="auto"/>
          <w:sz w:val="24"/>
          <w:highlight w:val="none"/>
        </w:rPr>
        <w:t>服</w:t>
      </w:r>
      <w:r>
        <w:rPr>
          <w:rFonts w:hint="eastAsia" w:ascii="宋体" w:hAnsi="宋体" w:cs="宋体"/>
          <w:color w:val="auto"/>
          <w:sz w:val="24"/>
          <w:highlight w:val="none"/>
        </w:rPr>
        <w:t>务交付（实施）的地点（地域范围）：</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78C20562">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.3 </w:t>
      </w:r>
      <w:r>
        <w:rPr>
          <w:rFonts w:hint="eastAsia" w:ascii="宋体" w:hAnsi="宋体"/>
          <w:color w:val="auto"/>
          <w:sz w:val="24"/>
          <w:highlight w:val="none"/>
        </w:rPr>
        <w:t>服务交付（实施）的方式：</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01786BEF">
      <w:pPr>
        <w:spacing w:line="560" w:lineRule="exact"/>
        <w:ind w:firstLine="480" w:firstLineChars="200"/>
        <w:outlineLvl w:val="0"/>
        <w:rPr>
          <w:rFonts w:ascii="宋体" w:hAnsi="宋体"/>
          <w:bCs/>
          <w:color w:val="auto"/>
          <w:sz w:val="24"/>
          <w:highlight w:val="none"/>
        </w:rPr>
      </w:pPr>
      <w:bookmarkStart w:id="442" w:name="_Toc24662"/>
      <w:bookmarkStart w:id="443" w:name="_Toc3079"/>
      <w:bookmarkStart w:id="444" w:name="_Toc8586"/>
      <w:bookmarkStart w:id="445" w:name="_Toc2375"/>
      <w:bookmarkStart w:id="446" w:name="_Toc5698"/>
      <w:r>
        <w:rPr>
          <w:rFonts w:hint="eastAsia" w:ascii="宋体" w:hAnsi="宋体"/>
          <w:bCs/>
          <w:color w:val="auto"/>
          <w:sz w:val="24"/>
          <w:highlight w:val="none"/>
        </w:rPr>
        <w:t>1.7.4若服务</w:t>
      </w:r>
      <w:r>
        <w:rPr>
          <w:rFonts w:hint="eastAsia"/>
          <w:bCs/>
          <w:color w:val="auto"/>
          <w:sz w:val="24"/>
          <w:highlight w:val="none"/>
        </w:rPr>
        <w:t>涉及货物的，则货物的：</w:t>
      </w:r>
    </w:p>
    <w:p w14:paraId="30823266">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1.7.4.1 交付期限：详见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4207207E">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1.7.4.2 交付地点：</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4891CA7E">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1.7.4.3 交付方式：</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52DD4814">
      <w:pPr>
        <w:spacing w:line="560" w:lineRule="exact"/>
        <w:ind w:firstLine="482" w:firstLineChars="200"/>
        <w:outlineLvl w:val="0"/>
        <w:rPr>
          <w:rFonts w:ascii="宋体" w:hAnsi="宋体"/>
          <w:color w:val="auto"/>
          <w:sz w:val="24"/>
          <w:highlight w:val="none"/>
          <w:u w:val="single"/>
        </w:rPr>
      </w:pPr>
      <w:r>
        <w:rPr>
          <w:rFonts w:ascii="宋体" w:hAnsi="宋体"/>
          <w:b/>
          <w:color w:val="auto"/>
          <w:sz w:val="24"/>
          <w:highlight w:val="none"/>
        </w:rPr>
        <w:t>1.</w:t>
      </w:r>
      <w:r>
        <w:rPr>
          <w:rFonts w:hint="eastAsia" w:ascii="宋体" w:hAnsi="宋体"/>
          <w:b/>
          <w:color w:val="auto"/>
          <w:sz w:val="24"/>
          <w:highlight w:val="none"/>
        </w:rPr>
        <w:t>8违约责任</w:t>
      </w:r>
      <w:bookmarkEnd w:id="442"/>
      <w:bookmarkEnd w:id="443"/>
      <w:bookmarkEnd w:id="444"/>
      <w:bookmarkEnd w:id="445"/>
      <w:bookmarkEnd w:id="446"/>
    </w:p>
    <w:p w14:paraId="30703E52">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8</w:t>
      </w:r>
      <w:r>
        <w:rPr>
          <w:rFonts w:ascii="宋体" w:hAnsi="宋体"/>
          <w:color w:val="auto"/>
          <w:sz w:val="24"/>
          <w:highlight w:val="none"/>
        </w:rPr>
        <w:t>.1 除不可抗力外，如果乙方没有按照本合同约定的期限</w:t>
      </w:r>
      <w:r>
        <w:rPr>
          <w:rFonts w:hint="eastAsia" w:ascii="宋体" w:hAnsi="宋体"/>
          <w:color w:val="auto"/>
          <w:sz w:val="24"/>
          <w:highlight w:val="none"/>
        </w:rPr>
        <w:t>、</w:t>
      </w:r>
      <w:r>
        <w:rPr>
          <w:rFonts w:ascii="宋体" w:hAnsi="宋体"/>
          <w:color w:val="auto"/>
          <w:sz w:val="24"/>
          <w:highlight w:val="none"/>
        </w:rPr>
        <w:t>地点和方式</w:t>
      </w:r>
      <w:r>
        <w:rPr>
          <w:rFonts w:hint="eastAsia" w:ascii="宋体" w:hAnsi="宋体"/>
          <w:color w:val="auto"/>
          <w:sz w:val="24"/>
          <w:highlight w:val="none"/>
        </w:rPr>
        <w:t>交付服务成果或者实施服务</w:t>
      </w:r>
      <w:r>
        <w:rPr>
          <w:rFonts w:ascii="宋体" w:hAnsi="宋体"/>
          <w:color w:val="auto"/>
          <w:sz w:val="24"/>
          <w:highlight w:val="none"/>
        </w:rPr>
        <w:t>，那么甲方可要求乙方支付违约金</w:t>
      </w:r>
      <w:r>
        <w:rPr>
          <w:rFonts w:hint="eastAsia" w:ascii="宋体" w:hAnsi="宋体"/>
          <w:color w:val="auto"/>
          <w:sz w:val="24"/>
          <w:highlight w:val="none"/>
        </w:rPr>
        <w:t>，迟延履行</w:t>
      </w:r>
      <w:r>
        <w:rPr>
          <w:rFonts w:ascii="宋体" w:hAnsi="宋体"/>
          <w:color w:val="auto"/>
          <w:sz w:val="24"/>
          <w:highlight w:val="none"/>
        </w:rPr>
        <w:t>违约金按每迟延</w:t>
      </w:r>
      <w:r>
        <w:rPr>
          <w:rFonts w:hint="eastAsia" w:ascii="宋体" w:hAnsi="宋体"/>
          <w:color w:val="auto"/>
          <w:sz w:val="24"/>
          <w:highlight w:val="none"/>
        </w:rPr>
        <w:t>履行</w:t>
      </w:r>
      <w:r>
        <w:rPr>
          <w:rFonts w:ascii="宋体" w:hAnsi="宋体"/>
          <w:color w:val="auto"/>
          <w:sz w:val="24"/>
          <w:highlight w:val="none"/>
        </w:rPr>
        <w:t>一日的应提供而未</w:t>
      </w:r>
      <w:r>
        <w:rPr>
          <w:rFonts w:hint="eastAsia" w:ascii="宋体" w:hAnsi="宋体"/>
          <w:color w:val="auto"/>
          <w:sz w:val="24"/>
          <w:highlight w:val="none"/>
        </w:rPr>
        <w:t>提供</w:t>
      </w:r>
      <w:r>
        <w:rPr>
          <w:rFonts w:ascii="宋体" w:hAnsi="宋体"/>
          <w:color w:val="auto"/>
          <w:sz w:val="24"/>
          <w:highlight w:val="none"/>
        </w:rPr>
        <w:t>服务价格的</w:t>
      </w:r>
      <w:r>
        <w:rPr>
          <w:rFonts w:hint="eastAsia" w:ascii="宋体" w:hAnsi="宋体"/>
          <w:color w:val="auto"/>
          <w:sz w:val="24"/>
          <w:highlight w:val="none"/>
          <w:u w:val="single"/>
        </w:rPr>
        <w:t>0.05</w:t>
      </w:r>
      <w:r>
        <w:rPr>
          <w:rFonts w:ascii="宋体" w:hAnsi="宋体"/>
          <w:color w:val="auto"/>
          <w:sz w:val="24"/>
          <w:highlight w:val="none"/>
          <w:u w:val="single"/>
        </w:rPr>
        <w:t xml:space="preserve"> </w:t>
      </w:r>
      <w:r>
        <w:rPr>
          <w:rFonts w:ascii="宋体" w:hAnsi="宋体"/>
          <w:color w:val="auto"/>
          <w:sz w:val="24"/>
          <w:highlight w:val="none"/>
        </w:rPr>
        <w:t>%计算</w:t>
      </w:r>
      <w:r>
        <w:rPr>
          <w:rFonts w:hint="eastAsia" w:ascii="宋体" w:hAnsi="宋体"/>
          <w:color w:val="auto"/>
          <w:sz w:val="24"/>
          <w:highlight w:val="none"/>
        </w:rPr>
        <w:t>，</w:t>
      </w:r>
      <w:r>
        <w:rPr>
          <w:rFonts w:ascii="宋体" w:hAnsi="宋体"/>
          <w:color w:val="auto"/>
          <w:sz w:val="24"/>
          <w:highlight w:val="none"/>
        </w:rPr>
        <w:t>最高限额为</w:t>
      </w:r>
      <w:r>
        <w:rPr>
          <w:rFonts w:hint="eastAsia" w:ascii="宋体" w:hAnsi="宋体"/>
          <w:color w:val="auto"/>
          <w:sz w:val="24"/>
          <w:highlight w:val="none"/>
        </w:rPr>
        <w:t>本</w:t>
      </w:r>
      <w:r>
        <w:rPr>
          <w:rFonts w:ascii="宋体" w:hAnsi="宋体"/>
          <w:color w:val="auto"/>
          <w:sz w:val="24"/>
          <w:highlight w:val="none"/>
        </w:rPr>
        <w:t>合同总价的</w:t>
      </w:r>
      <w:r>
        <w:rPr>
          <w:rFonts w:ascii="宋体" w:hAnsi="宋体"/>
          <w:color w:val="auto"/>
          <w:sz w:val="24"/>
          <w:highlight w:val="none"/>
          <w:u w:val="single"/>
        </w:rPr>
        <w:t xml:space="preserve">  20   </w:t>
      </w:r>
      <w:r>
        <w:rPr>
          <w:rFonts w:ascii="宋体" w:hAnsi="宋体"/>
          <w:color w:val="auto"/>
          <w:sz w:val="24"/>
          <w:highlight w:val="none"/>
        </w:rPr>
        <w:t>%</w:t>
      </w:r>
      <w:r>
        <w:rPr>
          <w:rFonts w:hint="eastAsia" w:ascii="宋体" w:hAnsi="宋体"/>
          <w:color w:val="auto"/>
          <w:sz w:val="24"/>
          <w:highlight w:val="none"/>
        </w:rPr>
        <w:t>；</w:t>
      </w:r>
      <w:r>
        <w:rPr>
          <w:rFonts w:ascii="宋体" w:hAnsi="宋体"/>
          <w:color w:val="auto"/>
          <w:sz w:val="24"/>
          <w:highlight w:val="none"/>
        </w:rPr>
        <w:t>迟延</w:t>
      </w:r>
      <w:r>
        <w:rPr>
          <w:rFonts w:hint="eastAsia" w:ascii="宋体" w:hAnsi="宋体"/>
          <w:color w:val="auto"/>
          <w:sz w:val="24"/>
          <w:highlight w:val="none"/>
        </w:rPr>
        <w:t>履行</w:t>
      </w:r>
      <w:r>
        <w:rPr>
          <w:rFonts w:ascii="宋体" w:hAnsi="宋体"/>
          <w:color w:val="auto"/>
          <w:sz w:val="24"/>
          <w:highlight w:val="none"/>
        </w:rPr>
        <w:t>的违约金计算数额达到前述最高限额之日起</w:t>
      </w:r>
      <w:r>
        <w:rPr>
          <w:rFonts w:hint="eastAsia" w:ascii="宋体" w:hAnsi="宋体"/>
          <w:color w:val="auto"/>
          <w:sz w:val="24"/>
          <w:highlight w:val="none"/>
        </w:rPr>
        <w:t>，</w:t>
      </w:r>
      <w:r>
        <w:rPr>
          <w:rFonts w:ascii="宋体" w:hAnsi="宋体"/>
          <w:color w:val="auto"/>
          <w:sz w:val="24"/>
          <w:highlight w:val="none"/>
        </w:rPr>
        <w:t>甲方有权在要求乙方支付违约金的同时</w:t>
      </w:r>
      <w:r>
        <w:rPr>
          <w:rFonts w:hint="eastAsia" w:ascii="宋体" w:hAnsi="宋体"/>
          <w:color w:val="auto"/>
          <w:sz w:val="24"/>
          <w:highlight w:val="none"/>
        </w:rPr>
        <w:t>，书面通知乙方</w:t>
      </w:r>
      <w:r>
        <w:rPr>
          <w:rFonts w:ascii="宋体" w:hAnsi="宋体"/>
          <w:color w:val="auto"/>
          <w:sz w:val="24"/>
          <w:highlight w:val="none"/>
        </w:rPr>
        <w:t>解除本合同</w:t>
      </w:r>
      <w:r>
        <w:rPr>
          <w:rFonts w:hint="eastAsia" w:ascii="宋体" w:hAnsi="宋体"/>
          <w:color w:val="auto"/>
          <w:sz w:val="24"/>
          <w:highlight w:val="none"/>
        </w:rPr>
        <w:t>；</w:t>
      </w:r>
    </w:p>
    <w:p w14:paraId="2E610528">
      <w:pPr>
        <w:pStyle w:val="2"/>
        <w:ind w:left="0" w:firstLine="480" w:firstLineChars="200"/>
        <w:rPr>
          <w:rFonts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color w:val="auto"/>
          <w:sz w:val="24"/>
          <w:szCs w:val="24"/>
          <w:highlight w:val="none"/>
          <w:u w:val="single"/>
          <w:lang w:val="en-US"/>
        </w:rPr>
        <w:t xml:space="preserve">  0.0</w:t>
      </w:r>
      <w:r>
        <w:rPr>
          <w:rFonts w:hint="eastAsia" w:ascii="宋体" w:hAnsi="宋体" w:eastAsia="宋体" w:cs="宋体"/>
          <w:b w:val="0"/>
          <w:bCs w:val="0"/>
          <w:color w:val="auto"/>
          <w:sz w:val="24"/>
          <w:szCs w:val="24"/>
          <w:highlight w:val="none"/>
          <w:lang w:val="en-US"/>
        </w:rPr>
        <w:t xml:space="preserve">5（可根据情况修改） </w:t>
      </w:r>
      <w:r>
        <w:rPr>
          <w:rFonts w:hint="eastAsia" w:ascii="宋体" w:hAnsi="宋体" w:eastAsia="宋体" w:cs="宋体"/>
          <w:b w:val="0"/>
          <w:bCs w:val="0"/>
          <w:color w:val="auto"/>
          <w:sz w:val="24"/>
          <w:szCs w:val="24"/>
          <w:highlight w:val="none"/>
          <w:u w:val="single"/>
          <w:lang w:val="en-US"/>
        </w:rPr>
        <w:t xml:space="preserve">  </w:t>
      </w:r>
      <w:r>
        <w:rPr>
          <w:rFonts w:hint="eastAsia" w:ascii="宋体" w:hAnsi="宋体" w:eastAsia="宋体" w:cs="宋体"/>
          <w:b w:val="0"/>
          <w:bCs w:val="0"/>
          <w:color w:val="auto"/>
          <w:sz w:val="24"/>
          <w:szCs w:val="24"/>
          <w:highlight w:val="none"/>
          <w:lang w:val="en-US"/>
        </w:rPr>
        <w:t>%计算，最高限额为本合同总价的</w:t>
      </w:r>
      <w:r>
        <w:rPr>
          <w:rFonts w:hint="eastAsia" w:ascii="宋体" w:hAnsi="宋体" w:eastAsia="宋体" w:cs="宋体"/>
          <w:b w:val="0"/>
          <w:bCs w:val="0"/>
          <w:color w:val="auto"/>
          <w:sz w:val="24"/>
          <w:szCs w:val="24"/>
          <w:highlight w:val="none"/>
          <w:u w:val="single"/>
          <w:lang w:val="en-US"/>
        </w:rPr>
        <w:t xml:space="preserve">  20  </w:t>
      </w:r>
      <w:r>
        <w:rPr>
          <w:rFonts w:hint="eastAsia" w:ascii="宋体" w:hAnsi="宋体" w:eastAsia="宋体" w:cs="宋体"/>
          <w:b w:val="0"/>
          <w:bCs w:val="0"/>
          <w:color w:val="auto"/>
          <w:sz w:val="24"/>
          <w:szCs w:val="24"/>
          <w:highlight w:val="none"/>
          <w:lang w:val="en-US"/>
        </w:rPr>
        <w:t>%；迟延交付货物的违约金计算数额达到前述最高限额之日起，甲方有权在要求乙方支付违约金的同时，书面通知乙方解除本合同；</w:t>
      </w:r>
    </w:p>
    <w:p w14:paraId="443AF96A">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8</w:t>
      </w:r>
      <w:r>
        <w:rPr>
          <w:rFonts w:ascii="宋体" w:hAnsi="宋体"/>
          <w:color w:val="auto"/>
          <w:sz w:val="24"/>
          <w:highlight w:val="none"/>
        </w:rPr>
        <w:t>.</w:t>
      </w:r>
      <w:r>
        <w:rPr>
          <w:rFonts w:hint="eastAsia" w:ascii="宋体" w:hAnsi="宋体"/>
          <w:color w:val="auto"/>
          <w:sz w:val="24"/>
          <w:highlight w:val="none"/>
        </w:rPr>
        <w:t>3</w:t>
      </w:r>
      <w:r>
        <w:rPr>
          <w:rFonts w:hint="eastAsia" w:ascii="宋体" w:hAnsi="宋体" w:cs="宋体"/>
          <w:color w:val="auto"/>
          <w:sz w:val="24"/>
          <w:highlight w:val="none"/>
        </w:rPr>
        <w:t>除不可抗力外，如果甲方没有按照本合同约定的付款方式付款，那么乙方可要求甲方支付违约金，违约金按每迟延付款一日的应付而未付款的</w:t>
      </w:r>
      <w:r>
        <w:rPr>
          <w:rFonts w:hint="eastAsia" w:ascii="宋体" w:hAnsi="宋体" w:cs="宋体"/>
          <w:color w:val="auto"/>
          <w:sz w:val="24"/>
          <w:highlight w:val="none"/>
          <w:u w:val="single"/>
        </w:rPr>
        <w:t xml:space="preserve">   0.05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w:t>
      </w:r>
      <w:r>
        <w:rPr>
          <w:rFonts w:hint="eastAsia" w:ascii="宋体" w:hAnsi="宋体" w:cs="宋体"/>
          <w:color w:val="auto"/>
          <w:kern w:val="0"/>
          <w:sz w:val="24"/>
          <w:highlight w:val="none"/>
          <w:u w:val="single"/>
        </w:rPr>
        <w:t>（可根据情况修改）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%；迟延付款的违约金计算数额达到前述最高限额之日起，乙方有权在要求甲方支付违约金的同时，书面通知甲方解除本合同</w:t>
      </w:r>
      <w:r>
        <w:rPr>
          <w:rFonts w:hint="eastAsia" w:ascii="宋体" w:hAnsi="宋体"/>
          <w:color w:val="auto"/>
          <w:sz w:val="24"/>
          <w:highlight w:val="none"/>
        </w:rPr>
        <w:t>；</w:t>
      </w:r>
    </w:p>
    <w:p w14:paraId="6B0DC233">
      <w:pPr>
        <w:spacing w:line="560" w:lineRule="exact"/>
        <w:ind w:firstLine="480" w:firstLineChars="200"/>
        <w:rPr>
          <w:rFonts w:ascii="宋体" w:hAnsi="宋体" w:cs="宋体"/>
          <w:color w:val="auto"/>
          <w:sz w:val="24"/>
          <w:highlight w:val="none"/>
        </w:rPr>
      </w:pPr>
      <w:bookmarkStart w:id="447" w:name="_Toc26807"/>
      <w:bookmarkStart w:id="448" w:name="_Toc32454"/>
      <w:bookmarkStart w:id="449" w:name="_Toc18683"/>
      <w:bookmarkStart w:id="450" w:name="_Toc9497"/>
      <w:bookmarkStart w:id="451" w:name="_Toc30329"/>
      <w:r>
        <w:rPr>
          <w:rFonts w:hint="eastAsia" w:ascii="宋体" w:hAnsi="宋体" w:cs="宋体"/>
          <w:color w:val="auto"/>
          <w:sz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440C23FE">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16BF1779">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14:paraId="1CFF0C6F">
      <w:pPr>
        <w:spacing w:line="560" w:lineRule="exact"/>
        <w:ind w:right="-420" w:rightChars="-200" w:firstLine="480" w:firstLineChars="200"/>
        <w:rPr>
          <w:rFonts w:ascii="宋体" w:hAnsi="宋体" w:cs="宋体"/>
          <w:color w:val="auto"/>
          <w:highlight w:val="none"/>
        </w:rPr>
      </w:pPr>
      <w:r>
        <w:rPr>
          <w:rFonts w:hint="eastAsia" w:ascii="宋体" w:hAnsi="宋体" w:cs="宋体"/>
          <w:color w:val="auto"/>
          <w:sz w:val="24"/>
          <w:highlight w:val="none"/>
        </w:rPr>
        <w:t>1.8.7违约责任</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另有约定的，从其约定。</w:t>
      </w:r>
    </w:p>
    <w:bookmarkEnd w:id="447"/>
    <w:bookmarkEnd w:id="448"/>
    <w:bookmarkEnd w:id="449"/>
    <w:bookmarkEnd w:id="450"/>
    <w:bookmarkEnd w:id="451"/>
    <w:p w14:paraId="64E880B5">
      <w:pPr>
        <w:spacing w:line="560" w:lineRule="exact"/>
        <w:ind w:firstLine="482" w:firstLineChars="200"/>
        <w:outlineLvl w:val="0"/>
        <w:rPr>
          <w:rFonts w:ascii="宋体" w:hAnsi="宋体" w:cs="宋体"/>
          <w:b/>
          <w:color w:val="auto"/>
          <w:sz w:val="24"/>
          <w:highlight w:val="none"/>
        </w:rPr>
      </w:pPr>
      <w:bookmarkStart w:id="452" w:name="_Toc16021"/>
      <w:bookmarkStart w:id="453" w:name="_Toc15583"/>
      <w:bookmarkStart w:id="454" w:name="_Toc28375"/>
      <w:r>
        <w:rPr>
          <w:rFonts w:hint="eastAsia" w:ascii="宋体" w:hAnsi="宋体" w:cs="宋体"/>
          <w:b/>
          <w:color w:val="auto"/>
          <w:sz w:val="24"/>
          <w:highlight w:val="none"/>
        </w:rPr>
        <w:t>1.9合同争议的解决</w:t>
      </w:r>
      <w:bookmarkEnd w:id="452"/>
      <w:bookmarkEnd w:id="453"/>
      <w:bookmarkEnd w:id="454"/>
    </w:p>
    <w:p w14:paraId="44293AEF">
      <w:pPr>
        <w:spacing w:line="560" w:lineRule="exact"/>
        <w:ind w:left="-61" w:leftChars="-29" w:right="-420" w:rightChars="-200" w:firstLine="240" w:firstLineChars="100"/>
        <w:rPr>
          <w:rFonts w:ascii="宋体" w:hAnsi="宋体" w:cs="宋体"/>
          <w:color w:val="auto"/>
          <w:sz w:val="24"/>
          <w:highlight w:val="none"/>
        </w:rPr>
      </w:pPr>
      <w:r>
        <w:rPr>
          <w:rFonts w:hint="eastAsia" w:ascii="宋体" w:hAnsi="宋体" w:cs="宋体"/>
          <w:color w:val="auto"/>
          <w:sz w:val="24"/>
          <w:highlight w:val="none"/>
        </w:rPr>
        <w:t xml:space="preserve">  本合同履行过程中发生的任何争议，双方当事人均可通过和解或者调解解决；不愿和解、调解或者和解、调解不成的，可以选择以下第</w:t>
      </w:r>
      <w:r>
        <w:rPr>
          <w:rFonts w:hint="eastAsia" w:ascii="宋体" w:hAnsi="宋体" w:cs="宋体"/>
          <w:b/>
          <w:i/>
          <w:color w:val="auto"/>
          <w:sz w:val="24"/>
          <w:highlight w:val="none"/>
          <w:u w:val="single"/>
        </w:rPr>
        <w:t xml:space="preserve">      </w:t>
      </w:r>
      <w:r>
        <w:rPr>
          <w:rFonts w:hint="eastAsia" w:ascii="宋体" w:hAnsi="宋体" w:cs="宋体"/>
          <w:color w:val="auto"/>
          <w:sz w:val="24"/>
          <w:highlight w:val="none"/>
        </w:rPr>
        <w:t>条款规定的方式解决：</w:t>
      </w:r>
    </w:p>
    <w:p w14:paraId="7D18359F">
      <w:pPr>
        <w:spacing w:line="560" w:lineRule="exact"/>
        <w:ind w:left="-420" w:leftChars="-200" w:right="-420" w:rightChars="-200" w:firstLine="600" w:firstLineChars="250"/>
        <w:rPr>
          <w:rFonts w:ascii="宋体" w:hAnsi="宋体" w:cs="宋体"/>
          <w:color w:val="auto"/>
          <w:sz w:val="24"/>
          <w:highlight w:val="none"/>
        </w:rPr>
      </w:pPr>
      <w:r>
        <w:rPr>
          <w:rFonts w:hint="eastAsia" w:ascii="宋体" w:hAnsi="宋体" w:cs="宋体"/>
          <w:color w:val="auto"/>
          <w:sz w:val="24"/>
          <w:highlight w:val="none"/>
        </w:rPr>
        <w:t>1.9.1 将争议提交</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仲裁委员会依申请仲裁时其现行有效的仲裁规则裁决；</w:t>
      </w:r>
    </w:p>
    <w:p w14:paraId="6C8BEFAC">
      <w:pPr>
        <w:spacing w:line="560" w:lineRule="exact"/>
        <w:ind w:left="-420" w:leftChars="-200" w:right="-420" w:rightChars="-200" w:firstLine="600" w:firstLineChars="250"/>
        <w:rPr>
          <w:rFonts w:ascii="宋体" w:hAnsi="宋体" w:cs="宋体"/>
          <w:color w:val="auto"/>
          <w:sz w:val="24"/>
          <w:highlight w:val="none"/>
        </w:rPr>
      </w:pPr>
      <w:r>
        <w:rPr>
          <w:rFonts w:hint="eastAsia" w:ascii="宋体" w:hAnsi="宋体" w:cs="宋体"/>
          <w:color w:val="auto"/>
          <w:sz w:val="24"/>
          <w:highlight w:val="none"/>
        </w:rPr>
        <w:t>1.9.2 向</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人民法院起诉。</w:t>
      </w:r>
    </w:p>
    <w:p w14:paraId="77FFC947">
      <w:pPr>
        <w:spacing w:line="560" w:lineRule="exact"/>
        <w:ind w:firstLine="482" w:firstLineChars="200"/>
        <w:outlineLvl w:val="0"/>
        <w:rPr>
          <w:rFonts w:ascii="宋体" w:hAnsi="宋体" w:cs="宋体"/>
          <w:b/>
          <w:color w:val="auto"/>
          <w:sz w:val="24"/>
          <w:highlight w:val="none"/>
        </w:rPr>
      </w:pPr>
      <w:bookmarkStart w:id="455" w:name="_Toc15322"/>
      <w:bookmarkStart w:id="456" w:name="_Toc11173"/>
      <w:bookmarkStart w:id="457" w:name="_Toc7245"/>
      <w:r>
        <w:rPr>
          <w:rFonts w:hint="eastAsia" w:ascii="宋体" w:hAnsi="宋体" w:cs="宋体"/>
          <w:b/>
          <w:color w:val="auto"/>
          <w:sz w:val="24"/>
          <w:highlight w:val="none"/>
        </w:rPr>
        <w:t>2.0 合同生效</w:t>
      </w:r>
      <w:bookmarkEnd w:id="455"/>
      <w:bookmarkEnd w:id="456"/>
      <w:bookmarkEnd w:id="457"/>
    </w:p>
    <w:p w14:paraId="270FA41F">
      <w:pPr>
        <w:autoSpaceDE/>
        <w:autoSpaceDN/>
        <w:spacing w:line="560" w:lineRule="exact"/>
        <w:ind w:firstLine="480" w:firstLineChars="200"/>
        <w:rPr>
          <w:rFonts w:ascii="宋体" w:hAnsi="宋体"/>
          <w:color w:val="auto"/>
          <w:sz w:val="24"/>
          <w:highlight w:val="none"/>
          <w:lang w:val="zh-CN"/>
        </w:rPr>
      </w:pPr>
      <w:r>
        <w:rPr>
          <w:rFonts w:hint="eastAsia" w:ascii="宋体" w:hAnsi="宋体" w:cs="宋体"/>
          <w:color w:val="auto"/>
          <w:sz w:val="24"/>
          <w:highlight w:val="none"/>
        </w:rPr>
        <w:t>本合同自双方当事人盖章签字时生效。</w:t>
      </w:r>
    </w:p>
    <w:p w14:paraId="49F71CF1">
      <w:pPr>
        <w:autoSpaceDE w:val="0"/>
        <w:autoSpaceDN w:val="0"/>
        <w:spacing w:line="560" w:lineRule="exact"/>
        <w:rPr>
          <w:rFonts w:ascii="宋体" w:hAnsi="宋体"/>
          <w:color w:val="auto"/>
          <w:sz w:val="24"/>
          <w:highlight w:val="none"/>
          <w:lang w:val="zh-CN"/>
        </w:rPr>
      </w:pPr>
      <w:r>
        <w:rPr>
          <w:rFonts w:hint="eastAsia" w:ascii="宋体" w:hAnsi="宋体"/>
          <w:b/>
          <w:color w:val="auto"/>
          <w:sz w:val="24"/>
          <w:highlight w:val="none"/>
          <w:lang w:val="zh-CN"/>
        </w:rPr>
        <w:t>甲方</w:t>
      </w:r>
      <w:r>
        <w:rPr>
          <w:rFonts w:hint="eastAsia" w:ascii="宋体" w:hAnsi="宋体"/>
          <w:color w:val="auto"/>
          <w:sz w:val="24"/>
          <w:highlight w:val="none"/>
          <w:lang w:val="zh-CN"/>
        </w:rPr>
        <w:t>：</w:t>
      </w:r>
      <w:r>
        <w:rPr>
          <w:rFonts w:ascii="宋体" w:hAnsi="宋体"/>
          <w:color w:val="auto"/>
          <w:sz w:val="24"/>
          <w:highlight w:val="none"/>
          <w:lang w:val="zh-CN"/>
        </w:rPr>
        <w:t xml:space="preserve">                             </w:t>
      </w:r>
      <w:r>
        <w:rPr>
          <w:rFonts w:ascii="宋体" w:hAnsi="宋体"/>
          <w:b/>
          <w:color w:val="auto"/>
          <w:sz w:val="24"/>
          <w:highlight w:val="none"/>
          <w:lang w:val="zh-CN"/>
        </w:rPr>
        <w:t xml:space="preserve">      乙方</w:t>
      </w:r>
      <w:r>
        <w:rPr>
          <w:rFonts w:hint="eastAsia" w:ascii="宋体" w:hAnsi="宋体"/>
          <w:color w:val="auto"/>
          <w:sz w:val="24"/>
          <w:highlight w:val="none"/>
          <w:lang w:val="zh-CN"/>
        </w:rPr>
        <w:t>：</w:t>
      </w:r>
    </w:p>
    <w:p w14:paraId="1A9DD297">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统一社会信用代码：</w:t>
      </w:r>
      <w:r>
        <w:rPr>
          <w:rFonts w:ascii="宋体" w:hAnsi="宋体"/>
          <w:color w:val="auto"/>
          <w:sz w:val="24"/>
          <w:highlight w:val="none"/>
          <w:lang w:val="zh-CN"/>
        </w:rPr>
        <w:t xml:space="preserve">                       </w:t>
      </w:r>
      <w:r>
        <w:rPr>
          <w:rFonts w:hint="eastAsia" w:ascii="宋体" w:hAnsi="宋体"/>
          <w:color w:val="auto"/>
          <w:sz w:val="24"/>
          <w:highlight w:val="none"/>
          <w:lang w:val="zh-CN"/>
        </w:rPr>
        <w:t>统一社会信用代码或身份证号码：</w:t>
      </w:r>
    </w:p>
    <w:p w14:paraId="3752BDA0">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住所：</w:t>
      </w:r>
      <w:r>
        <w:rPr>
          <w:rFonts w:ascii="宋体" w:hAnsi="宋体"/>
          <w:color w:val="auto"/>
          <w:sz w:val="24"/>
          <w:highlight w:val="none"/>
          <w:lang w:val="zh-CN"/>
        </w:rPr>
        <w:t xml:space="preserve">                                   </w:t>
      </w:r>
      <w:r>
        <w:rPr>
          <w:rFonts w:hint="eastAsia" w:ascii="宋体" w:hAnsi="宋体"/>
          <w:color w:val="auto"/>
          <w:sz w:val="24"/>
          <w:highlight w:val="none"/>
          <w:lang w:val="zh-CN"/>
        </w:rPr>
        <w:t>住所：</w:t>
      </w:r>
    </w:p>
    <w:p w14:paraId="532413CE">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法定代表人或</w:t>
      </w:r>
      <w:r>
        <w:rPr>
          <w:rFonts w:ascii="宋体" w:hAnsi="宋体"/>
          <w:color w:val="auto"/>
          <w:sz w:val="24"/>
          <w:highlight w:val="none"/>
          <w:lang w:val="zh-CN"/>
        </w:rPr>
        <w:t xml:space="preserve">                             </w:t>
      </w:r>
      <w:r>
        <w:rPr>
          <w:rFonts w:hint="eastAsia" w:ascii="宋体" w:hAnsi="宋体"/>
          <w:color w:val="auto"/>
          <w:sz w:val="24"/>
          <w:highlight w:val="none"/>
          <w:lang w:val="zh-CN"/>
        </w:rPr>
        <w:t>法定代表人或</w:t>
      </w:r>
    </w:p>
    <w:p w14:paraId="4A58C0A3">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授权代表（签字）：</w:t>
      </w:r>
      <w:r>
        <w:rPr>
          <w:rFonts w:ascii="宋体" w:hAnsi="宋体"/>
          <w:color w:val="auto"/>
          <w:sz w:val="24"/>
          <w:highlight w:val="none"/>
          <w:lang w:val="zh-CN"/>
        </w:rPr>
        <w:t xml:space="preserve">                       授权代表（签字）: </w:t>
      </w:r>
    </w:p>
    <w:p w14:paraId="5B3DBF9C">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联系人：</w:t>
      </w:r>
      <w:r>
        <w:rPr>
          <w:rFonts w:ascii="宋体" w:hAnsi="宋体"/>
          <w:color w:val="auto"/>
          <w:sz w:val="24"/>
          <w:highlight w:val="none"/>
          <w:lang w:val="zh-CN"/>
        </w:rPr>
        <w:t xml:space="preserve">                                 </w:t>
      </w:r>
      <w:r>
        <w:rPr>
          <w:rFonts w:hint="eastAsia" w:ascii="宋体" w:hAnsi="宋体"/>
          <w:color w:val="auto"/>
          <w:sz w:val="24"/>
          <w:highlight w:val="none"/>
          <w:lang w:val="zh-CN"/>
        </w:rPr>
        <w:t>联系人：</w:t>
      </w:r>
    </w:p>
    <w:p w14:paraId="57FFC4D9">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约定送达地址：</w:t>
      </w:r>
      <w:r>
        <w:rPr>
          <w:rFonts w:ascii="宋体" w:hAnsi="宋体"/>
          <w:color w:val="auto"/>
          <w:sz w:val="24"/>
          <w:highlight w:val="none"/>
          <w:lang w:val="zh-CN"/>
        </w:rPr>
        <w:t xml:space="preserve">                           </w:t>
      </w:r>
      <w:r>
        <w:rPr>
          <w:rFonts w:hint="eastAsia" w:ascii="宋体" w:hAnsi="宋体"/>
          <w:color w:val="auto"/>
          <w:sz w:val="24"/>
          <w:highlight w:val="none"/>
          <w:lang w:val="zh-CN"/>
        </w:rPr>
        <w:t>约定送达地址：</w:t>
      </w:r>
    </w:p>
    <w:p w14:paraId="3EBE1CD0">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邮政编码：</w:t>
      </w:r>
      <w:r>
        <w:rPr>
          <w:rFonts w:ascii="宋体" w:hAnsi="宋体"/>
          <w:color w:val="auto"/>
          <w:sz w:val="24"/>
          <w:highlight w:val="none"/>
          <w:lang w:val="zh-CN"/>
        </w:rPr>
        <w:t xml:space="preserve">                               </w:t>
      </w:r>
      <w:r>
        <w:rPr>
          <w:rFonts w:hint="eastAsia" w:ascii="宋体" w:hAnsi="宋体"/>
          <w:color w:val="auto"/>
          <w:sz w:val="24"/>
          <w:highlight w:val="none"/>
          <w:lang w:val="zh-CN"/>
        </w:rPr>
        <w:t>邮政编码：</w:t>
      </w:r>
    </w:p>
    <w:p w14:paraId="7BE30AB3">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电话</w:t>
      </w:r>
      <w:r>
        <w:rPr>
          <w:rFonts w:ascii="宋体" w:hAnsi="宋体"/>
          <w:color w:val="auto"/>
          <w:sz w:val="24"/>
          <w:highlight w:val="none"/>
          <w:lang w:val="zh-CN"/>
        </w:rPr>
        <w:t xml:space="preserve">:                                    电话: </w:t>
      </w:r>
    </w:p>
    <w:p w14:paraId="4026D3FD">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传真</w:t>
      </w:r>
      <w:r>
        <w:rPr>
          <w:rFonts w:ascii="宋体" w:hAnsi="宋体"/>
          <w:color w:val="auto"/>
          <w:sz w:val="24"/>
          <w:highlight w:val="none"/>
          <w:lang w:val="zh-CN"/>
        </w:rPr>
        <w:t xml:space="preserve">:                                    </w:t>
      </w:r>
      <w:r>
        <w:rPr>
          <w:rFonts w:hint="eastAsia" w:ascii="宋体" w:hAnsi="宋体"/>
          <w:color w:val="auto"/>
          <w:sz w:val="24"/>
          <w:highlight w:val="none"/>
          <w:lang w:val="zh-CN"/>
        </w:rPr>
        <w:t>传真</w:t>
      </w:r>
      <w:r>
        <w:rPr>
          <w:rFonts w:ascii="宋体" w:hAnsi="宋体"/>
          <w:color w:val="auto"/>
          <w:sz w:val="24"/>
          <w:highlight w:val="none"/>
          <w:lang w:val="zh-CN"/>
        </w:rPr>
        <w:t>:</w:t>
      </w:r>
    </w:p>
    <w:p w14:paraId="760B54F7">
      <w:pPr>
        <w:autoSpaceDE w:val="0"/>
        <w:autoSpaceDN w:val="0"/>
        <w:spacing w:line="560" w:lineRule="exact"/>
        <w:rPr>
          <w:rFonts w:ascii="宋体" w:hAnsi="宋体"/>
          <w:color w:val="auto"/>
          <w:sz w:val="24"/>
          <w:highlight w:val="none"/>
        </w:rPr>
      </w:pPr>
      <w:r>
        <w:rPr>
          <w:rFonts w:hint="eastAsia" w:ascii="宋体" w:hAnsi="宋体"/>
          <w:color w:val="auto"/>
          <w:sz w:val="24"/>
          <w:highlight w:val="none"/>
          <w:lang w:val="zh-CN"/>
        </w:rPr>
        <w:t>电子邮箱：</w:t>
      </w:r>
      <w:r>
        <w:rPr>
          <w:rFonts w:ascii="宋体" w:hAnsi="宋体"/>
          <w:color w:val="auto"/>
          <w:sz w:val="24"/>
          <w:highlight w:val="none"/>
          <w:lang w:val="zh-CN"/>
        </w:rPr>
        <w:t xml:space="preserve">                               </w:t>
      </w:r>
      <w:r>
        <w:rPr>
          <w:rFonts w:hint="eastAsia" w:ascii="宋体" w:hAnsi="宋体"/>
          <w:color w:val="auto"/>
          <w:sz w:val="24"/>
          <w:highlight w:val="none"/>
          <w:lang w:val="zh-CN"/>
        </w:rPr>
        <w:t>电子邮箱：</w:t>
      </w:r>
    </w:p>
    <w:p w14:paraId="7D3D418F">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开户银行：</w:t>
      </w:r>
      <w:r>
        <w:rPr>
          <w:rFonts w:ascii="宋体" w:hAnsi="宋体"/>
          <w:color w:val="auto"/>
          <w:sz w:val="24"/>
          <w:highlight w:val="none"/>
        </w:rPr>
        <w:t xml:space="preserve">                               开户银行： </w:t>
      </w:r>
    </w:p>
    <w:p w14:paraId="57CBD516">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开户名称：</w:t>
      </w:r>
      <w:r>
        <w:rPr>
          <w:rFonts w:ascii="宋体" w:hAnsi="宋体"/>
          <w:color w:val="auto"/>
          <w:sz w:val="24"/>
          <w:highlight w:val="none"/>
        </w:rPr>
        <w:t xml:space="preserve">                               开户名称： </w:t>
      </w:r>
    </w:p>
    <w:p w14:paraId="5A2146EF">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开户账号：</w:t>
      </w:r>
      <w:r>
        <w:rPr>
          <w:rFonts w:ascii="宋体" w:hAnsi="宋体"/>
          <w:color w:val="auto"/>
          <w:sz w:val="24"/>
          <w:highlight w:val="none"/>
          <w:lang w:val="zh-CN"/>
        </w:rPr>
        <w:t xml:space="preserve">                               </w:t>
      </w:r>
      <w:r>
        <w:rPr>
          <w:rFonts w:hint="eastAsia" w:ascii="宋体" w:hAnsi="宋体"/>
          <w:color w:val="auto"/>
          <w:sz w:val="24"/>
          <w:highlight w:val="none"/>
        </w:rPr>
        <w:t>开户账号：</w:t>
      </w:r>
    </w:p>
    <w:p w14:paraId="29FD03B9">
      <w:pPr>
        <w:widowControl/>
        <w:spacing w:line="560" w:lineRule="exact"/>
        <w:jc w:val="left"/>
        <w:rPr>
          <w:rFonts w:ascii="宋体" w:hAnsi="宋体"/>
          <w:b/>
          <w:color w:val="auto"/>
          <w:sz w:val="24"/>
          <w:highlight w:val="none"/>
        </w:rPr>
      </w:pPr>
    </w:p>
    <w:p w14:paraId="137C1317">
      <w:pPr>
        <w:widowControl/>
        <w:adjustRightInd/>
        <w:jc w:val="left"/>
        <w:rPr>
          <w:rFonts w:ascii="宋体" w:hAnsi="宋体"/>
          <w:b/>
          <w:color w:val="auto"/>
          <w:sz w:val="24"/>
          <w:highlight w:val="none"/>
        </w:rPr>
      </w:pPr>
      <w:r>
        <w:rPr>
          <w:rFonts w:ascii="宋体" w:hAnsi="宋体"/>
          <w:b/>
          <w:color w:val="auto"/>
          <w:highlight w:val="none"/>
        </w:rPr>
        <w:br w:type="page"/>
      </w:r>
    </w:p>
    <w:p w14:paraId="532661CF">
      <w:pPr>
        <w:pStyle w:val="701"/>
        <w:spacing w:line="560" w:lineRule="exact"/>
        <w:ind w:firstLine="482"/>
        <w:jc w:val="center"/>
        <w:rPr>
          <w:rFonts w:ascii="宋体" w:hAnsi="宋体"/>
          <w:b/>
          <w:color w:val="auto"/>
          <w:szCs w:val="24"/>
          <w:highlight w:val="none"/>
        </w:rPr>
      </w:pPr>
      <w:r>
        <w:rPr>
          <w:rFonts w:hint="eastAsia" w:ascii="宋体" w:hAnsi="宋体"/>
          <w:b/>
          <w:color w:val="auto"/>
          <w:szCs w:val="24"/>
          <w:highlight w:val="none"/>
        </w:rPr>
        <w:t>第二部分</w:t>
      </w:r>
      <w:r>
        <w:rPr>
          <w:rFonts w:ascii="宋体" w:hAnsi="宋体"/>
          <w:b/>
          <w:color w:val="auto"/>
          <w:szCs w:val="24"/>
          <w:highlight w:val="none"/>
        </w:rPr>
        <w:t xml:space="preserve"> </w:t>
      </w:r>
      <w:r>
        <w:rPr>
          <w:rFonts w:hint="eastAsia" w:ascii="宋体" w:hAnsi="宋体"/>
          <w:b/>
          <w:color w:val="auto"/>
          <w:szCs w:val="24"/>
          <w:highlight w:val="none"/>
        </w:rPr>
        <w:t>合同一般条款</w:t>
      </w:r>
    </w:p>
    <w:p w14:paraId="2D884166">
      <w:pPr>
        <w:spacing w:line="560" w:lineRule="exact"/>
        <w:ind w:firstLine="482" w:firstLineChars="200"/>
        <w:outlineLvl w:val="0"/>
        <w:rPr>
          <w:rFonts w:ascii="宋体" w:hAnsi="宋体"/>
          <w:b/>
          <w:color w:val="auto"/>
          <w:sz w:val="24"/>
          <w:highlight w:val="none"/>
        </w:rPr>
      </w:pPr>
      <w:bookmarkStart w:id="458" w:name="_Toc25079"/>
      <w:bookmarkStart w:id="459" w:name="_Toc14021"/>
      <w:bookmarkStart w:id="460" w:name="_Toc31297"/>
      <w:bookmarkStart w:id="461" w:name="_Toc5228"/>
      <w:bookmarkStart w:id="462" w:name="_Toc19680"/>
      <w:r>
        <w:rPr>
          <w:rFonts w:ascii="宋体" w:hAnsi="宋体"/>
          <w:b/>
          <w:color w:val="auto"/>
          <w:sz w:val="24"/>
          <w:highlight w:val="none"/>
        </w:rPr>
        <w:t>2.1 定义</w:t>
      </w:r>
      <w:bookmarkEnd w:id="458"/>
      <w:bookmarkEnd w:id="459"/>
      <w:bookmarkEnd w:id="460"/>
      <w:bookmarkEnd w:id="461"/>
      <w:bookmarkEnd w:id="462"/>
    </w:p>
    <w:p w14:paraId="4F0B2540">
      <w:pPr>
        <w:spacing w:line="560" w:lineRule="exact"/>
        <w:ind w:firstLine="480" w:firstLineChars="200"/>
        <w:rPr>
          <w:rFonts w:ascii="宋体" w:hAnsi="宋体"/>
          <w:color w:val="auto"/>
          <w:sz w:val="24"/>
          <w:highlight w:val="none"/>
        </w:rPr>
      </w:pPr>
      <w:r>
        <w:rPr>
          <w:rFonts w:ascii="宋体" w:hAnsi="宋体"/>
          <w:color w:val="auto"/>
          <w:sz w:val="24"/>
          <w:highlight w:val="none"/>
        </w:rPr>
        <w:t>本合同中的下列</w:t>
      </w:r>
      <w:r>
        <w:rPr>
          <w:rFonts w:hint="eastAsia" w:ascii="宋体" w:hAnsi="宋体"/>
          <w:color w:val="auto"/>
          <w:sz w:val="24"/>
          <w:highlight w:val="none"/>
        </w:rPr>
        <w:t>词</w:t>
      </w:r>
      <w:r>
        <w:rPr>
          <w:rFonts w:ascii="宋体" w:hAnsi="宋体"/>
          <w:color w:val="auto"/>
          <w:sz w:val="24"/>
          <w:highlight w:val="none"/>
        </w:rPr>
        <w:t>语应</w:t>
      </w:r>
      <w:r>
        <w:rPr>
          <w:rFonts w:hint="eastAsia" w:ascii="宋体" w:hAnsi="宋体"/>
          <w:color w:val="auto"/>
          <w:sz w:val="24"/>
          <w:highlight w:val="none"/>
        </w:rPr>
        <w:t>按以下内容进行</w:t>
      </w:r>
      <w:r>
        <w:rPr>
          <w:rFonts w:ascii="宋体" w:hAnsi="宋体"/>
          <w:color w:val="auto"/>
          <w:sz w:val="24"/>
          <w:highlight w:val="none"/>
        </w:rPr>
        <w:t>解释：</w:t>
      </w:r>
    </w:p>
    <w:p w14:paraId="74EE1C7B">
      <w:pPr>
        <w:spacing w:line="560" w:lineRule="exact"/>
        <w:ind w:firstLine="480" w:firstLineChars="200"/>
        <w:rPr>
          <w:rFonts w:ascii="宋体" w:hAnsi="宋体"/>
          <w:color w:val="auto"/>
          <w:sz w:val="24"/>
          <w:highlight w:val="none"/>
        </w:rPr>
      </w:pPr>
      <w:r>
        <w:rPr>
          <w:rFonts w:ascii="宋体" w:hAnsi="宋体"/>
          <w:color w:val="auto"/>
          <w:sz w:val="24"/>
          <w:highlight w:val="none"/>
        </w:rPr>
        <w:t>2.1.1 “合同”系指采购人和</w:t>
      </w:r>
      <w:r>
        <w:rPr>
          <w:rFonts w:hint="eastAsia" w:ascii="宋体" w:hAnsi="宋体" w:cs="宋体"/>
          <w:color w:val="auto"/>
          <w:sz w:val="24"/>
          <w:highlight w:val="none"/>
        </w:rPr>
        <w:t>中标或成交</w:t>
      </w:r>
      <w:r>
        <w:rPr>
          <w:rFonts w:ascii="宋体" w:hAnsi="宋体"/>
          <w:color w:val="auto"/>
          <w:sz w:val="24"/>
          <w:highlight w:val="none"/>
        </w:rPr>
        <w:t>供应商签订的载明双方当事人所达成的协议，并包括所有的附件、附录和构成合同的其他文件。</w:t>
      </w:r>
    </w:p>
    <w:p w14:paraId="7E17F889">
      <w:pPr>
        <w:spacing w:line="560" w:lineRule="exact"/>
        <w:ind w:firstLine="480" w:firstLineChars="200"/>
        <w:rPr>
          <w:rFonts w:ascii="宋体" w:hAnsi="宋体"/>
          <w:color w:val="auto"/>
          <w:sz w:val="24"/>
          <w:highlight w:val="none"/>
        </w:rPr>
      </w:pPr>
      <w:r>
        <w:rPr>
          <w:rFonts w:ascii="宋体" w:hAnsi="宋体"/>
          <w:color w:val="auto"/>
          <w:sz w:val="24"/>
          <w:highlight w:val="none"/>
        </w:rPr>
        <w:t>2.1.2 “合同价”系指根据合同约定，</w:t>
      </w:r>
      <w:r>
        <w:rPr>
          <w:rFonts w:hint="eastAsia" w:ascii="宋体" w:hAnsi="宋体" w:cs="宋体"/>
          <w:color w:val="auto"/>
          <w:sz w:val="24"/>
          <w:highlight w:val="none"/>
        </w:rPr>
        <w:t>中标或成交</w:t>
      </w:r>
      <w:r>
        <w:rPr>
          <w:rFonts w:ascii="宋体" w:hAnsi="宋体"/>
          <w:color w:val="auto"/>
          <w:sz w:val="24"/>
          <w:highlight w:val="none"/>
        </w:rPr>
        <w:t>供应商在完全履行合同义务后</w:t>
      </w:r>
      <w:r>
        <w:rPr>
          <w:rFonts w:hint="eastAsia" w:ascii="宋体" w:hAnsi="宋体"/>
          <w:color w:val="auto"/>
          <w:sz w:val="24"/>
          <w:highlight w:val="none"/>
        </w:rPr>
        <w:t>，</w:t>
      </w:r>
      <w:r>
        <w:rPr>
          <w:rFonts w:ascii="宋体" w:hAnsi="宋体"/>
          <w:color w:val="auto"/>
          <w:sz w:val="24"/>
          <w:highlight w:val="none"/>
        </w:rPr>
        <w:t>采购人应支付给</w:t>
      </w:r>
      <w:r>
        <w:rPr>
          <w:rFonts w:hint="eastAsia" w:ascii="宋体" w:hAnsi="宋体" w:cs="宋体"/>
          <w:color w:val="auto"/>
          <w:sz w:val="24"/>
          <w:highlight w:val="none"/>
        </w:rPr>
        <w:t>中标或成交</w:t>
      </w:r>
      <w:r>
        <w:rPr>
          <w:rFonts w:ascii="宋体" w:hAnsi="宋体"/>
          <w:color w:val="auto"/>
          <w:sz w:val="24"/>
          <w:highlight w:val="none"/>
        </w:rPr>
        <w:t>供应商的价格。</w:t>
      </w:r>
    </w:p>
    <w:p w14:paraId="13175082">
      <w:pPr>
        <w:spacing w:line="560" w:lineRule="exact"/>
        <w:ind w:firstLine="480" w:firstLineChars="200"/>
        <w:rPr>
          <w:rFonts w:ascii="宋体" w:hAnsi="宋体"/>
          <w:color w:val="auto"/>
          <w:sz w:val="24"/>
          <w:highlight w:val="none"/>
        </w:rPr>
      </w:pPr>
      <w:r>
        <w:rPr>
          <w:rFonts w:ascii="宋体" w:hAnsi="宋体"/>
          <w:color w:val="auto"/>
          <w:sz w:val="24"/>
          <w:highlight w:val="none"/>
        </w:rPr>
        <w:t>2.1.3 “</w:t>
      </w:r>
      <w:r>
        <w:rPr>
          <w:rFonts w:hint="eastAsia" w:ascii="宋体" w:hAnsi="宋体"/>
          <w:color w:val="auto"/>
          <w:sz w:val="24"/>
          <w:highlight w:val="none"/>
        </w:rPr>
        <w:t>服务</w:t>
      </w:r>
      <w:r>
        <w:rPr>
          <w:rFonts w:ascii="宋体" w:hAnsi="宋体"/>
          <w:color w:val="auto"/>
          <w:sz w:val="24"/>
          <w:highlight w:val="none"/>
        </w:rPr>
        <w:t>”系指</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根据合同约定应向采购人</w:t>
      </w:r>
      <w:r>
        <w:rPr>
          <w:rFonts w:hint="eastAsia" w:ascii="宋体" w:hAnsi="宋体"/>
          <w:color w:val="auto"/>
          <w:sz w:val="24"/>
          <w:highlight w:val="none"/>
        </w:rPr>
        <w:t>履行</w:t>
      </w:r>
      <w:r>
        <w:rPr>
          <w:rFonts w:ascii="宋体" w:hAnsi="宋体"/>
          <w:color w:val="auto"/>
          <w:sz w:val="24"/>
          <w:highlight w:val="none"/>
        </w:rPr>
        <w:t>的</w:t>
      </w:r>
      <w:r>
        <w:rPr>
          <w:rFonts w:hint="eastAsia" w:ascii="宋体" w:hAnsi="宋体"/>
          <w:color w:val="auto"/>
          <w:sz w:val="24"/>
          <w:highlight w:val="none"/>
        </w:rPr>
        <w:t>除货物和工程以外的其他政府采购对象，包括采购人自身需要的服务和向社会公众提供的公共服务。</w:t>
      </w:r>
    </w:p>
    <w:p w14:paraId="419E1E0B">
      <w:pPr>
        <w:spacing w:line="560" w:lineRule="exact"/>
        <w:ind w:firstLine="480" w:firstLineChars="200"/>
        <w:rPr>
          <w:rFonts w:ascii="宋体" w:hAnsi="宋体"/>
          <w:color w:val="auto"/>
          <w:sz w:val="24"/>
          <w:highlight w:val="none"/>
        </w:rPr>
      </w:pPr>
      <w:r>
        <w:rPr>
          <w:rFonts w:ascii="宋体" w:hAnsi="宋体"/>
          <w:color w:val="auto"/>
          <w:sz w:val="24"/>
          <w:highlight w:val="none"/>
        </w:rPr>
        <w:t>2.1.4 “</w:t>
      </w:r>
      <w:r>
        <w:rPr>
          <w:rFonts w:hint="eastAsia" w:ascii="宋体" w:hAnsi="宋体"/>
          <w:color w:val="auto"/>
          <w:sz w:val="24"/>
          <w:highlight w:val="none"/>
        </w:rPr>
        <w:t>甲方</w:t>
      </w:r>
      <w:r>
        <w:rPr>
          <w:rFonts w:ascii="宋体" w:hAnsi="宋体"/>
          <w:color w:val="auto"/>
          <w:sz w:val="24"/>
          <w:highlight w:val="none"/>
        </w:rPr>
        <w:t>”系指与</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签署合同的采购人</w:t>
      </w:r>
      <w:r>
        <w:rPr>
          <w:rFonts w:hint="eastAsia" w:ascii="宋体" w:hAnsi="宋体"/>
          <w:color w:val="auto"/>
          <w:sz w:val="24"/>
          <w:highlight w:val="none"/>
        </w:rPr>
        <w:t>；采购人委托采购代理机构代表其与乙方签订合同的，采购人的授权委托书作为合同附件。</w:t>
      </w:r>
    </w:p>
    <w:p w14:paraId="72583325">
      <w:pPr>
        <w:spacing w:line="560" w:lineRule="exact"/>
        <w:ind w:firstLine="480" w:firstLineChars="200"/>
        <w:rPr>
          <w:rFonts w:ascii="宋体" w:hAnsi="宋体"/>
          <w:color w:val="auto"/>
          <w:sz w:val="24"/>
          <w:highlight w:val="none"/>
        </w:rPr>
      </w:pPr>
      <w:r>
        <w:rPr>
          <w:rFonts w:ascii="宋体" w:hAnsi="宋体"/>
          <w:color w:val="auto"/>
          <w:sz w:val="24"/>
          <w:highlight w:val="none"/>
        </w:rPr>
        <w:t>2.1.5 “乙方”系指根据合同约定提供服务的</w:t>
      </w:r>
      <w:r>
        <w:rPr>
          <w:rFonts w:hint="eastAsia" w:ascii="宋体" w:hAnsi="宋体" w:cs="宋体"/>
          <w:color w:val="auto"/>
          <w:sz w:val="24"/>
          <w:highlight w:val="none"/>
        </w:rPr>
        <w:t>中标或成交</w:t>
      </w:r>
      <w:r>
        <w:rPr>
          <w:rFonts w:ascii="宋体" w:hAnsi="宋体"/>
          <w:color w:val="auto"/>
          <w:sz w:val="24"/>
          <w:highlight w:val="none"/>
        </w:rPr>
        <w:t>供应商</w:t>
      </w:r>
      <w:r>
        <w:rPr>
          <w:rFonts w:hint="eastAsia" w:ascii="宋体" w:hAnsi="宋体"/>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516DA58A">
      <w:pPr>
        <w:spacing w:line="560" w:lineRule="exact"/>
        <w:ind w:firstLine="480" w:firstLineChars="200"/>
        <w:rPr>
          <w:rFonts w:ascii="宋体" w:hAnsi="宋体"/>
          <w:color w:val="auto"/>
          <w:sz w:val="24"/>
          <w:highlight w:val="none"/>
        </w:rPr>
      </w:pPr>
      <w:r>
        <w:rPr>
          <w:rFonts w:ascii="宋体" w:hAnsi="宋体"/>
          <w:color w:val="auto"/>
          <w:sz w:val="24"/>
          <w:highlight w:val="none"/>
        </w:rPr>
        <w:t>2.1.6 “现场”系指合同约定提供服务的地点。</w:t>
      </w:r>
    </w:p>
    <w:p w14:paraId="7DE82329">
      <w:pPr>
        <w:spacing w:line="560" w:lineRule="exact"/>
        <w:ind w:firstLine="482" w:firstLineChars="200"/>
        <w:outlineLvl w:val="0"/>
        <w:rPr>
          <w:rFonts w:ascii="宋体" w:hAnsi="宋体"/>
          <w:b/>
          <w:color w:val="auto"/>
          <w:sz w:val="24"/>
          <w:highlight w:val="none"/>
        </w:rPr>
      </w:pPr>
      <w:bookmarkStart w:id="463" w:name="_Toc23289"/>
      <w:bookmarkStart w:id="464" w:name="_Toc16752"/>
      <w:bookmarkStart w:id="465" w:name="_Toc3769"/>
      <w:bookmarkStart w:id="466" w:name="_Toc19539"/>
      <w:bookmarkStart w:id="467" w:name="_Toc31402"/>
      <w:r>
        <w:rPr>
          <w:rFonts w:ascii="宋体" w:hAnsi="宋体"/>
          <w:b/>
          <w:color w:val="auto"/>
          <w:sz w:val="24"/>
          <w:highlight w:val="none"/>
        </w:rPr>
        <w:t>2.2 技术规范</w:t>
      </w:r>
      <w:bookmarkEnd w:id="463"/>
      <w:bookmarkEnd w:id="464"/>
      <w:bookmarkEnd w:id="465"/>
      <w:bookmarkEnd w:id="466"/>
      <w:bookmarkEnd w:id="467"/>
    </w:p>
    <w:p w14:paraId="504C2426">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服务</w:t>
      </w:r>
      <w:r>
        <w:rPr>
          <w:rFonts w:ascii="宋体" w:hAnsi="宋体"/>
          <w:color w:val="auto"/>
          <w:sz w:val="24"/>
          <w:highlight w:val="none"/>
        </w:rPr>
        <w:t>所应遵守的技术规范应与采购文件规定的技术规范和技术规范附件(如果有的话)及其技术规范偏差表(如果被甲方接受的话)相一致</w:t>
      </w:r>
      <w:r>
        <w:rPr>
          <w:rFonts w:hint="eastAsia" w:ascii="宋体" w:hAnsi="宋体"/>
          <w:color w:val="auto"/>
          <w:sz w:val="24"/>
          <w:highlight w:val="none"/>
        </w:rPr>
        <w:t>；</w:t>
      </w:r>
      <w:r>
        <w:rPr>
          <w:rFonts w:ascii="宋体" w:hAnsi="宋体"/>
          <w:color w:val="auto"/>
          <w:sz w:val="24"/>
          <w:highlight w:val="none"/>
        </w:rPr>
        <w:t>如果采购文件中没有技术规范的相应说明，那么应以国家有关部门最新颁布的相应标准</w:t>
      </w:r>
      <w:r>
        <w:rPr>
          <w:rFonts w:hint="eastAsia" w:ascii="宋体" w:hAnsi="宋体"/>
          <w:color w:val="auto"/>
          <w:sz w:val="24"/>
          <w:highlight w:val="none"/>
        </w:rPr>
        <w:t>和</w:t>
      </w:r>
      <w:r>
        <w:rPr>
          <w:rFonts w:ascii="宋体" w:hAnsi="宋体"/>
          <w:color w:val="auto"/>
          <w:sz w:val="24"/>
          <w:highlight w:val="none"/>
        </w:rPr>
        <w:t>规范为准。</w:t>
      </w:r>
    </w:p>
    <w:p w14:paraId="4BE59A2A">
      <w:pPr>
        <w:spacing w:line="560" w:lineRule="exact"/>
        <w:ind w:firstLine="482" w:firstLineChars="200"/>
        <w:outlineLvl w:val="0"/>
        <w:rPr>
          <w:rFonts w:ascii="宋体" w:hAnsi="宋体"/>
          <w:b/>
          <w:color w:val="auto"/>
          <w:sz w:val="24"/>
          <w:highlight w:val="none"/>
        </w:rPr>
      </w:pPr>
      <w:bookmarkStart w:id="468" w:name="_Toc9161"/>
      <w:bookmarkStart w:id="469" w:name="_Toc13673"/>
      <w:bookmarkStart w:id="470" w:name="_Toc27945"/>
      <w:bookmarkStart w:id="471" w:name="_Toc12412"/>
      <w:bookmarkStart w:id="472" w:name="_Toc4133"/>
      <w:r>
        <w:rPr>
          <w:rFonts w:ascii="宋体" w:hAnsi="宋体"/>
          <w:b/>
          <w:color w:val="auto"/>
          <w:sz w:val="24"/>
          <w:highlight w:val="none"/>
        </w:rPr>
        <w:t>2.3 知识产权</w:t>
      </w:r>
      <w:bookmarkEnd w:id="468"/>
      <w:bookmarkEnd w:id="469"/>
      <w:bookmarkEnd w:id="470"/>
      <w:bookmarkEnd w:id="471"/>
      <w:bookmarkEnd w:id="472"/>
    </w:p>
    <w:p w14:paraId="0AAE351D">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2.3.1 </w:t>
      </w:r>
      <w:r>
        <w:rPr>
          <w:rFonts w:hint="eastAsia" w:ascii="宋体" w:hAnsi="宋体"/>
          <w:color w:val="auto"/>
          <w:sz w:val="24"/>
          <w:highlight w:val="none"/>
        </w:rPr>
        <w:t>乙</w:t>
      </w:r>
      <w:r>
        <w:rPr>
          <w:rFonts w:ascii="宋体" w:hAnsi="宋体"/>
          <w:color w:val="auto"/>
          <w:sz w:val="24"/>
          <w:highlight w:val="none"/>
        </w:rPr>
        <w:t>方应保证</w:t>
      </w:r>
      <w:r>
        <w:rPr>
          <w:rFonts w:hint="eastAsia" w:ascii="宋体" w:hAnsi="宋体"/>
          <w:color w:val="auto"/>
          <w:sz w:val="24"/>
          <w:highlight w:val="none"/>
        </w:rPr>
        <w:t>其提供的服务</w:t>
      </w:r>
      <w:r>
        <w:rPr>
          <w:rFonts w:ascii="宋体" w:hAnsi="宋体"/>
          <w:color w:val="auto"/>
          <w:sz w:val="24"/>
          <w:highlight w:val="none"/>
        </w:rPr>
        <w:t>不受任何第三方提出的侵犯其著作权、商标权、专利权等知识产权方面的起诉</w:t>
      </w:r>
      <w:r>
        <w:rPr>
          <w:rFonts w:hint="eastAsia" w:ascii="宋体" w:hAnsi="宋体"/>
          <w:color w:val="auto"/>
          <w:sz w:val="24"/>
          <w:highlight w:val="none"/>
        </w:rPr>
        <w:t>；</w:t>
      </w:r>
      <w:r>
        <w:rPr>
          <w:rFonts w:ascii="宋体" w:hAnsi="宋体"/>
          <w:color w:val="auto"/>
          <w:sz w:val="24"/>
          <w:highlight w:val="none"/>
        </w:rPr>
        <w:t>如果任何第三方提出侵权</w:t>
      </w:r>
      <w:r>
        <w:rPr>
          <w:rFonts w:hint="eastAsia" w:ascii="宋体" w:hAnsi="宋体"/>
          <w:color w:val="auto"/>
          <w:sz w:val="24"/>
          <w:highlight w:val="none"/>
        </w:rPr>
        <w:t>指控</w:t>
      </w:r>
      <w:r>
        <w:rPr>
          <w:rFonts w:ascii="宋体" w:hAnsi="宋体"/>
          <w:color w:val="auto"/>
          <w:sz w:val="24"/>
          <w:highlight w:val="none"/>
        </w:rPr>
        <w:t>，那么乙方须与该第三方交涉并承担由此发生的一切责任、费用和赔偿</w:t>
      </w:r>
      <w:r>
        <w:rPr>
          <w:rFonts w:hint="eastAsia" w:ascii="宋体" w:hAnsi="宋体"/>
          <w:color w:val="auto"/>
          <w:sz w:val="24"/>
          <w:highlight w:val="none"/>
        </w:rPr>
        <w:t>，乙方还应及时澄清相关信息，使甲方声誉免受损害，甲方保留追责的权利。</w:t>
      </w:r>
    </w:p>
    <w:p w14:paraId="60CD32DA">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2.3.2 </w:t>
      </w:r>
      <w:r>
        <w:rPr>
          <w:rFonts w:hint="eastAsia" w:ascii="宋体" w:hAnsi="宋体"/>
          <w:color w:val="auto"/>
          <w:sz w:val="24"/>
          <w:highlight w:val="none"/>
        </w:rPr>
        <w:t>合同涉及技术成果的归属和收益的分成办法的，</w:t>
      </w: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14:paraId="094C340E">
      <w:pPr>
        <w:spacing w:line="560" w:lineRule="exact"/>
        <w:ind w:firstLine="482" w:firstLineChars="200"/>
        <w:rPr>
          <w:rFonts w:ascii="宋体" w:hAnsi="宋体"/>
          <w:b/>
          <w:color w:val="auto"/>
          <w:sz w:val="24"/>
          <w:highlight w:val="none"/>
        </w:rPr>
      </w:pPr>
      <w:r>
        <w:rPr>
          <w:rFonts w:ascii="宋体" w:hAnsi="宋体"/>
          <w:b/>
          <w:color w:val="auto"/>
          <w:sz w:val="24"/>
          <w:highlight w:val="none"/>
        </w:rPr>
        <w:t xml:space="preserve">2.4 </w:t>
      </w:r>
      <w:r>
        <w:rPr>
          <w:rFonts w:hint="eastAsia" w:ascii="宋体" w:hAnsi="宋体"/>
          <w:b/>
          <w:color w:val="auto"/>
          <w:sz w:val="24"/>
          <w:highlight w:val="none"/>
        </w:rPr>
        <w:t>履约检查和问题反馈</w:t>
      </w:r>
    </w:p>
    <w:p w14:paraId="35BE1BD2">
      <w:pPr>
        <w:spacing w:line="560" w:lineRule="exact"/>
        <w:ind w:firstLine="480" w:firstLineChars="200"/>
        <w:rPr>
          <w:rFonts w:ascii="宋体" w:hAnsi="宋体"/>
          <w:color w:val="auto"/>
          <w:sz w:val="24"/>
          <w:highlight w:val="none"/>
        </w:rPr>
      </w:pPr>
      <w:r>
        <w:rPr>
          <w:rFonts w:ascii="宋体" w:hAnsi="宋体"/>
          <w:color w:val="auto"/>
          <w:sz w:val="24"/>
          <w:highlight w:val="none"/>
        </w:rPr>
        <w:t>2.4.1甲方</w:t>
      </w:r>
      <w:r>
        <w:rPr>
          <w:rFonts w:hint="eastAsia" w:ascii="宋体" w:hAnsi="宋体"/>
          <w:color w:val="auto"/>
          <w:sz w:val="24"/>
          <w:highlight w:val="none"/>
        </w:rPr>
        <w:t>有权</w:t>
      </w:r>
      <w:r>
        <w:rPr>
          <w:rFonts w:ascii="宋体" w:hAnsi="宋体"/>
          <w:color w:val="auto"/>
          <w:sz w:val="24"/>
          <w:highlight w:val="none"/>
        </w:rPr>
        <w:t>在其认为必要时</w:t>
      </w:r>
      <w:r>
        <w:rPr>
          <w:rFonts w:hint="eastAsia" w:ascii="宋体" w:hAnsi="宋体"/>
          <w:color w:val="auto"/>
          <w:sz w:val="24"/>
          <w:highlight w:val="none"/>
        </w:rPr>
        <w:t>，对乙方是否能够按照合同约定提供服务进行履约检查，以确保乙方所提供的服务能够依约满足甲方之项目需求，但不得因履约检查妨碍乙方的正常工作，乙方应予积极配合；</w:t>
      </w:r>
    </w:p>
    <w:p w14:paraId="3B13BF06">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2.4.2 </w:t>
      </w:r>
      <w:r>
        <w:rPr>
          <w:rFonts w:hint="eastAsia" w:ascii="宋体" w:hAnsi="宋体"/>
          <w:color w:val="auto"/>
          <w:sz w:val="24"/>
          <w:highlight w:val="none"/>
        </w:rPr>
        <w:t>合同履行期间，甲方有权将履行过程中出现的问题反馈给乙方，双方当事人应以书面形式约定需要完善和改进的内容。</w:t>
      </w:r>
    </w:p>
    <w:p w14:paraId="251C69D1">
      <w:pPr>
        <w:spacing w:line="560" w:lineRule="exact"/>
        <w:ind w:firstLine="482" w:firstLineChars="200"/>
        <w:outlineLvl w:val="0"/>
        <w:rPr>
          <w:rFonts w:ascii="宋体" w:hAnsi="宋体"/>
          <w:b/>
          <w:color w:val="auto"/>
          <w:sz w:val="24"/>
          <w:highlight w:val="none"/>
        </w:rPr>
      </w:pPr>
      <w:bookmarkStart w:id="473" w:name="_Toc26555"/>
      <w:bookmarkStart w:id="474" w:name="_Toc31233"/>
      <w:bookmarkStart w:id="475" w:name="_Toc32670"/>
      <w:bookmarkStart w:id="476" w:name="_Toc15447"/>
      <w:bookmarkStart w:id="477" w:name="_Toc22011"/>
      <w:r>
        <w:rPr>
          <w:rFonts w:ascii="宋体" w:hAnsi="宋体"/>
          <w:b/>
          <w:color w:val="auto"/>
          <w:sz w:val="24"/>
          <w:highlight w:val="none"/>
        </w:rPr>
        <w:t>2.5 结算方式和付款条件</w:t>
      </w:r>
      <w:bookmarkEnd w:id="473"/>
      <w:bookmarkEnd w:id="474"/>
      <w:bookmarkEnd w:id="475"/>
      <w:bookmarkEnd w:id="476"/>
      <w:bookmarkEnd w:id="477"/>
    </w:p>
    <w:p w14:paraId="7E704B25">
      <w:pPr>
        <w:spacing w:line="560" w:lineRule="exact"/>
        <w:ind w:firstLine="480" w:firstLineChars="200"/>
        <w:rPr>
          <w:rFonts w:ascii="宋体" w:hAnsi="宋体"/>
          <w:color w:val="auto"/>
          <w:sz w:val="24"/>
          <w:highlight w:val="none"/>
        </w:rPr>
      </w:pP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14:paraId="224AB44E">
      <w:pPr>
        <w:spacing w:line="560" w:lineRule="exact"/>
        <w:ind w:firstLine="482" w:firstLineChars="200"/>
        <w:outlineLvl w:val="0"/>
        <w:rPr>
          <w:rFonts w:ascii="宋体" w:hAnsi="宋体"/>
          <w:b/>
          <w:color w:val="auto"/>
          <w:sz w:val="24"/>
          <w:highlight w:val="none"/>
        </w:rPr>
      </w:pPr>
      <w:bookmarkStart w:id="478" w:name="_Toc13467"/>
      <w:bookmarkStart w:id="479" w:name="_Toc18990"/>
      <w:bookmarkStart w:id="480" w:name="_Toc13154"/>
      <w:bookmarkStart w:id="481" w:name="_Toc16163"/>
      <w:bookmarkStart w:id="482" w:name="_Toc30507"/>
      <w:r>
        <w:rPr>
          <w:rFonts w:ascii="宋体" w:hAnsi="宋体"/>
          <w:b/>
          <w:color w:val="auto"/>
          <w:sz w:val="24"/>
          <w:highlight w:val="none"/>
        </w:rPr>
        <w:t>2.6 技术资料和保密义务</w:t>
      </w:r>
      <w:bookmarkEnd w:id="478"/>
      <w:bookmarkEnd w:id="479"/>
      <w:bookmarkEnd w:id="480"/>
      <w:bookmarkEnd w:id="481"/>
      <w:bookmarkEnd w:id="482"/>
    </w:p>
    <w:p w14:paraId="0DADD069">
      <w:pPr>
        <w:spacing w:line="560" w:lineRule="exact"/>
        <w:ind w:firstLine="480" w:firstLineChars="200"/>
        <w:rPr>
          <w:rFonts w:ascii="宋体" w:hAnsi="宋体"/>
          <w:color w:val="auto"/>
          <w:sz w:val="24"/>
          <w:highlight w:val="none"/>
        </w:rPr>
      </w:pPr>
      <w:r>
        <w:rPr>
          <w:rFonts w:ascii="宋体" w:hAnsi="宋体"/>
          <w:color w:val="auto"/>
          <w:sz w:val="24"/>
          <w:highlight w:val="none"/>
        </w:rPr>
        <w:t>2.6.1 乙方有权依据合同约定和项目需要，向甲方了解有关情况，调阅有关资料等，甲方应予积极配合；</w:t>
      </w:r>
    </w:p>
    <w:p w14:paraId="0B85DA67">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2.6.2 </w:t>
      </w:r>
      <w:r>
        <w:rPr>
          <w:rFonts w:hint="eastAsia" w:ascii="宋体" w:hAnsi="宋体"/>
          <w:color w:val="auto"/>
          <w:sz w:val="24"/>
          <w:highlight w:val="none"/>
        </w:rPr>
        <w:t>乙方有义务妥善保管和保护由甲方提供的前款信息和资料等；</w:t>
      </w:r>
    </w:p>
    <w:p w14:paraId="751E0AF8">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2.6.3 </w:t>
      </w:r>
      <w:r>
        <w:rPr>
          <w:rFonts w:hint="eastAsia" w:ascii="宋体" w:hAnsi="宋体"/>
          <w:color w:val="auto"/>
          <w:sz w:val="24"/>
          <w:highlight w:val="none"/>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color w:val="auto"/>
          <w:sz w:val="24"/>
          <w:highlight w:val="none"/>
        </w:rPr>
        <w:t>技术情报</w:t>
      </w:r>
      <w:r>
        <w:rPr>
          <w:rFonts w:hint="eastAsia" w:ascii="宋体" w:hAnsi="宋体"/>
          <w:color w:val="auto"/>
          <w:sz w:val="24"/>
          <w:highlight w:val="none"/>
        </w:rPr>
        <w:t>、</w:t>
      </w:r>
      <w:r>
        <w:rPr>
          <w:rFonts w:ascii="宋体" w:hAnsi="宋体"/>
          <w:color w:val="auto"/>
          <w:sz w:val="24"/>
          <w:highlight w:val="none"/>
        </w:rPr>
        <w:t>技术资料</w:t>
      </w:r>
      <w:r>
        <w:rPr>
          <w:rFonts w:hint="eastAsia" w:ascii="宋体" w:hAnsi="宋体"/>
          <w:color w:val="auto"/>
          <w:sz w:val="24"/>
          <w:highlight w:val="none"/>
        </w:rPr>
        <w:t>、商业秘密和商业信息等，并采取一切合理和必要措施和方式防止任何第三方接触到对方当事人的上述保密信息和资料。</w:t>
      </w:r>
    </w:p>
    <w:p w14:paraId="7C845247">
      <w:pPr>
        <w:spacing w:line="560" w:lineRule="exact"/>
        <w:ind w:firstLine="482" w:firstLineChars="200"/>
        <w:outlineLvl w:val="0"/>
        <w:rPr>
          <w:rFonts w:ascii="宋体" w:hAnsi="宋体"/>
          <w:b/>
          <w:color w:val="auto"/>
          <w:sz w:val="24"/>
          <w:highlight w:val="none"/>
        </w:rPr>
      </w:pPr>
      <w:bookmarkStart w:id="483" w:name="_Toc19069"/>
      <w:r>
        <w:rPr>
          <w:rFonts w:ascii="宋体" w:hAnsi="宋体"/>
          <w:b/>
          <w:color w:val="auto"/>
          <w:sz w:val="24"/>
          <w:highlight w:val="none"/>
        </w:rPr>
        <w:t xml:space="preserve">2.7 </w:t>
      </w:r>
      <w:r>
        <w:rPr>
          <w:rFonts w:hint="eastAsia" w:ascii="宋体" w:hAnsi="宋体"/>
          <w:b/>
          <w:color w:val="auto"/>
          <w:sz w:val="24"/>
          <w:highlight w:val="none"/>
        </w:rPr>
        <w:t>质量保证</w:t>
      </w:r>
      <w:bookmarkEnd w:id="483"/>
    </w:p>
    <w:p w14:paraId="64B5CA3D">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2.7.1 </w:t>
      </w:r>
      <w:r>
        <w:rPr>
          <w:rFonts w:hint="eastAsia" w:ascii="宋体" w:hAnsi="宋体"/>
          <w:color w:val="auto"/>
          <w:sz w:val="24"/>
          <w:highlight w:val="none"/>
        </w:rPr>
        <w:t>乙方应建立和完善履行合同的内部质量保证体系，并提供相关内部规章制度给甲方，以便甲方进行监督检查；</w:t>
      </w:r>
    </w:p>
    <w:p w14:paraId="11FBE83C">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2.7.2 </w:t>
      </w:r>
      <w:r>
        <w:rPr>
          <w:rFonts w:hint="eastAsia" w:ascii="宋体" w:hAnsi="宋体"/>
          <w:color w:val="auto"/>
          <w:sz w:val="24"/>
          <w:highlight w:val="none"/>
        </w:rPr>
        <w:t>乙方应保证履行合同的人员数量和素质、软件和硬件设备的配置、场地、环境和设施等满足全面履行合同的要求，并应接受甲方的监督检查。</w:t>
      </w:r>
    </w:p>
    <w:p w14:paraId="16FE714B">
      <w:pPr>
        <w:spacing w:line="560" w:lineRule="exact"/>
        <w:ind w:firstLine="482" w:firstLineChars="200"/>
        <w:outlineLvl w:val="0"/>
        <w:rPr>
          <w:rFonts w:ascii="宋体" w:hAnsi="宋体"/>
          <w:b/>
          <w:color w:val="auto"/>
          <w:sz w:val="24"/>
          <w:highlight w:val="none"/>
        </w:rPr>
      </w:pPr>
      <w:bookmarkStart w:id="484" w:name="_Toc22267"/>
      <w:r>
        <w:rPr>
          <w:rFonts w:ascii="宋体" w:hAnsi="宋体"/>
          <w:b/>
          <w:color w:val="auto"/>
          <w:sz w:val="24"/>
          <w:highlight w:val="none"/>
        </w:rPr>
        <w:t xml:space="preserve">2.8 </w:t>
      </w:r>
      <w:r>
        <w:rPr>
          <w:rFonts w:hint="eastAsia" w:ascii="宋体" w:hAnsi="宋体"/>
          <w:b/>
          <w:color w:val="auto"/>
          <w:sz w:val="24"/>
          <w:highlight w:val="none"/>
        </w:rPr>
        <w:t>延迟履行</w:t>
      </w:r>
      <w:bookmarkEnd w:id="484"/>
    </w:p>
    <w:p w14:paraId="484CFC91">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甲乙双方签订合同后，乙方应按照合同约定履行合同义务，除不可抗力外，乙方不得延迟履行。</w:t>
      </w:r>
      <w:r>
        <w:rPr>
          <w:rFonts w:ascii="宋体" w:hAnsi="宋体"/>
          <w:color w:val="auto"/>
          <w:sz w:val="24"/>
          <w:highlight w:val="none"/>
        </w:rPr>
        <w:t>在合同履行过程中，如果</w:t>
      </w:r>
      <w:r>
        <w:rPr>
          <w:rFonts w:hint="eastAsia" w:ascii="宋体" w:hAnsi="宋体"/>
          <w:color w:val="auto"/>
          <w:sz w:val="24"/>
          <w:highlight w:val="none"/>
        </w:rPr>
        <w:t>因不可抗力，</w:t>
      </w:r>
      <w:r>
        <w:rPr>
          <w:rFonts w:ascii="宋体" w:hAnsi="宋体"/>
          <w:color w:val="auto"/>
          <w:sz w:val="24"/>
          <w:highlight w:val="none"/>
        </w:rPr>
        <w:t>乙方遇到不能按时</w:t>
      </w:r>
      <w:r>
        <w:rPr>
          <w:rFonts w:hint="eastAsia" w:ascii="宋体" w:hAnsi="宋体"/>
          <w:color w:val="auto"/>
          <w:sz w:val="24"/>
          <w:highlight w:val="none"/>
        </w:rPr>
        <w:t>提供服务</w:t>
      </w:r>
      <w:r>
        <w:rPr>
          <w:rFonts w:ascii="宋体" w:hAnsi="宋体"/>
          <w:color w:val="auto"/>
          <w:sz w:val="24"/>
          <w:highlight w:val="none"/>
        </w:rPr>
        <w:t>的情况，应及时以书面形式将不能按时</w:t>
      </w:r>
      <w:r>
        <w:rPr>
          <w:rFonts w:hint="eastAsia" w:ascii="宋体" w:hAnsi="宋体"/>
          <w:color w:val="auto"/>
          <w:sz w:val="24"/>
          <w:highlight w:val="none"/>
        </w:rPr>
        <w:t>提供服务</w:t>
      </w:r>
      <w:r>
        <w:rPr>
          <w:rFonts w:ascii="宋体" w:hAnsi="宋体"/>
          <w:color w:val="auto"/>
          <w:sz w:val="24"/>
          <w:highlight w:val="none"/>
        </w:rPr>
        <w:t>的理由、预期延误时间通知甲方</w:t>
      </w:r>
      <w:r>
        <w:rPr>
          <w:rFonts w:hint="eastAsia" w:ascii="宋体" w:hAnsi="宋体"/>
          <w:color w:val="auto"/>
          <w:sz w:val="24"/>
          <w:highlight w:val="none"/>
        </w:rPr>
        <w:t>；甲</w:t>
      </w:r>
      <w:r>
        <w:rPr>
          <w:rFonts w:ascii="宋体" w:hAnsi="宋体"/>
          <w:color w:val="auto"/>
          <w:sz w:val="24"/>
          <w:highlight w:val="none"/>
        </w:rPr>
        <w:t>方收到乙方通知后，认为其理由正当的，可以书面形式酌情同意乙方可以延长</w:t>
      </w:r>
      <w:r>
        <w:rPr>
          <w:rFonts w:hint="eastAsia" w:ascii="宋体" w:hAnsi="宋体"/>
          <w:color w:val="auto"/>
          <w:sz w:val="24"/>
          <w:highlight w:val="none"/>
        </w:rPr>
        <w:t>履行</w:t>
      </w:r>
      <w:r>
        <w:rPr>
          <w:rFonts w:ascii="宋体" w:hAnsi="宋体"/>
          <w:color w:val="auto"/>
          <w:sz w:val="24"/>
          <w:highlight w:val="none"/>
        </w:rPr>
        <w:t>的具体时间。</w:t>
      </w:r>
    </w:p>
    <w:p w14:paraId="45E42115">
      <w:pPr>
        <w:spacing w:line="560" w:lineRule="exact"/>
        <w:ind w:firstLine="482" w:firstLineChars="200"/>
        <w:outlineLvl w:val="0"/>
        <w:rPr>
          <w:rFonts w:ascii="宋体" w:hAnsi="宋体"/>
          <w:b/>
          <w:color w:val="auto"/>
          <w:sz w:val="24"/>
          <w:highlight w:val="none"/>
        </w:rPr>
      </w:pPr>
      <w:bookmarkStart w:id="485" w:name="_Toc10611"/>
      <w:r>
        <w:rPr>
          <w:rFonts w:ascii="宋体" w:hAnsi="宋体"/>
          <w:b/>
          <w:color w:val="auto"/>
          <w:sz w:val="24"/>
          <w:highlight w:val="none"/>
        </w:rPr>
        <w:t xml:space="preserve">2.9 </w:t>
      </w:r>
      <w:r>
        <w:rPr>
          <w:rFonts w:hint="eastAsia" w:ascii="宋体" w:hAnsi="宋体"/>
          <w:b/>
          <w:color w:val="auto"/>
          <w:sz w:val="24"/>
          <w:highlight w:val="none"/>
        </w:rPr>
        <w:t>合同变更</w:t>
      </w:r>
      <w:bookmarkEnd w:id="485"/>
    </w:p>
    <w:p w14:paraId="2C706FCF">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合同继续履行将损害国家利益和社会公共利益的，双方当事人应当以书面形式变更合同。有过错的一方应当承担赔偿责任，双方当事人都有过错的，各自承担相应的责任。</w:t>
      </w:r>
    </w:p>
    <w:p w14:paraId="59E85D82">
      <w:pPr>
        <w:spacing w:line="560" w:lineRule="exact"/>
        <w:ind w:firstLine="482" w:firstLineChars="200"/>
        <w:outlineLvl w:val="0"/>
        <w:rPr>
          <w:rFonts w:ascii="宋体" w:hAnsi="宋体"/>
          <w:b/>
          <w:color w:val="auto"/>
          <w:sz w:val="24"/>
          <w:highlight w:val="none"/>
        </w:rPr>
      </w:pPr>
      <w:bookmarkStart w:id="486" w:name="_Toc26689"/>
      <w:bookmarkStart w:id="487" w:name="_Toc21830"/>
      <w:bookmarkStart w:id="488" w:name="_Toc42"/>
      <w:bookmarkStart w:id="489" w:name="_Toc10663"/>
      <w:bookmarkStart w:id="490" w:name="_Toc23368"/>
      <w:r>
        <w:rPr>
          <w:rFonts w:ascii="宋体" w:hAnsi="宋体"/>
          <w:b/>
          <w:color w:val="auto"/>
          <w:sz w:val="24"/>
          <w:highlight w:val="none"/>
        </w:rPr>
        <w:t>2.10 合同转让和分包</w:t>
      </w:r>
      <w:bookmarkEnd w:id="486"/>
      <w:bookmarkEnd w:id="487"/>
      <w:bookmarkEnd w:id="488"/>
      <w:bookmarkEnd w:id="489"/>
      <w:bookmarkEnd w:id="490"/>
    </w:p>
    <w:p w14:paraId="3BD8BA98">
      <w:pPr>
        <w:spacing w:line="560" w:lineRule="exact"/>
        <w:ind w:firstLine="480" w:firstLineChars="200"/>
        <w:rPr>
          <w:rFonts w:ascii="宋体" w:hAnsi="宋体"/>
          <w:color w:val="auto"/>
          <w:sz w:val="24"/>
          <w:highlight w:val="none"/>
        </w:rPr>
      </w:pPr>
      <w:r>
        <w:rPr>
          <w:rFonts w:ascii="宋体" w:hAnsi="宋体"/>
          <w:color w:val="auto"/>
          <w:sz w:val="24"/>
          <w:highlight w:val="none"/>
        </w:rPr>
        <w:t>合同的权利义务依法不</w:t>
      </w:r>
      <w:r>
        <w:rPr>
          <w:rFonts w:hint="eastAsia" w:ascii="宋体" w:hAnsi="宋体"/>
          <w:color w:val="auto"/>
          <w:sz w:val="24"/>
          <w:highlight w:val="none"/>
        </w:rPr>
        <w:t>得</w:t>
      </w:r>
      <w:r>
        <w:rPr>
          <w:rFonts w:ascii="宋体" w:hAnsi="宋体"/>
          <w:color w:val="auto"/>
          <w:sz w:val="24"/>
          <w:highlight w:val="none"/>
        </w:rPr>
        <w:t>转让</w:t>
      </w:r>
      <w:r>
        <w:rPr>
          <w:rFonts w:hint="eastAsia" w:ascii="宋体" w:hAnsi="宋体"/>
          <w:color w:val="auto"/>
          <w:sz w:val="24"/>
          <w:highlight w:val="none"/>
        </w:rPr>
        <w:t>，</w:t>
      </w:r>
      <w:r>
        <w:rPr>
          <w:rFonts w:ascii="宋体" w:hAnsi="宋体"/>
          <w:color w:val="auto"/>
          <w:sz w:val="24"/>
          <w:highlight w:val="none"/>
        </w:rPr>
        <w:t>但经甲方</w:t>
      </w:r>
      <w:r>
        <w:rPr>
          <w:rFonts w:hint="eastAsia" w:ascii="宋体" w:hAnsi="宋体"/>
          <w:color w:val="auto"/>
          <w:sz w:val="24"/>
          <w:highlight w:val="none"/>
        </w:rPr>
        <w:t>同意，乙方可以依法采取分包方式履行合同，即：依法可以</w:t>
      </w:r>
      <w:r>
        <w:rPr>
          <w:rFonts w:ascii="宋体" w:hAnsi="宋体"/>
          <w:color w:val="auto"/>
          <w:sz w:val="24"/>
          <w:highlight w:val="none"/>
        </w:rPr>
        <w:t>将合同项下的部分非主体、非关键性工作分包给他人完成</w:t>
      </w:r>
      <w:r>
        <w:rPr>
          <w:rFonts w:hint="eastAsia" w:ascii="宋体" w:hAnsi="宋体"/>
          <w:color w:val="auto"/>
          <w:sz w:val="24"/>
          <w:highlight w:val="none"/>
        </w:rPr>
        <w:t>，</w:t>
      </w:r>
      <w:r>
        <w:rPr>
          <w:rFonts w:ascii="宋体" w:hAnsi="宋体"/>
          <w:color w:val="auto"/>
          <w:sz w:val="24"/>
          <w:highlight w:val="none"/>
        </w:rPr>
        <w:t>接受分包的人应当具备相应的资格条件，并不得再次分包</w:t>
      </w:r>
      <w:r>
        <w:rPr>
          <w:rFonts w:hint="eastAsia" w:ascii="宋体" w:hAnsi="宋体"/>
          <w:color w:val="auto"/>
          <w:sz w:val="24"/>
          <w:highlight w:val="none"/>
        </w:rPr>
        <w:t>，</w:t>
      </w:r>
      <w:r>
        <w:rPr>
          <w:rFonts w:ascii="宋体" w:hAnsi="宋体"/>
          <w:color w:val="auto"/>
          <w:sz w:val="24"/>
          <w:highlight w:val="none"/>
        </w:rPr>
        <w:t>且乙方应就分包项目向甲方负责</w:t>
      </w:r>
      <w:r>
        <w:rPr>
          <w:rFonts w:hint="eastAsia" w:ascii="宋体" w:hAnsi="宋体"/>
          <w:color w:val="auto"/>
          <w:sz w:val="24"/>
          <w:highlight w:val="none"/>
        </w:rPr>
        <w:t>，</w:t>
      </w:r>
      <w:r>
        <w:rPr>
          <w:rFonts w:ascii="宋体" w:hAnsi="宋体"/>
          <w:color w:val="auto"/>
          <w:sz w:val="24"/>
          <w:highlight w:val="none"/>
        </w:rPr>
        <w:t>并</w:t>
      </w:r>
      <w:r>
        <w:rPr>
          <w:rFonts w:hint="eastAsia" w:ascii="宋体" w:hAnsi="宋体"/>
          <w:color w:val="auto"/>
          <w:sz w:val="24"/>
          <w:highlight w:val="none"/>
        </w:rPr>
        <w:t>与分包供应商就分包项目向甲方承担连带责任。</w:t>
      </w:r>
    </w:p>
    <w:p w14:paraId="52190532">
      <w:pPr>
        <w:spacing w:line="560" w:lineRule="exact"/>
        <w:ind w:firstLine="482" w:firstLineChars="200"/>
        <w:outlineLvl w:val="0"/>
        <w:rPr>
          <w:rFonts w:ascii="宋体" w:hAnsi="宋体"/>
          <w:b/>
          <w:color w:val="auto"/>
          <w:sz w:val="24"/>
          <w:highlight w:val="none"/>
        </w:rPr>
      </w:pPr>
      <w:bookmarkStart w:id="491" w:name="_Toc26633"/>
      <w:bookmarkStart w:id="492" w:name="_Toc4720"/>
      <w:bookmarkStart w:id="493" w:name="_Toc14371"/>
      <w:bookmarkStart w:id="494" w:name="_Toc32494"/>
      <w:bookmarkStart w:id="495" w:name="_Toc25571"/>
      <w:r>
        <w:rPr>
          <w:rFonts w:ascii="宋体" w:hAnsi="宋体"/>
          <w:b/>
          <w:color w:val="auto"/>
          <w:sz w:val="24"/>
          <w:highlight w:val="none"/>
        </w:rPr>
        <w:t>2.11 不可抗力</w:t>
      </w:r>
      <w:bookmarkEnd w:id="491"/>
      <w:bookmarkEnd w:id="492"/>
      <w:bookmarkEnd w:id="493"/>
      <w:bookmarkEnd w:id="494"/>
      <w:bookmarkEnd w:id="495"/>
    </w:p>
    <w:p w14:paraId="4CA6A041">
      <w:pPr>
        <w:spacing w:line="560" w:lineRule="exact"/>
        <w:ind w:firstLine="480" w:firstLineChars="200"/>
        <w:rPr>
          <w:rFonts w:ascii="宋体" w:hAnsi="宋体"/>
          <w:color w:val="auto"/>
          <w:sz w:val="24"/>
          <w:highlight w:val="none"/>
        </w:rPr>
      </w:pPr>
      <w:r>
        <w:rPr>
          <w:rFonts w:ascii="宋体" w:hAnsi="宋体"/>
          <w:color w:val="auto"/>
          <w:sz w:val="24"/>
          <w:highlight w:val="none"/>
        </w:rPr>
        <w:t>2.11.1如果任何一方遭遇法律规定的不可抗力，致使合同履行受阻时，履行合同的期限应予延长，延长的期限应相当于不可抗力所影响的时间</w:t>
      </w:r>
      <w:r>
        <w:rPr>
          <w:rFonts w:hint="eastAsia" w:ascii="宋体" w:hAnsi="宋体"/>
          <w:color w:val="auto"/>
          <w:sz w:val="24"/>
          <w:highlight w:val="none"/>
        </w:rPr>
        <w:t>；</w:t>
      </w:r>
    </w:p>
    <w:p w14:paraId="44A7FBE5">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2.11.2 </w:t>
      </w:r>
      <w:r>
        <w:rPr>
          <w:rFonts w:hint="eastAsia" w:ascii="宋体" w:hAnsi="宋体"/>
          <w:color w:val="auto"/>
          <w:sz w:val="24"/>
          <w:highlight w:val="none"/>
        </w:rPr>
        <w:t>因不可抗力致使不能实现合同目的的，当事人可以解除合同；</w:t>
      </w:r>
    </w:p>
    <w:p w14:paraId="034CDFEF">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2.11.3 </w:t>
      </w:r>
      <w:r>
        <w:rPr>
          <w:rFonts w:hint="eastAsia" w:ascii="宋体" w:hAnsi="宋体"/>
          <w:color w:val="auto"/>
          <w:sz w:val="24"/>
          <w:highlight w:val="none"/>
        </w:rPr>
        <w:t>因</w:t>
      </w:r>
      <w:r>
        <w:rPr>
          <w:rFonts w:ascii="宋体" w:hAnsi="宋体"/>
          <w:color w:val="auto"/>
          <w:sz w:val="24"/>
          <w:highlight w:val="none"/>
        </w:rPr>
        <w:t>不可抗力致使合同有变更必要的，双方当事人应在</w:t>
      </w:r>
      <w:r>
        <w:rPr>
          <w:rFonts w:ascii="宋体" w:hAnsi="宋体"/>
          <w:b/>
          <w:i/>
          <w:color w:val="auto"/>
          <w:sz w:val="24"/>
          <w:highlight w:val="none"/>
          <w:u w:val="single"/>
        </w:rPr>
        <w:t>合同专用条款</w:t>
      </w:r>
      <w:r>
        <w:rPr>
          <w:rFonts w:ascii="宋体" w:hAnsi="宋体"/>
          <w:color w:val="auto"/>
          <w:sz w:val="24"/>
          <w:highlight w:val="none"/>
        </w:rPr>
        <w:t>约定时间内以书面形式变更合同</w:t>
      </w:r>
      <w:r>
        <w:rPr>
          <w:rFonts w:hint="eastAsia" w:ascii="宋体" w:hAnsi="宋体"/>
          <w:color w:val="auto"/>
          <w:sz w:val="24"/>
          <w:highlight w:val="none"/>
        </w:rPr>
        <w:t>；</w:t>
      </w:r>
    </w:p>
    <w:p w14:paraId="73574A7C">
      <w:pPr>
        <w:spacing w:line="560" w:lineRule="exact"/>
        <w:ind w:firstLine="480" w:firstLineChars="200"/>
        <w:rPr>
          <w:rFonts w:ascii="宋体" w:hAnsi="宋体"/>
          <w:color w:val="auto"/>
          <w:sz w:val="24"/>
          <w:highlight w:val="none"/>
        </w:rPr>
      </w:pPr>
      <w:r>
        <w:rPr>
          <w:rFonts w:ascii="宋体" w:hAnsi="宋体"/>
          <w:color w:val="auto"/>
          <w:sz w:val="24"/>
          <w:highlight w:val="none"/>
        </w:rPr>
        <w:t>2.11.4受</w:t>
      </w:r>
      <w:r>
        <w:rPr>
          <w:rFonts w:hint="eastAsia" w:ascii="宋体" w:hAnsi="宋体"/>
          <w:color w:val="auto"/>
          <w:sz w:val="24"/>
          <w:highlight w:val="none"/>
        </w:rPr>
        <w:t>不可抗力</w:t>
      </w:r>
      <w:r>
        <w:rPr>
          <w:rFonts w:ascii="宋体" w:hAnsi="宋体"/>
          <w:color w:val="auto"/>
          <w:sz w:val="24"/>
          <w:highlight w:val="none"/>
        </w:rPr>
        <w:t>影响的一方在不可抗力发生后</w:t>
      </w:r>
      <w:r>
        <w:rPr>
          <w:rFonts w:hint="eastAsia" w:ascii="宋体" w:hAnsi="宋体"/>
          <w:color w:val="auto"/>
          <w:sz w:val="24"/>
          <w:highlight w:val="none"/>
        </w:rPr>
        <w:t>，</w:t>
      </w:r>
      <w:r>
        <w:rPr>
          <w:rFonts w:ascii="宋体" w:hAnsi="宋体"/>
          <w:color w:val="auto"/>
          <w:sz w:val="24"/>
          <w:highlight w:val="none"/>
        </w:rPr>
        <w:t>应在</w:t>
      </w:r>
      <w:r>
        <w:rPr>
          <w:rFonts w:ascii="宋体" w:hAnsi="宋体"/>
          <w:b/>
          <w:i/>
          <w:color w:val="auto"/>
          <w:sz w:val="24"/>
          <w:highlight w:val="none"/>
          <w:u w:val="single"/>
        </w:rPr>
        <w:t>合同专用条款</w:t>
      </w:r>
      <w:r>
        <w:rPr>
          <w:rFonts w:ascii="宋体" w:hAnsi="宋体"/>
          <w:color w:val="auto"/>
          <w:sz w:val="24"/>
          <w:highlight w:val="none"/>
        </w:rPr>
        <w:t>约定时间内以书面形式通知</w:t>
      </w:r>
      <w:r>
        <w:rPr>
          <w:rFonts w:hint="eastAsia" w:ascii="宋体" w:hAnsi="宋体"/>
          <w:color w:val="auto"/>
          <w:sz w:val="24"/>
          <w:highlight w:val="none"/>
        </w:rPr>
        <w:t>对</w:t>
      </w:r>
      <w:r>
        <w:rPr>
          <w:rFonts w:ascii="宋体" w:hAnsi="宋体"/>
          <w:color w:val="auto"/>
          <w:sz w:val="24"/>
          <w:highlight w:val="none"/>
        </w:rPr>
        <w:t>方当事人，并在</w:t>
      </w:r>
      <w:r>
        <w:rPr>
          <w:rFonts w:ascii="宋体" w:hAnsi="宋体"/>
          <w:b/>
          <w:i/>
          <w:color w:val="auto"/>
          <w:sz w:val="24"/>
          <w:highlight w:val="none"/>
          <w:u w:val="single"/>
        </w:rPr>
        <w:t>合同专用条款</w:t>
      </w:r>
      <w:r>
        <w:rPr>
          <w:rFonts w:ascii="宋体" w:hAnsi="宋体"/>
          <w:color w:val="auto"/>
          <w:sz w:val="24"/>
          <w:highlight w:val="none"/>
        </w:rPr>
        <w:t>约定时间内，将有关部门出具的证明文件送达</w:t>
      </w:r>
      <w:r>
        <w:rPr>
          <w:rFonts w:hint="eastAsia" w:ascii="宋体" w:hAnsi="宋体"/>
          <w:color w:val="auto"/>
          <w:sz w:val="24"/>
          <w:highlight w:val="none"/>
        </w:rPr>
        <w:t>对方当事人</w:t>
      </w:r>
      <w:r>
        <w:rPr>
          <w:rFonts w:ascii="宋体" w:hAnsi="宋体"/>
          <w:color w:val="auto"/>
          <w:sz w:val="24"/>
          <w:highlight w:val="none"/>
        </w:rPr>
        <w:t>。</w:t>
      </w:r>
    </w:p>
    <w:p w14:paraId="149A690E">
      <w:pPr>
        <w:spacing w:line="560" w:lineRule="exact"/>
        <w:ind w:firstLine="482" w:firstLineChars="200"/>
        <w:outlineLvl w:val="0"/>
        <w:rPr>
          <w:rFonts w:ascii="宋体" w:hAnsi="宋体"/>
          <w:b/>
          <w:color w:val="auto"/>
          <w:sz w:val="24"/>
          <w:highlight w:val="none"/>
        </w:rPr>
      </w:pPr>
      <w:bookmarkStart w:id="496" w:name="_Toc24465"/>
      <w:bookmarkStart w:id="497" w:name="_Toc25783"/>
      <w:bookmarkStart w:id="498" w:name="_Toc14115"/>
      <w:bookmarkStart w:id="499" w:name="_Toc23854"/>
      <w:bookmarkStart w:id="500" w:name="_Toc3638"/>
      <w:r>
        <w:rPr>
          <w:rFonts w:ascii="宋体" w:hAnsi="宋体"/>
          <w:b/>
          <w:color w:val="auto"/>
          <w:sz w:val="24"/>
          <w:highlight w:val="none"/>
        </w:rPr>
        <w:t>2.12 税费</w:t>
      </w:r>
      <w:bookmarkEnd w:id="496"/>
      <w:bookmarkEnd w:id="497"/>
      <w:bookmarkEnd w:id="498"/>
      <w:bookmarkEnd w:id="499"/>
      <w:bookmarkEnd w:id="500"/>
    </w:p>
    <w:p w14:paraId="7F8B9591">
      <w:pPr>
        <w:spacing w:line="560" w:lineRule="exact"/>
        <w:ind w:firstLine="480" w:firstLineChars="200"/>
        <w:rPr>
          <w:rFonts w:ascii="宋体" w:hAnsi="宋体"/>
          <w:color w:val="auto"/>
          <w:sz w:val="24"/>
          <w:highlight w:val="none"/>
        </w:rPr>
      </w:pPr>
      <w:r>
        <w:rPr>
          <w:rFonts w:ascii="宋体" w:hAnsi="宋体"/>
          <w:color w:val="auto"/>
          <w:sz w:val="24"/>
          <w:highlight w:val="none"/>
        </w:rPr>
        <w:t>与合同有关的一切税费</w:t>
      </w:r>
      <w:r>
        <w:rPr>
          <w:rFonts w:hint="eastAsia" w:ascii="宋体" w:hAnsi="宋体"/>
          <w:color w:val="auto"/>
          <w:sz w:val="24"/>
          <w:highlight w:val="none"/>
        </w:rPr>
        <w:t>，</w:t>
      </w:r>
      <w:r>
        <w:rPr>
          <w:rFonts w:ascii="宋体" w:hAnsi="宋体"/>
          <w:color w:val="auto"/>
          <w:sz w:val="24"/>
          <w:highlight w:val="none"/>
        </w:rPr>
        <w:t>均按照中华人民共和国法律的相关规定缴纳。</w:t>
      </w:r>
    </w:p>
    <w:p w14:paraId="4B1C8F2D">
      <w:pPr>
        <w:spacing w:line="560" w:lineRule="exact"/>
        <w:ind w:firstLine="482" w:firstLineChars="200"/>
        <w:outlineLvl w:val="0"/>
        <w:rPr>
          <w:rFonts w:ascii="宋体" w:hAnsi="宋体"/>
          <w:b/>
          <w:color w:val="auto"/>
          <w:sz w:val="24"/>
          <w:highlight w:val="none"/>
        </w:rPr>
      </w:pPr>
      <w:bookmarkStart w:id="501" w:name="_Toc30105"/>
      <w:bookmarkStart w:id="502" w:name="_Toc7315"/>
      <w:bookmarkStart w:id="503" w:name="_Toc25525"/>
      <w:bookmarkStart w:id="504" w:name="_Toc14814"/>
      <w:bookmarkStart w:id="505" w:name="_Toc26883"/>
      <w:r>
        <w:rPr>
          <w:rFonts w:ascii="宋体" w:hAnsi="宋体"/>
          <w:b/>
          <w:color w:val="auto"/>
          <w:sz w:val="24"/>
          <w:highlight w:val="none"/>
        </w:rPr>
        <w:t>2.13 乙方破产</w:t>
      </w:r>
      <w:bookmarkEnd w:id="501"/>
      <w:bookmarkEnd w:id="502"/>
      <w:bookmarkEnd w:id="503"/>
      <w:bookmarkEnd w:id="504"/>
      <w:bookmarkEnd w:id="505"/>
    </w:p>
    <w:p w14:paraId="55EAE054">
      <w:pPr>
        <w:spacing w:line="560" w:lineRule="exact"/>
        <w:ind w:firstLine="480" w:firstLineChars="200"/>
        <w:rPr>
          <w:rFonts w:ascii="宋体" w:hAnsi="宋体"/>
          <w:color w:val="auto"/>
          <w:sz w:val="24"/>
          <w:highlight w:val="none"/>
        </w:rPr>
      </w:pPr>
      <w:r>
        <w:rPr>
          <w:rFonts w:ascii="宋体" w:hAnsi="宋体"/>
          <w:color w:val="auto"/>
          <w:sz w:val="24"/>
          <w:highlight w:val="none"/>
        </w:rPr>
        <w:t>如果乙方破产导致合同无法履行时，甲方可以书面形式通知乙方终止合同且不给予乙方任何补偿和赔偿</w:t>
      </w:r>
      <w:r>
        <w:rPr>
          <w:rFonts w:hint="eastAsia" w:ascii="宋体" w:hAnsi="宋体"/>
          <w:color w:val="auto"/>
          <w:sz w:val="24"/>
          <w:highlight w:val="none"/>
        </w:rPr>
        <w:t>，但合同的</w:t>
      </w:r>
      <w:r>
        <w:rPr>
          <w:rFonts w:ascii="宋体" w:hAnsi="宋体"/>
          <w:color w:val="auto"/>
          <w:sz w:val="24"/>
          <w:highlight w:val="none"/>
        </w:rPr>
        <w:t>终止不损害或不影响甲方已经采取或将要采取的任何要求乙方支付违约金</w:t>
      </w:r>
      <w:r>
        <w:rPr>
          <w:rFonts w:hint="eastAsia" w:ascii="宋体" w:hAnsi="宋体"/>
          <w:color w:val="auto"/>
          <w:sz w:val="24"/>
          <w:highlight w:val="none"/>
        </w:rPr>
        <w:t>、</w:t>
      </w:r>
      <w:r>
        <w:rPr>
          <w:rFonts w:ascii="宋体" w:hAnsi="宋体"/>
          <w:color w:val="auto"/>
          <w:sz w:val="24"/>
          <w:highlight w:val="none"/>
        </w:rPr>
        <w:t>赔偿损失等的行动或补救措施的权利</w:t>
      </w:r>
      <w:r>
        <w:rPr>
          <w:rFonts w:hint="eastAsia" w:ascii="宋体" w:hAnsi="宋体"/>
          <w:color w:val="auto"/>
          <w:sz w:val="24"/>
          <w:highlight w:val="none"/>
        </w:rPr>
        <w:t>。</w:t>
      </w:r>
    </w:p>
    <w:p w14:paraId="2DB052E7">
      <w:pPr>
        <w:spacing w:line="560" w:lineRule="exact"/>
        <w:ind w:firstLine="482" w:firstLineChars="200"/>
        <w:outlineLvl w:val="0"/>
        <w:rPr>
          <w:rFonts w:ascii="宋体" w:hAnsi="宋体"/>
          <w:b/>
          <w:color w:val="auto"/>
          <w:sz w:val="24"/>
          <w:highlight w:val="none"/>
        </w:rPr>
      </w:pPr>
      <w:bookmarkStart w:id="506" w:name="_Toc23323"/>
      <w:bookmarkStart w:id="507" w:name="_Toc1123"/>
      <w:bookmarkStart w:id="508" w:name="_Toc2016"/>
      <w:r>
        <w:rPr>
          <w:rFonts w:ascii="宋体" w:hAnsi="宋体"/>
          <w:b/>
          <w:color w:val="auto"/>
          <w:sz w:val="24"/>
          <w:highlight w:val="none"/>
        </w:rPr>
        <w:t>2.14 合同中止、终止</w:t>
      </w:r>
      <w:bookmarkEnd w:id="506"/>
      <w:bookmarkEnd w:id="507"/>
      <w:bookmarkEnd w:id="508"/>
    </w:p>
    <w:p w14:paraId="38B9AE1F">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2.14.1 </w:t>
      </w:r>
      <w:r>
        <w:rPr>
          <w:rFonts w:hint="eastAsia" w:ascii="宋体" w:hAnsi="宋体"/>
          <w:color w:val="auto"/>
          <w:sz w:val="24"/>
          <w:highlight w:val="none"/>
        </w:rPr>
        <w:t>双方当事人不得擅自中止或者终止合同；</w:t>
      </w:r>
    </w:p>
    <w:p w14:paraId="3DE433EE">
      <w:pPr>
        <w:spacing w:line="560" w:lineRule="exact"/>
        <w:ind w:firstLine="480" w:firstLineChars="200"/>
        <w:rPr>
          <w:rFonts w:ascii="宋体" w:hAnsi="宋体"/>
          <w:color w:val="auto"/>
          <w:sz w:val="24"/>
          <w:highlight w:val="none"/>
        </w:rPr>
      </w:pPr>
      <w:r>
        <w:rPr>
          <w:rFonts w:ascii="宋体" w:hAnsi="宋体"/>
          <w:color w:val="auto"/>
          <w:sz w:val="24"/>
          <w:highlight w:val="none"/>
        </w:rPr>
        <w:t>2.14.2合同继续履行将损害国家利益和社会公共利益的，双方当事人应当中止或者终止合同。有过错的一方应当承担赔偿责任，双方当事人都有过错的，各自承担相应的责任。</w:t>
      </w:r>
    </w:p>
    <w:p w14:paraId="6BD1421C">
      <w:pPr>
        <w:spacing w:line="560" w:lineRule="exact"/>
        <w:ind w:firstLine="482" w:firstLineChars="200"/>
        <w:outlineLvl w:val="0"/>
        <w:rPr>
          <w:rFonts w:ascii="宋体" w:hAnsi="宋体"/>
          <w:b/>
          <w:color w:val="auto"/>
          <w:sz w:val="24"/>
          <w:highlight w:val="none"/>
        </w:rPr>
      </w:pPr>
      <w:bookmarkStart w:id="509" w:name="_Toc1969"/>
      <w:bookmarkStart w:id="510" w:name="_Toc17363"/>
      <w:bookmarkStart w:id="511" w:name="_Toc14525"/>
      <w:r>
        <w:rPr>
          <w:rFonts w:ascii="宋体" w:hAnsi="宋体"/>
          <w:b/>
          <w:color w:val="auto"/>
          <w:sz w:val="24"/>
          <w:highlight w:val="none"/>
        </w:rPr>
        <w:t>2.15 检验和验收</w:t>
      </w:r>
      <w:bookmarkEnd w:id="509"/>
      <w:bookmarkEnd w:id="510"/>
      <w:bookmarkEnd w:id="511"/>
    </w:p>
    <w:p w14:paraId="0B894145">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2.15.1 </w:t>
      </w:r>
      <w:r>
        <w:rPr>
          <w:rFonts w:hint="eastAsia" w:ascii="宋体" w:hAnsi="宋体"/>
          <w:color w:val="auto"/>
          <w:sz w:val="24"/>
          <w:highlight w:val="none"/>
        </w:rPr>
        <w:t>乙方按照</w:t>
      </w:r>
      <w:r>
        <w:rPr>
          <w:rFonts w:ascii="宋体" w:hAnsi="宋体"/>
          <w:b/>
          <w:i/>
          <w:color w:val="auto"/>
          <w:sz w:val="24"/>
          <w:highlight w:val="none"/>
          <w:u w:val="single"/>
        </w:rPr>
        <w:t>合同专用条款</w:t>
      </w:r>
      <w:r>
        <w:rPr>
          <w:rFonts w:ascii="宋体" w:hAnsi="宋体"/>
          <w:color w:val="auto"/>
          <w:sz w:val="24"/>
          <w:highlight w:val="none"/>
        </w:rPr>
        <w:t>的约定</w:t>
      </w:r>
      <w:r>
        <w:rPr>
          <w:rFonts w:hint="eastAsia" w:ascii="宋体" w:hAnsi="宋体"/>
          <w:color w:val="auto"/>
          <w:sz w:val="24"/>
          <w:highlight w:val="none"/>
        </w:rPr>
        <w:t>，</w:t>
      </w:r>
      <w:r>
        <w:rPr>
          <w:rFonts w:ascii="宋体" w:hAnsi="宋体"/>
          <w:color w:val="auto"/>
          <w:sz w:val="24"/>
          <w:highlight w:val="none"/>
        </w:rPr>
        <w:t>定期提交服务报告</w:t>
      </w:r>
      <w:r>
        <w:rPr>
          <w:rFonts w:hint="eastAsia" w:ascii="宋体" w:hAnsi="宋体"/>
          <w:color w:val="auto"/>
          <w:sz w:val="24"/>
          <w:highlight w:val="none"/>
        </w:rPr>
        <w:t>，甲方按照</w:t>
      </w:r>
      <w:r>
        <w:rPr>
          <w:rFonts w:ascii="宋体" w:hAnsi="宋体"/>
          <w:b/>
          <w:i/>
          <w:color w:val="auto"/>
          <w:sz w:val="24"/>
          <w:highlight w:val="none"/>
          <w:u w:val="single"/>
        </w:rPr>
        <w:t>合同专用条款</w:t>
      </w:r>
      <w:r>
        <w:rPr>
          <w:rFonts w:ascii="宋体" w:hAnsi="宋体"/>
          <w:color w:val="auto"/>
          <w:sz w:val="24"/>
          <w:highlight w:val="none"/>
        </w:rPr>
        <w:t>的约定进行定期验收</w:t>
      </w:r>
      <w:r>
        <w:rPr>
          <w:rFonts w:hint="eastAsia" w:ascii="宋体" w:hAnsi="宋体"/>
          <w:color w:val="auto"/>
          <w:sz w:val="24"/>
          <w:highlight w:val="none"/>
        </w:rPr>
        <w:t>；</w:t>
      </w:r>
    </w:p>
    <w:p w14:paraId="53DCA3B0">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2.15.2 </w:t>
      </w:r>
      <w:r>
        <w:rPr>
          <w:rFonts w:hint="eastAsia" w:ascii="宋体" w:hAnsi="宋体"/>
          <w:color w:val="auto"/>
          <w:sz w:val="24"/>
          <w:highlight w:val="none"/>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13909272">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2.15.3 </w:t>
      </w:r>
      <w:r>
        <w:rPr>
          <w:rFonts w:hint="eastAsia" w:ascii="宋体" w:hAnsi="宋体"/>
          <w:color w:val="auto"/>
          <w:sz w:val="24"/>
          <w:highlight w:val="none"/>
        </w:rPr>
        <w:t>检验和验收标准、程序等具体内容以及前述验收书的效力详见</w:t>
      </w:r>
      <w:r>
        <w:rPr>
          <w:rFonts w:ascii="宋体" w:hAnsi="宋体"/>
          <w:b/>
          <w:i/>
          <w:color w:val="auto"/>
          <w:sz w:val="24"/>
          <w:highlight w:val="none"/>
          <w:u w:val="single"/>
        </w:rPr>
        <w:t>合同专用条款</w:t>
      </w:r>
      <w:r>
        <w:rPr>
          <w:rFonts w:hint="eastAsia" w:ascii="宋体" w:hAnsi="宋体"/>
          <w:i/>
          <w:color w:val="auto"/>
          <w:sz w:val="24"/>
          <w:highlight w:val="none"/>
        </w:rPr>
        <w:t>。</w:t>
      </w:r>
    </w:p>
    <w:p w14:paraId="536C7537">
      <w:pPr>
        <w:spacing w:line="560" w:lineRule="exact"/>
        <w:ind w:firstLine="482" w:firstLineChars="200"/>
        <w:outlineLvl w:val="0"/>
        <w:rPr>
          <w:rFonts w:ascii="宋体" w:hAnsi="宋体"/>
          <w:b/>
          <w:color w:val="auto"/>
          <w:sz w:val="24"/>
          <w:highlight w:val="none"/>
        </w:rPr>
      </w:pPr>
      <w:bookmarkStart w:id="512" w:name="_Toc25198"/>
      <w:bookmarkStart w:id="513" w:name="_Toc2308"/>
      <w:bookmarkStart w:id="514" w:name="_Toc31892"/>
      <w:bookmarkStart w:id="515" w:name="_Toc9808"/>
      <w:bookmarkStart w:id="516" w:name="_Toc12666"/>
      <w:r>
        <w:rPr>
          <w:rFonts w:ascii="宋体" w:hAnsi="宋体"/>
          <w:b/>
          <w:color w:val="auto"/>
          <w:sz w:val="24"/>
          <w:highlight w:val="none"/>
        </w:rPr>
        <w:t>2.16 通知和送达</w:t>
      </w:r>
      <w:bookmarkEnd w:id="512"/>
      <w:bookmarkEnd w:id="513"/>
      <w:bookmarkEnd w:id="514"/>
      <w:bookmarkEnd w:id="515"/>
      <w:bookmarkEnd w:id="516"/>
    </w:p>
    <w:p w14:paraId="38C1C648">
      <w:pPr>
        <w:spacing w:line="560" w:lineRule="exact"/>
        <w:ind w:firstLine="480" w:firstLineChars="200"/>
        <w:rPr>
          <w:rFonts w:ascii="宋体" w:hAnsi="宋体"/>
          <w:color w:val="auto"/>
          <w:sz w:val="24"/>
          <w:highlight w:val="none"/>
        </w:rPr>
      </w:pPr>
      <w:bookmarkStart w:id="517" w:name="_Toc27674"/>
      <w:bookmarkStart w:id="518" w:name="_Toc18401"/>
      <w:r>
        <w:rPr>
          <w:rFonts w:ascii="宋体" w:hAnsi="宋体"/>
          <w:color w:val="auto"/>
          <w:sz w:val="24"/>
          <w:highlight w:val="none"/>
        </w:rPr>
        <w:t>2.17.1</w:t>
      </w:r>
      <w:r>
        <w:rPr>
          <w:rFonts w:hint="eastAsia" w:ascii="宋体" w:hAnsi="宋体"/>
          <w:color w:val="auto"/>
          <w:sz w:val="24"/>
          <w:highlight w:val="none"/>
        </w:rPr>
        <w:t>任何一方因履行合同而以合同第一部分尾部所列明的传真或电子邮件</w:t>
      </w:r>
      <w:r>
        <w:rPr>
          <w:rFonts w:ascii="宋体" w:hAnsi="宋体"/>
          <w:color w:val="auto"/>
          <w:sz w:val="24"/>
          <w:highlight w:val="none"/>
        </w:rPr>
        <w:t xml:space="preserve"> </w:t>
      </w:r>
      <w:r>
        <w:rPr>
          <w:rFonts w:ascii="宋体" w:hAnsi="宋体"/>
          <w:color w:val="auto"/>
          <w:sz w:val="24"/>
          <w:highlight w:val="none"/>
          <w:u w:val="single"/>
        </w:rPr>
        <w:t xml:space="preserve">       </w:t>
      </w:r>
      <w:r>
        <w:rPr>
          <w:rFonts w:hint="eastAsia" w:ascii="宋体" w:hAnsi="宋体"/>
          <w:color w:val="auto"/>
          <w:sz w:val="24"/>
          <w:highlight w:val="none"/>
        </w:rPr>
        <w:t>发出的所有通知、文件、材料，均视为已向对方当事人送达；任何一方变更上述送达方式或者地址的，应于</w:t>
      </w:r>
      <w:r>
        <w:rPr>
          <w:rFonts w:ascii="宋体" w:hAnsi="宋体"/>
          <w:color w:val="auto"/>
          <w:sz w:val="24"/>
          <w:highlight w:val="none"/>
          <w:u w:val="single"/>
        </w:rPr>
        <w:t>3</w:t>
      </w:r>
      <w:r>
        <w:rPr>
          <w:rFonts w:hint="eastAsia" w:ascii="宋体" w:hAnsi="宋体"/>
          <w:color w:val="auto"/>
          <w:sz w:val="24"/>
          <w:highlight w:val="none"/>
        </w:rPr>
        <w:t>个工作日内书面通知对方当事人，在对方当事人收到有关变更通知之前，变更前的约定送达方式或者地址仍视为有效。</w:t>
      </w:r>
    </w:p>
    <w:p w14:paraId="35A067E6">
      <w:pPr>
        <w:spacing w:line="560" w:lineRule="exact"/>
        <w:ind w:firstLine="480" w:firstLineChars="200"/>
        <w:rPr>
          <w:rFonts w:ascii="宋体" w:hAnsi="宋体"/>
          <w:color w:val="auto"/>
          <w:sz w:val="24"/>
          <w:highlight w:val="none"/>
        </w:rPr>
      </w:pPr>
      <w:r>
        <w:rPr>
          <w:rFonts w:ascii="宋体" w:hAnsi="宋体"/>
          <w:color w:val="auto"/>
          <w:sz w:val="24"/>
          <w:highlight w:val="none"/>
        </w:rPr>
        <w:t>2.17.2以当面交付方式送达的，交付之时视为送达；以电子邮件方式送达的，发出电子邮件之时视为送达；以传真方式送达的，发出传真之时视为送达；以邮寄方式送达</w:t>
      </w:r>
      <w:r>
        <w:rPr>
          <w:rFonts w:hint="eastAsia" w:ascii="宋体" w:hAnsi="宋体"/>
          <w:color w:val="auto"/>
          <w:sz w:val="24"/>
          <w:highlight w:val="none"/>
        </w:rPr>
        <w:t>的，邮件挂号寄出或者交邮之日之次日视为送达。</w:t>
      </w:r>
      <w:bookmarkEnd w:id="517"/>
      <w:bookmarkEnd w:id="518"/>
    </w:p>
    <w:p w14:paraId="074F1CA3">
      <w:pPr>
        <w:spacing w:line="560" w:lineRule="exact"/>
        <w:ind w:firstLine="482" w:firstLineChars="200"/>
        <w:outlineLvl w:val="0"/>
        <w:rPr>
          <w:rFonts w:ascii="宋体" w:hAnsi="宋体"/>
          <w:b/>
          <w:color w:val="auto"/>
          <w:sz w:val="24"/>
          <w:highlight w:val="none"/>
        </w:rPr>
      </w:pPr>
      <w:bookmarkStart w:id="519" w:name="_Toc28906"/>
      <w:bookmarkStart w:id="520" w:name="_Toc5063"/>
      <w:bookmarkStart w:id="521" w:name="_Toc12254"/>
      <w:bookmarkStart w:id="522" w:name="_Toc20808"/>
      <w:bookmarkStart w:id="523" w:name="_Toc27644"/>
      <w:r>
        <w:rPr>
          <w:rFonts w:ascii="宋体" w:hAnsi="宋体"/>
          <w:b/>
          <w:color w:val="auto"/>
          <w:sz w:val="24"/>
          <w:highlight w:val="none"/>
        </w:rPr>
        <w:t xml:space="preserve">2.17 </w:t>
      </w:r>
      <w:r>
        <w:rPr>
          <w:rFonts w:hint="eastAsia" w:ascii="宋体" w:hAnsi="宋体"/>
          <w:b/>
          <w:color w:val="auto"/>
          <w:sz w:val="24"/>
          <w:highlight w:val="none"/>
        </w:rPr>
        <w:t>合同使用的文字和</w:t>
      </w:r>
      <w:r>
        <w:rPr>
          <w:rFonts w:ascii="宋体" w:hAnsi="宋体"/>
          <w:b/>
          <w:color w:val="auto"/>
          <w:sz w:val="24"/>
          <w:highlight w:val="none"/>
        </w:rPr>
        <w:t>适用的法律</w:t>
      </w:r>
      <w:bookmarkEnd w:id="519"/>
      <w:bookmarkEnd w:id="520"/>
      <w:bookmarkEnd w:id="521"/>
      <w:bookmarkEnd w:id="522"/>
      <w:bookmarkEnd w:id="523"/>
    </w:p>
    <w:p w14:paraId="40377F15">
      <w:pPr>
        <w:spacing w:line="560" w:lineRule="exact"/>
        <w:ind w:firstLine="480" w:firstLineChars="200"/>
        <w:rPr>
          <w:rFonts w:ascii="宋体" w:hAnsi="宋体"/>
          <w:color w:val="auto"/>
          <w:sz w:val="24"/>
          <w:highlight w:val="none"/>
        </w:rPr>
      </w:pPr>
      <w:r>
        <w:rPr>
          <w:rFonts w:ascii="宋体" w:hAnsi="宋体"/>
          <w:color w:val="auto"/>
          <w:sz w:val="24"/>
          <w:highlight w:val="none"/>
        </w:rPr>
        <w:t>2.17.1 合同使用汉语书就</w:t>
      </w:r>
      <w:r>
        <w:rPr>
          <w:rFonts w:hint="eastAsia" w:ascii="宋体" w:hAnsi="宋体"/>
          <w:color w:val="auto"/>
          <w:sz w:val="24"/>
          <w:highlight w:val="none"/>
        </w:rPr>
        <w:t>、</w:t>
      </w:r>
      <w:r>
        <w:rPr>
          <w:rFonts w:ascii="宋体" w:hAnsi="宋体"/>
          <w:color w:val="auto"/>
          <w:sz w:val="24"/>
          <w:highlight w:val="none"/>
        </w:rPr>
        <w:t>变更和解释</w:t>
      </w:r>
      <w:r>
        <w:rPr>
          <w:rFonts w:hint="eastAsia" w:ascii="宋体" w:hAnsi="宋体"/>
          <w:color w:val="auto"/>
          <w:sz w:val="24"/>
          <w:highlight w:val="none"/>
        </w:rPr>
        <w:t>；</w:t>
      </w:r>
    </w:p>
    <w:p w14:paraId="5542BBD0">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2.17.2 </w:t>
      </w:r>
      <w:r>
        <w:rPr>
          <w:rFonts w:hint="eastAsia" w:ascii="宋体" w:hAnsi="宋体"/>
          <w:color w:val="auto"/>
          <w:sz w:val="24"/>
          <w:highlight w:val="none"/>
        </w:rPr>
        <w:t>合同适用</w:t>
      </w:r>
      <w:r>
        <w:rPr>
          <w:rFonts w:ascii="宋体" w:hAnsi="宋体"/>
          <w:color w:val="auto"/>
          <w:sz w:val="24"/>
          <w:highlight w:val="none"/>
        </w:rPr>
        <w:t>中华人民共和国法律。</w:t>
      </w:r>
    </w:p>
    <w:p w14:paraId="3A282A9C">
      <w:pPr>
        <w:spacing w:line="560" w:lineRule="exact"/>
        <w:ind w:firstLine="482" w:firstLineChars="200"/>
        <w:outlineLvl w:val="0"/>
        <w:rPr>
          <w:rFonts w:ascii="宋体" w:hAnsi="宋体" w:cs="宋体"/>
          <w:b/>
          <w:color w:val="auto"/>
          <w:sz w:val="24"/>
          <w:highlight w:val="none"/>
        </w:rPr>
      </w:pPr>
      <w:bookmarkStart w:id="524" w:name="_Toc4355"/>
      <w:bookmarkStart w:id="525" w:name="_Toc30599"/>
      <w:bookmarkStart w:id="526" w:name="_Toc18540"/>
      <w:r>
        <w:rPr>
          <w:rFonts w:hint="eastAsia" w:ascii="宋体" w:hAnsi="宋体" w:cs="宋体"/>
          <w:b/>
          <w:color w:val="auto"/>
          <w:sz w:val="24"/>
          <w:highlight w:val="none"/>
        </w:rPr>
        <w:t>2.18 计量单位</w:t>
      </w:r>
      <w:bookmarkEnd w:id="524"/>
      <w:bookmarkEnd w:id="525"/>
      <w:bookmarkEnd w:id="526"/>
    </w:p>
    <w:p w14:paraId="77E9915A">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除技术规范中另有规定外,合同的计量单位均使用国家法定计量单位。</w:t>
      </w:r>
    </w:p>
    <w:p w14:paraId="4A0B7EDA">
      <w:pPr>
        <w:spacing w:line="560" w:lineRule="exact"/>
        <w:ind w:firstLine="482" w:firstLineChars="200"/>
        <w:rPr>
          <w:rFonts w:ascii="宋体" w:hAnsi="宋体"/>
          <w:b/>
          <w:color w:val="auto"/>
          <w:sz w:val="24"/>
          <w:highlight w:val="none"/>
        </w:rPr>
      </w:pPr>
      <w:r>
        <w:rPr>
          <w:rFonts w:ascii="宋体" w:hAnsi="宋体"/>
          <w:b/>
          <w:color w:val="auto"/>
          <w:sz w:val="24"/>
          <w:highlight w:val="none"/>
        </w:rPr>
        <w:t>2.</w:t>
      </w:r>
      <w:r>
        <w:rPr>
          <w:rFonts w:hint="eastAsia" w:ascii="宋体" w:hAnsi="宋体"/>
          <w:b/>
          <w:color w:val="auto"/>
          <w:sz w:val="24"/>
          <w:highlight w:val="none"/>
        </w:rPr>
        <w:t>19</w:t>
      </w:r>
      <w:r>
        <w:rPr>
          <w:rFonts w:ascii="宋体" w:hAnsi="宋体"/>
          <w:b/>
          <w:color w:val="auto"/>
          <w:sz w:val="24"/>
          <w:highlight w:val="none"/>
        </w:rPr>
        <w:t>合同份数</w:t>
      </w:r>
    </w:p>
    <w:p w14:paraId="124AB9FD">
      <w:pPr>
        <w:spacing w:line="560" w:lineRule="exact"/>
        <w:ind w:firstLine="480" w:firstLineChars="200"/>
        <w:rPr>
          <w:rFonts w:ascii="宋体" w:hAnsi="宋体"/>
          <w:color w:val="auto"/>
          <w:sz w:val="24"/>
          <w:highlight w:val="none"/>
        </w:rPr>
      </w:pPr>
      <w:r>
        <w:rPr>
          <w:rFonts w:ascii="宋体" w:hAnsi="宋体"/>
          <w:color w:val="auto"/>
          <w:sz w:val="24"/>
          <w:highlight w:val="none"/>
        </w:rPr>
        <w:t>合同份数按</w:t>
      </w:r>
      <w:r>
        <w:rPr>
          <w:rFonts w:ascii="宋体" w:hAnsi="宋体"/>
          <w:b/>
          <w:i/>
          <w:color w:val="auto"/>
          <w:sz w:val="24"/>
          <w:highlight w:val="none"/>
          <w:u w:val="single"/>
        </w:rPr>
        <w:t>合同专用条款</w:t>
      </w:r>
      <w:r>
        <w:rPr>
          <w:rFonts w:ascii="宋体" w:hAnsi="宋体"/>
          <w:color w:val="auto"/>
          <w:sz w:val="24"/>
          <w:highlight w:val="none"/>
        </w:rPr>
        <w:t>规定</w:t>
      </w:r>
      <w:r>
        <w:rPr>
          <w:rFonts w:hint="eastAsia" w:ascii="宋体" w:hAnsi="宋体"/>
          <w:color w:val="auto"/>
          <w:sz w:val="24"/>
          <w:highlight w:val="none"/>
        </w:rPr>
        <w:t>，</w:t>
      </w:r>
      <w:r>
        <w:rPr>
          <w:rFonts w:ascii="宋体" w:hAnsi="宋体"/>
          <w:color w:val="auto"/>
          <w:sz w:val="24"/>
          <w:highlight w:val="none"/>
        </w:rPr>
        <w:t>每份均具有同等法律效力</w:t>
      </w:r>
      <w:r>
        <w:rPr>
          <w:rFonts w:hint="eastAsia" w:ascii="宋体" w:hAnsi="宋体"/>
          <w:color w:val="auto"/>
          <w:sz w:val="24"/>
          <w:highlight w:val="none"/>
        </w:rPr>
        <w:t>。</w:t>
      </w:r>
    </w:p>
    <w:p w14:paraId="60A5E239">
      <w:pPr>
        <w:spacing w:line="360" w:lineRule="auto"/>
        <w:jc w:val="center"/>
        <w:outlineLvl w:val="0"/>
        <w:rPr>
          <w:rFonts w:ascii="宋体" w:hAnsi="宋体" w:cs="宋体"/>
          <w:b/>
          <w:color w:val="auto"/>
          <w:sz w:val="24"/>
          <w:highlight w:val="none"/>
        </w:rPr>
      </w:pPr>
      <w:r>
        <w:rPr>
          <w:rFonts w:hint="eastAsia" w:ascii="宋体" w:hAnsi="宋体" w:cs="宋体"/>
          <w:color w:val="auto"/>
          <w:kern w:val="0"/>
          <w:highlight w:val="none"/>
        </w:rPr>
        <w:br w:type="page"/>
      </w:r>
      <w:bookmarkStart w:id="527" w:name="_Toc331685784"/>
      <w:r>
        <w:rPr>
          <w:rFonts w:hint="eastAsia" w:ascii="宋体" w:hAnsi="宋体" w:cs="宋体"/>
          <w:b/>
          <w:color w:val="auto"/>
          <w:sz w:val="24"/>
          <w:highlight w:val="none"/>
        </w:rPr>
        <w:t xml:space="preserve"> </w:t>
      </w:r>
      <w:bookmarkEnd w:id="527"/>
      <w:r>
        <w:rPr>
          <w:rFonts w:hint="eastAsia" w:ascii="宋体" w:hAnsi="宋体" w:cs="宋体"/>
          <w:b/>
          <w:color w:val="auto"/>
          <w:sz w:val="24"/>
          <w:highlight w:val="none"/>
        </w:rPr>
        <w:t>第三部分  合同专用条款</w:t>
      </w:r>
    </w:p>
    <w:p w14:paraId="09F38D59">
      <w:pPr>
        <w:spacing w:line="560" w:lineRule="exact"/>
        <w:ind w:left="-420" w:leftChars="-200" w:right="-420" w:rightChars="-200" w:firstLine="480" w:firstLineChars="200"/>
        <w:rPr>
          <w:rFonts w:ascii="宋体" w:hAnsi="宋体" w:cs="宋体"/>
          <w:color w:val="auto"/>
          <w:highlight w:val="none"/>
        </w:rPr>
      </w:pPr>
      <w:r>
        <w:rPr>
          <w:rFonts w:hint="eastAsia" w:ascii="宋体" w:hAnsi="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4"/>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77"/>
        <w:gridCol w:w="8149"/>
      </w:tblGrid>
      <w:tr w14:paraId="7AB51B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35" w:type="pct"/>
            <w:tcBorders>
              <w:left w:val="single" w:color="auto" w:sz="4" w:space="0"/>
            </w:tcBorders>
            <w:vAlign w:val="center"/>
          </w:tcPr>
          <w:p w14:paraId="54B31C29">
            <w:pPr>
              <w:spacing w:line="300" w:lineRule="auto"/>
              <w:jc w:val="center"/>
              <w:rPr>
                <w:rFonts w:ascii="宋体" w:hAnsi="宋体" w:cs="宋体"/>
                <w:b/>
                <w:color w:val="auto"/>
                <w:sz w:val="24"/>
                <w:highlight w:val="none"/>
              </w:rPr>
            </w:pPr>
            <w:r>
              <w:rPr>
                <w:rFonts w:hint="eastAsia" w:ascii="宋体" w:hAnsi="宋体" w:cs="宋体"/>
                <w:b/>
                <w:color w:val="auto"/>
                <w:sz w:val="24"/>
                <w:highlight w:val="none"/>
              </w:rPr>
              <w:t>条款号</w:t>
            </w:r>
          </w:p>
        </w:tc>
        <w:tc>
          <w:tcPr>
            <w:tcW w:w="4464" w:type="pct"/>
            <w:vAlign w:val="center"/>
          </w:tcPr>
          <w:p w14:paraId="2ED22691">
            <w:pPr>
              <w:spacing w:line="300" w:lineRule="auto"/>
              <w:jc w:val="center"/>
              <w:rPr>
                <w:rFonts w:ascii="宋体" w:hAnsi="宋体" w:cs="宋体"/>
                <w:b/>
                <w:color w:val="auto"/>
                <w:sz w:val="24"/>
                <w:highlight w:val="none"/>
              </w:rPr>
            </w:pPr>
            <w:r>
              <w:rPr>
                <w:rFonts w:hint="eastAsia" w:ascii="宋体" w:hAnsi="宋体" w:cs="宋体"/>
                <w:b/>
                <w:color w:val="auto"/>
                <w:sz w:val="24"/>
                <w:highlight w:val="none"/>
              </w:rPr>
              <w:t>约定内容</w:t>
            </w:r>
          </w:p>
        </w:tc>
      </w:tr>
      <w:tr w14:paraId="1673AE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0129625">
            <w:pPr>
              <w:spacing w:line="300" w:lineRule="auto"/>
              <w:jc w:val="center"/>
              <w:rPr>
                <w:rFonts w:ascii="宋体" w:hAnsi="宋体" w:cs="宋体"/>
                <w:color w:val="auto"/>
                <w:sz w:val="24"/>
                <w:highlight w:val="none"/>
              </w:rPr>
            </w:pPr>
            <w:r>
              <w:rPr>
                <w:rFonts w:hint="eastAsia" w:ascii="宋体" w:hAnsi="宋体" w:cs="宋体"/>
                <w:color w:val="auto"/>
                <w:sz w:val="24"/>
                <w:highlight w:val="none"/>
              </w:rPr>
              <w:t>1.3.2</w:t>
            </w:r>
          </w:p>
        </w:tc>
        <w:tc>
          <w:tcPr>
            <w:tcW w:w="4464" w:type="pct"/>
            <w:vAlign w:val="center"/>
          </w:tcPr>
          <w:p w14:paraId="7B1DDB0F">
            <w:pPr>
              <w:spacing w:line="300" w:lineRule="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 xml:space="preserve"> </w:t>
            </w:r>
          </w:p>
        </w:tc>
      </w:tr>
      <w:tr w14:paraId="10BBAD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D55CD04">
            <w:pPr>
              <w:spacing w:line="300" w:lineRule="auto"/>
              <w:jc w:val="center"/>
              <w:rPr>
                <w:rFonts w:ascii="宋体" w:hAnsi="宋体" w:cs="宋体"/>
                <w:color w:val="auto"/>
                <w:sz w:val="24"/>
                <w:highlight w:val="none"/>
              </w:rPr>
            </w:pPr>
            <w:r>
              <w:rPr>
                <w:rFonts w:hint="eastAsia" w:ascii="宋体" w:hAnsi="宋体" w:cs="宋体"/>
                <w:color w:val="auto"/>
                <w:sz w:val="24"/>
                <w:highlight w:val="none"/>
              </w:rPr>
              <w:t>1.4.2</w:t>
            </w:r>
          </w:p>
        </w:tc>
        <w:tc>
          <w:tcPr>
            <w:tcW w:w="4464" w:type="pct"/>
            <w:vAlign w:val="center"/>
          </w:tcPr>
          <w:p w14:paraId="49DE4937">
            <w:pPr>
              <w:spacing w:line="30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 xml:space="preserve"> </w:t>
            </w:r>
          </w:p>
        </w:tc>
      </w:tr>
      <w:tr w14:paraId="07E66B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6B70146">
            <w:pPr>
              <w:spacing w:line="300" w:lineRule="auto"/>
              <w:jc w:val="center"/>
              <w:rPr>
                <w:rFonts w:ascii="宋体" w:hAnsi="宋体" w:cs="宋体"/>
                <w:color w:val="auto"/>
                <w:sz w:val="24"/>
                <w:highlight w:val="none"/>
              </w:rPr>
            </w:pPr>
            <w:r>
              <w:rPr>
                <w:rFonts w:hint="eastAsia" w:ascii="宋体" w:hAnsi="宋体" w:cs="宋体"/>
                <w:color w:val="auto"/>
                <w:sz w:val="24"/>
                <w:highlight w:val="none"/>
              </w:rPr>
              <w:t>1.5.1</w:t>
            </w:r>
          </w:p>
        </w:tc>
        <w:tc>
          <w:tcPr>
            <w:tcW w:w="4464" w:type="pct"/>
            <w:vAlign w:val="center"/>
          </w:tcPr>
          <w:p w14:paraId="7CF5D1CA">
            <w:pPr>
              <w:spacing w:line="300" w:lineRule="auto"/>
              <w:rPr>
                <w:rFonts w:ascii="宋体" w:hAnsi="宋体" w:cs="宋体"/>
                <w:color w:val="auto"/>
                <w:sz w:val="24"/>
                <w:highlight w:val="none"/>
              </w:rPr>
            </w:pPr>
          </w:p>
        </w:tc>
      </w:tr>
      <w:tr w14:paraId="262DB5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F82B5EC">
            <w:pPr>
              <w:spacing w:line="300" w:lineRule="auto"/>
              <w:jc w:val="center"/>
              <w:rPr>
                <w:rFonts w:ascii="宋体" w:hAnsi="宋体" w:cs="宋体"/>
                <w:color w:val="auto"/>
                <w:sz w:val="24"/>
                <w:highlight w:val="none"/>
              </w:rPr>
            </w:pPr>
            <w:r>
              <w:rPr>
                <w:rFonts w:hint="eastAsia" w:ascii="宋体" w:hAnsi="宋体" w:cs="宋体"/>
                <w:color w:val="auto"/>
                <w:sz w:val="24"/>
                <w:highlight w:val="none"/>
              </w:rPr>
              <w:t>1.5.2</w:t>
            </w:r>
          </w:p>
        </w:tc>
        <w:tc>
          <w:tcPr>
            <w:tcW w:w="4464" w:type="pct"/>
            <w:vAlign w:val="center"/>
          </w:tcPr>
          <w:p w14:paraId="6133A688">
            <w:pPr>
              <w:spacing w:line="300" w:lineRule="auto"/>
              <w:rPr>
                <w:rFonts w:ascii="宋体" w:hAnsi="宋体" w:cs="宋体"/>
                <w:color w:val="auto"/>
                <w:sz w:val="24"/>
                <w:highlight w:val="none"/>
              </w:rPr>
            </w:pPr>
          </w:p>
        </w:tc>
      </w:tr>
      <w:tr w14:paraId="1A6CAA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76" w:hRule="atLeast"/>
        </w:trPr>
        <w:tc>
          <w:tcPr>
            <w:tcW w:w="535" w:type="pct"/>
            <w:tcBorders>
              <w:left w:val="single" w:color="auto" w:sz="4" w:space="0"/>
            </w:tcBorders>
            <w:vAlign w:val="center"/>
          </w:tcPr>
          <w:p w14:paraId="3FE2D583">
            <w:pPr>
              <w:spacing w:line="300" w:lineRule="auto"/>
              <w:jc w:val="center"/>
              <w:rPr>
                <w:rFonts w:ascii="宋体" w:hAnsi="宋体" w:cs="宋体"/>
                <w:color w:val="auto"/>
                <w:sz w:val="24"/>
                <w:highlight w:val="none"/>
              </w:rPr>
            </w:pPr>
            <w:r>
              <w:rPr>
                <w:rFonts w:hint="eastAsia" w:ascii="宋体" w:hAnsi="宋体" w:cs="宋体"/>
                <w:color w:val="auto"/>
                <w:sz w:val="24"/>
                <w:highlight w:val="none"/>
              </w:rPr>
              <w:t>1.5.3</w:t>
            </w:r>
          </w:p>
        </w:tc>
        <w:tc>
          <w:tcPr>
            <w:tcW w:w="4464" w:type="pct"/>
            <w:vAlign w:val="center"/>
          </w:tcPr>
          <w:p w14:paraId="405E3B6B">
            <w:pPr>
              <w:spacing w:line="300" w:lineRule="auto"/>
              <w:rPr>
                <w:rFonts w:ascii="宋体" w:hAnsi="宋体" w:cs="宋体"/>
                <w:color w:val="auto"/>
                <w:sz w:val="24"/>
                <w:highlight w:val="none"/>
              </w:rPr>
            </w:pPr>
          </w:p>
        </w:tc>
      </w:tr>
      <w:tr w14:paraId="6DADB5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878" w:hRule="atLeast"/>
        </w:trPr>
        <w:tc>
          <w:tcPr>
            <w:tcW w:w="535" w:type="pct"/>
            <w:tcBorders>
              <w:left w:val="single" w:color="auto" w:sz="4" w:space="0"/>
            </w:tcBorders>
            <w:vAlign w:val="center"/>
          </w:tcPr>
          <w:p w14:paraId="7DB92E82">
            <w:pPr>
              <w:spacing w:line="300" w:lineRule="auto"/>
              <w:jc w:val="center"/>
              <w:rPr>
                <w:rFonts w:ascii="宋体" w:hAnsi="宋体" w:cs="宋体"/>
                <w:color w:val="auto"/>
                <w:sz w:val="24"/>
                <w:highlight w:val="none"/>
              </w:rPr>
            </w:pPr>
            <w:r>
              <w:rPr>
                <w:rFonts w:hint="eastAsia" w:ascii="宋体" w:hAnsi="宋体" w:cs="宋体"/>
                <w:color w:val="auto"/>
                <w:sz w:val="24"/>
                <w:highlight w:val="none"/>
              </w:rPr>
              <w:t>1.6.2</w:t>
            </w:r>
          </w:p>
        </w:tc>
        <w:tc>
          <w:tcPr>
            <w:tcW w:w="4464" w:type="pct"/>
            <w:vAlign w:val="center"/>
          </w:tcPr>
          <w:p w14:paraId="54EC1D6F">
            <w:pPr>
              <w:keepNext w:val="0"/>
              <w:keepLines w:val="0"/>
              <w:pageBreakBefore w:val="0"/>
              <w:widowControl w:val="0"/>
              <w:shd w:val="clear"/>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（1）合同签订后15个工作日内，乙方向甲方提交《拱墅区网络与信息安全承诺书》（单位）、《拱墅区网络与信息安全保密承诺书》、《廉政承诺书》，甲方向乙方支付合同总金额40%的款项，计人民币（小写）：</w:t>
            </w:r>
            <w:r>
              <w:rPr>
                <w:rFonts w:hint="eastAsia" w:asciiTheme="minorEastAsia" w:hAnsiTheme="minorEastAsia" w:eastAsiaTheme="minorEastAsia" w:cstheme="minorEastAsia"/>
                <w:b w:val="0"/>
                <w:bCs w:val="0"/>
                <w:color w:val="auto"/>
                <w:sz w:val="24"/>
                <w:szCs w:val="24"/>
                <w:highlight w:val="none"/>
                <w:u w:val="single"/>
                <w:lang w:val="en-US" w:eastAsia="zh-CN"/>
              </w:rPr>
              <w:t xml:space="preserve">     </w:t>
            </w:r>
            <w:r>
              <w:rPr>
                <w:rFonts w:hint="eastAsia" w:asciiTheme="minorEastAsia" w:hAnsiTheme="minorEastAsia" w:eastAsiaTheme="minorEastAsia" w:cstheme="minorEastAsia"/>
                <w:b w:val="0"/>
                <w:bCs w:val="0"/>
                <w:color w:val="auto"/>
                <w:sz w:val="24"/>
                <w:szCs w:val="24"/>
                <w:highlight w:val="none"/>
                <w:lang w:val="en-US" w:eastAsia="zh-CN"/>
              </w:rPr>
              <w:t>元（大写）：</w:t>
            </w:r>
            <w:r>
              <w:rPr>
                <w:rFonts w:hint="eastAsia" w:asciiTheme="minorEastAsia" w:hAnsiTheme="minorEastAsia" w:eastAsiaTheme="minorEastAsia" w:cstheme="minorEastAsia"/>
                <w:b w:val="0"/>
                <w:bCs w:val="0"/>
                <w:color w:val="auto"/>
                <w:sz w:val="24"/>
                <w:szCs w:val="24"/>
                <w:highlight w:val="none"/>
                <w:u w:val="single"/>
                <w:lang w:val="en-US" w:eastAsia="zh-CN"/>
              </w:rPr>
              <w:t xml:space="preserve">     </w:t>
            </w:r>
            <w:r>
              <w:rPr>
                <w:rFonts w:hint="eastAsia" w:asciiTheme="minorEastAsia" w:hAnsiTheme="minorEastAsia" w:eastAsiaTheme="minorEastAsia" w:cstheme="minorEastAsia"/>
                <w:b w:val="0"/>
                <w:bCs w:val="0"/>
                <w:color w:val="auto"/>
                <w:sz w:val="24"/>
                <w:szCs w:val="24"/>
                <w:highlight w:val="none"/>
                <w:lang w:val="en-US" w:eastAsia="zh-CN"/>
              </w:rPr>
              <w:t>元整，支付前乙方应向甲方开具相同金额的正式发票。</w:t>
            </w:r>
          </w:p>
          <w:p w14:paraId="64B347FC">
            <w:pPr>
              <w:keepNext w:val="0"/>
              <w:keepLines w:val="0"/>
              <w:pageBreakBefore w:val="0"/>
              <w:widowControl w:val="0"/>
              <w:shd w:val="clear"/>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（2）合同签订后90日历天内，乙方按甲方要求提供齐全的初验文档，完成项目的全部系统建设并通过初验，初验通过后15个工作日内支付合同总价20%，计人民币（小写）：</w:t>
            </w:r>
            <w:r>
              <w:rPr>
                <w:rFonts w:hint="eastAsia" w:asciiTheme="minorEastAsia" w:hAnsiTheme="minorEastAsia" w:eastAsiaTheme="minorEastAsia" w:cstheme="minorEastAsia"/>
                <w:b w:val="0"/>
                <w:bCs w:val="0"/>
                <w:color w:val="auto"/>
                <w:sz w:val="24"/>
                <w:szCs w:val="24"/>
                <w:highlight w:val="none"/>
                <w:u w:val="single"/>
                <w:lang w:val="en-US" w:eastAsia="zh-CN"/>
              </w:rPr>
              <w:t xml:space="preserve">     </w:t>
            </w:r>
            <w:r>
              <w:rPr>
                <w:rFonts w:hint="eastAsia" w:asciiTheme="minorEastAsia" w:hAnsiTheme="minorEastAsia" w:eastAsiaTheme="minorEastAsia" w:cstheme="minorEastAsia"/>
                <w:b w:val="0"/>
                <w:bCs w:val="0"/>
                <w:color w:val="auto"/>
                <w:sz w:val="24"/>
                <w:szCs w:val="24"/>
                <w:highlight w:val="none"/>
                <w:lang w:val="en-US" w:eastAsia="zh-CN"/>
              </w:rPr>
              <w:t>元（大写）：</w:t>
            </w:r>
            <w:r>
              <w:rPr>
                <w:rFonts w:hint="eastAsia" w:asciiTheme="minorEastAsia" w:hAnsiTheme="minorEastAsia" w:eastAsiaTheme="minorEastAsia" w:cstheme="minorEastAsia"/>
                <w:b w:val="0"/>
                <w:bCs w:val="0"/>
                <w:color w:val="auto"/>
                <w:sz w:val="24"/>
                <w:szCs w:val="24"/>
                <w:highlight w:val="none"/>
                <w:u w:val="single"/>
                <w:lang w:val="en-US" w:eastAsia="zh-CN"/>
              </w:rPr>
              <w:t xml:space="preserve">     </w:t>
            </w:r>
            <w:r>
              <w:rPr>
                <w:rFonts w:hint="eastAsia" w:asciiTheme="minorEastAsia" w:hAnsiTheme="minorEastAsia" w:eastAsiaTheme="minorEastAsia" w:cstheme="minorEastAsia"/>
                <w:b w:val="0"/>
                <w:bCs w:val="0"/>
                <w:color w:val="auto"/>
                <w:sz w:val="24"/>
                <w:szCs w:val="24"/>
                <w:highlight w:val="none"/>
                <w:lang w:val="en-US" w:eastAsia="zh-CN"/>
              </w:rPr>
              <w:t>元整，支付前乙方应向甲方开具相同金额的正式发票；</w:t>
            </w:r>
          </w:p>
          <w:p w14:paraId="39EE750E">
            <w:pPr>
              <w:ind w:firstLine="480" w:firstLineChars="200"/>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（3）项目初验后30日历天内，乙方向甲方《</w:t>
            </w:r>
            <w:r>
              <w:rPr>
                <w:rFonts w:hint="eastAsia" w:asciiTheme="minorEastAsia" w:hAnsiTheme="minorEastAsia" w:eastAsiaTheme="minorEastAsia"/>
                <w:color w:val="auto"/>
                <w:highlight w:val="none"/>
              </w:rPr>
              <w:t>提供数据归集确认单</w:t>
            </w:r>
            <w:r>
              <w:rPr>
                <w:rFonts w:hint="eastAsia" w:asciiTheme="minorEastAsia" w:hAnsiTheme="minorEastAsia" w:eastAsiaTheme="minorEastAsia"/>
                <w:color w:val="auto"/>
                <w:highlight w:val="none"/>
                <w:lang w:eastAsia="zh-CN"/>
              </w:rPr>
              <w:t>》、</w:t>
            </w:r>
            <w:r>
              <w:rPr>
                <w:rFonts w:hint="eastAsia" w:asciiTheme="minorEastAsia" w:hAnsiTheme="minorEastAsia" w:eastAsiaTheme="minorEastAsia"/>
                <w:color w:val="auto"/>
                <w:highlight w:val="none"/>
              </w:rPr>
              <w:t>源代</w:t>
            </w:r>
            <w:r>
              <w:rPr>
                <w:rFonts w:hint="eastAsia" w:asciiTheme="minorEastAsia" w:hAnsiTheme="minorEastAsia" w:eastAsiaTheme="minorEastAsia"/>
                <w:color w:val="auto"/>
                <w:highlight w:val="none"/>
                <w:lang w:eastAsia="zh-CN"/>
              </w:rPr>
              <w:t>《</w:t>
            </w:r>
            <w:r>
              <w:rPr>
                <w:rFonts w:hint="eastAsia" w:asciiTheme="minorEastAsia" w:hAnsiTheme="minorEastAsia" w:eastAsiaTheme="minorEastAsia"/>
                <w:color w:val="auto"/>
                <w:highlight w:val="none"/>
              </w:rPr>
              <w:t>码归集确认单</w:t>
            </w:r>
            <w:r>
              <w:rPr>
                <w:rFonts w:hint="eastAsia" w:asciiTheme="minorEastAsia" w:hAnsiTheme="minorEastAsia" w:eastAsiaTheme="minorEastAsia"/>
                <w:color w:val="auto"/>
                <w:highlight w:val="none"/>
                <w:lang w:eastAsia="zh-CN"/>
              </w:rPr>
              <w:t>》</w:t>
            </w:r>
            <w:r>
              <w:rPr>
                <w:rFonts w:hint="eastAsia" w:asciiTheme="minorEastAsia" w:hAnsiTheme="minorEastAsia" w:eastAsiaTheme="minorEastAsia"/>
                <w:color w:val="auto"/>
                <w:highlight w:val="none"/>
              </w:rPr>
              <w:t>（甲方知识产权部分）</w:t>
            </w:r>
            <w:r>
              <w:rPr>
                <w:rFonts w:hint="eastAsia" w:asciiTheme="minorEastAsia" w:hAnsiTheme="minorEastAsia" w:eastAsiaTheme="minorEastAsia"/>
                <w:color w:val="auto"/>
                <w:highlight w:val="none"/>
                <w:lang w:eastAsia="zh-CN"/>
              </w:rPr>
              <w:t>、</w:t>
            </w:r>
            <w:r>
              <w:rPr>
                <w:rFonts w:hint="eastAsia" w:asciiTheme="minorEastAsia" w:hAnsiTheme="minorEastAsia" w:eastAsiaTheme="minorEastAsia"/>
                <w:color w:val="auto"/>
                <w:highlight w:val="none"/>
              </w:rPr>
              <w:t>按要求提供软件第三方检测和等保测评报告</w:t>
            </w:r>
            <w:r>
              <w:rPr>
                <w:rFonts w:hint="eastAsia" w:asciiTheme="minorEastAsia" w:hAnsiTheme="minorEastAsia" w:eastAsiaTheme="minorEastAsia"/>
                <w:color w:val="auto"/>
                <w:highlight w:val="none"/>
                <w:lang w:eastAsia="zh-CN"/>
              </w:rPr>
              <w:t>，</w:t>
            </w:r>
            <w:r>
              <w:rPr>
                <w:rFonts w:hint="eastAsia" w:asciiTheme="minorEastAsia" w:hAnsiTheme="minorEastAsia" w:eastAsiaTheme="minorEastAsia"/>
                <w:color w:val="auto"/>
                <w:highlight w:val="none"/>
                <w:lang w:val="en-US" w:eastAsia="zh-CN"/>
              </w:rPr>
              <w:t>并</w:t>
            </w:r>
            <w:r>
              <w:rPr>
                <w:rFonts w:hint="eastAsia" w:asciiTheme="minorEastAsia" w:hAnsiTheme="minorEastAsia" w:eastAsiaTheme="minorEastAsia" w:cstheme="minorEastAsia"/>
                <w:b w:val="0"/>
                <w:bCs w:val="0"/>
                <w:color w:val="auto"/>
                <w:sz w:val="24"/>
                <w:szCs w:val="24"/>
                <w:highlight w:val="none"/>
                <w:lang w:val="en-US" w:eastAsia="zh-CN"/>
              </w:rPr>
              <w:t>通过终验，终验通过后15个工作日内支付合同总价35%，计人民币（小写）：</w:t>
            </w:r>
            <w:r>
              <w:rPr>
                <w:rFonts w:hint="eastAsia" w:asciiTheme="minorEastAsia" w:hAnsiTheme="minorEastAsia" w:eastAsiaTheme="minorEastAsia" w:cstheme="minorEastAsia"/>
                <w:b w:val="0"/>
                <w:bCs w:val="0"/>
                <w:color w:val="auto"/>
                <w:sz w:val="24"/>
                <w:szCs w:val="24"/>
                <w:highlight w:val="none"/>
                <w:u w:val="single"/>
                <w:lang w:val="en-US" w:eastAsia="zh-CN"/>
              </w:rPr>
              <w:t xml:space="preserve">     </w:t>
            </w:r>
            <w:r>
              <w:rPr>
                <w:rFonts w:hint="eastAsia" w:asciiTheme="minorEastAsia" w:hAnsiTheme="minorEastAsia" w:eastAsiaTheme="minorEastAsia" w:cstheme="minorEastAsia"/>
                <w:b w:val="0"/>
                <w:bCs w:val="0"/>
                <w:color w:val="auto"/>
                <w:sz w:val="24"/>
                <w:szCs w:val="24"/>
                <w:highlight w:val="none"/>
                <w:lang w:val="en-US" w:eastAsia="zh-CN"/>
              </w:rPr>
              <w:t>元（大写）：</w:t>
            </w:r>
            <w:r>
              <w:rPr>
                <w:rFonts w:hint="eastAsia" w:asciiTheme="minorEastAsia" w:hAnsiTheme="minorEastAsia" w:eastAsiaTheme="minorEastAsia" w:cstheme="minorEastAsia"/>
                <w:b w:val="0"/>
                <w:bCs w:val="0"/>
                <w:color w:val="auto"/>
                <w:sz w:val="24"/>
                <w:szCs w:val="24"/>
                <w:highlight w:val="none"/>
                <w:u w:val="single"/>
                <w:lang w:val="en-US" w:eastAsia="zh-CN"/>
              </w:rPr>
              <w:t xml:space="preserve">     </w:t>
            </w:r>
            <w:r>
              <w:rPr>
                <w:rFonts w:hint="eastAsia" w:asciiTheme="minorEastAsia" w:hAnsiTheme="minorEastAsia" w:eastAsiaTheme="minorEastAsia" w:cstheme="minorEastAsia"/>
                <w:b w:val="0"/>
                <w:bCs w:val="0"/>
                <w:color w:val="auto"/>
                <w:sz w:val="24"/>
                <w:szCs w:val="24"/>
                <w:highlight w:val="none"/>
                <w:lang w:val="en-US" w:eastAsia="zh-CN"/>
              </w:rPr>
              <w:t>元整，支付前乙方应向甲方开具相同金额的正式发票。验收涉及的费用由乙方承担。</w:t>
            </w:r>
          </w:p>
          <w:p w14:paraId="735A42A2">
            <w:pPr>
              <w:keepNext w:val="0"/>
              <w:keepLines w:val="0"/>
              <w:pageBreakBefore w:val="0"/>
              <w:widowControl w:val="0"/>
              <w:shd w:val="clear"/>
              <w:kinsoku/>
              <w:wordWrap/>
              <w:overflowPunct/>
              <w:topLinePunct w:val="0"/>
              <w:autoSpaceDE/>
              <w:autoSpaceDN/>
              <w:bidi w:val="0"/>
              <w:adjustRightInd w:val="0"/>
              <w:snapToGrid w:val="0"/>
              <w:spacing w:line="360" w:lineRule="auto"/>
              <w:ind w:firstLine="480" w:firstLineChars="200"/>
              <w:textAlignment w:val="auto"/>
              <w:rPr>
                <w:rFonts w:hint="default"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（4）1年质保期完成后，支付合同总价5%。</w:t>
            </w:r>
          </w:p>
          <w:p w14:paraId="4EAFCD05">
            <w:pPr>
              <w:keepNext w:val="0"/>
              <w:keepLines w:val="0"/>
              <w:pageBreakBefore w:val="0"/>
              <w:widowControl w:val="0"/>
              <w:shd w:val="clear"/>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（5）付款期间，因不可抗力因素，如财政未下拨款项等原因造成的付款延迟，甲方不承担违约责任。</w:t>
            </w:r>
          </w:p>
          <w:p w14:paraId="0D93ED8B">
            <w:pPr>
              <w:snapToGrid w:val="0"/>
              <w:spacing w:line="360" w:lineRule="auto"/>
              <w:ind w:firstLine="480" w:firstLineChars="200"/>
              <w:rPr>
                <w:rFonts w:ascii="宋体" w:hAnsi="宋体" w:cs="宋体"/>
                <w:color w:val="auto"/>
                <w:sz w:val="24"/>
                <w:highlight w:val="none"/>
              </w:rPr>
            </w:pPr>
            <w:r>
              <w:rPr>
                <w:rFonts w:hint="eastAsia" w:asciiTheme="minorEastAsia" w:hAnsiTheme="minorEastAsia" w:eastAsiaTheme="minorEastAsia" w:cstheme="minorEastAsia"/>
                <w:b w:val="0"/>
                <w:bCs w:val="0"/>
                <w:color w:val="auto"/>
                <w:sz w:val="24"/>
                <w:szCs w:val="24"/>
                <w:highlight w:val="none"/>
                <w:lang w:val="en-US" w:eastAsia="zh-CN"/>
              </w:rPr>
              <w:t>（6）因乙方未及时提供发票导致甲方付款迟延的，不视为甲方违约。</w:t>
            </w:r>
          </w:p>
        </w:tc>
      </w:tr>
      <w:tr w14:paraId="7DAD4C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1F89402">
            <w:pPr>
              <w:spacing w:line="300" w:lineRule="auto"/>
              <w:jc w:val="center"/>
              <w:rPr>
                <w:rFonts w:ascii="宋体" w:hAnsi="宋体" w:cs="宋体"/>
                <w:color w:val="auto"/>
                <w:sz w:val="24"/>
                <w:highlight w:val="none"/>
              </w:rPr>
            </w:pPr>
            <w:r>
              <w:rPr>
                <w:rFonts w:hint="eastAsia" w:ascii="宋体" w:hAnsi="宋体" w:cs="宋体"/>
                <w:color w:val="auto"/>
                <w:sz w:val="24"/>
                <w:highlight w:val="none"/>
              </w:rPr>
              <w:t>1.7.1</w:t>
            </w:r>
          </w:p>
        </w:tc>
        <w:tc>
          <w:tcPr>
            <w:tcW w:w="4464" w:type="pct"/>
            <w:vAlign w:val="center"/>
          </w:tcPr>
          <w:p w14:paraId="0500F205">
            <w:pPr>
              <w:spacing w:line="300" w:lineRule="auto"/>
              <w:rPr>
                <w:rFonts w:ascii="宋体" w:hAnsi="宋体" w:cs="宋体"/>
                <w:color w:val="auto"/>
                <w:sz w:val="24"/>
                <w:highlight w:val="none"/>
              </w:rPr>
            </w:pPr>
          </w:p>
        </w:tc>
      </w:tr>
      <w:tr w14:paraId="321462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64" w:hRule="atLeast"/>
        </w:trPr>
        <w:tc>
          <w:tcPr>
            <w:tcW w:w="535" w:type="pct"/>
            <w:tcBorders>
              <w:left w:val="single" w:color="auto" w:sz="4" w:space="0"/>
            </w:tcBorders>
            <w:vAlign w:val="center"/>
          </w:tcPr>
          <w:p w14:paraId="27E94BDF">
            <w:pPr>
              <w:spacing w:line="300" w:lineRule="auto"/>
              <w:jc w:val="center"/>
              <w:rPr>
                <w:rFonts w:ascii="宋体" w:hAnsi="宋体" w:cs="宋体"/>
                <w:color w:val="auto"/>
                <w:sz w:val="24"/>
                <w:highlight w:val="none"/>
              </w:rPr>
            </w:pPr>
            <w:r>
              <w:rPr>
                <w:rFonts w:hint="eastAsia" w:ascii="宋体" w:hAnsi="宋体" w:cs="宋体"/>
                <w:color w:val="auto"/>
                <w:sz w:val="24"/>
                <w:highlight w:val="none"/>
              </w:rPr>
              <w:t>1.7.2</w:t>
            </w:r>
          </w:p>
        </w:tc>
        <w:tc>
          <w:tcPr>
            <w:tcW w:w="4464" w:type="pct"/>
            <w:vAlign w:val="center"/>
          </w:tcPr>
          <w:p w14:paraId="3E3D58D8">
            <w:pPr>
              <w:spacing w:line="300" w:lineRule="auto"/>
              <w:rPr>
                <w:rFonts w:ascii="宋体" w:hAnsi="宋体" w:cs="宋体"/>
                <w:color w:val="auto"/>
                <w:sz w:val="24"/>
                <w:highlight w:val="none"/>
              </w:rPr>
            </w:pPr>
          </w:p>
        </w:tc>
      </w:tr>
      <w:tr w14:paraId="1C3CC6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73EE93A">
            <w:pPr>
              <w:spacing w:line="300" w:lineRule="auto"/>
              <w:jc w:val="center"/>
              <w:rPr>
                <w:rFonts w:ascii="宋体" w:hAnsi="宋体" w:cs="宋体"/>
                <w:color w:val="auto"/>
                <w:sz w:val="24"/>
                <w:highlight w:val="none"/>
              </w:rPr>
            </w:pPr>
            <w:r>
              <w:rPr>
                <w:rFonts w:hint="eastAsia" w:ascii="宋体" w:hAnsi="宋体" w:cs="宋体"/>
                <w:color w:val="auto"/>
                <w:sz w:val="24"/>
                <w:highlight w:val="none"/>
              </w:rPr>
              <w:t>1.7.3</w:t>
            </w:r>
          </w:p>
        </w:tc>
        <w:tc>
          <w:tcPr>
            <w:tcW w:w="4464" w:type="pct"/>
            <w:vAlign w:val="center"/>
          </w:tcPr>
          <w:p w14:paraId="24FF60EB">
            <w:pPr>
              <w:spacing w:line="300" w:lineRule="auto"/>
              <w:rPr>
                <w:rFonts w:ascii="宋体" w:hAnsi="宋体" w:cs="宋体"/>
                <w:color w:val="auto"/>
                <w:sz w:val="24"/>
                <w:highlight w:val="none"/>
              </w:rPr>
            </w:pPr>
          </w:p>
        </w:tc>
      </w:tr>
      <w:tr w14:paraId="71065C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535" w:type="pct"/>
            <w:tcBorders>
              <w:left w:val="single" w:color="auto" w:sz="4" w:space="0"/>
            </w:tcBorders>
            <w:vAlign w:val="center"/>
          </w:tcPr>
          <w:p w14:paraId="59FE7C5B">
            <w:pPr>
              <w:spacing w:line="300" w:lineRule="auto"/>
              <w:jc w:val="center"/>
              <w:rPr>
                <w:rFonts w:ascii="宋体" w:hAnsi="宋体" w:cs="宋体"/>
                <w:color w:val="auto"/>
                <w:sz w:val="24"/>
                <w:highlight w:val="none"/>
              </w:rPr>
            </w:pPr>
            <w:r>
              <w:rPr>
                <w:rFonts w:hint="eastAsia" w:ascii="宋体" w:hAnsi="宋体" w:cs="宋体"/>
                <w:color w:val="auto"/>
                <w:sz w:val="24"/>
                <w:highlight w:val="none"/>
              </w:rPr>
              <w:t>1.7.4.1</w:t>
            </w:r>
          </w:p>
        </w:tc>
        <w:tc>
          <w:tcPr>
            <w:tcW w:w="4464" w:type="pct"/>
            <w:vAlign w:val="center"/>
          </w:tcPr>
          <w:p w14:paraId="3185A2B1">
            <w:pPr>
              <w:spacing w:line="300" w:lineRule="auto"/>
              <w:rPr>
                <w:rFonts w:hint="eastAsia" w:ascii="宋体" w:hAnsi="宋体" w:eastAsia="宋体" w:cs="宋体"/>
                <w:color w:val="auto"/>
                <w:sz w:val="24"/>
                <w:highlight w:val="none"/>
                <w:lang w:val="en-US" w:eastAsia="zh-CN"/>
              </w:rPr>
            </w:pPr>
          </w:p>
        </w:tc>
      </w:tr>
      <w:tr w14:paraId="6BD2FB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DC7264A">
            <w:pPr>
              <w:spacing w:line="300" w:lineRule="auto"/>
              <w:jc w:val="center"/>
              <w:rPr>
                <w:rFonts w:ascii="宋体" w:hAnsi="宋体" w:cs="宋体"/>
                <w:color w:val="auto"/>
                <w:sz w:val="24"/>
                <w:highlight w:val="none"/>
              </w:rPr>
            </w:pPr>
            <w:r>
              <w:rPr>
                <w:rFonts w:hint="eastAsia" w:ascii="宋体" w:hAnsi="宋体" w:cs="宋体"/>
                <w:color w:val="auto"/>
                <w:sz w:val="24"/>
                <w:highlight w:val="none"/>
              </w:rPr>
              <w:t>1.7.4.2</w:t>
            </w:r>
          </w:p>
        </w:tc>
        <w:tc>
          <w:tcPr>
            <w:tcW w:w="4464" w:type="pct"/>
            <w:vAlign w:val="center"/>
          </w:tcPr>
          <w:p w14:paraId="58F31BB9">
            <w:pPr>
              <w:spacing w:line="300" w:lineRule="auto"/>
              <w:rPr>
                <w:rFonts w:hint="eastAsia" w:ascii="宋体" w:hAnsi="宋体" w:eastAsia="宋体" w:cs="宋体"/>
                <w:color w:val="auto"/>
                <w:sz w:val="24"/>
                <w:highlight w:val="none"/>
                <w:lang w:val="en-US" w:eastAsia="zh-CN"/>
              </w:rPr>
            </w:pPr>
          </w:p>
        </w:tc>
      </w:tr>
      <w:tr w14:paraId="4C447E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8D510D1">
            <w:pPr>
              <w:spacing w:line="300" w:lineRule="auto"/>
              <w:jc w:val="center"/>
              <w:rPr>
                <w:rFonts w:ascii="宋体" w:hAnsi="宋体" w:cs="宋体"/>
                <w:color w:val="auto"/>
                <w:sz w:val="24"/>
                <w:highlight w:val="none"/>
              </w:rPr>
            </w:pPr>
            <w:r>
              <w:rPr>
                <w:rFonts w:hint="eastAsia" w:ascii="宋体" w:hAnsi="宋体" w:cs="宋体"/>
                <w:color w:val="auto"/>
                <w:sz w:val="24"/>
                <w:highlight w:val="none"/>
              </w:rPr>
              <w:t>1.7.4.3</w:t>
            </w:r>
          </w:p>
        </w:tc>
        <w:tc>
          <w:tcPr>
            <w:tcW w:w="4464" w:type="pct"/>
            <w:vAlign w:val="center"/>
          </w:tcPr>
          <w:p w14:paraId="170721FC">
            <w:pPr>
              <w:spacing w:line="300" w:lineRule="auto"/>
              <w:rPr>
                <w:rFonts w:hint="eastAsia" w:ascii="宋体" w:hAnsi="宋体" w:eastAsia="宋体" w:cs="宋体"/>
                <w:color w:val="auto"/>
                <w:sz w:val="24"/>
                <w:highlight w:val="none"/>
                <w:lang w:val="en-US" w:eastAsia="zh-CN"/>
              </w:rPr>
            </w:pPr>
          </w:p>
        </w:tc>
      </w:tr>
      <w:tr w14:paraId="3C6325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CB120D7">
            <w:pPr>
              <w:spacing w:line="300" w:lineRule="auto"/>
              <w:jc w:val="center"/>
              <w:rPr>
                <w:rFonts w:ascii="宋体" w:hAnsi="宋体" w:cs="宋体"/>
                <w:color w:val="auto"/>
                <w:sz w:val="24"/>
                <w:highlight w:val="none"/>
              </w:rPr>
            </w:pPr>
            <w:r>
              <w:rPr>
                <w:rFonts w:hint="eastAsia" w:ascii="宋体" w:hAnsi="宋体" w:cs="宋体"/>
                <w:color w:val="auto"/>
                <w:sz w:val="24"/>
                <w:highlight w:val="none"/>
              </w:rPr>
              <w:t>1.8.7</w:t>
            </w:r>
          </w:p>
        </w:tc>
        <w:tc>
          <w:tcPr>
            <w:tcW w:w="4464" w:type="pct"/>
            <w:vAlign w:val="center"/>
          </w:tcPr>
          <w:p w14:paraId="0C02E7F5">
            <w:pPr>
              <w:spacing w:line="300" w:lineRule="auto"/>
              <w:rPr>
                <w:rFonts w:hint="eastAsia" w:ascii="宋体" w:hAnsi="宋体" w:cs="宋体"/>
                <w:color w:val="auto"/>
                <w:sz w:val="24"/>
                <w:highlight w:val="none"/>
              </w:rPr>
            </w:pPr>
            <w:r>
              <w:rPr>
                <w:rFonts w:hint="eastAsia" w:ascii="宋体" w:hAnsi="宋体" w:cs="宋体"/>
                <w:color w:val="auto"/>
                <w:sz w:val="24"/>
                <w:highlight w:val="none"/>
              </w:rPr>
              <w:t>1. 甲方无故逾期付款的，甲方应按逾期付款总额每日万分之二向乙方支付违约金，但违约金总额至多不超过逾期付款总额的百分之五。</w:t>
            </w:r>
          </w:p>
          <w:p w14:paraId="3466552B">
            <w:pPr>
              <w:spacing w:line="300" w:lineRule="auto"/>
              <w:rPr>
                <w:rFonts w:hint="eastAsia" w:ascii="宋体" w:hAnsi="宋体" w:cs="宋体"/>
                <w:color w:val="auto"/>
                <w:sz w:val="24"/>
                <w:highlight w:val="none"/>
              </w:rPr>
            </w:pPr>
            <w:r>
              <w:rPr>
                <w:rFonts w:hint="eastAsia" w:ascii="宋体" w:hAnsi="宋体" w:cs="宋体"/>
                <w:color w:val="auto"/>
                <w:sz w:val="24"/>
                <w:highlight w:val="none"/>
              </w:rPr>
              <w:t>2. 乙方逾期履行合同义务的，自逾期之日起，向甲方每日偿付合同总价万分之二的违约金。乙方逾期30日不能履行合同义务的，应向甲方支付合同总价百分之五的违约金，并就乙方未按约提供的维保服务，甲方有权不支付相应维保费，且甲方有权终止合同并追究乙方的违约责任，对违约金不足以弥补甲方损失的部分，甲方有权要求乙方继续承担赔偿责任。</w:t>
            </w:r>
          </w:p>
          <w:p w14:paraId="2ED5F86B">
            <w:pPr>
              <w:spacing w:line="300" w:lineRule="auto"/>
              <w:rPr>
                <w:rFonts w:hint="eastAsia" w:ascii="宋体" w:hAnsi="宋体" w:cs="宋体"/>
                <w:color w:val="auto"/>
                <w:sz w:val="24"/>
                <w:highlight w:val="none"/>
              </w:rPr>
            </w:pPr>
            <w:r>
              <w:rPr>
                <w:rFonts w:hint="eastAsia" w:ascii="宋体" w:hAnsi="宋体" w:cs="宋体"/>
                <w:color w:val="auto"/>
                <w:sz w:val="24"/>
                <w:highlight w:val="none"/>
              </w:rPr>
              <w:t>3.乙方不得将本合同项下维保服务分包或转包第三方，但原厂商提供维保或者本由第三方提供的服务除外。否则，视为乙方严重违约，甲方有权不予结算维保费用，并解除本合同，按照合同总价百分之五支付违约金。</w:t>
            </w:r>
          </w:p>
          <w:p w14:paraId="2E190191">
            <w:pPr>
              <w:spacing w:line="300" w:lineRule="auto"/>
              <w:rPr>
                <w:rFonts w:hint="eastAsia" w:ascii="宋体" w:hAnsi="宋体" w:cs="宋体"/>
                <w:color w:val="auto"/>
                <w:sz w:val="24"/>
                <w:highlight w:val="none"/>
              </w:rPr>
            </w:pPr>
            <w:r>
              <w:rPr>
                <w:rFonts w:hint="eastAsia" w:ascii="宋体" w:hAnsi="宋体" w:cs="宋体"/>
                <w:color w:val="auto"/>
                <w:sz w:val="24"/>
                <w:highlight w:val="none"/>
              </w:rPr>
              <w:t>4.乙方未按约履行合同义务的（包括本合同、甲方的政府采购招标文件及乙方的投标文件中约定的乙方义务），甲方有权要求乙方整改或解除合同，就乙方未按约提供的维保服务，甲方有权不支付相应维保费用，并要求乙方承担甲方所支付合同总价百分之五的违约金，对于违约金不足以弥补甲方损失的部分，甲方有权要求乙方继续承担赔偿责任。</w:t>
            </w:r>
          </w:p>
          <w:p w14:paraId="5F474E68">
            <w:pPr>
              <w:spacing w:line="300" w:lineRule="auto"/>
              <w:rPr>
                <w:rFonts w:hint="eastAsia" w:ascii="宋体" w:hAnsi="宋体" w:cs="宋体"/>
                <w:color w:val="auto"/>
                <w:sz w:val="24"/>
                <w:highlight w:val="none"/>
              </w:rPr>
            </w:pPr>
            <w:r>
              <w:rPr>
                <w:rFonts w:hint="eastAsia" w:ascii="宋体" w:hAnsi="宋体" w:cs="宋体"/>
                <w:color w:val="auto"/>
                <w:sz w:val="24"/>
                <w:highlight w:val="none"/>
              </w:rPr>
              <w:t>5. 因乙方违约，甲方可主张的损失赔偿范围包括但不限于：备机费、维修费、检测费、测试费等，以及为维权而支出的诉讼费、公证费、鉴定费、调查费、保全及担保费、律师费、差旅费等合理开支。</w:t>
            </w:r>
          </w:p>
          <w:p w14:paraId="0DA307AC">
            <w:pPr>
              <w:spacing w:line="300" w:lineRule="auto"/>
              <w:rPr>
                <w:rFonts w:hint="eastAsia" w:ascii="宋体" w:hAnsi="宋体" w:cs="宋体"/>
                <w:color w:val="auto"/>
                <w:sz w:val="24"/>
                <w:highlight w:val="none"/>
              </w:rPr>
            </w:pPr>
            <w:r>
              <w:rPr>
                <w:rFonts w:hint="eastAsia" w:ascii="宋体" w:hAnsi="宋体" w:cs="宋体"/>
                <w:color w:val="auto"/>
                <w:sz w:val="24"/>
                <w:highlight w:val="none"/>
              </w:rPr>
              <w:t>6. 因乙方提供的系统开发功能不符合本合同、招标文件或甲方要求的技术标准的，导致本合同所要求的项目性能和功能无法实现，最终无法通过甲方的验收，且乙方拒绝整改的，甲方可单方面解除本合同，要求乙方全额退还已支付的合同费用。</w:t>
            </w:r>
          </w:p>
          <w:p w14:paraId="29999F75">
            <w:pPr>
              <w:spacing w:line="300" w:lineRule="auto"/>
              <w:rPr>
                <w:rFonts w:hint="eastAsia" w:ascii="宋体" w:hAnsi="宋体" w:cs="宋体"/>
                <w:color w:val="auto"/>
                <w:sz w:val="24"/>
                <w:highlight w:val="none"/>
              </w:rPr>
            </w:pPr>
            <w:r>
              <w:rPr>
                <w:rFonts w:hint="eastAsia" w:ascii="宋体" w:hAnsi="宋体" w:cs="宋体"/>
                <w:color w:val="auto"/>
                <w:sz w:val="24"/>
                <w:highlight w:val="none"/>
              </w:rPr>
              <w:t>7. 因甲乙双方任何一方违反本合同约定，违约方应承担守约方为保护和实现本合同项下权利和救济所产生的所有合理费用（包括但不限于公证费、差旅费、保全费、保全担保费、仲裁费用、律师费等）。</w:t>
            </w:r>
          </w:p>
          <w:p w14:paraId="4399C353">
            <w:pPr>
              <w:spacing w:line="300" w:lineRule="auto"/>
              <w:rPr>
                <w:rFonts w:ascii="宋体" w:hAnsi="宋体" w:cs="宋体"/>
                <w:color w:val="auto"/>
                <w:sz w:val="24"/>
                <w:highlight w:val="none"/>
              </w:rPr>
            </w:pPr>
            <w:r>
              <w:rPr>
                <w:rFonts w:hint="eastAsia" w:ascii="宋体" w:hAnsi="宋体" w:cs="宋体"/>
                <w:color w:val="auto"/>
                <w:sz w:val="24"/>
                <w:highlight w:val="none"/>
              </w:rPr>
              <w:t>8. 解除合同应按《浙江省合同管理办法》向财政备案。</w:t>
            </w:r>
          </w:p>
        </w:tc>
      </w:tr>
      <w:tr w14:paraId="1C8D60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315D1F2">
            <w:pPr>
              <w:spacing w:line="300" w:lineRule="auto"/>
              <w:jc w:val="center"/>
              <w:rPr>
                <w:rFonts w:ascii="宋体" w:hAnsi="宋体" w:cs="宋体"/>
                <w:color w:val="auto"/>
                <w:sz w:val="24"/>
                <w:highlight w:val="none"/>
              </w:rPr>
            </w:pPr>
            <w:r>
              <w:rPr>
                <w:rFonts w:hint="eastAsia" w:ascii="宋体" w:hAnsi="宋体" w:cs="宋体"/>
                <w:color w:val="auto"/>
                <w:sz w:val="24"/>
                <w:highlight w:val="none"/>
              </w:rPr>
              <w:t>1.9.1</w:t>
            </w:r>
          </w:p>
        </w:tc>
        <w:tc>
          <w:tcPr>
            <w:tcW w:w="4464" w:type="pct"/>
            <w:vAlign w:val="center"/>
          </w:tcPr>
          <w:p w14:paraId="7008E87F">
            <w:pPr>
              <w:spacing w:line="300" w:lineRule="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w:t>
            </w:r>
          </w:p>
        </w:tc>
      </w:tr>
      <w:tr w14:paraId="34D709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AF7448B">
            <w:pPr>
              <w:spacing w:line="300" w:lineRule="auto"/>
              <w:jc w:val="center"/>
              <w:rPr>
                <w:rFonts w:ascii="宋体" w:hAnsi="宋体" w:cs="宋体"/>
                <w:color w:val="auto"/>
                <w:sz w:val="24"/>
                <w:highlight w:val="none"/>
              </w:rPr>
            </w:pPr>
            <w:r>
              <w:rPr>
                <w:rFonts w:hint="eastAsia" w:ascii="宋体" w:hAnsi="宋体" w:cs="宋体"/>
                <w:color w:val="auto"/>
                <w:sz w:val="24"/>
                <w:highlight w:val="none"/>
              </w:rPr>
              <w:t>1.9.2</w:t>
            </w:r>
          </w:p>
        </w:tc>
        <w:tc>
          <w:tcPr>
            <w:tcW w:w="4464" w:type="pct"/>
            <w:vAlign w:val="center"/>
          </w:tcPr>
          <w:p w14:paraId="1AEB8243">
            <w:pPr>
              <w:spacing w:line="300" w:lineRule="auto"/>
              <w:rPr>
                <w:rFonts w:ascii="宋体" w:hAnsi="宋体" w:cs="宋体"/>
                <w:color w:val="auto"/>
                <w:sz w:val="24"/>
                <w:highlight w:val="none"/>
              </w:rPr>
            </w:pPr>
            <w:r>
              <w:rPr>
                <w:rFonts w:hint="eastAsia" w:ascii="宋体" w:hAnsi="宋体" w:cs="宋体"/>
                <w:color w:val="auto"/>
                <w:sz w:val="24"/>
                <w:highlight w:val="none"/>
              </w:rPr>
              <w:t>甲方住所地</w:t>
            </w:r>
          </w:p>
        </w:tc>
      </w:tr>
      <w:tr w14:paraId="5D7D94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EEBB03C">
            <w:pPr>
              <w:spacing w:line="300" w:lineRule="auto"/>
              <w:jc w:val="center"/>
              <w:rPr>
                <w:rFonts w:ascii="宋体" w:hAnsi="宋体" w:cs="宋体"/>
                <w:color w:val="auto"/>
                <w:sz w:val="24"/>
                <w:highlight w:val="none"/>
              </w:rPr>
            </w:pPr>
            <w:r>
              <w:rPr>
                <w:rFonts w:hint="eastAsia" w:ascii="宋体" w:hAnsi="宋体" w:cs="宋体"/>
                <w:color w:val="auto"/>
                <w:sz w:val="24"/>
                <w:highlight w:val="none"/>
              </w:rPr>
              <w:t>2.3.2</w:t>
            </w:r>
          </w:p>
        </w:tc>
        <w:tc>
          <w:tcPr>
            <w:tcW w:w="4464" w:type="pct"/>
            <w:vAlign w:val="center"/>
          </w:tcPr>
          <w:p w14:paraId="7F392F9D">
            <w:pPr>
              <w:keepNext w:val="0"/>
              <w:keepLines w:val="0"/>
              <w:pageBreakBefore w:val="0"/>
              <w:widowControl w:val="0"/>
              <w:kinsoku/>
              <w:wordWrap/>
              <w:overflowPunct/>
              <w:topLinePunct w:val="0"/>
              <w:autoSpaceDE/>
              <w:autoSpaceDN/>
              <w:bidi w:val="0"/>
              <w:adjustRightInd w:val="0"/>
              <w:snapToGrid/>
              <w:spacing w:line="300" w:lineRule="auto"/>
              <w:ind w:left="0" w:leftChars="0" w:right="0" w:rightChars="0"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本项目建设内容中的定制化软件部分知识产权和所有业务应用相关数据产权归采购方所有，中标方不得未经采购人书面许可，擅自使用或提供给第三方。</w:t>
            </w:r>
          </w:p>
          <w:p w14:paraId="50C11D6D">
            <w:pPr>
              <w:keepNext w:val="0"/>
              <w:keepLines w:val="0"/>
              <w:pageBreakBefore w:val="0"/>
              <w:widowControl w:val="0"/>
              <w:kinsoku/>
              <w:wordWrap/>
              <w:overflowPunct/>
              <w:topLinePunct w:val="0"/>
              <w:autoSpaceDE/>
              <w:autoSpaceDN/>
              <w:bidi w:val="0"/>
              <w:adjustRightInd w:val="0"/>
              <w:snapToGrid/>
              <w:spacing w:line="300" w:lineRule="auto"/>
              <w:ind w:left="0" w:leftChars="0" w:right="0" w:rightChars="0"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中标供应商原则上需提供本项目定制开发的所有源代码和开发文档，甲方有权对软件进行修改或提出修改意见。</w:t>
            </w:r>
          </w:p>
          <w:p w14:paraId="5C06F7F9">
            <w:pPr>
              <w:keepNext w:val="0"/>
              <w:keepLines w:val="0"/>
              <w:pageBreakBefore w:val="0"/>
              <w:widowControl w:val="0"/>
              <w:kinsoku/>
              <w:wordWrap/>
              <w:overflowPunct/>
              <w:topLinePunct w:val="0"/>
              <w:autoSpaceDE/>
              <w:autoSpaceDN/>
              <w:bidi w:val="0"/>
              <w:adjustRightInd w:val="0"/>
              <w:snapToGrid/>
              <w:spacing w:line="300" w:lineRule="auto"/>
              <w:ind w:left="0" w:leftChars="0" w:right="0" w:rightChars="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中标供应商应该对项目建设过程中的业务资料、技术资料、设计方案等一切资料、秘密予以严格保密，建设中由采购人主导产生的系统和软件设计、开发、应用创新想法、做法、实现方案等，中标供应商不得未经甲方书面许可，擅自使用或提供给第三方。</w:t>
            </w:r>
          </w:p>
        </w:tc>
      </w:tr>
      <w:tr w14:paraId="127629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520C265">
            <w:pPr>
              <w:spacing w:line="300" w:lineRule="auto"/>
              <w:jc w:val="center"/>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5</w:t>
            </w:r>
          </w:p>
        </w:tc>
        <w:tc>
          <w:tcPr>
            <w:tcW w:w="4464" w:type="pct"/>
            <w:vAlign w:val="center"/>
          </w:tcPr>
          <w:p w14:paraId="04929185">
            <w:pPr>
              <w:keepNext w:val="0"/>
              <w:keepLines w:val="0"/>
              <w:pageBreakBefore w:val="0"/>
              <w:widowControl w:val="0"/>
              <w:kinsoku/>
              <w:wordWrap/>
              <w:overflowPunct/>
              <w:topLinePunct w:val="0"/>
              <w:autoSpaceDE/>
              <w:autoSpaceDN/>
              <w:bidi w:val="0"/>
              <w:adjustRightInd w:val="0"/>
              <w:snapToGrid/>
              <w:spacing w:line="300" w:lineRule="auto"/>
              <w:ind w:left="0" w:leftChars="0" w:right="0" w:rightChars="0" w:firstLine="0" w:firstLineChars="0"/>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结算方式：试运行结束验收合格后一次性结算。</w:t>
            </w:r>
          </w:p>
          <w:p w14:paraId="4A4FD419">
            <w:pPr>
              <w:keepNext w:val="0"/>
              <w:keepLines w:val="0"/>
              <w:pageBreakBefore w:val="0"/>
              <w:widowControl w:val="0"/>
              <w:kinsoku/>
              <w:wordWrap/>
              <w:overflowPunct/>
              <w:topLinePunct w:val="0"/>
              <w:autoSpaceDE/>
              <w:autoSpaceDN/>
              <w:bidi w:val="0"/>
              <w:adjustRightInd w:val="0"/>
              <w:snapToGrid/>
              <w:spacing w:line="300" w:lineRule="auto"/>
              <w:ind w:left="0" w:leftChars="0" w:right="0" w:rightChars="0" w:firstLine="0" w:firstLineChars="0"/>
              <w:textAlignment w:val="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付款条件：乙方需提供完整的验收资料并开具与待支付金额相等</w:t>
            </w:r>
            <w:r>
              <w:rPr>
                <w:rFonts w:hint="eastAsia" w:ascii="宋体" w:hAnsi="宋体" w:cs="宋体"/>
                <w:color w:val="auto"/>
                <w:sz w:val="24"/>
                <w:highlight w:val="none"/>
              </w:rPr>
              <w:t>的正规发票</w:t>
            </w:r>
            <w:r>
              <w:rPr>
                <w:rFonts w:hint="eastAsia" w:ascii="宋体" w:hAnsi="宋体" w:cs="宋体"/>
                <w:color w:val="auto"/>
                <w:sz w:val="24"/>
                <w:highlight w:val="none"/>
                <w:lang w:eastAsia="zh-CN"/>
              </w:rPr>
              <w:t>。</w:t>
            </w:r>
          </w:p>
        </w:tc>
      </w:tr>
      <w:tr w14:paraId="56C61D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7C92606">
            <w:pPr>
              <w:spacing w:line="300" w:lineRule="auto"/>
              <w:jc w:val="center"/>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11</w:t>
            </w:r>
            <w:r>
              <w:rPr>
                <w:rFonts w:hint="eastAsia" w:ascii="宋体" w:hAnsi="宋体" w:cs="宋体"/>
                <w:color w:val="auto"/>
                <w:sz w:val="24"/>
                <w:highlight w:val="none"/>
              </w:rPr>
              <w:t>.</w:t>
            </w:r>
            <w:r>
              <w:rPr>
                <w:rFonts w:ascii="宋体" w:hAnsi="宋体" w:cs="宋体"/>
                <w:color w:val="auto"/>
                <w:sz w:val="24"/>
                <w:highlight w:val="none"/>
              </w:rPr>
              <w:t>3</w:t>
            </w:r>
          </w:p>
        </w:tc>
        <w:tc>
          <w:tcPr>
            <w:tcW w:w="4464" w:type="pct"/>
            <w:vAlign w:val="center"/>
          </w:tcPr>
          <w:p w14:paraId="31CDC25C">
            <w:pPr>
              <w:spacing w:line="300" w:lineRule="auto"/>
              <w:rPr>
                <w:rFonts w:ascii="宋体" w:hAnsi="宋体" w:cs="宋体"/>
                <w:color w:val="auto"/>
                <w:sz w:val="24"/>
                <w:highlight w:val="none"/>
              </w:rPr>
            </w:pPr>
          </w:p>
        </w:tc>
      </w:tr>
      <w:tr w14:paraId="4657B7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tcPr>
          <w:p w14:paraId="38389498">
            <w:pPr>
              <w:spacing w:line="300" w:lineRule="auto"/>
              <w:jc w:val="center"/>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11.4</w:t>
            </w:r>
          </w:p>
        </w:tc>
        <w:tc>
          <w:tcPr>
            <w:tcW w:w="4464" w:type="pct"/>
          </w:tcPr>
          <w:p w14:paraId="0597EAEF">
            <w:pPr>
              <w:spacing w:line="300" w:lineRule="auto"/>
              <w:rPr>
                <w:rFonts w:ascii="宋体" w:hAnsi="宋体" w:cs="宋体"/>
                <w:color w:val="auto"/>
                <w:sz w:val="24"/>
                <w:highlight w:val="none"/>
              </w:rPr>
            </w:pPr>
          </w:p>
        </w:tc>
      </w:tr>
      <w:tr w14:paraId="00D8C7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22630A0">
            <w:pPr>
              <w:spacing w:line="300" w:lineRule="auto"/>
              <w:jc w:val="center"/>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15</w:t>
            </w:r>
            <w:r>
              <w:rPr>
                <w:rFonts w:hint="eastAsia" w:ascii="宋体" w:hAnsi="宋体" w:cs="宋体"/>
                <w:color w:val="auto"/>
                <w:sz w:val="24"/>
                <w:highlight w:val="none"/>
              </w:rPr>
              <w:t>.</w:t>
            </w:r>
            <w:r>
              <w:rPr>
                <w:rFonts w:ascii="宋体" w:hAnsi="宋体" w:cs="宋体"/>
                <w:color w:val="auto"/>
                <w:sz w:val="24"/>
                <w:highlight w:val="none"/>
              </w:rPr>
              <w:t>1</w:t>
            </w:r>
          </w:p>
        </w:tc>
        <w:tc>
          <w:tcPr>
            <w:tcW w:w="4464" w:type="pct"/>
            <w:vAlign w:val="center"/>
          </w:tcPr>
          <w:p w14:paraId="49DA1C07">
            <w:pPr>
              <w:spacing w:line="300" w:lineRule="auto"/>
              <w:rPr>
                <w:rFonts w:ascii="宋体" w:hAnsi="宋体" w:cs="宋体"/>
                <w:color w:val="auto"/>
                <w:sz w:val="24"/>
                <w:highlight w:val="none"/>
              </w:rPr>
            </w:pPr>
            <w:r>
              <w:rPr>
                <w:rFonts w:hint="eastAsia" w:ascii="宋体" w:hAnsi="宋体" w:cs="宋体"/>
                <w:color w:val="auto"/>
                <w:sz w:val="24"/>
                <w:highlight w:val="none"/>
              </w:rPr>
              <w:t>合同签订后1</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0日历天内完成项目的全部系统建设并初步验收，项目初验后30日历天内通过终验。</w:t>
            </w:r>
          </w:p>
        </w:tc>
      </w:tr>
      <w:tr w14:paraId="6D02E5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F27816A">
            <w:pPr>
              <w:spacing w:line="300" w:lineRule="auto"/>
              <w:jc w:val="center"/>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15</w:t>
            </w:r>
            <w:r>
              <w:rPr>
                <w:rFonts w:hint="eastAsia" w:ascii="宋体" w:hAnsi="宋体" w:cs="宋体"/>
                <w:color w:val="auto"/>
                <w:sz w:val="24"/>
                <w:highlight w:val="none"/>
              </w:rPr>
              <w:t>.</w:t>
            </w:r>
            <w:r>
              <w:rPr>
                <w:rFonts w:ascii="宋体" w:hAnsi="宋体" w:cs="宋体"/>
                <w:color w:val="auto"/>
                <w:sz w:val="24"/>
                <w:highlight w:val="none"/>
              </w:rPr>
              <w:t>3</w:t>
            </w:r>
          </w:p>
        </w:tc>
        <w:tc>
          <w:tcPr>
            <w:tcW w:w="4464" w:type="pct"/>
            <w:vAlign w:val="center"/>
          </w:tcPr>
          <w:p w14:paraId="2AC8C4CD">
            <w:pPr>
              <w:spacing w:line="300" w:lineRule="auto"/>
              <w:rPr>
                <w:rFonts w:ascii="宋体" w:hAnsi="宋体" w:cs="宋体"/>
                <w:color w:val="auto"/>
                <w:sz w:val="24"/>
                <w:highlight w:val="none"/>
              </w:rPr>
            </w:pPr>
          </w:p>
        </w:tc>
      </w:tr>
      <w:tr w14:paraId="72CE16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tcPr>
          <w:p w14:paraId="768378F6">
            <w:pPr>
              <w:spacing w:line="300" w:lineRule="auto"/>
              <w:jc w:val="center"/>
              <w:rPr>
                <w:rFonts w:ascii="宋体" w:hAnsi="宋体" w:cs="宋体"/>
                <w:color w:val="auto"/>
                <w:sz w:val="24"/>
                <w:highlight w:val="none"/>
              </w:rPr>
            </w:pPr>
            <w:r>
              <w:rPr>
                <w:rFonts w:hint="eastAsia" w:ascii="宋体" w:hAnsi="宋体" w:cs="宋体"/>
                <w:color w:val="auto"/>
                <w:sz w:val="24"/>
                <w:highlight w:val="none"/>
              </w:rPr>
              <w:t>2.19</w:t>
            </w:r>
          </w:p>
        </w:tc>
        <w:tc>
          <w:tcPr>
            <w:tcW w:w="4464" w:type="pct"/>
          </w:tcPr>
          <w:p w14:paraId="12D2C16C">
            <w:pPr>
              <w:spacing w:line="300" w:lineRule="auto"/>
              <w:rPr>
                <w:rFonts w:ascii="宋体" w:hAnsi="宋体" w:cs="宋体"/>
                <w:color w:val="auto"/>
                <w:sz w:val="24"/>
                <w:highlight w:val="none"/>
              </w:rPr>
            </w:pPr>
            <w:r>
              <w:rPr>
                <w:rFonts w:hint="eastAsia" w:ascii="宋体" w:hAnsi="宋体" w:cs="宋体"/>
                <w:color w:val="auto"/>
                <w:sz w:val="24"/>
                <w:highlight w:val="none"/>
              </w:rPr>
              <w:t>本合同一式陆份，甲方执叁份、乙方执贰份，鉴证方执壹份。</w:t>
            </w:r>
          </w:p>
        </w:tc>
      </w:tr>
      <w:tr w14:paraId="7A0071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tcPr>
          <w:p w14:paraId="14D0259A">
            <w:pPr>
              <w:spacing w:line="30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2.20</w:t>
            </w:r>
          </w:p>
        </w:tc>
        <w:tc>
          <w:tcPr>
            <w:tcW w:w="4464" w:type="pct"/>
          </w:tcPr>
          <w:p w14:paraId="5C4E1907">
            <w:pPr>
              <w:numPr>
                <w:ilvl w:val="-1"/>
                <w:numId w:val="0"/>
              </w:numPr>
              <w:spacing w:line="300" w:lineRule="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网络安全和数据安全条款</w:t>
            </w:r>
          </w:p>
          <w:p w14:paraId="69811907">
            <w:pPr>
              <w:numPr>
                <w:ilvl w:val="-1"/>
                <w:numId w:val="0"/>
              </w:numPr>
              <w:spacing w:line="30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1.</w:t>
            </w:r>
            <w:r>
              <w:rPr>
                <w:rFonts w:hint="eastAsia" w:ascii="宋体" w:hAnsi="宋体" w:cs="宋体"/>
                <w:color w:val="auto"/>
                <w:sz w:val="24"/>
                <w:highlight w:val="none"/>
              </w:rPr>
              <w:t>乙方应遵守国家有关保密的法律法规和行业规定，并对甲方提供的资料负有保密义务。未经甲方同意，不得将承接政府公共服务项目获得的政府、公民个人等各种信息和资料提供给其他单位和个人。如发生以上情况，甲方有权索赔</w:t>
            </w:r>
            <w:r>
              <w:rPr>
                <w:rFonts w:hint="eastAsia" w:ascii="宋体" w:hAnsi="宋体" w:cs="宋体"/>
                <w:color w:val="auto"/>
                <w:sz w:val="24"/>
                <w:highlight w:val="none"/>
                <w:lang w:eastAsia="zh-CN"/>
              </w:rPr>
              <w:t>。</w:t>
            </w:r>
          </w:p>
          <w:p w14:paraId="090D6ABF">
            <w:pPr>
              <w:numPr>
                <w:ilvl w:val="-1"/>
                <w:numId w:val="0"/>
              </w:numPr>
              <w:spacing w:line="300" w:lineRule="auto"/>
              <w:rPr>
                <w:rFonts w:hint="eastAsia" w:ascii="宋体" w:hAnsi="宋体" w:cs="宋体"/>
                <w:color w:val="auto"/>
                <w:sz w:val="24"/>
                <w:highlight w:val="none"/>
              </w:rPr>
            </w:pPr>
            <w:r>
              <w:rPr>
                <w:rFonts w:hint="eastAsia" w:ascii="宋体" w:hAnsi="宋体" w:cs="宋体"/>
                <w:color w:val="auto"/>
                <w:sz w:val="24"/>
                <w:highlight w:val="none"/>
                <w:lang w:val="en-US" w:eastAsia="zh-CN"/>
              </w:rPr>
              <w:t>2.</w:t>
            </w:r>
            <w:r>
              <w:rPr>
                <w:rFonts w:hint="eastAsia" w:ascii="宋体" w:hAnsi="宋体" w:cs="宋体"/>
                <w:color w:val="auto"/>
                <w:sz w:val="24"/>
                <w:highlight w:val="none"/>
              </w:rPr>
              <w:t>甲方有义务保护乙方的知识产权，未经乙方同意，不得将乙方交付的具有知识产权性质的成果文件、资料向第三方转让或用于本合同以外的项目。如发生以上情况，乙方有权索赔，但甲方依据相关法定职责对外公开的除外。</w:t>
            </w:r>
          </w:p>
          <w:p w14:paraId="4926865D">
            <w:pPr>
              <w:numPr>
                <w:ilvl w:val="-1"/>
                <w:numId w:val="0"/>
              </w:numPr>
              <w:spacing w:line="30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3.乙方须按照网信办、数据资源局等上级管理部门最新要求，落实网络和数据安全工作。</w:t>
            </w:r>
          </w:p>
        </w:tc>
      </w:tr>
      <w:tr w14:paraId="0ECB9D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tcPr>
          <w:p w14:paraId="553C905C">
            <w:pPr>
              <w:spacing w:line="300" w:lineRule="auto"/>
              <w:ind w:firstLine="240" w:firstLineChars="100"/>
              <w:jc w:val="both"/>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2.21</w:t>
            </w:r>
          </w:p>
        </w:tc>
        <w:tc>
          <w:tcPr>
            <w:tcW w:w="4464" w:type="pct"/>
          </w:tcPr>
          <w:p w14:paraId="65609A25">
            <w:pPr>
              <w:numPr>
                <w:ilvl w:val="-1"/>
                <w:numId w:val="0"/>
              </w:numPr>
              <w:spacing w:line="300" w:lineRule="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其他后续服务条款</w:t>
            </w:r>
          </w:p>
          <w:p w14:paraId="2F94A2FF">
            <w:pPr>
              <w:numPr>
                <w:ilvl w:val="-1"/>
                <w:numId w:val="0"/>
              </w:numPr>
              <w:spacing w:line="300" w:lineRule="auto"/>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一年质保期结束后，数据服务和语音服务收费原则上不得高于相应（数据服务和语音服务）的投标报价，最终以网信办、数据资源局等上级管理部门的最新要求，甲乙双商协商为准。</w:t>
            </w:r>
          </w:p>
        </w:tc>
      </w:tr>
    </w:tbl>
    <w:p w14:paraId="772C865D">
      <w:pPr>
        <w:rPr>
          <w:rFonts w:hint="eastAsia" w:ascii="宋体" w:hAnsi="宋体" w:cs="宋体"/>
          <w:b/>
          <w:color w:val="auto"/>
          <w:sz w:val="36"/>
          <w:szCs w:val="20"/>
          <w:highlight w:val="none"/>
        </w:rPr>
      </w:pPr>
      <w:r>
        <w:rPr>
          <w:rFonts w:hint="eastAsia" w:ascii="宋体" w:hAnsi="宋体" w:cs="宋体"/>
          <w:b/>
          <w:color w:val="auto"/>
          <w:sz w:val="36"/>
          <w:szCs w:val="20"/>
          <w:highlight w:val="none"/>
        </w:rPr>
        <w:br w:type="page"/>
      </w:r>
    </w:p>
    <w:p w14:paraId="22A4C2DB">
      <w:pPr>
        <w:widowControl/>
        <w:shd w:val="clear"/>
        <w:adjustRightInd/>
        <w:jc w:val="center"/>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407"/>
      <w:r>
        <w:rPr>
          <w:rFonts w:hint="eastAsia" w:ascii="宋体" w:hAnsi="宋体" w:cs="宋体"/>
          <w:b/>
          <w:color w:val="auto"/>
          <w:sz w:val="36"/>
          <w:szCs w:val="20"/>
          <w:highlight w:val="none"/>
        </w:rPr>
        <w:t xml:space="preserve"> </w:t>
      </w:r>
      <w:bookmarkEnd w:id="408"/>
      <w:r>
        <w:rPr>
          <w:rFonts w:hint="eastAsia" w:ascii="宋体" w:hAnsi="宋体" w:cs="宋体"/>
          <w:b/>
          <w:color w:val="auto"/>
          <w:sz w:val="36"/>
          <w:szCs w:val="20"/>
          <w:highlight w:val="none"/>
        </w:rPr>
        <w:t>应提交的有关格式范例</w:t>
      </w:r>
    </w:p>
    <w:p w14:paraId="0CBD0F24">
      <w:pPr>
        <w:shd w:val="clear"/>
        <w:spacing w:line="360" w:lineRule="auto"/>
        <w:jc w:val="center"/>
        <w:outlineLvl w:val="0"/>
        <w:rPr>
          <w:rFonts w:ascii="宋体" w:hAnsi="宋体" w:cs="宋体"/>
          <w:b/>
          <w:color w:val="auto"/>
          <w:kern w:val="0"/>
          <w:sz w:val="36"/>
          <w:szCs w:val="36"/>
          <w:highlight w:val="none"/>
        </w:rPr>
      </w:pPr>
    </w:p>
    <w:p w14:paraId="0A940E35">
      <w:pPr>
        <w:shd w:val="clea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23197760">
      <w:pPr>
        <w:shd w:val="clea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3C48C6FB">
      <w:pPr>
        <w:shd w:val="clear"/>
        <w:spacing w:line="360" w:lineRule="auto"/>
        <w:jc w:val="center"/>
        <w:outlineLvl w:val="0"/>
        <w:rPr>
          <w:rFonts w:ascii="宋体" w:hAnsi="宋体" w:cs="宋体"/>
          <w:b/>
          <w:color w:val="auto"/>
          <w:kern w:val="0"/>
          <w:sz w:val="36"/>
          <w:szCs w:val="36"/>
          <w:highlight w:val="none"/>
        </w:rPr>
      </w:pPr>
    </w:p>
    <w:p w14:paraId="6021DD36">
      <w:pPr>
        <w:shd w:val="clea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7F58591A">
      <w:pPr>
        <w:shd w:val="clea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34FDA7C9">
      <w:pPr>
        <w:shd w:val="clea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14:paraId="33B1AE6C">
      <w:pPr>
        <w:shd w:val="clea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14:paraId="3DF1A7BC">
      <w:pPr>
        <w:shd w:val="clear"/>
        <w:snapToGrid w:val="0"/>
        <w:spacing w:line="360" w:lineRule="auto"/>
        <w:ind w:firstLine="480" w:firstLineChars="200"/>
        <w:rPr>
          <w:rFonts w:ascii="宋体" w:hAnsi="宋体" w:cs="宋体"/>
          <w:color w:val="auto"/>
          <w:sz w:val="24"/>
          <w:highlight w:val="none"/>
        </w:rPr>
      </w:pPr>
    </w:p>
    <w:p w14:paraId="69ABEE8C">
      <w:pPr>
        <w:shd w:val="clear"/>
        <w:spacing w:line="360" w:lineRule="auto"/>
        <w:ind w:firstLine="480" w:firstLineChars="200"/>
        <w:rPr>
          <w:rFonts w:ascii="宋体" w:hAnsi="宋体" w:cs="宋体"/>
          <w:color w:val="auto"/>
          <w:sz w:val="24"/>
          <w:highlight w:val="none"/>
        </w:rPr>
      </w:pPr>
    </w:p>
    <w:p w14:paraId="5D9F4EB9">
      <w:pPr>
        <w:shd w:val="clea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14:paraId="2265A26E">
      <w:pPr>
        <w:shd w:val="clea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杭州大运河数智未来城管理委员会</w:t>
      </w:r>
      <w:r>
        <w:rPr>
          <w:rFonts w:hint="eastAsia" w:ascii="宋体" w:hAnsi="宋体" w:cs="宋体"/>
          <w:color w:val="auto"/>
          <w:sz w:val="24"/>
          <w:highlight w:val="none"/>
        </w:rPr>
        <w:t>、</w:t>
      </w:r>
      <w:r>
        <w:rPr>
          <w:rFonts w:hint="eastAsia" w:ascii="宋体" w:hAnsi="宋体" w:cs="宋体"/>
          <w:color w:val="auto"/>
          <w:sz w:val="24"/>
          <w:highlight w:val="none"/>
          <w:lang w:eastAsia="zh-CN"/>
        </w:rPr>
        <w:t>华诚工程咨询集团有限公司</w:t>
      </w:r>
      <w:r>
        <w:rPr>
          <w:rFonts w:hint="eastAsia" w:ascii="宋体" w:hAnsi="宋体" w:cs="宋体"/>
          <w:color w:val="auto"/>
          <w:sz w:val="24"/>
          <w:highlight w:val="none"/>
        </w:rPr>
        <w:t>：</w:t>
      </w:r>
    </w:p>
    <w:p w14:paraId="326F0128">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w:t>
      </w:r>
      <w:r>
        <w:rPr>
          <w:rFonts w:hint="eastAsia" w:ascii="宋体" w:hAnsi="宋体" w:cs="宋体"/>
          <w:color w:val="auto"/>
          <w:sz w:val="24"/>
          <w:highlight w:val="none"/>
          <w:lang w:eastAsia="zh-CN"/>
        </w:rPr>
        <w:t>2024年大运河数智未来城高新云梯暖企通平台建设项目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HCZB-2024070203009</w:t>
      </w:r>
      <w:r>
        <w:rPr>
          <w:rFonts w:hint="eastAsia" w:ascii="宋体" w:hAnsi="宋体" w:cs="宋体"/>
          <w:color w:val="auto"/>
          <w:sz w:val="24"/>
          <w:highlight w:val="none"/>
        </w:rPr>
        <w:t>】政府采购活动，郑重承诺：</w:t>
      </w:r>
    </w:p>
    <w:p w14:paraId="2AC3A0F5">
      <w:pPr>
        <w:shd w:val="clea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43A0F456">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44037480">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04E33F81">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3E6921FB">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47FB155A">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679E917C">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6C05A7E4">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68A6D413">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6946C76D">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482DEE3C">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56E50AEE">
      <w:pPr>
        <w:shd w:val="clea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129FF30B">
      <w:pPr>
        <w:shd w:val="clea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15AEF3E6">
      <w:pPr>
        <w:shd w:val="clear"/>
        <w:snapToGrid w:val="0"/>
        <w:spacing w:line="360" w:lineRule="auto"/>
        <w:ind w:right="480"/>
        <w:jc w:val="center"/>
        <w:rPr>
          <w:rFonts w:ascii="宋体" w:hAnsi="宋体" w:cs="宋体"/>
          <w:b/>
          <w:color w:val="auto"/>
          <w:kern w:val="0"/>
          <w:sz w:val="32"/>
          <w:szCs w:val="32"/>
          <w:highlight w:val="none"/>
        </w:rPr>
      </w:pPr>
    </w:p>
    <w:p w14:paraId="15B2B3F0">
      <w:pPr>
        <w:shd w:val="clear"/>
        <w:snapToGrid w:val="0"/>
        <w:spacing w:line="360" w:lineRule="auto"/>
        <w:ind w:right="480"/>
        <w:jc w:val="center"/>
        <w:rPr>
          <w:rFonts w:ascii="宋体" w:hAnsi="宋体" w:cs="宋体"/>
          <w:b/>
          <w:color w:val="auto"/>
          <w:kern w:val="0"/>
          <w:sz w:val="32"/>
          <w:szCs w:val="32"/>
          <w:highlight w:val="none"/>
        </w:rPr>
      </w:pPr>
    </w:p>
    <w:p w14:paraId="68D3D896">
      <w:pPr>
        <w:shd w:val="clear"/>
        <w:snapToGrid w:val="0"/>
        <w:spacing w:line="360" w:lineRule="auto"/>
        <w:ind w:right="480"/>
        <w:jc w:val="center"/>
        <w:rPr>
          <w:rFonts w:ascii="宋体" w:hAnsi="宋体" w:cs="宋体"/>
          <w:b/>
          <w:color w:val="auto"/>
          <w:kern w:val="0"/>
          <w:sz w:val="32"/>
          <w:szCs w:val="32"/>
          <w:highlight w:val="none"/>
        </w:rPr>
      </w:pPr>
    </w:p>
    <w:p w14:paraId="0E28D849">
      <w:pPr>
        <w:shd w:val="clear"/>
        <w:rPr>
          <w:rFonts w:ascii="宋体" w:hAnsi="宋体" w:cs="宋体"/>
          <w:color w:val="auto"/>
          <w:highlight w:val="none"/>
        </w:rPr>
      </w:pPr>
    </w:p>
    <w:p w14:paraId="692B73E4">
      <w:pPr>
        <w:shd w:val="clear"/>
        <w:snapToGrid w:val="0"/>
        <w:spacing w:line="360" w:lineRule="auto"/>
        <w:ind w:right="480"/>
        <w:jc w:val="center"/>
        <w:rPr>
          <w:rFonts w:ascii="宋体" w:hAnsi="宋体" w:cs="宋体"/>
          <w:b/>
          <w:color w:val="auto"/>
          <w:kern w:val="0"/>
          <w:sz w:val="32"/>
          <w:szCs w:val="32"/>
          <w:highlight w:val="none"/>
        </w:rPr>
      </w:pPr>
    </w:p>
    <w:p w14:paraId="408EE35C">
      <w:pPr>
        <w:shd w:val="clear"/>
        <w:snapToGrid w:val="0"/>
        <w:spacing w:line="360" w:lineRule="auto"/>
        <w:ind w:right="480"/>
        <w:jc w:val="center"/>
        <w:rPr>
          <w:rFonts w:ascii="宋体" w:hAnsi="宋体" w:cs="宋体"/>
          <w:b/>
          <w:color w:val="auto"/>
          <w:kern w:val="0"/>
          <w:sz w:val="32"/>
          <w:szCs w:val="32"/>
          <w:highlight w:val="none"/>
        </w:rPr>
      </w:pPr>
    </w:p>
    <w:p w14:paraId="13093741">
      <w:pPr>
        <w:shd w:val="clear"/>
        <w:snapToGrid w:val="0"/>
        <w:spacing w:line="360" w:lineRule="auto"/>
        <w:ind w:right="480"/>
        <w:jc w:val="center"/>
        <w:rPr>
          <w:rFonts w:ascii="宋体" w:hAnsi="宋体" w:cs="宋体"/>
          <w:b/>
          <w:color w:val="auto"/>
          <w:kern w:val="0"/>
          <w:sz w:val="32"/>
          <w:szCs w:val="32"/>
          <w:highlight w:val="none"/>
        </w:rPr>
      </w:pPr>
    </w:p>
    <w:p w14:paraId="37859F31">
      <w:pPr>
        <w:widowControl/>
        <w:shd w:val="clear"/>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558BDA0B">
      <w:pPr>
        <w:widowControl/>
        <w:shd w:val="clear"/>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11D2833C">
      <w:pPr>
        <w:widowControl/>
        <w:shd w:val="clear"/>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14:paraId="73DFD9F5">
      <w:pPr>
        <w:shd w:val="clear"/>
        <w:snapToGrid w:val="0"/>
        <w:spacing w:line="360" w:lineRule="auto"/>
        <w:ind w:right="480"/>
        <w:jc w:val="center"/>
        <w:rPr>
          <w:rFonts w:ascii="宋体" w:hAnsi="宋体" w:cs="宋体"/>
          <w:b/>
          <w:color w:val="auto"/>
          <w:kern w:val="0"/>
          <w:sz w:val="32"/>
          <w:szCs w:val="32"/>
          <w:highlight w:val="none"/>
        </w:rPr>
      </w:pPr>
    </w:p>
    <w:p w14:paraId="76E37FB0">
      <w:pPr>
        <w:shd w:val="clear"/>
        <w:snapToGrid w:val="0"/>
        <w:spacing w:line="360" w:lineRule="auto"/>
        <w:ind w:right="480"/>
        <w:jc w:val="center"/>
        <w:rPr>
          <w:rFonts w:ascii="宋体" w:hAnsi="宋体" w:cs="宋体"/>
          <w:b/>
          <w:color w:val="auto"/>
          <w:kern w:val="0"/>
          <w:sz w:val="32"/>
          <w:szCs w:val="32"/>
          <w:highlight w:val="none"/>
        </w:rPr>
      </w:pPr>
    </w:p>
    <w:p w14:paraId="6BE57552">
      <w:pPr>
        <w:shd w:val="clea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14:paraId="7FE37DB8">
      <w:pPr>
        <w:shd w:val="clea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225378C7">
      <w:pPr>
        <w:shd w:val="clea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.专门面向中小企业，服务全部由符合政策要求的中小企业（或小微企业）承接的，提供相应的中小企业声明函（附件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14:paraId="3ED2688B">
      <w:pPr>
        <w:widowControl/>
        <w:shd w:val="clear"/>
        <w:spacing w:line="360" w:lineRule="auto"/>
        <w:ind w:firstLine="480"/>
        <w:jc w:val="left"/>
        <w:rPr>
          <w:rFonts w:ascii="宋体" w:hAnsi="宋体" w:cs="宋体"/>
          <w:color w:val="auto"/>
          <w:sz w:val="24"/>
          <w:highlight w:val="none"/>
        </w:rPr>
      </w:pPr>
    </w:p>
    <w:p w14:paraId="71C4FFF9">
      <w:pPr>
        <w:widowControl/>
        <w:shd w:val="clear"/>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14:paraId="4371F1AF">
      <w:pPr>
        <w:shd w:val="clea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14:paraId="088CA5E3">
      <w:pPr>
        <w:shd w:val="clea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6592A53C">
      <w:pPr>
        <w:widowControl/>
        <w:shd w:val="clear"/>
        <w:spacing w:line="360" w:lineRule="auto"/>
        <w:ind w:left="150"/>
        <w:jc w:val="center"/>
        <w:rPr>
          <w:rFonts w:ascii="宋体" w:hAnsi="宋体" w:cs="宋体"/>
          <w:b/>
          <w:color w:val="auto"/>
          <w:kern w:val="0"/>
          <w:sz w:val="32"/>
          <w:szCs w:val="32"/>
          <w:highlight w:val="none"/>
        </w:rPr>
      </w:pPr>
    </w:p>
    <w:p w14:paraId="3FE2C20B">
      <w:pPr>
        <w:widowControl/>
        <w:shd w:val="clear"/>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14:paraId="13045E4E">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7BFD9A3C">
      <w:pPr>
        <w:shd w:val="clear"/>
        <w:rPr>
          <w:rFonts w:ascii="宋体" w:hAnsi="宋体" w:cs="宋体"/>
          <w:color w:val="auto"/>
          <w:highlight w:val="none"/>
        </w:rPr>
      </w:pPr>
    </w:p>
    <w:p w14:paraId="7D9E4E41">
      <w:pPr>
        <w:shd w:val="clear"/>
        <w:snapToGrid w:val="0"/>
        <w:spacing w:line="360" w:lineRule="auto"/>
        <w:ind w:right="480"/>
        <w:jc w:val="center"/>
        <w:rPr>
          <w:rFonts w:ascii="宋体" w:hAnsi="宋体" w:cs="宋体"/>
          <w:b/>
          <w:color w:val="auto"/>
          <w:kern w:val="0"/>
          <w:sz w:val="32"/>
          <w:szCs w:val="32"/>
          <w:highlight w:val="none"/>
        </w:rPr>
      </w:pPr>
    </w:p>
    <w:p w14:paraId="1D5AED58">
      <w:pPr>
        <w:widowControl/>
        <w:shd w:val="clear"/>
        <w:adjustRightInd/>
        <w:jc w:val="left"/>
        <w:rPr>
          <w:rFonts w:ascii="宋体" w:hAnsi="宋体" w:cs="宋体"/>
          <w:b/>
          <w:color w:val="auto"/>
          <w:kern w:val="0"/>
          <w:sz w:val="36"/>
          <w:szCs w:val="36"/>
          <w:highlight w:val="none"/>
        </w:rPr>
      </w:pPr>
      <w:r>
        <w:rPr>
          <w:rFonts w:ascii="宋体" w:hAnsi="宋体" w:cs="宋体"/>
          <w:b/>
          <w:color w:val="auto"/>
          <w:kern w:val="0"/>
          <w:sz w:val="36"/>
          <w:szCs w:val="36"/>
          <w:highlight w:val="none"/>
        </w:rPr>
        <w:br w:type="page"/>
      </w:r>
    </w:p>
    <w:p w14:paraId="69574C43">
      <w:pPr>
        <w:shd w:val="clea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4E02DCF1">
      <w:pPr>
        <w:shd w:val="clear"/>
        <w:spacing w:line="360" w:lineRule="auto"/>
        <w:jc w:val="center"/>
        <w:outlineLvl w:val="0"/>
        <w:rPr>
          <w:rFonts w:ascii="宋体" w:hAnsi="宋体" w:cs="宋体"/>
          <w:b/>
          <w:color w:val="auto"/>
          <w:kern w:val="0"/>
          <w:sz w:val="24"/>
          <w:highlight w:val="none"/>
        </w:rPr>
      </w:pPr>
    </w:p>
    <w:p w14:paraId="649559CB">
      <w:pPr>
        <w:shd w:val="clea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05F91ACC">
      <w:pPr>
        <w:shd w:val="clea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14:paraId="55B0C2F8">
      <w:pPr>
        <w:shd w:val="clea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14:paraId="571187DB">
      <w:pPr>
        <w:shd w:val="clea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14:paraId="2CE4A4C4">
      <w:pPr>
        <w:shd w:val="clea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14:paraId="486A3EB4">
      <w:pPr>
        <w:shd w:val="clea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14:paraId="0550EA00">
      <w:pPr>
        <w:shd w:val="clear"/>
        <w:snapToGrid w:val="0"/>
        <w:spacing w:line="360" w:lineRule="auto"/>
        <w:jc w:val="center"/>
        <w:rPr>
          <w:rFonts w:ascii="宋体" w:hAnsi="宋体" w:cs="宋体"/>
          <w:b/>
          <w:color w:val="auto"/>
          <w:kern w:val="0"/>
          <w:sz w:val="32"/>
          <w:szCs w:val="32"/>
          <w:highlight w:val="none"/>
          <w:lang w:val="zh-CN"/>
        </w:rPr>
      </w:pPr>
    </w:p>
    <w:p w14:paraId="3F1B9F04">
      <w:pPr>
        <w:shd w:val="clear"/>
        <w:snapToGrid w:val="0"/>
        <w:spacing w:line="360" w:lineRule="auto"/>
        <w:jc w:val="center"/>
        <w:rPr>
          <w:rFonts w:ascii="宋体" w:hAnsi="宋体" w:cs="宋体"/>
          <w:b/>
          <w:color w:val="auto"/>
          <w:kern w:val="0"/>
          <w:sz w:val="32"/>
          <w:szCs w:val="32"/>
          <w:highlight w:val="none"/>
          <w:lang w:val="zh-CN"/>
        </w:rPr>
      </w:pPr>
    </w:p>
    <w:p w14:paraId="369E2AAA">
      <w:pPr>
        <w:shd w:val="clear"/>
        <w:snapToGrid w:val="0"/>
        <w:spacing w:line="360" w:lineRule="auto"/>
        <w:jc w:val="center"/>
        <w:rPr>
          <w:rFonts w:ascii="宋体" w:hAnsi="宋体" w:cs="宋体"/>
          <w:b/>
          <w:color w:val="auto"/>
          <w:kern w:val="0"/>
          <w:sz w:val="32"/>
          <w:szCs w:val="32"/>
          <w:highlight w:val="none"/>
          <w:lang w:val="zh-CN"/>
        </w:rPr>
      </w:pPr>
    </w:p>
    <w:p w14:paraId="36A4C3C9">
      <w:pPr>
        <w:shd w:val="clear"/>
        <w:snapToGrid w:val="0"/>
        <w:spacing w:line="360" w:lineRule="auto"/>
        <w:jc w:val="center"/>
        <w:rPr>
          <w:rFonts w:ascii="宋体" w:hAnsi="宋体" w:cs="宋体"/>
          <w:b/>
          <w:color w:val="auto"/>
          <w:kern w:val="0"/>
          <w:sz w:val="32"/>
          <w:szCs w:val="32"/>
          <w:highlight w:val="none"/>
          <w:lang w:val="zh-CN"/>
        </w:rPr>
      </w:pPr>
    </w:p>
    <w:p w14:paraId="1ECD262F">
      <w:pPr>
        <w:shd w:val="clear"/>
        <w:snapToGrid w:val="0"/>
        <w:spacing w:line="360" w:lineRule="auto"/>
        <w:jc w:val="center"/>
        <w:rPr>
          <w:rFonts w:ascii="宋体" w:hAnsi="宋体" w:cs="宋体"/>
          <w:b/>
          <w:color w:val="auto"/>
          <w:kern w:val="0"/>
          <w:sz w:val="32"/>
          <w:szCs w:val="32"/>
          <w:highlight w:val="none"/>
          <w:lang w:val="zh-CN"/>
        </w:rPr>
      </w:pPr>
    </w:p>
    <w:p w14:paraId="3A71BBB5">
      <w:pPr>
        <w:shd w:val="clear"/>
        <w:snapToGrid w:val="0"/>
        <w:spacing w:line="360" w:lineRule="auto"/>
        <w:jc w:val="center"/>
        <w:rPr>
          <w:rFonts w:ascii="宋体" w:hAnsi="宋体" w:cs="宋体"/>
          <w:b/>
          <w:color w:val="auto"/>
          <w:kern w:val="0"/>
          <w:sz w:val="32"/>
          <w:szCs w:val="32"/>
          <w:highlight w:val="none"/>
          <w:lang w:val="zh-CN"/>
        </w:rPr>
      </w:pPr>
    </w:p>
    <w:p w14:paraId="582BD722">
      <w:pPr>
        <w:shd w:val="clear"/>
        <w:snapToGrid w:val="0"/>
        <w:spacing w:line="360" w:lineRule="auto"/>
        <w:jc w:val="center"/>
        <w:rPr>
          <w:rFonts w:ascii="宋体" w:hAnsi="宋体" w:cs="宋体"/>
          <w:b/>
          <w:color w:val="auto"/>
          <w:kern w:val="0"/>
          <w:sz w:val="32"/>
          <w:szCs w:val="32"/>
          <w:highlight w:val="none"/>
          <w:lang w:val="zh-CN"/>
        </w:rPr>
      </w:pPr>
    </w:p>
    <w:p w14:paraId="61EB0FA4">
      <w:pPr>
        <w:shd w:val="clear"/>
        <w:snapToGrid w:val="0"/>
        <w:spacing w:line="360" w:lineRule="auto"/>
        <w:jc w:val="center"/>
        <w:rPr>
          <w:rFonts w:ascii="宋体" w:hAnsi="宋体" w:cs="宋体"/>
          <w:b/>
          <w:color w:val="auto"/>
          <w:kern w:val="0"/>
          <w:sz w:val="32"/>
          <w:szCs w:val="32"/>
          <w:highlight w:val="none"/>
          <w:lang w:val="zh-CN"/>
        </w:rPr>
      </w:pPr>
    </w:p>
    <w:p w14:paraId="541371FC">
      <w:pPr>
        <w:shd w:val="clear"/>
        <w:snapToGrid w:val="0"/>
        <w:spacing w:line="360" w:lineRule="auto"/>
        <w:jc w:val="center"/>
        <w:rPr>
          <w:rFonts w:ascii="宋体" w:hAnsi="宋体" w:cs="宋体"/>
          <w:b/>
          <w:color w:val="auto"/>
          <w:kern w:val="0"/>
          <w:sz w:val="32"/>
          <w:szCs w:val="32"/>
          <w:highlight w:val="none"/>
          <w:lang w:val="zh-CN"/>
        </w:rPr>
      </w:pPr>
    </w:p>
    <w:p w14:paraId="73247B4E">
      <w:pPr>
        <w:shd w:val="clear"/>
        <w:snapToGrid w:val="0"/>
        <w:spacing w:line="360" w:lineRule="auto"/>
        <w:jc w:val="center"/>
        <w:rPr>
          <w:rFonts w:ascii="宋体" w:hAnsi="宋体" w:cs="宋体"/>
          <w:b/>
          <w:color w:val="auto"/>
          <w:kern w:val="0"/>
          <w:sz w:val="32"/>
          <w:szCs w:val="32"/>
          <w:highlight w:val="none"/>
          <w:lang w:val="zh-CN"/>
        </w:rPr>
      </w:pPr>
    </w:p>
    <w:p w14:paraId="2B91FFB8">
      <w:pPr>
        <w:shd w:val="clear"/>
        <w:snapToGrid w:val="0"/>
        <w:spacing w:line="360" w:lineRule="auto"/>
        <w:jc w:val="center"/>
        <w:rPr>
          <w:rFonts w:ascii="宋体" w:hAnsi="宋体" w:cs="宋体"/>
          <w:b/>
          <w:color w:val="auto"/>
          <w:kern w:val="0"/>
          <w:sz w:val="32"/>
          <w:szCs w:val="32"/>
          <w:highlight w:val="none"/>
          <w:lang w:val="zh-CN"/>
        </w:rPr>
      </w:pPr>
    </w:p>
    <w:p w14:paraId="22C3B9B2">
      <w:pPr>
        <w:shd w:val="clear"/>
        <w:snapToGrid w:val="0"/>
        <w:spacing w:line="360" w:lineRule="auto"/>
        <w:jc w:val="center"/>
        <w:rPr>
          <w:rFonts w:ascii="宋体" w:hAnsi="宋体" w:cs="宋体"/>
          <w:b/>
          <w:color w:val="auto"/>
          <w:kern w:val="0"/>
          <w:sz w:val="32"/>
          <w:szCs w:val="32"/>
          <w:highlight w:val="none"/>
          <w:lang w:val="zh-CN"/>
        </w:rPr>
      </w:pPr>
    </w:p>
    <w:p w14:paraId="1E20D1D9">
      <w:pPr>
        <w:shd w:val="clear"/>
        <w:rPr>
          <w:rFonts w:ascii="宋体" w:hAnsi="宋体" w:cs="宋体"/>
          <w:b/>
          <w:color w:val="auto"/>
          <w:kern w:val="0"/>
          <w:sz w:val="32"/>
          <w:szCs w:val="32"/>
          <w:highlight w:val="none"/>
          <w:lang w:val="zh-CN"/>
        </w:rPr>
      </w:pPr>
    </w:p>
    <w:p w14:paraId="4679386E">
      <w:pPr>
        <w:widowControl/>
        <w:shd w:val="clear"/>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5390F465">
      <w:pPr>
        <w:shd w:val="clea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10815D51">
      <w:pPr>
        <w:shd w:val="clea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杭州大运河数智未来城管理委员会</w:t>
      </w:r>
      <w:r>
        <w:rPr>
          <w:rFonts w:hint="eastAsia" w:ascii="宋体" w:hAnsi="宋体" w:cs="宋体"/>
          <w:color w:val="auto"/>
          <w:sz w:val="24"/>
          <w:highlight w:val="none"/>
        </w:rPr>
        <w:t>、</w:t>
      </w:r>
      <w:r>
        <w:rPr>
          <w:rFonts w:hint="eastAsia" w:ascii="宋体" w:hAnsi="宋体" w:cs="宋体"/>
          <w:color w:val="auto"/>
          <w:sz w:val="24"/>
          <w:highlight w:val="none"/>
          <w:lang w:eastAsia="zh-CN"/>
        </w:rPr>
        <w:t>华诚工程咨询集团有限公司</w:t>
      </w:r>
      <w:r>
        <w:rPr>
          <w:rFonts w:hint="eastAsia" w:ascii="宋体" w:hAnsi="宋体" w:cs="宋体"/>
          <w:color w:val="auto"/>
          <w:sz w:val="24"/>
          <w:highlight w:val="none"/>
        </w:rPr>
        <w:t>：</w:t>
      </w:r>
    </w:p>
    <w:p w14:paraId="5C455689">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w:t>
      </w:r>
      <w:r>
        <w:rPr>
          <w:rFonts w:hint="eastAsia" w:ascii="宋体" w:hAnsi="宋体" w:cs="宋体"/>
          <w:color w:val="auto"/>
          <w:sz w:val="24"/>
          <w:highlight w:val="none"/>
          <w:lang w:eastAsia="zh-CN"/>
        </w:rPr>
        <w:t>2024年大运河数智未来城高新云梯暖企通平台建设项目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HCZB-2024070203009</w:t>
      </w:r>
      <w:r>
        <w:rPr>
          <w:rFonts w:hint="eastAsia" w:ascii="宋体" w:hAnsi="宋体" w:cs="宋体"/>
          <w:color w:val="auto"/>
          <w:sz w:val="24"/>
          <w:highlight w:val="none"/>
        </w:rPr>
        <w:t>】招标的有关活动，并对此项目进行投标。为此：</w:t>
      </w:r>
    </w:p>
    <w:p w14:paraId="60059B2A">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3142B502">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14:paraId="53B8F907">
      <w:pPr>
        <w:shd w:val="clea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7BAD527E">
      <w:pPr>
        <w:shd w:val="clea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14:paraId="11C35F2A">
      <w:pPr>
        <w:shd w:val="clea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w:t>
      </w:r>
      <w:bookmarkStart w:id="528" w:name="_Hlk101257010"/>
      <w:r>
        <w:rPr>
          <w:rFonts w:hint="eastAsia" w:ascii="宋体" w:hAnsi="宋体" w:cs="宋体"/>
          <w:color w:val="auto"/>
          <w:sz w:val="24"/>
          <w:highlight w:val="none"/>
        </w:rPr>
        <w:t>（如果有)</w:t>
      </w:r>
      <w:bookmarkEnd w:id="528"/>
      <w:r>
        <w:rPr>
          <w:rFonts w:hint="eastAsia" w:ascii="宋体" w:hAnsi="宋体" w:cs="宋体"/>
          <w:snapToGrid w:val="0"/>
          <w:color w:val="auto"/>
          <w:kern w:val="28"/>
          <w:sz w:val="24"/>
          <w:szCs w:val="20"/>
          <w:highlight w:val="none"/>
        </w:rPr>
        <w:t>；</w:t>
      </w:r>
    </w:p>
    <w:p w14:paraId="763F0EDD">
      <w:pPr>
        <w:shd w:val="clea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落实政府采购政策需满足的资格要求（如果有）；</w:t>
      </w:r>
    </w:p>
    <w:p w14:paraId="07C70B65">
      <w:pPr>
        <w:shd w:val="clea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本项目的特定资格要求（如果有)。</w:t>
      </w:r>
    </w:p>
    <w:p w14:paraId="279553F1">
      <w:pPr>
        <w:shd w:val="clea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44E9147E">
      <w:pPr>
        <w:shd w:val="clea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562945AD">
      <w:pPr>
        <w:shd w:val="clea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745B1D0D">
      <w:pPr>
        <w:shd w:val="clea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分包意向协议（如果有)；</w:t>
      </w:r>
    </w:p>
    <w:p w14:paraId="119D73A1">
      <w:pPr>
        <w:shd w:val="clea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325F65E3">
      <w:pPr>
        <w:shd w:val="clea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1EA4FC4A">
      <w:pPr>
        <w:shd w:val="clea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14:paraId="125B3A62">
      <w:pPr>
        <w:shd w:val="clea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0DF99255">
      <w:pPr>
        <w:shd w:val="clea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3C5F0F5E">
      <w:pPr>
        <w:shd w:val="clea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0FE657BE">
      <w:pPr>
        <w:shd w:val="clea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2.3.1开标一览表（报价表）；</w:t>
      </w:r>
    </w:p>
    <w:p w14:paraId="7588A8E0">
      <w:pPr>
        <w:shd w:val="clear"/>
        <w:snapToGrid w:val="0"/>
        <w:spacing w:line="360" w:lineRule="auto"/>
        <w:ind w:left="420" w:leftChars="200" w:firstLine="480" w:firstLineChars="200"/>
        <w:rPr>
          <w:rFonts w:hint="eastAsia" w:ascii="宋体" w:hAnsi="宋体" w:cs="宋体"/>
          <w:color w:val="auto"/>
          <w:sz w:val="24"/>
          <w:highlight w:val="none"/>
          <w:lang w:eastAsia="zh-CN"/>
        </w:rPr>
      </w:pPr>
      <w:r>
        <w:rPr>
          <w:rFonts w:hint="eastAsia" w:ascii="宋体" w:hAnsi="宋体" w:cs="宋体"/>
          <w:color w:val="auto"/>
          <w:sz w:val="24"/>
          <w:highlight w:val="none"/>
        </w:rPr>
        <w:t>2.3.2中小企业声明函（如果有）</w:t>
      </w:r>
      <w:r>
        <w:rPr>
          <w:rFonts w:hint="eastAsia" w:ascii="宋体" w:hAnsi="宋体" w:cs="宋体"/>
          <w:color w:val="auto"/>
          <w:sz w:val="24"/>
          <w:highlight w:val="none"/>
          <w:lang w:eastAsia="zh-CN"/>
        </w:rPr>
        <w:t>；</w:t>
      </w:r>
    </w:p>
    <w:p w14:paraId="394798DF">
      <w:pPr>
        <w:shd w:val="clea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2.3.3交纳采购代理服务费承诺书。</w:t>
      </w:r>
    </w:p>
    <w:p w14:paraId="4F78CD28">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3、我方承诺除商务技术偏离表列出的偏离外，我方响应招标文件的全部要求。</w:t>
      </w:r>
    </w:p>
    <w:p w14:paraId="3C9DC434">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14:paraId="106896E0">
      <w:pPr>
        <w:shd w:val="clea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56A2277E">
      <w:pPr>
        <w:shd w:val="clea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031409B1">
      <w:pPr>
        <w:shd w:val="clea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47254A3D">
      <w:pPr>
        <w:shd w:val="clea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5D76DA33">
      <w:pPr>
        <w:shd w:val="clea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5、其他补充说明: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3182FEAF">
      <w:pPr>
        <w:shd w:val="clea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14:paraId="0D6E041E">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10B1EA65">
      <w:pPr>
        <w:shd w:val="clear"/>
        <w:snapToGrid w:val="0"/>
        <w:spacing w:line="360" w:lineRule="auto"/>
        <w:ind w:left="420" w:leftChars="200" w:firstLine="4200" w:firstLineChars="1750"/>
        <w:rPr>
          <w:rFonts w:ascii="宋体" w:hAnsi="宋体" w:cs="宋体"/>
          <w:color w:val="auto"/>
          <w:kern w:val="0"/>
          <w:sz w:val="24"/>
          <w:highlight w:val="none"/>
          <w:u w:val="single"/>
        </w:rPr>
      </w:pPr>
    </w:p>
    <w:p w14:paraId="2EE02507">
      <w:pPr>
        <w:shd w:val="clea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7AE297F0">
      <w:pPr>
        <w:shd w:val="clear"/>
        <w:snapToGrid w:val="0"/>
        <w:spacing w:line="360" w:lineRule="auto"/>
        <w:jc w:val="center"/>
        <w:rPr>
          <w:rFonts w:ascii="宋体" w:hAnsi="宋体" w:cs="宋体"/>
          <w:b/>
          <w:color w:val="auto"/>
          <w:kern w:val="0"/>
          <w:sz w:val="32"/>
          <w:szCs w:val="32"/>
          <w:highlight w:val="none"/>
        </w:rPr>
      </w:pPr>
    </w:p>
    <w:p w14:paraId="104234D7">
      <w:pPr>
        <w:shd w:val="clear"/>
        <w:snapToGrid w:val="0"/>
        <w:spacing w:line="360" w:lineRule="auto"/>
        <w:rPr>
          <w:rFonts w:ascii="宋体" w:hAnsi="宋体" w:cs="宋体"/>
          <w:color w:val="auto"/>
          <w:sz w:val="24"/>
          <w:highlight w:val="none"/>
        </w:rPr>
      </w:pPr>
    </w:p>
    <w:p w14:paraId="2B3C5D90">
      <w:pPr>
        <w:shd w:val="clear"/>
        <w:jc w:val="center"/>
        <w:rPr>
          <w:rFonts w:ascii="宋体" w:hAnsi="宋体" w:cs="宋体"/>
          <w:b/>
          <w:color w:val="auto"/>
          <w:kern w:val="0"/>
          <w:sz w:val="32"/>
          <w:szCs w:val="32"/>
          <w:highlight w:val="none"/>
        </w:rPr>
      </w:pPr>
    </w:p>
    <w:p w14:paraId="7286E41B">
      <w:pPr>
        <w:shd w:val="clear"/>
        <w:jc w:val="center"/>
        <w:rPr>
          <w:rFonts w:ascii="宋体" w:hAnsi="宋体" w:cs="宋体"/>
          <w:b/>
          <w:color w:val="auto"/>
          <w:kern w:val="0"/>
          <w:sz w:val="32"/>
          <w:szCs w:val="32"/>
          <w:highlight w:val="none"/>
        </w:rPr>
      </w:pPr>
    </w:p>
    <w:p w14:paraId="474D2D8C">
      <w:pPr>
        <w:shd w:val="clear"/>
        <w:jc w:val="center"/>
        <w:rPr>
          <w:rFonts w:ascii="宋体" w:hAnsi="宋体" w:cs="宋体"/>
          <w:b/>
          <w:color w:val="auto"/>
          <w:kern w:val="0"/>
          <w:sz w:val="32"/>
          <w:szCs w:val="32"/>
          <w:highlight w:val="none"/>
        </w:rPr>
      </w:pPr>
    </w:p>
    <w:p w14:paraId="143DB626">
      <w:pPr>
        <w:shd w:val="clear"/>
        <w:jc w:val="center"/>
        <w:rPr>
          <w:rFonts w:ascii="宋体" w:hAnsi="宋体" w:cs="宋体"/>
          <w:b/>
          <w:color w:val="auto"/>
          <w:kern w:val="0"/>
          <w:sz w:val="32"/>
          <w:szCs w:val="32"/>
          <w:highlight w:val="none"/>
        </w:rPr>
      </w:pPr>
    </w:p>
    <w:p w14:paraId="796FB79A">
      <w:pPr>
        <w:shd w:val="clear"/>
        <w:jc w:val="center"/>
        <w:rPr>
          <w:rFonts w:ascii="宋体" w:hAnsi="宋体" w:cs="宋体"/>
          <w:b/>
          <w:color w:val="auto"/>
          <w:kern w:val="0"/>
          <w:sz w:val="32"/>
          <w:szCs w:val="32"/>
          <w:highlight w:val="none"/>
        </w:rPr>
      </w:pPr>
    </w:p>
    <w:p w14:paraId="7E6393FB">
      <w:pPr>
        <w:shd w:val="clear"/>
        <w:jc w:val="center"/>
        <w:rPr>
          <w:rFonts w:ascii="宋体" w:hAnsi="宋体" w:cs="宋体"/>
          <w:b/>
          <w:color w:val="auto"/>
          <w:kern w:val="0"/>
          <w:sz w:val="32"/>
          <w:szCs w:val="32"/>
          <w:highlight w:val="none"/>
        </w:rPr>
      </w:pPr>
    </w:p>
    <w:p w14:paraId="241E36F0">
      <w:pPr>
        <w:shd w:val="clear"/>
        <w:jc w:val="center"/>
        <w:rPr>
          <w:rFonts w:ascii="宋体" w:hAnsi="宋体" w:cs="宋体"/>
          <w:b/>
          <w:color w:val="auto"/>
          <w:kern w:val="0"/>
          <w:sz w:val="32"/>
          <w:szCs w:val="32"/>
          <w:highlight w:val="none"/>
        </w:rPr>
      </w:pPr>
    </w:p>
    <w:p w14:paraId="67C79D58">
      <w:pPr>
        <w:shd w:val="clear"/>
        <w:jc w:val="center"/>
        <w:rPr>
          <w:rFonts w:ascii="宋体" w:hAnsi="宋体" w:cs="宋体"/>
          <w:b/>
          <w:color w:val="auto"/>
          <w:kern w:val="0"/>
          <w:sz w:val="32"/>
          <w:szCs w:val="32"/>
          <w:highlight w:val="none"/>
        </w:rPr>
      </w:pPr>
    </w:p>
    <w:p w14:paraId="5B7C4F40">
      <w:pPr>
        <w:shd w:val="clear"/>
        <w:jc w:val="center"/>
        <w:rPr>
          <w:rFonts w:ascii="宋体" w:hAnsi="宋体" w:cs="宋体"/>
          <w:b/>
          <w:color w:val="auto"/>
          <w:kern w:val="0"/>
          <w:sz w:val="32"/>
          <w:szCs w:val="32"/>
          <w:highlight w:val="none"/>
        </w:rPr>
      </w:pPr>
    </w:p>
    <w:p w14:paraId="7EB40FDE">
      <w:pPr>
        <w:shd w:val="clear"/>
        <w:jc w:val="center"/>
        <w:rPr>
          <w:rFonts w:ascii="宋体" w:hAnsi="宋体" w:cs="宋体"/>
          <w:b/>
          <w:color w:val="auto"/>
          <w:kern w:val="0"/>
          <w:sz w:val="32"/>
          <w:szCs w:val="32"/>
          <w:highlight w:val="none"/>
        </w:rPr>
      </w:pPr>
    </w:p>
    <w:p w14:paraId="150B72D1">
      <w:pPr>
        <w:shd w:val="clear"/>
        <w:jc w:val="center"/>
        <w:rPr>
          <w:rFonts w:ascii="宋体" w:hAnsi="宋体" w:cs="宋体"/>
          <w:b/>
          <w:color w:val="auto"/>
          <w:kern w:val="0"/>
          <w:sz w:val="32"/>
          <w:szCs w:val="32"/>
          <w:highlight w:val="none"/>
        </w:rPr>
      </w:pPr>
    </w:p>
    <w:p w14:paraId="08EB9600">
      <w:pPr>
        <w:shd w:val="clear"/>
        <w:jc w:val="center"/>
        <w:rPr>
          <w:rFonts w:ascii="宋体" w:hAnsi="宋体" w:cs="宋体"/>
          <w:b/>
          <w:color w:val="auto"/>
          <w:kern w:val="0"/>
          <w:sz w:val="32"/>
          <w:szCs w:val="32"/>
          <w:highlight w:val="none"/>
        </w:rPr>
      </w:pPr>
    </w:p>
    <w:p w14:paraId="20BCE166">
      <w:pPr>
        <w:shd w:val="clear"/>
        <w:jc w:val="center"/>
        <w:rPr>
          <w:rFonts w:ascii="宋体" w:hAnsi="宋体" w:cs="宋体"/>
          <w:b/>
          <w:color w:val="auto"/>
          <w:kern w:val="0"/>
          <w:sz w:val="32"/>
          <w:szCs w:val="32"/>
          <w:highlight w:val="none"/>
        </w:rPr>
      </w:pPr>
    </w:p>
    <w:p w14:paraId="12335A44">
      <w:pPr>
        <w:shd w:val="clear"/>
        <w:jc w:val="center"/>
        <w:rPr>
          <w:rFonts w:ascii="宋体" w:hAnsi="宋体" w:cs="宋体"/>
          <w:b/>
          <w:color w:val="auto"/>
          <w:kern w:val="0"/>
          <w:sz w:val="32"/>
          <w:szCs w:val="32"/>
          <w:highlight w:val="none"/>
        </w:rPr>
      </w:pPr>
    </w:p>
    <w:p w14:paraId="56257200">
      <w:pPr>
        <w:shd w:val="clear"/>
        <w:jc w:val="center"/>
        <w:rPr>
          <w:rFonts w:ascii="宋体" w:hAnsi="宋体" w:cs="宋体"/>
          <w:b/>
          <w:color w:val="auto"/>
          <w:kern w:val="0"/>
          <w:sz w:val="32"/>
          <w:szCs w:val="32"/>
          <w:highlight w:val="none"/>
        </w:rPr>
      </w:pPr>
    </w:p>
    <w:p w14:paraId="7FA85E39">
      <w:pPr>
        <w:shd w:val="clear"/>
        <w:jc w:val="center"/>
        <w:rPr>
          <w:rFonts w:ascii="宋体" w:hAnsi="宋体" w:cs="宋体"/>
          <w:b/>
          <w:color w:val="auto"/>
          <w:kern w:val="0"/>
          <w:sz w:val="32"/>
          <w:szCs w:val="32"/>
          <w:highlight w:val="none"/>
        </w:rPr>
      </w:pPr>
    </w:p>
    <w:p w14:paraId="68F01BE7">
      <w:pPr>
        <w:shd w:val="clear"/>
        <w:jc w:val="center"/>
        <w:rPr>
          <w:rFonts w:ascii="宋体" w:hAnsi="宋体" w:cs="宋体"/>
          <w:b/>
          <w:color w:val="auto"/>
          <w:kern w:val="0"/>
          <w:sz w:val="32"/>
          <w:szCs w:val="32"/>
          <w:highlight w:val="none"/>
        </w:rPr>
      </w:pPr>
    </w:p>
    <w:p w14:paraId="0AB1EFC6">
      <w:pPr>
        <w:shd w:val="clear"/>
        <w:jc w:val="center"/>
        <w:rPr>
          <w:rFonts w:ascii="宋体" w:hAnsi="宋体" w:cs="宋体"/>
          <w:b/>
          <w:color w:val="auto"/>
          <w:kern w:val="0"/>
          <w:sz w:val="32"/>
          <w:szCs w:val="32"/>
          <w:highlight w:val="none"/>
        </w:rPr>
      </w:pPr>
    </w:p>
    <w:p w14:paraId="55C1A8BB">
      <w:pPr>
        <w:shd w:val="clear"/>
        <w:jc w:val="center"/>
        <w:rPr>
          <w:rFonts w:ascii="宋体" w:hAnsi="宋体" w:cs="宋体"/>
          <w:b/>
          <w:color w:val="auto"/>
          <w:kern w:val="0"/>
          <w:sz w:val="32"/>
          <w:szCs w:val="32"/>
          <w:highlight w:val="none"/>
        </w:rPr>
      </w:pPr>
    </w:p>
    <w:p w14:paraId="52CFB7F8">
      <w:pPr>
        <w:shd w:val="clear"/>
        <w:jc w:val="center"/>
        <w:rPr>
          <w:rFonts w:ascii="宋体" w:hAnsi="宋体" w:cs="宋体"/>
          <w:b/>
          <w:color w:val="auto"/>
          <w:kern w:val="0"/>
          <w:sz w:val="32"/>
          <w:szCs w:val="32"/>
          <w:highlight w:val="none"/>
        </w:rPr>
      </w:pPr>
    </w:p>
    <w:p w14:paraId="3BB23727">
      <w:pPr>
        <w:pStyle w:val="2"/>
        <w:shd w:val="clear"/>
        <w:rPr>
          <w:color w:val="auto"/>
          <w:highlight w:val="none"/>
          <w:lang w:val="en-US"/>
        </w:rPr>
      </w:pPr>
    </w:p>
    <w:p w14:paraId="0CEF07B9">
      <w:pPr>
        <w:shd w:val="clear"/>
        <w:jc w:val="center"/>
        <w:rPr>
          <w:rFonts w:ascii="宋体" w:hAnsi="宋体" w:cs="宋体"/>
          <w:b/>
          <w:color w:val="auto"/>
          <w:kern w:val="0"/>
          <w:sz w:val="32"/>
          <w:szCs w:val="32"/>
          <w:highlight w:val="none"/>
        </w:rPr>
      </w:pPr>
    </w:p>
    <w:p w14:paraId="2D6F321C">
      <w:pPr>
        <w:shd w:val="clear"/>
        <w:jc w:val="center"/>
        <w:rPr>
          <w:rFonts w:ascii="宋体" w:hAnsi="宋体" w:cs="宋体"/>
          <w:b/>
          <w:color w:val="auto"/>
          <w:kern w:val="0"/>
          <w:sz w:val="32"/>
          <w:szCs w:val="32"/>
          <w:highlight w:val="none"/>
        </w:rPr>
      </w:pPr>
    </w:p>
    <w:p w14:paraId="01158653">
      <w:pPr>
        <w:shd w:val="clea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0609078A">
      <w:pPr>
        <w:shd w:val="clea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40174E0D">
      <w:pPr>
        <w:shd w:val="clea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5B03247D">
      <w:pPr>
        <w:shd w:val="clea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杭州大运河数智未来城管理委员会</w:t>
      </w:r>
      <w:r>
        <w:rPr>
          <w:rFonts w:hint="eastAsia" w:ascii="宋体" w:hAnsi="宋体" w:cs="宋体"/>
          <w:color w:val="auto"/>
          <w:sz w:val="24"/>
          <w:highlight w:val="none"/>
        </w:rPr>
        <w:t>、</w:t>
      </w:r>
      <w:r>
        <w:rPr>
          <w:rFonts w:hint="eastAsia" w:ascii="宋体" w:hAnsi="宋体" w:cs="宋体"/>
          <w:color w:val="auto"/>
          <w:sz w:val="24"/>
          <w:highlight w:val="none"/>
          <w:lang w:eastAsia="zh-CN"/>
        </w:rPr>
        <w:t>华诚工程咨询集团有限公司</w:t>
      </w:r>
      <w:r>
        <w:rPr>
          <w:rFonts w:hint="eastAsia" w:ascii="宋体" w:hAnsi="宋体" w:cs="宋体"/>
          <w:color w:val="auto"/>
          <w:kern w:val="0"/>
          <w:sz w:val="24"/>
          <w:highlight w:val="none"/>
          <w:lang w:val="zh-CN"/>
        </w:rPr>
        <w:t>：</w:t>
      </w:r>
    </w:p>
    <w:p w14:paraId="17F7330F">
      <w:pPr>
        <w:shd w:val="clea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2024年大运河数智未来城高新云梯暖企通平台建设项目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HCZB-2024070203009</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76F18EFF">
      <w:pPr>
        <w:shd w:val="clea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768F06FF">
      <w:pPr>
        <w:shd w:val="clea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080E7D20">
      <w:pPr>
        <w:shd w:val="clea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14:paraId="16E4F8E2">
      <w:pPr>
        <w:shd w:val="clea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0875564E">
      <w:pPr>
        <w:shd w:val="clear"/>
        <w:snapToGrid w:val="0"/>
        <w:spacing w:line="360" w:lineRule="auto"/>
        <w:rPr>
          <w:rFonts w:ascii="宋体" w:hAnsi="宋体" w:cs="宋体"/>
          <w:color w:val="auto"/>
          <w:sz w:val="24"/>
          <w:highlight w:val="none"/>
        </w:rPr>
      </w:pPr>
    </w:p>
    <w:p w14:paraId="3F561135">
      <w:pPr>
        <w:shd w:val="clea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1D8311A5">
      <w:pPr>
        <w:shd w:val="clea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杭州大运河数智未来城管理委员会</w:t>
      </w:r>
      <w:r>
        <w:rPr>
          <w:rFonts w:hint="eastAsia" w:ascii="宋体" w:hAnsi="宋体" w:cs="宋体"/>
          <w:color w:val="auto"/>
          <w:sz w:val="24"/>
          <w:highlight w:val="none"/>
        </w:rPr>
        <w:t>、</w:t>
      </w:r>
      <w:r>
        <w:rPr>
          <w:rFonts w:hint="eastAsia" w:ascii="宋体" w:hAnsi="宋体" w:cs="宋体"/>
          <w:color w:val="auto"/>
          <w:sz w:val="24"/>
          <w:highlight w:val="none"/>
          <w:lang w:eastAsia="zh-CN"/>
        </w:rPr>
        <w:t>华诚工程咨询集团有限公司</w:t>
      </w:r>
      <w:r>
        <w:rPr>
          <w:rFonts w:hint="eastAsia" w:ascii="宋体" w:hAnsi="宋体" w:cs="宋体"/>
          <w:color w:val="auto"/>
          <w:kern w:val="0"/>
          <w:sz w:val="24"/>
          <w:highlight w:val="none"/>
          <w:lang w:val="zh-CN"/>
        </w:rPr>
        <w:t>：</w:t>
      </w:r>
    </w:p>
    <w:p w14:paraId="6A8501D6">
      <w:pPr>
        <w:shd w:val="clea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2024年大运河数智未来城高新云梯暖企通平台建设项目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HCZB-2024070203009</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00943EE2">
      <w:pPr>
        <w:shd w:val="clea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7EEC124B">
      <w:pPr>
        <w:shd w:val="clea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68DED1D9">
      <w:pPr>
        <w:shd w:val="clear"/>
        <w:jc w:val="center"/>
        <w:rPr>
          <w:rFonts w:ascii="宋体" w:hAnsi="宋体" w:cs="宋体"/>
          <w:b/>
          <w:color w:val="auto"/>
          <w:kern w:val="0"/>
          <w:sz w:val="32"/>
          <w:szCs w:val="32"/>
          <w:highlight w:val="none"/>
        </w:rPr>
      </w:pPr>
    </w:p>
    <w:p w14:paraId="265B3DB0">
      <w:pPr>
        <w:shd w:val="clear"/>
        <w:rPr>
          <w:rFonts w:ascii="宋体" w:hAnsi="宋体" w:cs="宋体"/>
          <w:color w:val="auto"/>
          <w:highlight w:val="none"/>
        </w:rPr>
      </w:pPr>
    </w:p>
    <w:p w14:paraId="6E8FA5BF">
      <w:pPr>
        <w:shd w:val="clea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33B8C1A2">
      <w:pPr>
        <w:shd w:val="clea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12F0E951">
      <w:pPr>
        <w:shd w:val="clea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3C56051C">
      <w:pPr>
        <w:shd w:val="clea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578B0167">
      <w:pPr>
        <w:shd w:val="clear"/>
        <w:autoSpaceDE w:val="0"/>
        <w:autoSpaceDN w:val="0"/>
        <w:spacing w:line="360" w:lineRule="auto"/>
        <w:jc w:val="center"/>
        <w:rPr>
          <w:rFonts w:ascii="宋体" w:hAnsi="宋体" w:cs="宋体"/>
          <w:b/>
          <w:color w:val="auto"/>
          <w:kern w:val="0"/>
          <w:sz w:val="32"/>
          <w:szCs w:val="32"/>
          <w:highlight w:val="none"/>
          <w:lang w:val="zh-CN"/>
        </w:rPr>
      </w:pPr>
    </w:p>
    <w:p w14:paraId="54181AF9">
      <w:pPr>
        <w:shd w:val="clear"/>
        <w:autoSpaceDE w:val="0"/>
        <w:autoSpaceDN w:val="0"/>
        <w:spacing w:line="360" w:lineRule="auto"/>
        <w:jc w:val="center"/>
        <w:rPr>
          <w:rFonts w:ascii="宋体" w:hAnsi="宋体" w:cs="宋体"/>
          <w:b/>
          <w:color w:val="auto"/>
          <w:kern w:val="0"/>
          <w:sz w:val="32"/>
          <w:szCs w:val="32"/>
          <w:highlight w:val="none"/>
          <w:lang w:val="zh-CN"/>
        </w:rPr>
      </w:pPr>
    </w:p>
    <w:p w14:paraId="62FB39B2">
      <w:pPr>
        <w:shd w:val="clear"/>
        <w:autoSpaceDE w:val="0"/>
        <w:autoSpaceDN w:val="0"/>
        <w:spacing w:line="360" w:lineRule="auto"/>
        <w:jc w:val="center"/>
        <w:rPr>
          <w:rFonts w:ascii="宋体" w:hAnsi="宋体" w:cs="宋体"/>
          <w:b/>
          <w:color w:val="auto"/>
          <w:kern w:val="0"/>
          <w:sz w:val="32"/>
          <w:szCs w:val="32"/>
          <w:highlight w:val="none"/>
          <w:lang w:val="zh-CN"/>
        </w:rPr>
      </w:pPr>
    </w:p>
    <w:p w14:paraId="393CC0E2">
      <w:pPr>
        <w:shd w:val="clea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4E6B0BD6">
      <w:pPr>
        <w:pStyle w:val="149"/>
        <w:shd w:val="clear"/>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4CCDE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07A51B9D">
            <w:pPr>
              <w:pStyle w:val="149"/>
              <w:shd w:val="clear"/>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2377F384">
            <w:pPr>
              <w:pStyle w:val="149"/>
              <w:shd w:val="clear"/>
              <w:adjustRightInd w:val="0"/>
              <w:spacing w:line="360" w:lineRule="auto"/>
              <w:rPr>
                <w:rFonts w:hAnsi="宋体" w:cs="宋体"/>
                <w:bCs/>
                <w:color w:val="auto"/>
                <w:sz w:val="24"/>
                <w:highlight w:val="none"/>
              </w:rPr>
            </w:pPr>
          </w:p>
        </w:tc>
      </w:tr>
    </w:tbl>
    <w:p w14:paraId="2C575222">
      <w:pPr>
        <w:shd w:val="clea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1DD2A3CA">
      <w:pPr>
        <w:shd w:val="clea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08D0F7CE">
      <w:pPr>
        <w:shd w:val="clea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72EA8DB4">
      <w:pPr>
        <w:shd w:val="clear"/>
        <w:jc w:val="center"/>
        <w:rPr>
          <w:rFonts w:ascii="宋体" w:hAnsi="宋体" w:cs="宋体"/>
          <w:b/>
          <w:color w:val="auto"/>
          <w:kern w:val="0"/>
          <w:sz w:val="32"/>
          <w:szCs w:val="32"/>
          <w:highlight w:val="none"/>
        </w:rPr>
      </w:pPr>
    </w:p>
    <w:p w14:paraId="5762A547">
      <w:pPr>
        <w:shd w:val="clear"/>
        <w:jc w:val="center"/>
        <w:rPr>
          <w:rFonts w:ascii="宋体" w:hAnsi="宋体" w:cs="宋体"/>
          <w:b/>
          <w:color w:val="auto"/>
          <w:kern w:val="0"/>
          <w:sz w:val="32"/>
          <w:szCs w:val="32"/>
          <w:highlight w:val="none"/>
        </w:rPr>
      </w:pPr>
    </w:p>
    <w:p w14:paraId="5437BAB4">
      <w:pPr>
        <w:shd w:val="clear"/>
        <w:jc w:val="center"/>
        <w:rPr>
          <w:rFonts w:ascii="宋体" w:hAnsi="宋体" w:cs="宋体"/>
          <w:b/>
          <w:color w:val="auto"/>
          <w:kern w:val="0"/>
          <w:sz w:val="32"/>
          <w:szCs w:val="32"/>
          <w:highlight w:val="none"/>
        </w:rPr>
      </w:pPr>
    </w:p>
    <w:p w14:paraId="5FAF897C">
      <w:pPr>
        <w:shd w:val="clear"/>
        <w:jc w:val="center"/>
        <w:rPr>
          <w:rFonts w:ascii="宋体" w:hAnsi="宋体" w:cs="宋体"/>
          <w:b/>
          <w:color w:val="auto"/>
          <w:kern w:val="0"/>
          <w:sz w:val="32"/>
          <w:szCs w:val="32"/>
          <w:highlight w:val="none"/>
        </w:rPr>
      </w:pPr>
    </w:p>
    <w:p w14:paraId="10082985">
      <w:pPr>
        <w:shd w:val="clear"/>
        <w:jc w:val="center"/>
        <w:rPr>
          <w:rFonts w:ascii="宋体" w:hAnsi="宋体" w:cs="宋体"/>
          <w:b/>
          <w:color w:val="auto"/>
          <w:kern w:val="0"/>
          <w:sz w:val="32"/>
          <w:szCs w:val="32"/>
          <w:highlight w:val="none"/>
        </w:rPr>
      </w:pPr>
    </w:p>
    <w:p w14:paraId="415832F1">
      <w:pPr>
        <w:shd w:val="clear"/>
        <w:jc w:val="center"/>
        <w:rPr>
          <w:rFonts w:ascii="宋体" w:hAnsi="宋体" w:cs="宋体"/>
          <w:b/>
          <w:color w:val="auto"/>
          <w:kern w:val="0"/>
          <w:sz w:val="32"/>
          <w:szCs w:val="32"/>
          <w:highlight w:val="none"/>
        </w:rPr>
      </w:pPr>
    </w:p>
    <w:p w14:paraId="01FBBF01">
      <w:pPr>
        <w:shd w:val="clear"/>
        <w:jc w:val="center"/>
        <w:rPr>
          <w:rFonts w:ascii="宋体" w:hAnsi="宋体" w:cs="宋体"/>
          <w:b/>
          <w:color w:val="auto"/>
          <w:kern w:val="0"/>
          <w:sz w:val="32"/>
          <w:szCs w:val="32"/>
          <w:highlight w:val="none"/>
        </w:rPr>
      </w:pPr>
    </w:p>
    <w:p w14:paraId="6072E91A">
      <w:pPr>
        <w:shd w:val="clear"/>
        <w:jc w:val="center"/>
        <w:rPr>
          <w:rFonts w:ascii="宋体" w:hAnsi="宋体" w:cs="宋体"/>
          <w:b/>
          <w:color w:val="auto"/>
          <w:kern w:val="0"/>
          <w:sz w:val="32"/>
          <w:szCs w:val="32"/>
          <w:highlight w:val="none"/>
        </w:rPr>
      </w:pPr>
    </w:p>
    <w:p w14:paraId="6DD034F7">
      <w:pPr>
        <w:shd w:val="clear"/>
        <w:jc w:val="center"/>
        <w:rPr>
          <w:rFonts w:ascii="宋体" w:hAnsi="宋体" w:cs="宋体"/>
          <w:b/>
          <w:color w:val="auto"/>
          <w:kern w:val="0"/>
          <w:sz w:val="32"/>
          <w:szCs w:val="32"/>
          <w:highlight w:val="none"/>
        </w:rPr>
      </w:pPr>
    </w:p>
    <w:p w14:paraId="044F6C2F">
      <w:pPr>
        <w:shd w:val="clear"/>
        <w:jc w:val="center"/>
        <w:rPr>
          <w:rFonts w:ascii="宋体" w:hAnsi="宋体" w:cs="宋体"/>
          <w:b/>
          <w:color w:val="auto"/>
          <w:kern w:val="0"/>
          <w:sz w:val="32"/>
          <w:szCs w:val="32"/>
          <w:highlight w:val="none"/>
        </w:rPr>
      </w:pPr>
    </w:p>
    <w:p w14:paraId="56EDDD66">
      <w:pPr>
        <w:shd w:val="clear"/>
        <w:snapToGrid w:val="0"/>
        <w:spacing w:line="360" w:lineRule="auto"/>
        <w:ind w:right="480"/>
        <w:rPr>
          <w:rFonts w:ascii="宋体" w:hAnsi="宋体" w:cs="宋体"/>
          <w:b/>
          <w:color w:val="auto"/>
          <w:kern w:val="0"/>
          <w:sz w:val="32"/>
          <w:szCs w:val="32"/>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7ACADBD3">
      <w:pPr>
        <w:shd w:val="clear"/>
        <w:snapToGrid w:val="0"/>
        <w:spacing w:line="360" w:lineRule="auto"/>
        <w:ind w:firstLine="3534" w:firstLineChars="11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5B94EA26">
      <w:pPr>
        <w:widowControl/>
        <w:shd w:val="clear"/>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p w14:paraId="564F6E16">
      <w:pPr>
        <w:shd w:val="clear"/>
        <w:snapToGrid w:val="0"/>
        <w:spacing w:line="360" w:lineRule="auto"/>
        <w:rPr>
          <w:rFonts w:ascii="宋体" w:hAnsi="宋体" w:cs="宋体"/>
          <w:color w:val="auto"/>
          <w:kern w:val="0"/>
          <w:sz w:val="24"/>
          <w:highlight w:val="none"/>
        </w:rPr>
      </w:pPr>
    </w:p>
    <w:p w14:paraId="18CC630D">
      <w:pPr>
        <w:shd w:val="clea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4B7CA284">
      <w:pPr>
        <w:shd w:val="clear"/>
        <w:jc w:val="center"/>
        <w:rPr>
          <w:rFonts w:ascii="宋体" w:hAnsi="宋体" w:cs="宋体"/>
          <w:b/>
          <w:color w:val="auto"/>
          <w:kern w:val="0"/>
          <w:sz w:val="32"/>
          <w:szCs w:val="32"/>
          <w:highlight w:val="none"/>
        </w:rPr>
      </w:pPr>
    </w:p>
    <w:tbl>
      <w:tblPr>
        <w:tblStyle w:val="64"/>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272A3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6186A59B">
            <w:pPr>
              <w:shd w:val="clea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3D4AAE26">
            <w:pPr>
              <w:shd w:val="clea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16AAD1C2">
            <w:pPr>
              <w:shd w:val="clea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37BE6E38">
            <w:pPr>
              <w:shd w:val="clea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14:paraId="55877F24">
            <w:pPr>
              <w:shd w:val="clea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5ECD3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DA9ED0B">
            <w:pPr>
              <w:shd w:val="clea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tcPr>
          <w:p w14:paraId="105F67F9">
            <w:pPr>
              <w:shd w:val="clea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14:paraId="48D88E84">
            <w:pPr>
              <w:shd w:val="clea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14:paraId="6F5C7697">
            <w:pPr>
              <w:shd w:val="clear"/>
              <w:rPr>
                <w:rFonts w:ascii="宋体" w:hAnsi="宋体" w:cs="宋体"/>
                <w:color w:val="auto"/>
                <w:sz w:val="24"/>
                <w:highlight w:val="none"/>
              </w:rPr>
            </w:pPr>
          </w:p>
          <w:p w14:paraId="7DEA4FA7">
            <w:pPr>
              <w:shd w:val="clear"/>
              <w:rPr>
                <w:rFonts w:ascii="宋体" w:hAnsi="宋体" w:cs="宋体"/>
                <w:color w:val="auto"/>
                <w:sz w:val="24"/>
                <w:highlight w:val="none"/>
              </w:rPr>
            </w:pPr>
            <w:r>
              <w:rPr>
                <w:rFonts w:hint="eastAsia" w:ascii="宋体" w:hAnsi="宋体" w:cs="宋体"/>
                <w:color w:val="auto"/>
                <w:sz w:val="24"/>
                <w:highlight w:val="none"/>
              </w:rPr>
              <w:t>见投标文件</w:t>
            </w:r>
          </w:p>
          <w:p w14:paraId="00102A5F">
            <w:pPr>
              <w:shd w:val="clea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6A95C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F272B0D">
            <w:pPr>
              <w:shd w:val="clea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tcPr>
          <w:p w14:paraId="03E1D822">
            <w:pPr>
              <w:shd w:val="clea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4850D2CF">
            <w:pPr>
              <w:shd w:val="clea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tcPr>
          <w:p w14:paraId="30869838">
            <w:pPr>
              <w:shd w:val="clea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5206B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F7F3916">
            <w:pPr>
              <w:shd w:val="clear"/>
              <w:jc w:val="center"/>
              <w:rPr>
                <w:rFonts w:ascii="宋体" w:hAnsi="宋体" w:cs="宋体"/>
                <w:color w:val="auto"/>
                <w:sz w:val="24"/>
                <w:highlight w:val="none"/>
              </w:rPr>
            </w:pPr>
            <w:r>
              <w:rPr>
                <w:rFonts w:hint="eastAsia" w:ascii="宋体" w:hAnsi="宋体" w:cs="宋体"/>
                <w:color w:val="auto"/>
                <w:sz w:val="24"/>
                <w:highlight w:val="none"/>
              </w:rPr>
              <w:t>3</w:t>
            </w:r>
          </w:p>
        </w:tc>
        <w:tc>
          <w:tcPr>
            <w:tcW w:w="4991" w:type="dxa"/>
          </w:tcPr>
          <w:p w14:paraId="1DA863DB">
            <w:pPr>
              <w:shd w:val="clear"/>
              <w:spacing w:line="360" w:lineRule="auto"/>
              <w:rPr>
                <w:rFonts w:ascii="宋体" w:hAnsi="宋体" w:cs="宋体"/>
                <w:color w:val="auto"/>
                <w:sz w:val="24"/>
                <w:highlight w:val="none"/>
              </w:rPr>
            </w:pPr>
            <w:r>
              <w:rPr>
                <w:rFonts w:hint="eastAsia" w:ascii="宋体" w:hAnsi="宋体" w:cs="宋体"/>
                <w:color w:val="auto"/>
                <w:sz w:val="24"/>
                <w:highlight w:val="none"/>
              </w:rPr>
              <w:t>投标文件满足招标文件的其它实质性要求。</w:t>
            </w:r>
          </w:p>
        </w:tc>
        <w:tc>
          <w:tcPr>
            <w:tcW w:w="2551" w:type="dxa"/>
            <w:vAlign w:val="center"/>
          </w:tcPr>
          <w:p w14:paraId="686333AE">
            <w:pPr>
              <w:shd w:val="clear"/>
              <w:rPr>
                <w:rFonts w:ascii="宋体" w:hAnsi="宋体" w:cs="宋体"/>
                <w:color w:val="auto"/>
                <w:sz w:val="24"/>
                <w:highlight w:val="none"/>
              </w:rPr>
            </w:pPr>
            <w:r>
              <w:rPr>
                <w:rFonts w:hint="eastAsia" w:ascii="宋体" w:hAnsi="宋体" w:cs="宋体"/>
                <w:color w:val="auto"/>
                <w:kern w:val="0"/>
                <w:sz w:val="24"/>
                <w:highlight w:val="none"/>
              </w:rPr>
              <w:t>招标文件其它实质性要求相应的材料（“▲” 系指实质性要求条款，招标文件无其它实质性要求的，无需提供）</w:t>
            </w:r>
          </w:p>
        </w:tc>
        <w:tc>
          <w:tcPr>
            <w:tcW w:w="1418" w:type="dxa"/>
          </w:tcPr>
          <w:p w14:paraId="7DD12E4B">
            <w:pPr>
              <w:shd w:val="clea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14:paraId="7BBE324C">
      <w:pPr>
        <w:shd w:val="clea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6D555378">
      <w:pPr>
        <w:shd w:val="clear"/>
        <w:jc w:val="center"/>
        <w:rPr>
          <w:rFonts w:ascii="宋体" w:hAnsi="宋体" w:cs="宋体"/>
          <w:b/>
          <w:color w:val="auto"/>
          <w:kern w:val="0"/>
          <w:sz w:val="32"/>
          <w:szCs w:val="32"/>
          <w:highlight w:val="none"/>
        </w:rPr>
      </w:pPr>
    </w:p>
    <w:p w14:paraId="226937A3">
      <w:pPr>
        <w:shd w:val="clea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656D9145">
      <w:pPr>
        <w:shd w:val="clear"/>
        <w:jc w:val="center"/>
        <w:rPr>
          <w:rFonts w:ascii="宋体" w:hAnsi="宋体" w:cs="宋体"/>
          <w:b/>
          <w:color w:val="auto"/>
          <w:kern w:val="0"/>
          <w:sz w:val="32"/>
          <w:szCs w:val="32"/>
          <w:highlight w:val="none"/>
        </w:rPr>
      </w:pPr>
    </w:p>
    <w:p w14:paraId="22EE296C">
      <w:pPr>
        <w:shd w:val="clear"/>
        <w:jc w:val="center"/>
        <w:rPr>
          <w:rFonts w:ascii="宋体" w:hAnsi="宋体" w:cs="宋体"/>
          <w:b/>
          <w:color w:val="auto"/>
          <w:kern w:val="0"/>
          <w:sz w:val="32"/>
          <w:szCs w:val="32"/>
          <w:highlight w:val="none"/>
        </w:rPr>
      </w:pPr>
    </w:p>
    <w:p w14:paraId="1469E065">
      <w:pPr>
        <w:shd w:val="clear"/>
        <w:jc w:val="center"/>
        <w:rPr>
          <w:rFonts w:ascii="宋体" w:hAnsi="宋体" w:cs="宋体"/>
          <w:b/>
          <w:color w:val="auto"/>
          <w:kern w:val="0"/>
          <w:sz w:val="32"/>
          <w:szCs w:val="32"/>
          <w:highlight w:val="none"/>
        </w:rPr>
      </w:pPr>
    </w:p>
    <w:p w14:paraId="624388E4">
      <w:pPr>
        <w:shd w:val="clear"/>
        <w:jc w:val="center"/>
        <w:rPr>
          <w:rFonts w:ascii="宋体" w:hAnsi="宋体" w:cs="宋体"/>
          <w:b/>
          <w:color w:val="auto"/>
          <w:kern w:val="0"/>
          <w:sz w:val="32"/>
          <w:szCs w:val="32"/>
          <w:highlight w:val="none"/>
        </w:rPr>
      </w:pPr>
    </w:p>
    <w:p w14:paraId="5E84063C">
      <w:pPr>
        <w:shd w:val="clear"/>
        <w:jc w:val="center"/>
        <w:rPr>
          <w:rFonts w:ascii="宋体" w:hAnsi="宋体" w:cs="宋体"/>
          <w:b/>
          <w:color w:val="auto"/>
          <w:kern w:val="0"/>
          <w:sz w:val="32"/>
          <w:szCs w:val="32"/>
          <w:highlight w:val="none"/>
        </w:rPr>
      </w:pPr>
    </w:p>
    <w:p w14:paraId="517E0B43">
      <w:pPr>
        <w:shd w:val="clear"/>
        <w:jc w:val="center"/>
        <w:rPr>
          <w:rFonts w:ascii="宋体" w:hAnsi="宋体" w:cs="宋体"/>
          <w:b/>
          <w:color w:val="auto"/>
          <w:kern w:val="0"/>
          <w:sz w:val="32"/>
          <w:szCs w:val="32"/>
          <w:highlight w:val="none"/>
        </w:rPr>
      </w:pPr>
    </w:p>
    <w:p w14:paraId="778DC522">
      <w:pPr>
        <w:shd w:val="clear"/>
        <w:jc w:val="center"/>
        <w:rPr>
          <w:rFonts w:ascii="宋体" w:hAnsi="宋体" w:cs="宋体"/>
          <w:b/>
          <w:color w:val="auto"/>
          <w:kern w:val="0"/>
          <w:sz w:val="32"/>
          <w:szCs w:val="32"/>
          <w:highlight w:val="none"/>
        </w:rPr>
      </w:pPr>
    </w:p>
    <w:p w14:paraId="4340FC7E">
      <w:pPr>
        <w:shd w:val="clear"/>
        <w:jc w:val="center"/>
        <w:rPr>
          <w:rFonts w:ascii="宋体" w:hAnsi="宋体" w:cs="宋体"/>
          <w:b/>
          <w:color w:val="auto"/>
          <w:kern w:val="0"/>
          <w:sz w:val="32"/>
          <w:szCs w:val="32"/>
          <w:highlight w:val="none"/>
        </w:rPr>
      </w:pPr>
    </w:p>
    <w:p w14:paraId="1F5B0B87">
      <w:pPr>
        <w:shd w:val="clear"/>
        <w:jc w:val="center"/>
        <w:rPr>
          <w:rFonts w:ascii="宋体" w:hAnsi="宋体" w:cs="宋体"/>
          <w:b/>
          <w:color w:val="auto"/>
          <w:kern w:val="0"/>
          <w:sz w:val="32"/>
          <w:szCs w:val="32"/>
          <w:highlight w:val="none"/>
        </w:rPr>
      </w:pPr>
    </w:p>
    <w:p w14:paraId="587FC8AD">
      <w:pPr>
        <w:shd w:val="clear"/>
        <w:jc w:val="center"/>
        <w:rPr>
          <w:rFonts w:ascii="宋体" w:hAnsi="宋体" w:cs="宋体"/>
          <w:b/>
          <w:color w:val="auto"/>
          <w:kern w:val="0"/>
          <w:sz w:val="32"/>
          <w:szCs w:val="32"/>
          <w:highlight w:val="none"/>
        </w:rPr>
      </w:pPr>
    </w:p>
    <w:p w14:paraId="7E114798">
      <w:pPr>
        <w:shd w:val="clear"/>
        <w:jc w:val="center"/>
        <w:rPr>
          <w:rFonts w:ascii="宋体" w:hAnsi="宋体" w:cs="宋体"/>
          <w:b/>
          <w:color w:val="auto"/>
          <w:kern w:val="0"/>
          <w:sz w:val="32"/>
          <w:szCs w:val="32"/>
          <w:highlight w:val="none"/>
        </w:rPr>
      </w:pPr>
    </w:p>
    <w:p w14:paraId="5877F511">
      <w:pPr>
        <w:shd w:val="clear"/>
        <w:jc w:val="center"/>
        <w:rPr>
          <w:rFonts w:ascii="宋体" w:hAnsi="宋体" w:cs="宋体"/>
          <w:b/>
          <w:color w:val="auto"/>
          <w:kern w:val="0"/>
          <w:sz w:val="32"/>
          <w:szCs w:val="32"/>
          <w:highlight w:val="none"/>
        </w:rPr>
      </w:pPr>
    </w:p>
    <w:p w14:paraId="48323E71">
      <w:pPr>
        <w:shd w:val="clea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4B2F9713">
      <w:pPr>
        <w:shd w:val="clea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p w14:paraId="0DF34904">
      <w:pPr>
        <w:shd w:val="clear"/>
        <w:jc w:val="center"/>
        <w:rPr>
          <w:rFonts w:ascii="宋体" w:hAnsi="宋体" w:cs="宋体"/>
          <w:b/>
          <w:color w:val="auto"/>
          <w:kern w:val="0"/>
          <w:sz w:val="32"/>
          <w:szCs w:val="32"/>
          <w:highlight w:val="none"/>
        </w:rPr>
      </w:pPr>
    </w:p>
    <w:p w14:paraId="73F36816">
      <w:pPr>
        <w:shd w:val="clear"/>
        <w:jc w:val="center"/>
        <w:rPr>
          <w:rFonts w:ascii="宋体" w:hAnsi="宋体" w:cs="宋体"/>
          <w:b/>
          <w:color w:val="auto"/>
          <w:kern w:val="0"/>
          <w:sz w:val="32"/>
          <w:szCs w:val="32"/>
          <w:highlight w:val="none"/>
        </w:rPr>
      </w:pPr>
    </w:p>
    <w:p w14:paraId="1E80CA6A">
      <w:pPr>
        <w:shd w:val="clear"/>
        <w:jc w:val="center"/>
        <w:rPr>
          <w:rFonts w:ascii="宋体" w:hAnsi="宋体" w:cs="宋体"/>
          <w:b/>
          <w:color w:val="auto"/>
          <w:kern w:val="0"/>
          <w:sz w:val="32"/>
          <w:szCs w:val="32"/>
          <w:highlight w:val="none"/>
        </w:rPr>
      </w:pPr>
    </w:p>
    <w:p w14:paraId="386A662C">
      <w:pPr>
        <w:shd w:val="clea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4"/>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2C52A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89C7CE2">
            <w:pPr>
              <w:shd w:val="clea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00104518">
            <w:pPr>
              <w:shd w:val="clea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57B3DF38">
            <w:pPr>
              <w:shd w:val="clear"/>
              <w:spacing w:line="360" w:lineRule="auto"/>
              <w:jc w:val="center"/>
              <w:rPr>
                <w:rFonts w:ascii="宋体" w:hAnsi="宋体" w:cs="宋体"/>
                <w:b/>
                <w:color w:val="auto"/>
                <w:sz w:val="24"/>
                <w:highlight w:val="none"/>
              </w:rPr>
            </w:pPr>
          </w:p>
          <w:p w14:paraId="4CD90F95">
            <w:pPr>
              <w:shd w:val="clea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1DE53F41">
            <w:pPr>
              <w:shd w:val="clea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272C8542">
            <w:pPr>
              <w:shd w:val="clea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400187AE">
            <w:pPr>
              <w:shd w:val="clea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007A43F4">
            <w:pPr>
              <w:shd w:val="clear"/>
              <w:spacing w:line="360" w:lineRule="auto"/>
              <w:jc w:val="center"/>
              <w:rPr>
                <w:rFonts w:ascii="宋体" w:hAnsi="宋体" w:cs="宋体"/>
                <w:b/>
                <w:color w:val="auto"/>
                <w:sz w:val="24"/>
                <w:highlight w:val="none"/>
              </w:rPr>
            </w:pPr>
          </w:p>
          <w:p w14:paraId="7829191F">
            <w:pPr>
              <w:shd w:val="clea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53CEFE7C">
            <w:pPr>
              <w:shd w:val="clear"/>
              <w:spacing w:line="360" w:lineRule="auto"/>
              <w:jc w:val="center"/>
              <w:rPr>
                <w:rFonts w:ascii="宋体" w:hAnsi="宋体" w:cs="宋体"/>
                <w:b/>
                <w:color w:val="auto"/>
                <w:sz w:val="24"/>
                <w:highlight w:val="none"/>
              </w:rPr>
            </w:pPr>
          </w:p>
        </w:tc>
      </w:tr>
      <w:tr w14:paraId="5A288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D7C194C">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677C95F9">
            <w:pPr>
              <w:shd w:val="clea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646750DC">
            <w:pPr>
              <w:shd w:val="clea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2AFD4C72">
            <w:pPr>
              <w:shd w:val="clea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6AC13C27">
            <w:pPr>
              <w:shd w:val="clea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23982C10">
            <w:pPr>
              <w:shd w:val="clea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2DCF2FEF">
            <w:pPr>
              <w:shd w:val="clear"/>
              <w:spacing w:line="360" w:lineRule="auto"/>
              <w:jc w:val="center"/>
              <w:rPr>
                <w:rFonts w:ascii="宋体" w:hAnsi="宋体" w:cs="宋体"/>
                <w:color w:val="auto"/>
                <w:sz w:val="24"/>
                <w:highlight w:val="none"/>
              </w:rPr>
            </w:pPr>
          </w:p>
        </w:tc>
      </w:tr>
      <w:tr w14:paraId="4316F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C598927">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7EF0D47F">
            <w:pPr>
              <w:shd w:val="clea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536BAD7E">
            <w:pPr>
              <w:shd w:val="clea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416783E8">
            <w:pPr>
              <w:shd w:val="clea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11584627">
            <w:pPr>
              <w:shd w:val="clea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2F7B2A97">
            <w:pPr>
              <w:shd w:val="clea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210A6854">
            <w:pPr>
              <w:shd w:val="clear"/>
              <w:spacing w:line="360" w:lineRule="auto"/>
              <w:jc w:val="center"/>
              <w:rPr>
                <w:rFonts w:ascii="宋体" w:hAnsi="宋体" w:cs="宋体"/>
                <w:color w:val="auto"/>
                <w:sz w:val="24"/>
                <w:highlight w:val="none"/>
              </w:rPr>
            </w:pPr>
          </w:p>
        </w:tc>
      </w:tr>
      <w:tr w14:paraId="7B6EF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EDE0D97">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0E7CB1A1">
            <w:pPr>
              <w:shd w:val="clea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6035C857">
            <w:pPr>
              <w:shd w:val="clea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104B29E6">
            <w:pPr>
              <w:shd w:val="clea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456B5972">
            <w:pPr>
              <w:shd w:val="clea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137995F2">
            <w:pPr>
              <w:shd w:val="clea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0532E7E4">
            <w:pPr>
              <w:shd w:val="clear"/>
              <w:spacing w:line="360" w:lineRule="auto"/>
              <w:jc w:val="center"/>
              <w:rPr>
                <w:rFonts w:ascii="宋体" w:hAnsi="宋体" w:cs="宋体"/>
                <w:color w:val="auto"/>
                <w:sz w:val="24"/>
                <w:highlight w:val="none"/>
              </w:rPr>
            </w:pPr>
          </w:p>
        </w:tc>
      </w:tr>
    </w:tbl>
    <w:p w14:paraId="54F09891">
      <w:pPr>
        <w:shd w:val="clea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075FF156">
      <w:pPr>
        <w:shd w:val="clear"/>
        <w:jc w:val="center"/>
        <w:rPr>
          <w:rFonts w:ascii="宋体" w:hAnsi="宋体" w:cs="宋体"/>
          <w:b/>
          <w:color w:val="auto"/>
          <w:kern w:val="0"/>
          <w:sz w:val="32"/>
          <w:szCs w:val="32"/>
          <w:highlight w:val="none"/>
        </w:rPr>
      </w:pPr>
    </w:p>
    <w:p w14:paraId="2248FAEB">
      <w:pPr>
        <w:shd w:val="clear"/>
        <w:jc w:val="center"/>
        <w:rPr>
          <w:rFonts w:ascii="宋体" w:hAnsi="宋体" w:cs="宋体"/>
          <w:b/>
          <w:color w:val="auto"/>
          <w:kern w:val="0"/>
          <w:sz w:val="32"/>
          <w:szCs w:val="32"/>
          <w:highlight w:val="none"/>
        </w:rPr>
      </w:pPr>
    </w:p>
    <w:p w14:paraId="34F156C7">
      <w:pPr>
        <w:shd w:val="clea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七、商务技术偏离表</w:t>
      </w:r>
    </w:p>
    <w:tbl>
      <w:tblPr>
        <w:tblStyle w:val="65"/>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6631C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46EB338">
            <w:pPr>
              <w:shd w:val="clea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tcPr>
          <w:p w14:paraId="4090ACBA">
            <w:pPr>
              <w:shd w:val="clea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546" w:type="dxa"/>
          </w:tcPr>
          <w:p w14:paraId="148EDC11">
            <w:pPr>
              <w:shd w:val="clea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276" w:type="dxa"/>
          </w:tcPr>
          <w:p w14:paraId="1A2A1B74">
            <w:pPr>
              <w:shd w:val="clea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11F6E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DAC2140">
            <w:pPr>
              <w:shd w:val="clea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tcPr>
          <w:p w14:paraId="7B57886A">
            <w:pPr>
              <w:shd w:val="clear"/>
              <w:jc w:val="center"/>
              <w:rPr>
                <w:rFonts w:ascii="宋体" w:hAnsi="宋体" w:cs="宋体"/>
                <w:b/>
                <w:color w:val="auto"/>
                <w:kern w:val="0"/>
                <w:sz w:val="32"/>
                <w:szCs w:val="32"/>
                <w:highlight w:val="none"/>
              </w:rPr>
            </w:pPr>
          </w:p>
        </w:tc>
        <w:tc>
          <w:tcPr>
            <w:tcW w:w="3546" w:type="dxa"/>
          </w:tcPr>
          <w:p w14:paraId="59427336">
            <w:pPr>
              <w:shd w:val="clear"/>
              <w:jc w:val="center"/>
              <w:rPr>
                <w:rFonts w:ascii="宋体" w:hAnsi="宋体" w:cs="宋体"/>
                <w:b/>
                <w:color w:val="auto"/>
                <w:kern w:val="0"/>
                <w:sz w:val="32"/>
                <w:szCs w:val="32"/>
                <w:highlight w:val="none"/>
              </w:rPr>
            </w:pPr>
          </w:p>
        </w:tc>
        <w:tc>
          <w:tcPr>
            <w:tcW w:w="1276" w:type="dxa"/>
          </w:tcPr>
          <w:p w14:paraId="20006152">
            <w:pPr>
              <w:shd w:val="clear"/>
              <w:jc w:val="center"/>
              <w:rPr>
                <w:rFonts w:ascii="宋体" w:hAnsi="宋体" w:cs="宋体"/>
                <w:b/>
                <w:color w:val="auto"/>
                <w:kern w:val="0"/>
                <w:sz w:val="32"/>
                <w:szCs w:val="32"/>
                <w:highlight w:val="none"/>
              </w:rPr>
            </w:pPr>
          </w:p>
        </w:tc>
      </w:tr>
      <w:tr w14:paraId="6A1A4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B36D468">
            <w:pPr>
              <w:shd w:val="clea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tcPr>
          <w:p w14:paraId="27B8BF34">
            <w:pPr>
              <w:shd w:val="clear"/>
              <w:jc w:val="center"/>
              <w:rPr>
                <w:rFonts w:ascii="宋体" w:hAnsi="宋体" w:cs="宋体"/>
                <w:b/>
                <w:color w:val="auto"/>
                <w:kern w:val="0"/>
                <w:sz w:val="32"/>
                <w:szCs w:val="32"/>
                <w:highlight w:val="none"/>
              </w:rPr>
            </w:pPr>
          </w:p>
        </w:tc>
        <w:tc>
          <w:tcPr>
            <w:tcW w:w="3546" w:type="dxa"/>
          </w:tcPr>
          <w:p w14:paraId="0D157F3C">
            <w:pPr>
              <w:shd w:val="clear"/>
              <w:jc w:val="center"/>
              <w:rPr>
                <w:rFonts w:ascii="宋体" w:hAnsi="宋体" w:cs="宋体"/>
                <w:b/>
                <w:color w:val="auto"/>
                <w:kern w:val="0"/>
                <w:sz w:val="32"/>
                <w:szCs w:val="32"/>
                <w:highlight w:val="none"/>
              </w:rPr>
            </w:pPr>
          </w:p>
        </w:tc>
        <w:tc>
          <w:tcPr>
            <w:tcW w:w="1276" w:type="dxa"/>
          </w:tcPr>
          <w:p w14:paraId="7306E52D">
            <w:pPr>
              <w:shd w:val="clear"/>
              <w:jc w:val="center"/>
              <w:rPr>
                <w:rFonts w:ascii="宋体" w:hAnsi="宋体" w:cs="宋体"/>
                <w:b/>
                <w:color w:val="auto"/>
                <w:kern w:val="0"/>
                <w:sz w:val="32"/>
                <w:szCs w:val="32"/>
                <w:highlight w:val="none"/>
              </w:rPr>
            </w:pPr>
          </w:p>
        </w:tc>
      </w:tr>
      <w:tr w14:paraId="5F717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0552E22">
            <w:pPr>
              <w:shd w:val="clea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tcPr>
          <w:p w14:paraId="0CB54833">
            <w:pPr>
              <w:shd w:val="clear"/>
              <w:jc w:val="center"/>
              <w:rPr>
                <w:rFonts w:ascii="宋体" w:hAnsi="宋体" w:cs="宋体"/>
                <w:b/>
                <w:color w:val="auto"/>
                <w:kern w:val="0"/>
                <w:sz w:val="32"/>
                <w:szCs w:val="32"/>
                <w:highlight w:val="none"/>
              </w:rPr>
            </w:pPr>
          </w:p>
        </w:tc>
        <w:tc>
          <w:tcPr>
            <w:tcW w:w="3546" w:type="dxa"/>
          </w:tcPr>
          <w:p w14:paraId="3BA06F7D">
            <w:pPr>
              <w:shd w:val="clear"/>
              <w:jc w:val="center"/>
              <w:rPr>
                <w:rFonts w:ascii="宋体" w:hAnsi="宋体" w:cs="宋体"/>
                <w:b/>
                <w:color w:val="auto"/>
                <w:kern w:val="0"/>
                <w:sz w:val="32"/>
                <w:szCs w:val="32"/>
                <w:highlight w:val="none"/>
              </w:rPr>
            </w:pPr>
          </w:p>
        </w:tc>
        <w:tc>
          <w:tcPr>
            <w:tcW w:w="1276" w:type="dxa"/>
          </w:tcPr>
          <w:p w14:paraId="55AC5FDD">
            <w:pPr>
              <w:shd w:val="clear"/>
              <w:jc w:val="center"/>
              <w:rPr>
                <w:rFonts w:ascii="宋体" w:hAnsi="宋体" w:cs="宋体"/>
                <w:b/>
                <w:color w:val="auto"/>
                <w:kern w:val="0"/>
                <w:sz w:val="32"/>
                <w:szCs w:val="32"/>
                <w:highlight w:val="none"/>
              </w:rPr>
            </w:pPr>
          </w:p>
        </w:tc>
      </w:tr>
    </w:tbl>
    <w:p w14:paraId="4FD3D6E2">
      <w:pPr>
        <w:shd w:val="clea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14:paraId="19B8E30F">
      <w:pPr>
        <w:shd w:val="clear"/>
        <w:jc w:val="center"/>
        <w:rPr>
          <w:rFonts w:ascii="宋体" w:hAnsi="宋体" w:cs="宋体"/>
          <w:b/>
          <w:color w:val="auto"/>
          <w:kern w:val="0"/>
          <w:sz w:val="32"/>
          <w:szCs w:val="32"/>
          <w:highlight w:val="none"/>
        </w:rPr>
      </w:pPr>
    </w:p>
    <w:p w14:paraId="5E83122B">
      <w:pPr>
        <w:shd w:val="clea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54549507">
      <w:pPr>
        <w:shd w:val="clear"/>
        <w:ind w:firstLine="1911" w:firstLineChars="595"/>
        <w:rPr>
          <w:rFonts w:ascii="宋体" w:hAnsi="宋体" w:cs="宋体"/>
          <w:b/>
          <w:bCs/>
          <w:color w:val="auto"/>
          <w:sz w:val="32"/>
          <w:szCs w:val="32"/>
          <w:highlight w:val="none"/>
        </w:rPr>
      </w:pPr>
    </w:p>
    <w:p w14:paraId="4ECCD713">
      <w:pPr>
        <w:shd w:val="clear"/>
        <w:ind w:firstLine="1911" w:firstLineChars="595"/>
        <w:rPr>
          <w:rFonts w:ascii="宋体" w:hAnsi="宋体" w:cs="宋体"/>
          <w:b/>
          <w:bCs/>
          <w:color w:val="auto"/>
          <w:sz w:val="32"/>
          <w:szCs w:val="32"/>
          <w:highlight w:val="none"/>
        </w:rPr>
      </w:pPr>
    </w:p>
    <w:p w14:paraId="77E7BC91">
      <w:pPr>
        <w:shd w:val="clear"/>
        <w:ind w:firstLine="1911" w:firstLineChars="595"/>
        <w:rPr>
          <w:rFonts w:ascii="宋体" w:hAnsi="宋体" w:cs="宋体"/>
          <w:b/>
          <w:bCs/>
          <w:color w:val="auto"/>
          <w:sz w:val="32"/>
          <w:szCs w:val="32"/>
          <w:highlight w:val="none"/>
        </w:rPr>
      </w:pPr>
    </w:p>
    <w:p w14:paraId="433DFA5A">
      <w:pPr>
        <w:widowControl/>
        <w:shd w:val="clear"/>
        <w:adjustRightInd/>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14:paraId="544D7760">
      <w:pPr>
        <w:shd w:val="clea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74C8D8FA">
      <w:pPr>
        <w:shd w:val="clear"/>
        <w:snapToGrid w:val="0"/>
        <w:spacing w:line="360" w:lineRule="auto"/>
        <w:rPr>
          <w:rFonts w:ascii="宋体" w:hAnsi="宋体" w:cs="宋体"/>
          <w:color w:val="auto"/>
          <w:sz w:val="24"/>
          <w:highlight w:val="none"/>
        </w:rPr>
      </w:pPr>
    </w:p>
    <w:p w14:paraId="321BA2C7">
      <w:pPr>
        <w:shd w:val="clea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杭州大运河数智未来城管理委员会</w:t>
      </w:r>
      <w:r>
        <w:rPr>
          <w:rFonts w:hint="eastAsia" w:ascii="宋体" w:hAnsi="宋体" w:cs="宋体"/>
          <w:color w:val="auto"/>
          <w:sz w:val="24"/>
          <w:highlight w:val="none"/>
        </w:rPr>
        <w:t>、</w:t>
      </w:r>
      <w:r>
        <w:rPr>
          <w:rFonts w:hint="eastAsia" w:ascii="宋体" w:hAnsi="宋体" w:cs="宋体"/>
          <w:color w:val="auto"/>
          <w:sz w:val="24"/>
          <w:highlight w:val="none"/>
          <w:lang w:eastAsia="zh-CN"/>
        </w:rPr>
        <w:t>华诚工程咨询集团有限公司</w:t>
      </w:r>
      <w:r>
        <w:rPr>
          <w:rFonts w:hint="eastAsia" w:ascii="宋体" w:hAnsi="宋体" w:cs="宋体"/>
          <w:color w:val="auto"/>
          <w:kern w:val="0"/>
          <w:sz w:val="24"/>
          <w:highlight w:val="none"/>
          <w:lang w:val="zh-CN"/>
        </w:rPr>
        <w:t>：</w:t>
      </w:r>
    </w:p>
    <w:p w14:paraId="437EA8E4">
      <w:pPr>
        <w:shd w:val="clea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6AA961EA">
      <w:pPr>
        <w:shd w:val="clea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10983E83">
      <w:pPr>
        <w:shd w:val="clea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0820DE0C">
      <w:pPr>
        <w:shd w:val="clea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78F7D827">
      <w:pPr>
        <w:shd w:val="clea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7FF12C73">
      <w:pPr>
        <w:shd w:val="clea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56DDE2CF">
      <w:pPr>
        <w:shd w:val="clea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72C2AA98">
      <w:pPr>
        <w:shd w:val="clea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14:paraId="372329C4">
      <w:pPr>
        <w:shd w:val="clea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1EE548D8">
      <w:pPr>
        <w:shd w:val="clea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01A4C943">
      <w:pPr>
        <w:shd w:val="clear"/>
        <w:autoSpaceDE w:val="0"/>
        <w:autoSpaceDN w:val="0"/>
        <w:spacing w:line="360" w:lineRule="auto"/>
        <w:ind w:left="2"/>
        <w:jc w:val="left"/>
        <w:rPr>
          <w:rFonts w:ascii="宋体" w:hAnsi="宋体" w:cs="宋体"/>
          <w:color w:val="auto"/>
          <w:kern w:val="0"/>
          <w:sz w:val="24"/>
          <w:highlight w:val="none"/>
          <w:lang w:val="zh-CN"/>
        </w:rPr>
      </w:pPr>
    </w:p>
    <w:p w14:paraId="7A750E0C">
      <w:pPr>
        <w:shd w:val="clear"/>
        <w:autoSpaceDE w:val="0"/>
        <w:autoSpaceDN w:val="0"/>
        <w:spacing w:line="360" w:lineRule="auto"/>
        <w:ind w:left="2"/>
        <w:jc w:val="left"/>
        <w:rPr>
          <w:rFonts w:ascii="宋体" w:hAnsi="宋体" w:cs="宋体"/>
          <w:color w:val="auto"/>
          <w:kern w:val="0"/>
          <w:sz w:val="24"/>
          <w:highlight w:val="none"/>
          <w:lang w:val="zh-CN"/>
        </w:rPr>
      </w:pPr>
    </w:p>
    <w:p w14:paraId="75BAEE45">
      <w:pPr>
        <w:shd w:val="clear"/>
        <w:autoSpaceDE w:val="0"/>
        <w:autoSpaceDN w:val="0"/>
        <w:spacing w:line="360" w:lineRule="auto"/>
        <w:ind w:left="2"/>
        <w:jc w:val="left"/>
        <w:rPr>
          <w:rFonts w:ascii="宋体" w:hAnsi="宋体" w:cs="宋体"/>
          <w:color w:val="auto"/>
          <w:kern w:val="0"/>
          <w:sz w:val="24"/>
          <w:highlight w:val="none"/>
          <w:lang w:val="zh-CN"/>
        </w:rPr>
      </w:pPr>
    </w:p>
    <w:p w14:paraId="2A8850DA">
      <w:pPr>
        <w:shd w:val="clea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12C464F0">
      <w:pPr>
        <w:shd w:val="clea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0ACA53DB">
      <w:pPr>
        <w:shd w:val="clear"/>
        <w:spacing w:line="360" w:lineRule="auto"/>
        <w:jc w:val="center"/>
        <w:rPr>
          <w:rFonts w:ascii="宋体" w:hAnsi="宋体" w:cs="宋体"/>
          <w:b/>
          <w:bCs/>
          <w:color w:val="auto"/>
          <w:sz w:val="24"/>
          <w:highlight w:val="none"/>
        </w:rPr>
      </w:pPr>
    </w:p>
    <w:p w14:paraId="6A6AE519">
      <w:pPr>
        <w:shd w:val="clea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7985E20A">
      <w:pPr>
        <w:shd w:val="clear"/>
        <w:spacing w:line="360" w:lineRule="auto"/>
        <w:jc w:val="center"/>
        <w:rPr>
          <w:rFonts w:ascii="宋体" w:hAnsi="宋体" w:cs="宋体"/>
          <w:b/>
          <w:bCs/>
          <w:color w:val="auto"/>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78D16C2A">
      <w:pPr>
        <w:shd w:val="clea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46958D75">
      <w:pPr>
        <w:shd w:val="clea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3B0F03C0">
      <w:pPr>
        <w:shd w:val="clear"/>
        <w:spacing w:line="360" w:lineRule="auto"/>
        <w:jc w:val="center"/>
        <w:outlineLvl w:val="0"/>
        <w:rPr>
          <w:rFonts w:ascii="宋体" w:hAnsi="宋体" w:cs="宋体"/>
          <w:b/>
          <w:color w:val="auto"/>
          <w:kern w:val="0"/>
          <w:sz w:val="36"/>
          <w:szCs w:val="36"/>
          <w:highlight w:val="none"/>
        </w:rPr>
      </w:pPr>
    </w:p>
    <w:p w14:paraId="11298937">
      <w:pPr>
        <w:shd w:val="clear"/>
        <w:snapToGrid w:val="0"/>
        <w:spacing w:line="360" w:lineRule="auto"/>
        <w:rPr>
          <w:rFonts w:ascii="宋体" w:hAnsi="宋体" w:cs="宋体"/>
          <w:color w:val="auto"/>
          <w:sz w:val="24"/>
          <w:highlight w:val="none"/>
        </w:rPr>
      </w:pPr>
      <w:r>
        <w:rPr>
          <w:rFonts w:hint="eastAsia" w:ascii="宋体" w:hAnsi="宋体" w:cs="宋体"/>
          <w:color w:val="auto"/>
          <w:sz w:val="24"/>
          <w:highlight w:val="none"/>
        </w:rPr>
        <w:t>（1）开标一览表（报价表）………………………………………………………（页码）</w:t>
      </w:r>
    </w:p>
    <w:p w14:paraId="39DFBA5F">
      <w:pPr>
        <w:shd w:val="clear"/>
        <w:snapToGrid w:val="0"/>
        <w:spacing w:line="360" w:lineRule="auto"/>
        <w:rPr>
          <w:rFonts w:ascii="宋体" w:hAnsi="宋体" w:cs="宋体"/>
          <w:b/>
          <w:color w:val="auto"/>
          <w:kern w:val="0"/>
          <w:sz w:val="32"/>
          <w:szCs w:val="32"/>
          <w:highlight w:val="none"/>
        </w:rPr>
      </w:pPr>
      <w:r>
        <w:rPr>
          <w:rFonts w:hint="eastAsia" w:ascii="宋体" w:hAnsi="宋体" w:cs="宋体"/>
          <w:color w:val="auto"/>
          <w:sz w:val="24"/>
          <w:highlight w:val="none"/>
        </w:rPr>
        <w:t>（2）中小企业声明函………………………………………………………………（页码）</w:t>
      </w:r>
      <w:r>
        <w:rPr>
          <w:rFonts w:cs="Calibri"/>
          <w:color w:val="auto"/>
          <w:sz w:val="24"/>
          <w:highlight w:val="none"/>
        </w:rPr>
        <w:t>（3）交纳采购代理服务费承诺书</w:t>
      </w:r>
      <w:r>
        <w:rPr>
          <w:rFonts w:hint="eastAsia" w:ascii="宋体" w:hAnsi="宋体" w:cs="宋体"/>
          <w:color w:val="auto"/>
          <w:sz w:val="24"/>
          <w:highlight w:val="none"/>
        </w:rPr>
        <w:t>…………………………………………………</w:t>
      </w:r>
      <w:r>
        <w:rPr>
          <w:rFonts w:cs="Calibri"/>
          <w:color w:val="auto"/>
          <w:sz w:val="24"/>
          <w:highlight w:val="none"/>
        </w:rPr>
        <w:t>（页码）</w:t>
      </w:r>
    </w:p>
    <w:p w14:paraId="132578C4">
      <w:pPr>
        <w:shd w:val="clear"/>
        <w:snapToGrid w:val="0"/>
        <w:spacing w:line="360" w:lineRule="auto"/>
        <w:ind w:right="480"/>
        <w:jc w:val="center"/>
        <w:rPr>
          <w:rFonts w:ascii="宋体" w:hAnsi="宋体" w:cs="宋体"/>
          <w:b/>
          <w:color w:val="auto"/>
          <w:kern w:val="0"/>
          <w:sz w:val="32"/>
          <w:szCs w:val="32"/>
          <w:highlight w:val="none"/>
        </w:rPr>
      </w:pPr>
    </w:p>
    <w:p w14:paraId="1D3AFFE6">
      <w:pPr>
        <w:shd w:val="clear"/>
        <w:snapToGrid w:val="0"/>
        <w:spacing w:line="360" w:lineRule="auto"/>
        <w:ind w:right="480"/>
        <w:jc w:val="center"/>
        <w:rPr>
          <w:rFonts w:ascii="宋体" w:hAnsi="宋体" w:cs="宋体"/>
          <w:b/>
          <w:color w:val="auto"/>
          <w:kern w:val="0"/>
          <w:sz w:val="32"/>
          <w:szCs w:val="32"/>
          <w:highlight w:val="none"/>
        </w:rPr>
      </w:pPr>
    </w:p>
    <w:p w14:paraId="41765516">
      <w:pPr>
        <w:shd w:val="clear"/>
        <w:snapToGrid w:val="0"/>
        <w:spacing w:line="360" w:lineRule="auto"/>
        <w:ind w:right="480"/>
        <w:jc w:val="center"/>
        <w:rPr>
          <w:rFonts w:ascii="宋体" w:hAnsi="宋体" w:cs="宋体"/>
          <w:b/>
          <w:color w:val="auto"/>
          <w:kern w:val="0"/>
          <w:sz w:val="32"/>
          <w:szCs w:val="32"/>
          <w:highlight w:val="none"/>
        </w:rPr>
      </w:pPr>
    </w:p>
    <w:p w14:paraId="3705C714">
      <w:pPr>
        <w:shd w:val="clear"/>
        <w:snapToGrid w:val="0"/>
        <w:spacing w:line="360" w:lineRule="auto"/>
        <w:ind w:right="480"/>
        <w:jc w:val="center"/>
        <w:rPr>
          <w:rFonts w:ascii="宋体" w:hAnsi="宋体" w:cs="宋体"/>
          <w:b/>
          <w:color w:val="auto"/>
          <w:kern w:val="0"/>
          <w:sz w:val="32"/>
          <w:szCs w:val="32"/>
          <w:highlight w:val="none"/>
        </w:rPr>
      </w:pPr>
    </w:p>
    <w:p w14:paraId="022BA0C2">
      <w:pPr>
        <w:shd w:val="clear"/>
        <w:snapToGrid w:val="0"/>
        <w:spacing w:line="360" w:lineRule="auto"/>
        <w:ind w:right="480"/>
        <w:jc w:val="center"/>
        <w:rPr>
          <w:rFonts w:ascii="宋体" w:hAnsi="宋体" w:cs="宋体"/>
          <w:b/>
          <w:color w:val="auto"/>
          <w:kern w:val="0"/>
          <w:sz w:val="32"/>
          <w:szCs w:val="32"/>
          <w:highlight w:val="none"/>
        </w:rPr>
      </w:pPr>
    </w:p>
    <w:p w14:paraId="435C7F0D">
      <w:pPr>
        <w:shd w:val="clear"/>
        <w:snapToGrid w:val="0"/>
        <w:spacing w:line="360" w:lineRule="auto"/>
        <w:ind w:right="480"/>
        <w:jc w:val="center"/>
        <w:rPr>
          <w:rFonts w:ascii="宋体" w:hAnsi="宋体" w:cs="宋体"/>
          <w:b/>
          <w:color w:val="auto"/>
          <w:kern w:val="0"/>
          <w:sz w:val="32"/>
          <w:szCs w:val="32"/>
          <w:highlight w:val="none"/>
        </w:rPr>
      </w:pPr>
    </w:p>
    <w:p w14:paraId="4E64A4D7">
      <w:pPr>
        <w:shd w:val="clear"/>
        <w:snapToGrid w:val="0"/>
        <w:spacing w:line="360" w:lineRule="auto"/>
        <w:ind w:right="480"/>
        <w:jc w:val="center"/>
        <w:rPr>
          <w:rFonts w:ascii="宋体" w:hAnsi="宋体" w:cs="宋体"/>
          <w:b/>
          <w:color w:val="auto"/>
          <w:kern w:val="0"/>
          <w:sz w:val="32"/>
          <w:szCs w:val="32"/>
          <w:highlight w:val="none"/>
        </w:rPr>
      </w:pPr>
    </w:p>
    <w:p w14:paraId="5F2C9C3D">
      <w:pPr>
        <w:shd w:val="clear"/>
        <w:snapToGrid w:val="0"/>
        <w:spacing w:line="360" w:lineRule="auto"/>
        <w:ind w:right="480"/>
        <w:jc w:val="center"/>
        <w:rPr>
          <w:rFonts w:ascii="宋体" w:hAnsi="宋体" w:cs="宋体"/>
          <w:b/>
          <w:color w:val="auto"/>
          <w:kern w:val="0"/>
          <w:sz w:val="32"/>
          <w:szCs w:val="32"/>
          <w:highlight w:val="none"/>
        </w:rPr>
      </w:pPr>
    </w:p>
    <w:p w14:paraId="63A330F0">
      <w:pPr>
        <w:shd w:val="clear"/>
        <w:snapToGrid w:val="0"/>
        <w:spacing w:line="360" w:lineRule="auto"/>
        <w:ind w:right="480"/>
        <w:jc w:val="center"/>
        <w:rPr>
          <w:rFonts w:ascii="宋体" w:hAnsi="宋体" w:cs="宋体"/>
          <w:b/>
          <w:color w:val="auto"/>
          <w:kern w:val="0"/>
          <w:sz w:val="32"/>
          <w:szCs w:val="32"/>
          <w:highlight w:val="none"/>
        </w:rPr>
      </w:pPr>
    </w:p>
    <w:p w14:paraId="1CFF691C">
      <w:pPr>
        <w:shd w:val="clear"/>
        <w:snapToGrid w:val="0"/>
        <w:spacing w:line="360" w:lineRule="auto"/>
        <w:ind w:right="480"/>
        <w:jc w:val="center"/>
        <w:rPr>
          <w:rFonts w:ascii="宋体" w:hAnsi="宋体" w:cs="宋体"/>
          <w:b/>
          <w:color w:val="auto"/>
          <w:kern w:val="0"/>
          <w:sz w:val="32"/>
          <w:szCs w:val="32"/>
          <w:highlight w:val="none"/>
        </w:rPr>
      </w:pPr>
    </w:p>
    <w:p w14:paraId="3A61CA6A">
      <w:pPr>
        <w:shd w:val="clear"/>
        <w:snapToGrid w:val="0"/>
        <w:spacing w:line="360" w:lineRule="auto"/>
        <w:ind w:right="480"/>
        <w:jc w:val="center"/>
        <w:rPr>
          <w:rFonts w:ascii="宋体" w:hAnsi="宋体" w:cs="宋体"/>
          <w:b/>
          <w:color w:val="auto"/>
          <w:kern w:val="0"/>
          <w:sz w:val="32"/>
          <w:szCs w:val="32"/>
          <w:highlight w:val="none"/>
        </w:rPr>
      </w:pPr>
    </w:p>
    <w:p w14:paraId="120295EA">
      <w:pPr>
        <w:shd w:val="clear"/>
        <w:snapToGrid w:val="0"/>
        <w:spacing w:line="360" w:lineRule="auto"/>
        <w:ind w:right="480"/>
        <w:jc w:val="center"/>
        <w:rPr>
          <w:rFonts w:ascii="宋体" w:hAnsi="宋体" w:cs="宋体"/>
          <w:b/>
          <w:color w:val="auto"/>
          <w:kern w:val="0"/>
          <w:sz w:val="32"/>
          <w:szCs w:val="32"/>
          <w:highlight w:val="none"/>
        </w:rPr>
      </w:pPr>
    </w:p>
    <w:p w14:paraId="4EE7CA1D">
      <w:pPr>
        <w:shd w:val="clear"/>
        <w:snapToGrid w:val="0"/>
        <w:spacing w:line="360" w:lineRule="auto"/>
        <w:ind w:right="480"/>
        <w:jc w:val="center"/>
        <w:rPr>
          <w:rFonts w:ascii="宋体" w:hAnsi="宋体" w:cs="宋体"/>
          <w:b/>
          <w:color w:val="auto"/>
          <w:kern w:val="0"/>
          <w:sz w:val="32"/>
          <w:szCs w:val="32"/>
          <w:highlight w:val="none"/>
        </w:rPr>
      </w:pPr>
    </w:p>
    <w:p w14:paraId="7E5A3B16">
      <w:pPr>
        <w:shd w:val="clear"/>
        <w:snapToGrid w:val="0"/>
        <w:spacing w:line="360" w:lineRule="auto"/>
        <w:ind w:right="480"/>
        <w:jc w:val="center"/>
        <w:rPr>
          <w:rFonts w:ascii="宋体" w:hAnsi="宋体" w:cs="宋体"/>
          <w:b/>
          <w:color w:val="auto"/>
          <w:kern w:val="0"/>
          <w:sz w:val="32"/>
          <w:szCs w:val="32"/>
          <w:highlight w:val="none"/>
        </w:rPr>
      </w:pPr>
    </w:p>
    <w:p w14:paraId="78927F22">
      <w:pPr>
        <w:pStyle w:val="692"/>
        <w:keepNext w:val="0"/>
        <w:pageBreakBefore w:val="0"/>
        <w:shd w:val="clear"/>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6E6B7FF7">
      <w:pPr>
        <w:pStyle w:val="692"/>
        <w:keepNext w:val="0"/>
        <w:pageBreakBefore w:val="0"/>
        <w:shd w:val="clear"/>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0391A734">
      <w:pPr>
        <w:shd w:val="clea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杭州大运河数智未来城管理委员会</w:t>
      </w:r>
      <w:r>
        <w:rPr>
          <w:rFonts w:hint="eastAsia" w:ascii="宋体" w:hAnsi="宋体" w:cs="宋体"/>
          <w:color w:val="auto"/>
          <w:sz w:val="24"/>
          <w:highlight w:val="none"/>
        </w:rPr>
        <w:t>、</w:t>
      </w:r>
      <w:r>
        <w:rPr>
          <w:rFonts w:hint="eastAsia" w:ascii="宋体" w:hAnsi="宋体" w:cs="宋体"/>
          <w:color w:val="auto"/>
          <w:sz w:val="24"/>
          <w:highlight w:val="none"/>
          <w:lang w:eastAsia="zh-CN"/>
        </w:rPr>
        <w:t>华诚工程咨询集团有限公司</w:t>
      </w:r>
      <w:r>
        <w:rPr>
          <w:rFonts w:hint="eastAsia" w:ascii="宋体" w:hAnsi="宋体" w:cs="宋体"/>
          <w:color w:val="auto"/>
          <w:kern w:val="0"/>
          <w:sz w:val="24"/>
          <w:highlight w:val="none"/>
          <w:lang w:val="zh-CN"/>
        </w:rPr>
        <w:t>：</w:t>
      </w:r>
    </w:p>
    <w:p w14:paraId="68D194FB">
      <w:pPr>
        <w:shd w:val="clea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lang w:eastAsia="zh-CN"/>
        </w:rPr>
        <w:t>2024年大运河数智未来城高新云梯暖企通平台建设项目</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lang w:eastAsia="zh-CN"/>
        </w:rPr>
        <w:t>HCZB-2024070203009</w:t>
      </w:r>
      <w:r>
        <w:rPr>
          <w:rFonts w:hint="eastAsia" w:ascii="宋体" w:hAnsi="宋体" w:cs="宋体"/>
          <w:color w:val="auto"/>
          <w:sz w:val="24"/>
          <w:highlight w:val="none"/>
        </w:rPr>
        <w:t>】的实施</w:t>
      </w:r>
      <w:r>
        <w:rPr>
          <w:rFonts w:hint="eastAsia" w:ascii="宋体" w:hAnsi="宋体" w:cs="宋体"/>
          <w:color w:val="auto"/>
          <w:kern w:val="0"/>
          <w:sz w:val="24"/>
          <w:highlight w:val="none"/>
          <w:lang w:val="zh-CN"/>
        </w:rPr>
        <w:t>。</w:t>
      </w:r>
    </w:p>
    <w:p w14:paraId="6E01C9A2">
      <w:pPr>
        <w:shd w:val="clea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4"/>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5E4D0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2FA2123A">
            <w:pPr>
              <w:shd w:val="clea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992" w:type="dxa"/>
            <w:vAlign w:val="center"/>
          </w:tcPr>
          <w:p w14:paraId="3338AAB6">
            <w:pPr>
              <w:shd w:val="clea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2268" w:type="dxa"/>
          </w:tcPr>
          <w:p w14:paraId="2BA3E39D">
            <w:pPr>
              <w:shd w:val="clear"/>
              <w:spacing w:line="360" w:lineRule="auto"/>
              <w:jc w:val="center"/>
              <w:rPr>
                <w:rFonts w:ascii="宋体" w:hAnsi="宋体" w:cs="宋体"/>
                <w:b/>
                <w:color w:val="auto"/>
                <w:sz w:val="24"/>
                <w:highlight w:val="none"/>
              </w:rPr>
            </w:pPr>
          </w:p>
          <w:p w14:paraId="52924AAA">
            <w:pPr>
              <w:shd w:val="clea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服务范围</w:t>
            </w:r>
          </w:p>
        </w:tc>
        <w:tc>
          <w:tcPr>
            <w:tcW w:w="2410" w:type="dxa"/>
            <w:vAlign w:val="center"/>
          </w:tcPr>
          <w:p w14:paraId="18AEE3D9">
            <w:pPr>
              <w:shd w:val="clea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服务要求</w:t>
            </w:r>
          </w:p>
        </w:tc>
        <w:tc>
          <w:tcPr>
            <w:tcW w:w="2268" w:type="dxa"/>
            <w:vAlign w:val="center"/>
          </w:tcPr>
          <w:p w14:paraId="49E77CBB">
            <w:pPr>
              <w:shd w:val="clea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2126" w:type="dxa"/>
            <w:vAlign w:val="center"/>
          </w:tcPr>
          <w:p w14:paraId="016CFD4E">
            <w:pPr>
              <w:shd w:val="clea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服务标准</w:t>
            </w:r>
          </w:p>
        </w:tc>
        <w:tc>
          <w:tcPr>
            <w:tcW w:w="2127" w:type="dxa"/>
          </w:tcPr>
          <w:p w14:paraId="6C6A849A">
            <w:pPr>
              <w:shd w:val="clear"/>
              <w:spacing w:line="360" w:lineRule="auto"/>
              <w:jc w:val="center"/>
              <w:rPr>
                <w:rFonts w:ascii="宋体" w:hAnsi="宋体" w:cs="宋体"/>
                <w:b/>
                <w:color w:val="auto"/>
                <w:sz w:val="24"/>
                <w:highlight w:val="none"/>
              </w:rPr>
            </w:pPr>
          </w:p>
          <w:p w14:paraId="55C4A920">
            <w:pPr>
              <w:shd w:val="clea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服务人数</w:t>
            </w:r>
          </w:p>
        </w:tc>
        <w:tc>
          <w:tcPr>
            <w:tcW w:w="2126" w:type="dxa"/>
            <w:vAlign w:val="center"/>
          </w:tcPr>
          <w:p w14:paraId="48908C38">
            <w:pPr>
              <w:shd w:val="clear"/>
              <w:spacing w:line="360" w:lineRule="auto"/>
              <w:jc w:val="center"/>
              <w:rPr>
                <w:rFonts w:ascii="宋体" w:hAnsi="宋体" w:cs="宋体"/>
                <w:b/>
                <w:color w:val="auto"/>
                <w:sz w:val="24"/>
                <w:highlight w:val="none"/>
              </w:rPr>
            </w:pPr>
          </w:p>
          <w:p w14:paraId="3EE3F621">
            <w:pPr>
              <w:shd w:val="clea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4462875B">
            <w:pPr>
              <w:shd w:val="clear"/>
              <w:spacing w:line="360" w:lineRule="auto"/>
              <w:jc w:val="center"/>
              <w:rPr>
                <w:rFonts w:ascii="宋体" w:hAnsi="宋体" w:cs="宋体"/>
                <w:b/>
                <w:color w:val="auto"/>
                <w:sz w:val="24"/>
                <w:highlight w:val="none"/>
              </w:rPr>
            </w:pPr>
          </w:p>
        </w:tc>
      </w:tr>
      <w:tr w14:paraId="4B46D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617D188D">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992" w:type="dxa"/>
            <w:vAlign w:val="center"/>
          </w:tcPr>
          <w:p w14:paraId="49A16C33">
            <w:pPr>
              <w:shd w:val="clea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2268" w:type="dxa"/>
            <w:vAlign w:val="center"/>
          </w:tcPr>
          <w:p w14:paraId="0466B003">
            <w:pPr>
              <w:shd w:val="clear"/>
              <w:snapToGrid w:val="0"/>
              <w:spacing w:line="360" w:lineRule="auto"/>
              <w:jc w:val="center"/>
              <w:rPr>
                <w:rFonts w:ascii="宋体" w:hAnsi="宋体" w:cs="宋体"/>
                <w:color w:val="auto"/>
                <w:sz w:val="24"/>
                <w:highlight w:val="none"/>
              </w:rPr>
            </w:pPr>
          </w:p>
        </w:tc>
        <w:tc>
          <w:tcPr>
            <w:tcW w:w="2410" w:type="dxa"/>
            <w:vAlign w:val="center"/>
          </w:tcPr>
          <w:p w14:paraId="461F4AE0">
            <w:pPr>
              <w:shd w:val="clear"/>
              <w:snapToGrid w:val="0"/>
              <w:spacing w:line="360" w:lineRule="auto"/>
              <w:jc w:val="center"/>
              <w:rPr>
                <w:rFonts w:ascii="宋体" w:hAnsi="宋体" w:cs="宋体"/>
                <w:color w:val="auto"/>
                <w:sz w:val="24"/>
                <w:highlight w:val="none"/>
              </w:rPr>
            </w:pPr>
          </w:p>
        </w:tc>
        <w:tc>
          <w:tcPr>
            <w:tcW w:w="2268" w:type="dxa"/>
            <w:vAlign w:val="center"/>
          </w:tcPr>
          <w:p w14:paraId="40348F04">
            <w:pPr>
              <w:shd w:val="clear"/>
              <w:snapToGrid w:val="0"/>
              <w:spacing w:line="360" w:lineRule="auto"/>
              <w:jc w:val="center"/>
              <w:rPr>
                <w:rFonts w:ascii="宋体" w:hAnsi="宋体" w:cs="宋体"/>
                <w:color w:val="auto"/>
                <w:sz w:val="24"/>
                <w:highlight w:val="none"/>
              </w:rPr>
            </w:pPr>
          </w:p>
        </w:tc>
        <w:tc>
          <w:tcPr>
            <w:tcW w:w="2126" w:type="dxa"/>
            <w:vAlign w:val="center"/>
          </w:tcPr>
          <w:p w14:paraId="0A4A6175">
            <w:pPr>
              <w:shd w:val="clear"/>
              <w:spacing w:line="360" w:lineRule="auto"/>
              <w:jc w:val="center"/>
              <w:rPr>
                <w:rFonts w:ascii="宋体" w:hAnsi="宋体" w:cs="宋体"/>
                <w:color w:val="auto"/>
                <w:sz w:val="24"/>
                <w:highlight w:val="none"/>
              </w:rPr>
            </w:pPr>
          </w:p>
        </w:tc>
        <w:tc>
          <w:tcPr>
            <w:tcW w:w="2127" w:type="dxa"/>
          </w:tcPr>
          <w:p w14:paraId="2FDF1E02">
            <w:pPr>
              <w:shd w:val="clear"/>
              <w:spacing w:line="360" w:lineRule="auto"/>
              <w:jc w:val="center"/>
              <w:rPr>
                <w:rFonts w:ascii="宋体" w:hAnsi="宋体" w:cs="宋体"/>
                <w:color w:val="auto"/>
                <w:sz w:val="24"/>
                <w:highlight w:val="none"/>
              </w:rPr>
            </w:pPr>
          </w:p>
        </w:tc>
        <w:tc>
          <w:tcPr>
            <w:tcW w:w="2126" w:type="dxa"/>
            <w:vAlign w:val="center"/>
          </w:tcPr>
          <w:p w14:paraId="3657A00C">
            <w:pPr>
              <w:shd w:val="clear"/>
              <w:spacing w:line="360" w:lineRule="auto"/>
              <w:jc w:val="center"/>
              <w:rPr>
                <w:rFonts w:ascii="宋体" w:hAnsi="宋体" w:cs="宋体"/>
                <w:color w:val="auto"/>
                <w:sz w:val="24"/>
                <w:highlight w:val="none"/>
              </w:rPr>
            </w:pPr>
          </w:p>
        </w:tc>
      </w:tr>
      <w:tr w14:paraId="20D4D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17843EED">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992" w:type="dxa"/>
            <w:vAlign w:val="center"/>
          </w:tcPr>
          <w:p w14:paraId="457F3BC7">
            <w:pPr>
              <w:shd w:val="clea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2268" w:type="dxa"/>
            <w:vAlign w:val="center"/>
          </w:tcPr>
          <w:p w14:paraId="4CD0DBB7">
            <w:pPr>
              <w:shd w:val="clear"/>
              <w:snapToGrid w:val="0"/>
              <w:spacing w:line="360" w:lineRule="auto"/>
              <w:jc w:val="center"/>
              <w:rPr>
                <w:rFonts w:ascii="宋体" w:hAnsi="宋体" w:cs="宋体"/>
                <w:color w:val="auto"/>
                <w:sz w:val="24"/>
                <w:highlight w:val="none"/>
              </w:rPr>
            </w:pPr>
          </w:p>
        </w:tc>
        <w:tc>
          <w:tcPr>
            <w:tcW w:w="2410" w:type="dxa"/>
            <w:vAlign w:val="center"/>
          </w:tcPr>
          <w:p w14:paraId="30DB21AE">
            <w:pPr>
              <w:shd w:val="clear"/>
              <w:snapToGrid w:val="0"/>
              <w:spacing w:line="360" w:lineRule="auto"/>
              <w:jc w:val="center"/>
              <w:rPr>
                <w:rFonts w:ascii="宋体" w:hAnsi="宋体" w:cs="宋体"/>
                <w:color w:val="auto"/>
                <w:sz w:val="24"/>
                <w:highlight w:val="none"/>
              </w:rPr>
            </w:pPr>
          </w:p>
        </w:tc>
        <w:tc>
          <w:tcPr>
            <w:tcW w:w="2268" w:type="dxa"/>
            <w:vAlign w:val="center"/>
          </w:tcPr>
          <w:p w14:paraId="70DB9E3B">
            <w:pPr>
              <w:shd w:val="clear"/>
              <w:snapToGrid w:val="0"/>
              <w:spacing w:line="360" w:lineRule="auto"/>
              <w:jc w:val="center"/>
              <w:rPr>
                <w:rFonts w:ascii="宋体" w:hAnsi="宋体" w:cs="宋体"/>
                <w:color w:val="auto"/>
                <w:sz w:val="24"/>
                <w:highlight w:val="none"/>
              </w:rPr>
            </w:pPr>
          </w:p>
        </w:tc>
        <w:tc>
          <w:tcPr>
            <w:tcW w:w="2126" w:type="dxa"/>
            <w:vAlign w:val="center"/>
          </w:tcPr>
          <w:p w14:paraId="5F1C8B41">
            <w:pPr>
              <w:shd w:val="clear"/>
              <w:spacing w:line="360" w:lineRule="auto"/>
              <w:jc w:val="center"/>
              <w:rPr>
                <w:rFonts w:ascii="宋体" w:hAnsi="宋体" w:cs="宋体"/>
                <w:color w:val="auto"/>
                <w:sz w:val="24"/>
                <w:highlight w:val="none"/>
              </w:rPr>
            </w:pPr>
          </w:p>
        </w:tc>
        <w:tc>
          <w:tcPr>
            <w:tcW w:w="2127" w:type="dxa"/>
          </w:tcPr>
          <w:p w14:paraId="771A5DCE">
            <w:pPr>
              <w:shd w:val="clear"/>
              <w:spacing w:line="360" w:lineRule="auto"/>
              <w:jc w:val="center"/>
              <w:rPr>
                <w:rFonts w:ascii="宋体" w:hAnsi="宋体" w:cs="宋体"/>
                <w:color w:val="auto"/>
                <w:sz w:val="24"/>
                <w:highlight w:val="none"/>
              </w:rPr>
            </w:pPr>
          </w:p>
        </w:tc>
        <w:tc>
          <w:tcPr>
            <w:tcW w:w="2126" w:type="dxa"/>
            <w:vAlign w:val="center"/>
          </w:tcPr>
          <w:p w14:paraId="1D7E1786">
            <w:pPr>
              <w:shd w:val="clear"/>
              <w:spacing w:line="360" w:lineRule="auto"/>
              <w:jc w:val="center"/>
              <w:rPr>
                <w:rFonts w:ascii="宋体" w:hAnsi="宋体" w:cs="宋体"/>
                <w:color w:val="auto"/>
                <w:sz w:val="24"/>
                <w:highlight w:val="none"/>
              </w:rPr>
            </w:pPr>
          </w:p>
        </w:tc>
      </w:tr>
      <w:tr w14:paraId="7EB94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71F3F881">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992" w:type="dxa"/>
            <w:vAlign w:val="center"/>
          </w:tcPr>
          <w:p w14:paraId="1B2B1CB9">
            <w:pPr>
              <w:shd w:val="clear"/>
              <w:snapToGrid w:val="0"/>
              <w:spacing w:line="360" w:lineRule="auto"/>
              <w:jc w:val="center"/>
              <w:rPr>
                <w:rFonts w:ascii="宋体" w:hAnsi="宋体" w:cs="宋体"/>
                <w:color w:val="auto"/>
                <w:sz w:val="24"/>
                <w:highlight w:val="none"/>
              </w:rPr>
            </w:pPr>
          </w:p>
        </w:tc>
        <w:tc>
          <w:tcPr>
            <w:tcW w:w="2268" w:type="dxa"/>
            <w:vAlign w:val="center"/>
          </w:tcPr>
          <w:p w14:paraId="22522AE0">
            <w:pPr>
              <w:shd w:val="clear"/>
              <w:snapToGrid w:val="0"/>
              <w:spacing w:line="360" w:lineRule="auto"/>
              <w:jc w:val="center"/>
              <w:rPr>
                <w:rFonts w:ascii="宋体" w:hAnsi="宋体" w:cs="宋体"/>
                <w:color w:val="auto"/>
                <w:sz w:val="24"/>
                <w:highlight w:val="none"/>
              </w:rPr>
            </w:pPr>
          </w:p>
        </w:tc>
        <w:tc>
          <w:tcPr>
            <w:tcW w:w="2410" w:type="dxa"/>
            <w:vAlign w:val="center"/>
          </w:tcPr>
          <w:p w14:paraId="4E316208">
            <w:pPr>
              <w:shd w:val="clear"/>
              <w:snapToGrid w:val="0"/>
              <w:spacing w:line="360" w:lineRule="auto"/>
              <w:jc w:val="center"/>
              <w:rPr>
                <w:rFonts w:ascii="宋体" w:hAnsi="宋体" w:cs="宋体"/>
                <w:color w:val="auto"/>
                <w:sz w:val="24"/>
                <w:highlight w:val="none"/>
              </w:rPr>
            </w:pPr>
          </w:p>
        </w:tc>
        <w:tc>
          <w:tcPr>
            <w:tcW w:w="2268" w:type="dxa"/>
            <w:vAlign w:val="center"/>
          </w:tcPr>
          <w:p w14:paraId="0BB94075">
            <w:pPr>
              <w:shd w:val="clear"/>
              <w:snapToGrid w:val="0"/>
              <w:spacing w:line="360" w:lineRule="auto"/>
              <w:jc w:val="center"/>
              <w:rPr>
                <w:rFonts w:ascii="宋体" w:hAnsi="宋体" w:cs="宋体"/>
                <w:color w:val="auto"/>
                <w:sz w:val="24"/>
                <w:highlight w:val="none"/>
              </w:rPr>
            </w:pPr>
          </w:p>
        </w:tc>
        <w:tc>
          <w:tcPr>
            <w:tcW w:w="2126" w:type="dxa"/>
            <w:vAlign w:val="center"/>
          </w:tcPr>
          <w:p w14:paraId="5E985388">
            <w:pPr>
              <w:shd w:val="clear"/>
              <w:spacing w:line="360" w:lineRule="auto"/>
              <w:jc w:val="center"/>
              <w:rPr>
                <w:rFonts w:ascii="宋体" w:hAnsi="宋体" w:cs="宋体"/>
                <w:color w:val="auto"/>
                <w:sz w:val="24"/>
                <w:highlight w:val="none"/>
              </w:rPr>
            </w:pPr>
          </w:p>
        </w:tc>
        <w:tc>
          <w:tcPr>
            <w:tcW w:w="2127" w:type="dxa"/>
          </w:tcPr>
          <w:p w14:paraId="14602FFF">
            <w:pPr>
              <w:shd w:val="clear"/>
              <w:spacing w:line="360" w:lineRule="auto"/>
              <w:jc w:val="center"/>
              <w:rPr>
                <w:rFonts w:ascii="宋体" w:hAnsi="宋体" w:cs="宋体"/>
                <w:color w:val="auto"/>
                <w:sz w:val="24"/>
                <w:highlight w:val="none"/>
              </w:rPr>
            </w:pPr>
          </w:p>
        </w:tc>
        <w:tc>
          <w:tcPr>
            <w:tcW w:w="2126" w:type="dxa"/>
            <w:vAlign w:val="center"/>
          </w:tcPr>
          <w:p w14:paraId="14A8E56A">
            <w:pPr>
              <w:shd w:val="clear"/>
              <w:spacing w:line="360" w:lineRule="auto"/>
              <w:jc w:val="center"/>
              <w:rPr>
                <w:rFonts w:ascii="宋体" w:hAnsi="宋体" w:cs="宋体"/>
                <w:color w:val="auto"/>
                <w:sz w:val="24"/>
                <w:highlight w:val="none"/>
              </w:rPr>
            </w:pPr>
          </w:p>
        </w:tc>
      </w:tr>
      <w:tr w14:paraId="34677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511737CF">
            <w:pPr>
              <w:shd w:val="clear"/>
              <w:spacing w:line="360" w:lineRule="auto"/>
              <w:jc w:val="center"/>
              <w:rPr>
                <w:rFonts w:ascii="宋体" w:hAnsi="宋体" w:cs="宋体"/>
                <w:color w:val="auto"/>
                <w:sz w:val="24"/>
                <w:highlight w:val="none"/>
              </w:rPr>
            </w:pPr>
          </w:p>
        </w:tc>
        <w:tc>
          <w:tcPr>
            <w:tcW w:w="992" w:type="dxa"/>
            <w:vAlign w:val="center"/>
          </w:tcPr>
          <w:p w14:paraId="1FFD75D8">
            <w:pPr>
              <w:shd w:val="clear"/>
              <w:snapToGrid w:val="0"/>
              <w:spacing w:line="360" w:lineRule="auto"/>
              <w:jc w:val="center"/>
              <w:rPr>
                <w:rFonts w:ascii="宋体" w:hAnsi="宋体" w:cs="宋体"/>
                <w:color w:val="auto"/>
                <w:sz w:val="24"/>
                <w:highlight w:val="none"/>
              </w:rPr>
            </w:pPr>
          </w:p>
        </w:tc>
        <w:tc>
          <w:tcPr>
            <w:tcW w:w="2268" w:type="dxa"/>
            <w:vAlign w:val="center"/>
          </w:tcPr>
          <w:p w14:paraId="79AEAA08">
            <w:pPr>
              <w:shd w:val="clear"/>
              <w:snapToGrid w:val="0"/>
              <w:spacing w:line="360" w:lineRule="auto"/>
              <w:jc w:val="center"/>
              <w:rPr>
                <w:rFonts w:ascii="宋体" w:hAnsi="宋体" w:cs="宋体"/>
                <w:color w:val="auto"/>
                <w:sz w:val="24"/>
                <w:highlight w:val="none"/>
              </w:rPr>
            </w:pPr>
          </w:p>
        </w:tc>
        <w:tc>
          <w:tcPr>
            <w:tcW w:w="2410" w:type="dxa"/>
            <w:vAlign w:val="center"/>
          </w:tcPr>
          <w:p w14:paraId="2F3D52A5">
            <w:pPr>
              <w:shd w:val="clear"/>
              <w:snapToGrid w:val="0"/>
              <w:spacing w:line="360" w:lineRule="auto"/>
              <w:jc w:val="center"/>
              <w:rPr>
                <w:rFonts w:ascii="宋体" w:hAnsi="宋体" w:cs="宋体"/>
                <w:color w:val="auto"/>
                <w:sz w:val="24"/>
                <w:highlight w:val="none"/>
              </w:rPr>
            </w:pPr>
          </w:p>
        </w:tc>
        <w:tc>
          <w:tcPr>
            <w:tcW w:w="2268" w:type="dxa"/>
            <w:vAlign w:val="center"/>
          </w:tcPr>
          <w:p w14:paraId="137ADB1A">
            <w:pPr>
              <w:shd w:val="clear"/>
              <w:snapToGrid w:val="0"/>
              <w:spacing w:line="360" w:lineRule="auto"/>
              <w:jc w:val="center"/>
              <w:rPr>
                <w:rFonts w:ascii="宋体" w:hAnsi="宋体" w:cs="宋体"/>
                <w:color w:val="auto"/>
                <w:sz w:val="24"/>
                <w:highlight w:val="none"/>
              </w:rPr>
            </w:pPr>
          </w:p>
        </w:tc>
        <w:tc>
          <w:tcPr>
            <w:tcW w:w="2126" w:type="dxa"/>
            <w:vAlign w:val="center"/>
          </w:tcPr>
          <w:p w14:paraId="2B59D57F">
            <w:pPr>
              <w:shd w:val="clear"/>
              <w:spacing w:line="360" w:lineRule="auto"/>
              <w:jc w:val="center"/>
              <w:rPr>
                <w:rFonts w:ascii="宋体" w:hAnsi="宋体" w:cs="宋体"/>
                <w:color w:val="auto"/>
                <w:sz w:val="24"/>
                <w:highlight w:val="none"/>
              </w:rPr>
            </w:pPr>
          </w:p>
        </w:tc>
        <w:tc>
          <w:tcPr>
            <w:tcW w:w="2127" w:type="dxa"/>
          </w:tcPr>
          <w:p w14:paraId="041041CD">
            <w:pPr>
              <w:shd w:val="clear"/>
              <w:spacing w:line="360" w:lineRule="auto"/>
              <w:jc w:val="center"/>
              <w:rPr>
                <w:rFonts w:ascii="宋体" w:hAnsi="宋体" w:cs="宋体"/>
                <w:color w:val="auto"/>
                <w:sz w:val="24"/>
                <w:highlight w:val="none"/>
              </w:rPr>
            </w:pPr>
          </w:p>
        </w:tc>
        <w:tc>
          <w:tcPr>
            <w:tcW w:w="2126" w:type="dxa"/>
            <w:vAlign w:val="center"/>
          </w:tcPr>
          <w:p w14:paraId="64F21836">
            <w:pPr>
              <w:shd w:val="clear"/>
              <w:spacing w:line="360" w:lineRule="auto"/>
              <w:jc w:val="center"/>
              <w:rPr>
                <w:rFonts w:ascii="宋体" w:hAnsi="宋体" w:cs="宋体"/>
                <w:color w:val="auto"/>
                <w:sz w:val="24"/>
                <w:highlight w:val="none"/>
              </w:rPr>
            </w:pPr>
          </w:p>
        </w:tc>
      </w:tr>
      <w:tr w14:paraId="030F9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6F6445F5">
            <w:pPr>
              <w:shd w:val="clear"/>
              <w:spacing w:line="360" w:lineRule="auto"/>
              <w:jc w:val="center"/>
              <w:rPr>
                <w:rFonts w:ascii="宋体" w:hAnsi="宋体" w:cs="宋体"/>
                <w:color w:val="auto"/>
                <w:sz w:val="24"/>
                <w:highlight w:val="none"/>
              </w:rPr>
            </w:pPr>
          </w:p>
        </w:tc>
        <w:tc>
          <w:tcPr>
            <w:tcW w:w="992" w:type="dxa"/>
            <w:vAlign w:val="center"/>
          </w:tcPr>
          <w:p w14:paraId="3E4DBB7D">
            <w:pPr>
              <w:shd w:val="clear"/>
              <w:snapToGrid w:val="0"/>
              <w:spacing w:line="360" w:lineRule="auto"/>
              <w:jc w:val="center"/>
              <w:rPr>
                <w:rFonts w:ascii="宋体" w:hAnsi="宋体" w:cs="宋体"/>
                <w:color w:val="auto"/>
                <w:sz w:val="24"/>
                <w:highlight w:val="none"/>
              </w:rPr>
            </w:pPr>
          </w:p>
        </w:tc>
        <w:tc>
          <w:tcPr>
            <w:tcW w:w="2268" w:type="dxa"/>
            <w:vAlign w:val="center"/>
          </w:tcPr>
          <w:p w14:paraId="6783981E">
            <w:pPr>
              <w:shd w:val="clear"/>
              <w:snapToGrid w:val="0"/>
              <w:spacing w:line="360" w:lineRule="auto"/>
              <w:jc w:val="center"/>
              <w:rPr>
                <w:rFonts w:ascii="宋体" w:hAnsi="宋体" w:cs="宋体"/>
                <w:color w:val="auto"/>
                <w:sz w:val="24"/>
                <w:highlight w:val="none"/>
              </w:rPr>
            </w:pPr>
          </w:p>
        </w:tc>
        <w:tc>
          <w:tcPr>
            <w:tcW w:w="2410" w:type="dxa"/>
            <w:vAlign w:val="center"/>
          </w:tcPr>
          <w:p w14:paraId="59037C82">
            <w:pPr>
              <w:shd w:val="clear"/>
              <w:snapToGrid w:val="0"/>
              <w:spacing w:line="360" w:lineRule="auto"/>
              <w:jc w:val="center"/>
              <w:rPr>
                <w:rFonts w:ascii="宋体" w:hAnsi="宋体" w:cs="宋体"/>
                <w:color w:val="auto"/>
                <w:sz w:val="24"/>
                <w:highlight w:val="none"/>
              </w:rPr>
            </w:pPr>
          </w:p>
        </w:tc>
        <w:tc>
          <w:tcPr>
            <w:tcW w:w="2268" w:type="dxa"/>
            <w:vAlign w:val="center"/>
          </w:tcPr>
          <w:p w14:paraId="3B5D2B21">
            <w:pPr>
              <w:shd w:val="clear"/>
              <w:snapToGrid w:val="0"/>
              <w:spacing w:line="360" w:lineRule="auto"/>
              <w:jc w:val="center"/>
              <w:rPr>
                <w:rFonts w:ascii="宋体" w:hAnsi="宋体" w:cs="宋体"/>
                <w:color w:val="auto"/>
                <w:sz w:val="24"/>
                <w:highlight w:val="none"/>
              </w:rPr>
            </w:pPr>
          </w:p>
        </w:tc>
        <w:tc>
          <w:tcPr>
            <w:tcW w:w="2126" w:type="dxa"/>
            <w:vAlign w:val="center"/>
          </w:tcPr>
          <w:p w14:paraId="4F894563">
            <w:pPr>
              <w:shd w:val="clear"/>
              <w:spacing w:line="360" w:lineRule="auto"/>
              <w:jc w:val="center"/>
              <w:rPr>
                <w:rFonts w:ascii="宋体" w:hAnsi="宋体" w:cs="宋体"/>
                <w:color w:val="auto"/>
                <w:sz w:val="24"/>
                <w:highlight w:val="none"/>
              </w:rPr>
            </w:pPr>
          </w:p>
        </w:tc>
        <w:tc>
          <w:tcPr>
            <w:tcW w:w="2127" w:type="dxa"/>
          </w:tcPr>
          <w:p w14:paraId="27A96B69">
            <w:pPr>
              <w:shd w:val="clear"/>
              <w:spacing w:line="360" w:lineRule="auto"/>
              <w:jc w:val="center"/>
              <w:rPr>
                <w:rFonts w:ascii="宋体" w:hAnsi="宋体" w:cs="宋体"/>
                <w:color w:val="auto"/>
                <w:sz w:val="24"/>
                <w:highlight w:val="none"/>
              </w:rPr>
            </w:pPr>
          </w:p>
        </w:tc>
        <w:tc>
          <w:tcPr>
            <w:tcW w:w="2126" w:type="dxa"/>
            <w:vAlign w:val="center"/>
          </w:tcPr>
          <w:p w14:paraId="1B48FC92">
            <w:pPr>
              <w:shd w:val="clear"/>
              <w:spacing w:line="360" w:lineRule="auto"/>
              <w:jc w:val="center"/>
              <w:rPr>
                <w:rFonts w:ascii="宋体" w:hAnsi="宋体" w:cs="宋体"/>
                <w:color w:val="auto"/>
                <w:sz w:val="24"/>
                <w:highlight w:val="none"/>
              </w:rPr>
            </w:pPr>
          </w:p>
        </w:tc>
      </w:tr>
      <w:tr w14:paraId="3BD77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30589360">
            <w:pPr>
              <w:shd w:val="clea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投标报价（小写）</w:t>
            </w:r>
          </w:p>
        </w:tc>
        <w:tc>
          <w:tcPr>
            <w:tcW w:w="8647" w:type="dxa"/>
            <w:gridSpan w:val="4"/>
          </w:tcPr>
          <w:p w14:paraId="6E08FFFD">
            <w:pPr>
              <w:shd w:val="clear"/>
              <w:spacing w:line="360" w:lineRule="auto"/>
              <w:jc w:val="center"/>
              <w:rPr>
                <w:rFonts w:ascii="宋体" w:hAnsi="宋体" w:cs="宋体"/>
                <w:color w:val="auto"/>
                <w:sz w:val="24"/>
                <w:highlight w:val="none"/>
              </w:rPr>
            </w:pPr>
          </w:p>
        </w:tc>
      </w:tr>
      <w:tr w14:paraId="7E819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3603A154">
            <w:pPr>
              <w:shd w:val="clea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投标报价（大写）</w:t>
            </w:r>
          </w:p>
        </w:tc>
        <w:tc>
          <w:tcPr>
            <w:tcW w:w="8647" w:type="dxa"/>
            <w:gridSpan w:val="4"/>
          </w:tcPr>
          <w:p w14:paraId="60F5F8C3">
            <w:pPr>
              <w:shd w:val="clear"/>
              <w:spacing w:line="360" w:lineRule="auto"/>
              <w:jc w:val="center"/>
              <w:rPr>
                <w:rFonts w:ascii="宋体" w:hAnsi="宋体" w:cs="宋体"/>
                <w:color w:val="auto"/>
                <w:sz w:val="24"/>
                <w:highlight w:val="none"/>
              </w:rPr>
            </w:pPr>
          </w:p>
        </w:tc>
      </w:tr>
    </w:tbl>
    <w:p w14:paraId="67F180B5">
      <w:pPr>
        <w:shd w:val="clea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480663F4">
      <w:pPr>
        <w:shd w:val="clea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color w:val="auto"/>
          <w:kern w:val="0"/>
          <w:sz w:val="24"/>
          <w:highlight w:val="none"/>
          <w:lang w:val="zh-CN"/>
        </w:rPr>
        <w:t>。</w:t>
      </w:r>
    </w:p>
    <w:p w14:paraId="1D56AA8F">
      <w:pPr>
        <w:shd w:val="clea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b/>
          <w:color w:val="auto"/>
          <w:kern w:val="0"/>
          <w:sz w:val="24"/>
          <w:highlight w:val="none"/>
          <w:lang w:val="zh-CN"/>
        </w:rPr>
        <w:t>采购人将以合同形式有偿取得货物或服务，不接受投标人给予的赠品、回扣或者与采购无关的其他商品、服务</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不得出现“0元”“免费赠送”等形式的无偿报价，</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66EA7D41">
      <w:pPr>
        <w:shd w:val="clea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3、特别提示：采购代理机构将对项目名称和项目编号，中标供应商名称、地址和中标金额，主要中标标的名称、服务范围、服务要求、服务时间、服务标准等予以公示。</w:t>
      </w:r>
    </w:p>
    <w:p w14:paraId="17DB2B4B">
      <w:pPr>
        <w:shd w:val="clear"/>
        <w:snapToGrid w:val="0"/>
        <w:spacing w:line="360" w:lineRule="auto"/>
        <w:ind w:firstLine="480" w:firstLineChars="200"/>
        <w:jc w:val="left"/>
        <w:rPr>
          <w:rFonts w:hint="eastAsia" w:ascii="宋体" w:hAnsi="宋体" w:cs="宋体"/>
          <w:color w:val="auto"/>
          <w:kern w:val="0"/>
          <w:sz w:val="24"/>
          <w:highlight w:val="none"/>
          <w:lang w:val="zh-CN"/>
        </w:rPr>
      </w:pPr>
      <w:r>
        <w:rPr>
          <w:rFonts w:ascii="宋体" w:hAnsi="宋体" w:cs="宋体"/>
          <w:color w:val="auto"/>
          <w:kern w:val="0"/>
          <w:sz w:val="24"/>
          <w:szCs w:val="22"/>
          <w:highlight w:val="none"/>
          <w:lang w:val="zh-CN"/>
        </w:rPr>
        <w:t>4</w:t>
      </w:r>
      <w:r>
        <w:rPr>
          <w:rFonts w:hint="eastAsia" w:ascii="宋体" w:hAnsi="宋体" w:cs="宋体"/>
          <w:color w:val="auto"/>
          <w:kern w:val="0"/>
          <w:sz w:val="24"/>
          <w:szCs w:val="22"/>
          <w:highlight w:val="none"/>
          <w:lang w:val="zh-CN"/>
        </w:rPr>
        <w:t>、</w:t>
      </w:r>
      <w:r>
        <w:rPr>
          <w:rFonts w:hint="eastAsia" w:ascii="宋体" w:hAnsi="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74E21170">
      <w:pPr>
        <w:shd w:val="clear"/>
        <w:spacing w:line="360" w:lineRule="auto"/>
        <w:ind w:firstLine="482" w:firstLineChars="200"/>
        <w:rPr>
          <w:rFonts w:ascii="宋体" w:hAnsi="宋体" w:cs="宋体"/>
          <w:b/>
          <w:color w:val="auto"/>
          <w:kern w:val="0"/>
          <w:sz w:val="24"/>
          <w:highlight w:val="none"/>
        </w:rPr>
      </w:pPr>
    </w:p>
    <w:p w14:paraId="62A35466">
      <w:pPr>
        <w:pStyle w:val="692"/>
        <w:keepNext w:val="0"/>
        <w:pageBreakBefore w:val="0"/>
        <w:shd w:val="clear"/>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14:paraId="34AB41BF">
      <w:pPr>
        <w:pStyle w:val="692"/>
        <w:keepNext w:val="0"/>
        <w:pageBreakBefore w:val="0"/>
        <w:shd w:val="clear"/>
        <w:tabs>
          <w:tab w:val="clear" w:pos="720"/>
        </w:tabs>
        <w:snapToGrid w:val="0"/>
        <w:spacing w:before="120" w:after="120"/>
        <w:ind w:firstLine="643"/>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rPr>
        <w:t>二、</w:t>
      </w:r>
      <w:r>
        <w:rPr>
          <w:rFonts w:hint="eastAsia" w:ascii="宋体" w:hAnsi="宋体" w:eastAsia="宋体" w:cs="宋体"/>
          <w:color w:val="auto"/>
          <w:sz w:val="32"/>
          <w:szCs w:val="32"/>
          <w:highlight w:val="none"/>
        </w:rPr>
        <w:t>中小企业声明函（如果有）</w:t>
      </w:r>
    </w:p>
    <w:p w14:paraId="08BF663F">
      <w:pPr>
        <w:widowControl/>
        <w:shd w:val="clear"/>
        <w:spacing w:line="360" w:lineRule="auto"/>
        <w:ind w:firstLine="120" w:firstLineChars="50"/>
        <w:jc w:val="left"/>
        <w:rPr>
          <w:rFonts w:hint="eastAsia"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14:paraId="0C9ABA7B">
      <w:pPr>
        <w:shd w:val="clear"/>
        <w:rPr>
          <w:rFonts w:hint="eastAsia" w:ascii="宋体" w:hAnsi="宋体" w:cs="宋体"/>
          <w:b/>
          <w:color w:val="auto"/>
          <w:sz w:val="24"/>
          <w:highlight w:val="none"/>
        </w:rPr>
      </w:pPr>
      <w:r>
        <w:rPr>
          <w:rFonts w:hint="eastAsia" w:ascii="宋体" w:hAnsi="宋体" w:cs="宋体"/>
          <w:b/>
          <w:color w:val="auto"/>
          <w:sz w:val="24"/>
          <w:highlight w:val="none"/>
        </w:rPr>
        <w:br w:type="page"/>
      </w:r>
    </w:p>
    <w:p w14:paraId="49F78C7E">
      <w:pPr>
        <w:pStyle w:val="692"/>
        <w:keepNext w:val="0"/>
        <w:pageBreakBefore w:val="0"/>
        <w:shd w:val="clear"/>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lang w:val="en-US"/>
        </w:rPr>
        <w:t>三</w:t>
      </w:r>
      <w:r>
        <w:rPr>
          <w:rFonts w:hint="eastAsia" w:ascii="宋体" w:hAnsi="宋体" w:eastAsia="宋体" w:cs="宋体"/>
          <w:color w:val="auto"/>
          <w:kern w:val="2"/>
          <w:sz w:val="32"/>
          <w:szCs w:val="32"/>
          <w:highlight w:val="none"/>
        </w:rPr>
        <w:t>、交纳采购代理服务费承诺书</w:t>
      </w:r>
    </w:p>
    <w:p w14:paraId="278E1C9A">
      <w:pPr>
        <w:shd w:val="clear"/>
        <w:rPr>
          <w:rFonts w:cs="Calibri"/>
          <w:b/>
          <w:bCs/>
          <w:color w:val="auto"/>
          <w:sz w:val="24"/>
          <w:highlight w:val="none"/>
        </w:rPr>
      </w:pPr>
    </w:p>
    <w:p w14:paraId="29736DC7">
      <w:pPr>
        <w:shd w:val="clear"/>
        <w:adjustRightInd/>
        <w:jc w:val="center"/>
        <w:rPr>
          <w:rFonts w:eastAsia="宋体" w:cs="Calibri"/>
          <w:b/>
          <w:bCs/>
          <w:color w:val="auto"/>
          <w:sz w:val="28"/>
          <w:szCs w:val="36"/>
          <w:highlight w:val="none"/>
        </w:rPr>
      </w:pPr>
      <w:r>
        <w:rPr>
          <w:rFonts w:eastAsia="宋体" w:cs="Calibri"/>
          <w:b/>
          <w:bCs/>
          <w:color w:val="auto"/>
          <w:sz w:val="28"/>
          <w:szCs w:val="36"/>
          <w:highlight w:val="none"/>
        </w:rPr>
        <w:t>交纳采购代理服务费承诺书</w:t>
      </w:r>
    </w:p>
    <w:p w14:paraId="0D3D1808">
      <w:pPr>
        <w:shd w:val="clear"/>
        <w:rPr>
          <w:rFonts w:hint="eastAsia" w:ascii="宋体" w:hAnsi="宋体" w:cs="宋体"/>
          <w:color w:val="auto"/>
          <w:sz w:val="24"/>
          <w:highlight w:val="none"/>
          <w:u w:val="single"/>
          <w:lang w:eastAsia="zh-CN"/>
        </w:rPr>
      </w:pPr>
    </w:p>
    <w:p w14:paraId="53FB9198">
      <w:pPr>
        <w:shd w:val="clear"/>
        <w:rPr>
          <w:rFonts w:cs="Calibri"/>
          <w:color w:val="auto"/>
          <w:sz w:val="24"/>
          <w:highlight w:val="none"/>
        </w:rPr>
      </w:pPr>
      <w:r>
        <w:rPr>
          <w:rFonts w:hint="eastAsia" w:ascii="宋体" w:hAnsi="宋体" w:cs="宋体"/>
          <w:color w:val="auto"/>
          <w:sz w:val="24"/>
          <w:highlight w:val="none"/>
          <w:u w:val="single"/>
          <w:lang w:eastAsia="zh-CN"/>
        </w:rPr>
        <w:t>华诚工程咨询集团有限公司</w:t>
      </w:r>
      <w:r>
        <w:rPr>
          <w:rFonts w:cs="Calibri"/>
          <w:color w:val="auto"/>
          <w:sz w:val="24"/>
          <w:highlight w:val="none"/>
        </w:rPr>
        <w:t>：</w:t>
      </w:r>
    </w:p>
    <w:p w14:paraId="530027E5">
      <w:pPr>
        <w:shd w:val="clear"/>
        <w:rPr>
          <w:rFonts w:cs="Calibri"/>
          <w:color w:val="auto"/>
          <w:sz w:val="24"/>
          <w:highlight w:val="none"/>
        </w:rPr>
      </w:pPr>
    </w:p>
    <w:p w14:paraId="05C2BC7A">
      <w:pPr>
        <w:shd w:val="clear"/>
        <w:snapToGrid w:val="0"/>
        <w:spacing w:line="360" w:lineRule="auto"/>
        <w:ind w:firstLine="482"/>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我单位在你公司组织的</w:t>
      </w:r>
      <w:r>
        <w:rPr>
          <w:rFonts w:hint="eastAsia" w:ascii="宋体" w:hAnsi="宋体" w:cs="宋体"/>
          <w:color w:val="auto"/>
          <w:kern w:val="0"/>
          <w:sz w:val="24"/>
          <w:highlight w:val="none"/>
          <w:u w:val="single"/>
          <w:lang w:val="zh-CN"/>
        </w:rPr>
        <w:t>杭州大运河数智未来城管理委员会</w:t>
      </w:r>
      <w:r>
        <w:rPr>
          <w:rFonts w:hint="eastAsia" w:ascii="宋体" w:hAnsi="宋体" w:eastAsia="宋体" w:cs="宋体"/>
          <w:color w:val="auto"/>
          <w:kern w:val="0"/>
          <w:sz w:val="24"/>
          <w:highlight w:val="none"/>
          <w:lang w:val="zh-CN"/>
        </w:rPr>
        <w:t>（采购人）</w:t>
      </w:r>
      <w:r>
        <w:rPr>
          <w:rFonts w:hint="eastAsia" w:ascii="宋体" w:hAnsi="宋体" w:cs="宋体"/>
          <w:color w:val="auto"/>
          <w:kern w:val="0"/>
          <w:sz w:val="24"/>
          <w:highlight w:val="none"/>
          <w:u w:val="single"/>
          <w:lang w:val="zh-CN"/>
        </w:rPr>
        <w:t>2024年大运河数智未来城高新云梯暖企通平台建设项目</w:t>
      </w:r>
      <w:r>
        <w:rPr>
          <w:rFonts w:hint="eastAsia" w:ascii="宋体" w:hAnsi="宋体" w:eastAsia="宋体" w:cs="宋体"/>
          <w:color w:val="auto"/>
          <w:kern w:val="0"/>
          <w:sz w:val="24"/>
          <w:highlight w:val="none"/>
          <w:lang w:val="zh-CN"/>
        </w:rPr>
        <w:t>（项目名称）</w:t>
      </w:r>
      <w:r>
        <w:rPr>
          <w:rFonts w:hint="eastAsia" w:ascii="宋体" w:hAnsi="宋体" w:cs="宋体"/>
          <w:color w:val="auto"/>
          <w:kern w:val="0"/>
          <w:sz w:val="24"/>
          <w:highlight w:val="none"/>
          <w:u w:val="single"/>
          <w:lang w:val="zh-CN" w:eastAsia="zh-CN"/>
        </w:rPr>
        <w:t>HCZB-2024070203009</w:t>
      </w:r>
      <w:r>
        <w:rPr>
          <w:rFonts w:hint="eastAsia" w:ascii="宋体" w:hAnsi="宋体" w:eastAsia="宋体" w:cs="宋体"/>
          <w:color w:val="auto"/>
          <w:kern w:val="0"/>
          <w:sz w:val="24"/>
          <w:highlight w:val="none"/>
          <w:lang w:val="zh-CN"/>
        </w:rPr>
        <w:t>（项目编号）</w:t>
      </w:r>
      <w:r>
        <w:rPr>
          <w:rFonts w:hint="eastAsia" w:ascii="宋体" w:hAnsi="宋体" w:cs="宋体"/>
          <w:color w:val="auto"/>
          <w:kern w:val="0"/>
          <w:sz w:val="24"/>
          <w:highlight w:val="none"/>
          <w:u w:val="single"/>
          <w:lang w:val="zh-CN"/>
        </w:rPr>
        <w:t>2024年大运河数智未来城高新云梯暖企通平台建设项目</w:t>
      </w:r>
      <w:r>
        <w:rPr>
          <w:rFonts w:hint="eastAsia" w:ascii="宋体" w:hAnsi="宋体" w:eastAsia="宋体" w:cs="宋体"/>
          <w:color w:val="auto"/>
          <w:kern w:val="0"/>
          <w:sz w:val="24"/>
          <w:highlight w:val="none"/>
          <w:lang w:val="zh-CN"/>
        </w:rPr>
        <w:t>（标项名称）的招标中若获中标，我单位保证按招标文件的规定，向你公司即华诚工程咨询集团有限公司支付采购代理服务费。如我单位未按上述承诺支付采购代理服务费，你公司有权取消我单位中标资格，由此产生的一切法律后果和责任由我单位承担。我单位声明放弃对此提出任何异议和追索的权利。</w:t>
      </w:r>
    </w:p>
    <w:p w14:paraId="6F1CEFC9">
      <w:pPr>
        <w:shd w:val="clear"/>
        <w:snapToGrid w:val="0"/>
        <w:spacing w:line="360" w:lineRule="auto"/>
        <w:ind w:firstLine="482"/>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特此承诺。</w:t>
      </w:r>
    </w:p>
    <w:p w14:paraId="4B226672">
      <w:pPr>
        <w:shd w:val="clear"/>
        <w:snapToGrid w:val="0"/>
        <w:spacing w:line="360" w:lineRule="auto"/>
        <w:ind w:firstLine="482"/>
        <w:jc w:val="righ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投标人全称：（盖单位公章）</w:t>
      </w:r>
    </w:p>
    <w:p w14:paraId="3594B7C0">
      <w:pPr>
        <w:shd w:val="clear"/>
        <w:snapToGrid w:val="0"/>
        <w:spacing w:line="360" w:lineRule="auto"/>
        <w:ind w:firstLine="482"/>
        <w:jc w:val="righ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日期：202</w:t>
      </w:r>
      <w:r>
        <w:rPr>
          <w:rFonts w:hint="eastAsia" w:ascii="宋体" w:hAnsi="宋体" w:eastAsia="宋体" w:cs="宋体"/>
          <w:color w:val="auto"/>
          <w:kern w:val="0"/>
          <w:sz w:val="24"/>
          <w:highlight w:val="none"/>
          <w:lang w:val="en-US" w:eastAsia="zh-CN"/>
        </w:rPr>
        <w:t>4</w:t>
      </w:r>
      <w:r>
        <w:rPr>
          <w:rFonts w:hint="eastAsia" w:ascii="宋体" w:hAnsi="宋体" w:eastAsia="宋体" w:cs="宋体"/>
          <w:color w:val="auto"/>
          <w:kern w:val="0"/>
          <w:sz w:val="24"/>
          <w:highlight w:val="none"/>
          <w:lang w:val="zh-CN"/>
        </w:rPr>
        <w:t>年  月  日</w:t>
      </w:r>
    </w:p>
    <w:p w14:paraId="1E0B4026">
      <w:pPr>
        <w:shd w:val="clear"/>
        <w:snapToGrid w:val="0"/>
        <w:spacing w:line="360" w:lineRule="auto"/>
        <w:ind w:firstLine="482"/>
        <w:rPr>
          <w:rFonts w:hint="eastAsia" w:ascii="宋体" w:hAnsi="宋体" w:eastAsia="宋体" w:cs="宋体"/>
          <w:color w:val="auto"/>
          <w:kern w:val="0"/>
          <w:sz w:val="24"/>
          <w:highlight w:val="none"/>
          <w:lang w:val="zh-CN"/>
        </w:rPr>
      </w:pPr>
    </w:p>
    <w:p w14:paraId="67B1AEBE">
      <w:pPr>
        <w:shd w:val="clear"/>
        <w:spacing w:line="360" w:lineRule="auto"/>
        <w:ind w:right="420" w:firstLine="3614" w:firstLineChars="1000"/>
        <w:rPr>
          <w:rFonts w:ascii="宋体" w:hAnsi="宋体" w:cs="宋体"/>
          <w:b/>
          <w:color w:val="auto"/>
          <w:kern w:val="0"/>
          <w:sz w:val="36"/>
          <w:szCs w:val="36"/>
          <w:highlight w:val="none"/>
        </w:rPr>
      </w:pPr>
    </w:p>
    <w:p w14:paraId="3F10649B">
      <w:pPr>
        <w:shd w:val="clear"/>
        <w:spacing w:line="360" w:lineRule="auto"/>
        <w:ind w:right="420" w:firstLine="3614" w:firstLineChars="1000"/>
        <w:rPr>
          <w:rFonts w:ascii="宋体" w:hAnsi="宋体" w:cs="宋体"/>
          <w:b/>
          <w:color w:val="auto"/>
          <w:kern w:val="0"/>
          <w:sz w:val="36"/>
          <w:szCs w:val="36"/>
          <w:highlight w:val="none"/>
        </w:rPr>
      </w:pPr>
    </w:p>
    <w:p w14:paraId="4B18A72E">
      <w:pPr>
        <w:shd w:val="clear"/>
        <w:spacing w:line="360" w:lineRule="auto"/>
        <w:ind w:right="420" w:firstLine="3614" w:firstLineChars="1000"/>
        <w:rPr>
          <w:rFonts w:ascii="宋体" w:hAnsi="宋体" w:cs="宋体"/>
          <w:b/>
          <w:color w:val="auto"/>
          <w:kern w:val="0"/>
          <w:sz w:val="36"/>
          <w:szCs w:val="36"/>
          <w:highlight w:val="none"/>
        </w:rPr>
      </w:pPr>
    </w:p>
    <w:p w14:paraId="6407DB4B">
      <w:pPr>
        <w:shd w:val="clear"/>
        <w:spacing w:line="360" w:lineRule="auto"/>
        <w:ind w:right="420" w:firstLine="3614" w:firstLineChars="1000"/>
        <w:rPr>
          <w:rFonts w:ascii="宋体" w:hAnsi="宋体" w:cs="宋体"/>
          <w:b/>
          <w:color w:val="auto"/>
          <w:kern w:val="0"/>
          <w:sz w:val="36"/>
          <w:szCs w:val="36"/>
          <w:highlight w:val="none"/>
        </w:rPr>
      </w:pPr>
    </w:p>
    <w:p w14:paraId="06EA7B15">
      <w:pPr>
        <w:shd w:val="clear"/>
        <w:spacing w:line="360" w:lineRule="auto"/>
        <w:ind w:right="420" w:firstLine="3614" w:firstLineChars="1000"/>
        <w:rPr>
          <w:rFonts w:ascii="宋体" w:hAnsi="宋体" w:cs="宋体"/>
          <w:b/>
          <w:color w:val="auto"/>
          <w:kern w:val="0"/>
          <w:sz w:val="36"/>
          <w:szCs w:val="36"/>
          <w:highlight w:val="none"/>
        </w:rPr>
      </w:pPr>
    </w:p>
    <w:p w14:paraId="1C60AFC8">
      <w:pPr>
        <w:shd w:val="clear"/>
        <w:spacing w:line="360" w:lineRule="auto"/>
        <w:ind w:right="420" w:firstLine="3614" w:firstLineChars="1000"/>
        <w:rPr>
          <w:rFonts w:ascii="宋体" w:hAnsi="宋体" w:cs="宋体"/>
          <w:b/>
          <w:color w:val="auto"/>
          <w:kern w:val="0"/>
          <w:sz w:val="36"/>
          <w:szCs w:val="36"/>
          <w:highlight w:val="none"/>
        </w:rPr>
      </w:pPr>
    </w:p>
    <w:p w14:paraId="1145FC46">
      <w:pPr>
        <w:shd w:val="clear"/>
        <w:spacing w:line="360" w:lineRule="auto"/>
        <w:ind w:right="420" w:firstLine="3614" w:firstLineChars="1000"/>
        <w:rPr>
          <w:rFonts w:ascii="宋体" w:hAnsi="宋体" w:cs="宋体"/>
          <w:b/>
          <w:color w:val="auto"/>
          <w:kern w:val="0"/>
          <w:sz w:val="36"/>
          <w:szCs w:val="36"/>
          <w:highlight w:val="none"/>
        </w:rPr>
      </w:pPr>
    </w:p>
    <w:p w14:paraId="34DD2A89">
      <w:pPr>
        <w:shd w:val="clear"/>
        <w:spacing w:line="360" w:lineRule="auto"/>
        <w:ind w:right="420" w:firstLine="3614" w:firstLineChars="1000"/>
        <w:rPr>
          <w:rFonts w:ascii="宋体" w:hAnsi="宋体" w:cs="宋体"/>
          <w:b/>
          <w:color w:val="auto"/>
          <w:kern w:val="0"/>
          <w:sz w:val="36"/>
          <w:szCs w:val="36"/>
          <w:highlight w:val="none"/>
        </w:rPr>
      </w:pPr>
    </w:p>
    <w:p w14:paraId="0D0C7303">
      <w:pPr>
        <w:shd w:val="clear"/>
        <w:spacing w:line="360" w:lineRule="auto"/>
        <w:ind w:right="420" w:firstLine="3614" w:firstLineChars="1000"/>
        <w:rPr>
          <w:rFonts w:ascii="宋体" w:hAnsi="宋体" w:cs="宋体"/>
          <w:b/>
          <w:color w:val="auto"/>
          <w:kern w:val="0"/>
          <w:sz w:val="36"/>
          <w:szCs w:val="36"/>
          <w:highlight w:val="none"/>
        </w:rPr>
      </w:pPr>
    </w:p>
    <w:p w14:paraId="162B52EA">
      <w:pPr>
        <w:shd w:val="clear"/>
        <w:spacing w:line="360" w:lineRule="auto"/>
        <w:ind w:right="420" w:firstLine="3614" w:firstLineChars="1000"/>
        <w:rPr>
          <w:rFonts w:ascii="宋体" w:hAnsi="宋体" w:cs="宋体"/>
          <w:b/>
          <w:color w:val="auto"/>
          <w:kern w:val="0"/>
          <w:sz w:val="36"/>
          <w:szCs w:val="36"/>
          <w:highlight w:val="none"/>
        </w:rPr>
      </w:pPr>
    </w:p>
    <w:p w14:paraId="7B47638E">
      <w:pPr>
        <w:pStyle w:val="3"/>
        <w:keepNext w:val="0"/>
        <w:keepLines w:val="0"/>
        <w:pageBreakBefore/>
        <w:widowControl/>
        <w:shd w:val="clear"/>
        <w:spacing w:before="100" w:beforeAutospacing="1" w:after="100" w:afterAutospacing="1" w:line="360" w:lineRule="auto"/>
        <w:ind w:left="1290" w:firstLine="3092" w:firstLineChars="700"/>
        <w:rPr>
          <w:rFonts w:ascii="宋体" w:hAnsi="宋体" w:cs="宋体"/>
          <w:color w:val="auto"/>
          <w:highlight w:val="none"/>
        </w:rPr>
      </w:pPr>
      <w:r>
        <w:rPr>
          <w:rFonts w:hint="eastAsia" w:ascii="宋体" w:hAnsi="宋体" w:cs="宋体"/>
          <w:color w:val="auto"/>
          <w:highlight w:val="none"/>
        </w:rPr>
        <w:t>附件</w:t>
      </w:r>
    </w:p>
    <w:p w14:paraId="4E9046A3">
      <w:pPr>
        <w:shd w:val="clea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3A283CD8">
      <w:pPr>
        <w:shd w:val="clear"/>
        <w:spacing w:line="360" w:lineRule="auto"/>
        <w:jc w:val="center"/>
        <w:rPr>
          <w:rFonts w:ascii="宋体" w:hAnsi="宋体" w:cs="宋体"/>
          <w:b/>
          <w:color w:val="auto"/>
          <w:spacing w:val="6"/>
          <w:sz w:val="32"/>
          <w:szCs w:val="32"/>
          <w:highlight w:val="none"/>
        </w:rPr>
      </w:pPr>
      <w:bookmarkStart w:id="529" w:name="OLE_LINK13"/>
      <w:bookmarkStart w:id="530" w:name="OLE_LINK14"/>
      <w:r>
        <w:rPr>
          <w:rFonts w:hint="eastAsia" w:ascii="宋体" w:hAnsi="宋体" w:cs="宋体"/>
          <w:b/>
          <w:color w:val="auto"/>
          <w:spacing w:val="6"/>
          <w:sz w:val="32"/>
          <w:szCs w:val="32"/>
          <w:highlight w:val="none"/>
        </w:rPr>
        <w:t>残疾人福利性单位声明函</w:t>
      </w:r>
    </w:p>
    <w:bookmarkEnd w:id="529"/>
    <w:bookmarkEnd w:id="530"/>
    <w:p w14:paraId="6C6FB5F7">
      <w:pPr>
        <w:shd w:val="clear"/>
        <w:spacing w:line="360" w:lineRule="auto"/>
        <w:rPr>
          <w:rFonts w:ascii="宋体" w:hAnsi="宋体" w:cs="宋体"/>
          <w:b/>
          <w:color w:val="auto"/>
          <w:spacing w:val="6"/>
          <w:sz w:val="30"/>
          <w:szCs w:val="30"/>
          <w:highlight w:val="none"/>
        </w:rPr>
      </w:pPr>
    </w:p>
    <w:p w14:paraId="225F8A09">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highlight w:val="none"/>
          <w:u w:val="single"/>
        </w:rPr>
        <w:t>(采购人)</w:t>
      </w:r>
      <w:r>
        <w:rPr>
          <w:rFonts w:hint="eastAsia" w:ascii="宋体" w:hAnsi="宋体" w:cs="宋体"/>
          <w:color w:val="auto"/>
          <w:sz w:val="24"/>
          <w:highlight w:val="none"/>
        </w:rPr>
        <w:t>_单位的_</w:t>
      </w:r>
      <w:r>
        <w:rPr>
          <w:rFonts w:hint="eastAsia" w:ascii="宋体" w:hAnsi="宋体" w:cs="宋体"/>
          <w:color w:val="auto"/>
          <w:sz w:val="24"/>
          <w:highlight w:val="none"/>
          <w:u w:val="single"/>
          <w:lang w:eastAsia="zh-CN"/>
        </w:rPr>
        <w:t>2024年大运河数智未来城高新云梯暖企通平台建设项目</w:t>
      </w:r>
      <w:r>
        <w:rPr>
          <w:rFonts w:hint="eastAsia" w:ascii="宋体" w:hAnsi="宋体"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7794DDCB">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77F7B085">
      <w:pPr>
        <w:shd w:val="clear"/>
        <w:spacing w:line="360" w:lineRule="auto"/>
        <w:ind w:firstLine="480" w:firstLineChars="200"/>
        <w:rPr>
          <w:rFonts w:ascii="宋体" w:hAnsi="宋体" w:cs="宋体"/>
          <w:color w:val="auto"/>
          <w:sz w:val="24"/>
          <w:highlight w:val="none"/>
        </w:rPr>
      </w:pPr>
    </w:p>
    <w:p w14:paraId="2B6D9DDF">
      <w:pPr>
        <w:shd w:val="clear"/>
        <w:spacing w:line="360" w:lineRule="auto"/>
        <w:ind w:firstLine="480" w:firstLineChars="200"/>
        <w:rPr>
          <w:rFonts w:ascii="宋体" w:hAnsi="宋体" w:cs="宋体"/>
          <w:color w:val="auto"/>
          <w:sz w:val="24"/>
          <w:highlight w:val="none"/>
        </w:rPr>
      </w:pPr>
    </w:p>
    <w:p w14:paraId="1EC00A44">
      <w:pPr>
        <w:shd w:val="clea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78A474F8">
      <w:pPr>
        <w:shd w:val="clea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26F5DAA6">
      <w:pPr>
        <w:shd w:val="clear"/>
        <w:spacing w:line="360" w:lineRule="auto"/>
        <w:ind w:firstLine="480" w:firstLineChars="200"/>
        <w:rPr>
          <w:rFonts w:ascii="宋体" w:hAnsi="宋体" w:cs="宋体"/>
          <w:color w:val="auto"/>
          <w:sz w:val="24"/>
          <w:highlight w:val="none"/>
        </w:rPr>
      </w:pPr>
    </w:p>
    <w:p w14:paraId="722E7923">
      <w:pPr>
        <w:shd w:val="clear"/>
        <w:spacing w:line="360" w:lineRule="auto"/>
        <w:ind w:firstLine="420" w:firstLineChars="200"/>
        <w:rPr>
          <w:rFonts w:ascii="宋体" w:hAnsi="宋体" w:cs="宋体"/>
          <w:color w:val="auto"/>
          <w:highlight w:val="none"/>
        </w:rPr>
      </w:pPr>
    </w:p>
    <w:p w14:paraId="20FBC319">
      <w:pPr>
        <w:shd w:val="clear"/>
        <w:spacing w:line="360" w:lineRule="auto"/>
        <w:ind w:firstLine="420" w:firstLineChars="200"/>
        <w:rPr>
          <w:rFonts w:ascii="宋体" w:hAnsi="宋体" w:cs="宋体"/>
          <w:color w:val="auto"/>
          <w:highlight w:val="none"/>
        </w:rPr>
      </w:pPr>
    </w:p>
    <w:p w14:paraId="66FAEC03">
      <w:pPr>
        <w:shd w:val="clear"/>
        <w:spacing w:line="360" w:lineRule="auto"/>
        <w:ind w:firstLine="420" w:firstLineChars="200"/>
        <w:rPr>
          <w:rFonts w:ascii="宋体" w:hAnsi="宋体" w:cs="宋体"/>
          <w:color w:val="auto"/>
          <w:highlight w:val="none"/>
        </w:rPr>
      </w:pPr>
    </w:p>
    <w:p w14:paraId="6C2EAC86">
      <w:pPr>
        <w:shd w:val="clear"/>
        <w:spacing w:line="360" w:lineRule="auto"/>
        <w:ind w:firstLine="420" w:firstLineChars="200"/>
        <w:rPr>
          <w:rFonts w:ascii="宋体" w:hAnsi="宋体" w:cs="宋体"/>
          <w:color w:val="auto"/>
          <w:highlight w:val="none"/>
        </w:rPr>
      </w:pPr>
    </w:p>
    <w:p w14:paraId="335AABA5">
      <w:pPr>
        <w:shd w:val="clear"/>
        <w:spacing w:line="360" w:lineRule="auto"/>
        <w:rPr>
          <w:rFonts w:ascii="宋体" w:hAnsi="宋体" w:cs="宋体"/>
          <w:b/>
          <w:color w:val="auto"/>
          <w:sz w:val="24"/>
          <w:highlight w:val="none"/>
        </w:rPr>
      </w:pPr>
    </w:p>
    <w:p w14:paraId="04AA68E1">
      <w:pPr>
        <w:shd w:val="clear"/>
        <w:spacing w:line="360" w:lineRule="auto"/>
        <w:rPr>
          <w:rFonts w:ascii="宋体" w:hAnsi="宋体" w:cs="宋体"/>
          <w:b/>
          <w:color w:val="auto"/>
          <w:sz w:val="24"/>
          <w:highlight w:val="none"/>
        </w:rPr>
      </w:pPr>
    </w:p>
    <w:p w14:paraId="00F9CFE9">
      <w:pPr>
        <w:shd w:val="clear"/>
        <w:spacing w:line="360" w:lineRule="auto"/>
        <w:rPr>
          <w:rFonts w:ascii="宋体" w:hAnsi="宋体" w:cs="宋体"/>
          <w:b/>
          <w:color w:val="auto"/>
          <w:sz w:val="24"/>
          <w:highlight w:val="none"/>
        </w:rPr>
      </w:pPr>
    </w:p>
    <w:p w14:paraId="3D59D357">
      <w:pPr>
        <w:shd w:val="clear"/>
        <w:spacing w:line="360" w:lineRule="auto"/>
        <w:rPr>
          <w:rFonts w:ascii="宋体" w:hAnsi="宋体" w:cs="宋体"/>
          <w:b/>
          <w:color w:val="auto"/>
          <w:sz w:val="24"/>
          <w:highlight w:val="none"/>
        </w:rPr>
      </w:pPr>
    </w:p>
    <w:p w14:paraId="48FB2EB4">
      <w:pPr>
        <w:shd w:val="clear"/>
        <w:spacing w:line="360" w:lineRule="auto"/>
        <w:rPr>
          <w:rFonts w:ascii="宋体" w:hAnsi="宋体" w:cs="宋体"/>
          <w:b/>
          <w:color w:val="auto"/>
          <w:sz w:val="24"/>
          <w:highlight w:val="none"/>
        </w:rPr>
      </w:pPr>
    </w:p>
    <w:p w14:paraId="450AB63F">
      <w:pPr>
        <w:shd w:val="clear"/>
        <w:spacing w:line="360" w:lineRule="auto"/>
        <w:rPr>
          <w:rFonts w:ascii="宋体" w:hAnsi="宋体" w:cs="宋体"/>
          <w:b/>
          <w:color w:val="auto"/>
          <w:sz w:val="24"/>
          <w:highlight w:val="none"/>
        </w:rPr>
      </w:pPr>
    </w:p>
    <w:p w14:paraId="37D85745">
      <w:pPr>
        <w:shd w:val="clear"/>
        <w:spacing w:line="360" w:lineRule="auto"/>
        <w:rPr>
          <w:rFonts w:ascii="宋体" w:hAnsi="宋体" w:cs="宋体"/>
          <w:b/>
          <w:color w:val="auto"/>
          <w:sz w:val="24"/>
          <w:highlight w:val="none"/>
        </w:rPr>
      </w:pPr>
    </w:p>
    <w:p w14:paraId="54FC397A">
      <w:pPr>
        <w:shd w:val="clear"/>
        <w:spacing w:line="360" w:lineRule="auto"/>
        <w:rPr>
          <w:rFonts w:ascii="宋体" w:hAnsi="宋体" w:cs="宋体"/>
          <w:b/>
          <w:color w:val="auto"/>
          <w:sz w:val="24"/>
          <w:highlight w:val="none"/>
        </w:rPr>
      </w:pPr>
    </w:p>
    <w:p w14:paraId="14D6BC03">
      <w:pPr>
        <w:shd w:val="clear"/>
        <w:spacing w:line="360" w:lineRule="auto"/>
        <w:rPr>
          <w:rFonts w:ascii="宋体" w:hAnsi="宋体" w:cs="宋体"/>
          <w:b/>
          <w:color w:val="auto"/>
          <w:sz w:val="24"/>
          <w:highlight w:val="none"/>
        </w:rPr>
      </w:pPr>
    </w:p>
    <w:p w14:paraId="2C0871EC">
      <w:pPr>
        <w:shd w:val="clea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1D252072">
      <w:pPr>
        <w:shd w:val="clea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2BABBD5B">
      <w:pPr>
        <w:shd w:val="clea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42153BD1">
      <w:pPr>
        <w:shd w:val="clea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3CB3EB83">
      <w:pPr>
        <w:shd w:val="clea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5BBDB1DA">
      <w:pPr>
        <w:shd w:val="clea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28FDB1F5">
      <w:pPr>
        <w:shd w:val="clea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204AD44C">
      <w:pPr>
        <w:shd w:val="clea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4E022915">
      <w:pPr>
        <w:shd w:val="clea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30474A6A">
      <w:pPr>
        <w:shd w:val="clea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12B5AD6F">
      <w:pPr>
        <w:shd w:val="clea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2B97178F">
      <w:pPr>
        <w:shd w:val="clea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7F4321EB">
      <w:pPr>
        <w:shd w:val="clea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3EECDB2F">
      <w:pPr>
        <w:shd w:val="clea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736BC226">
      <w:pPr>
        <w:shd w:val="clea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45745424">
      <w:pPr>
        <w:shd w:val="clea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695B8374">
      <w:pPr>
        <w:shd w:val="clea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64B75EA4">
      <w:pPr>
        <w:shd w:val="clea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4FC9F523">
      <w:pPr>
        <w:shd w:val="clea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2ED27240">
      <w:pPr>
        <w:shd w:val="clea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135DE79A">
      <w:pPr>
        <w:shd w:val="clea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58BFECF3">
      <w:pPr>
        <w:shd w:val="clea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17F77474">
      <w:pPr>
        <w:shd w:val="clea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64F232BB">
      <w:pPr>
        <w:shd w:val="clea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7E826437">
      <w:pPr>
        <w:shd w:val="clea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358883A7">
      <w:pPr>
        <w:shd w:val="clea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36D517F9">
      <w:pPr>
        <w:shd w:val="clear"/>
        <w:spacing w:line="360" w:lineRule="auto"/>
        <w:jc w:val="center"/>
        <w:rPr>
          <w:rFonts w:ascii="宋体" w:hAnsi="宋体" w:cs="宋体"/>
          <w:b/>
          <w:bCs/>
          <w:color w:val="auto"/>
          <w:sz w:val="24"/>
          <w:highlight w:val="none"/>
        </w:rPr>
      </w:pPr>
    </w:p>
    <w:p w14:paraId="6EAAB17A">
      <w:pPr>
        <w:shd w:val="clear"/>
        <w:spacing w:line="360" w:lineRule="auto"/>
        <w:rPr>
          <w:rFonts w:ascii="宋体" w:hAnsi="宋体" w:cs="宋体"/>
          <w:b/>
          <w:color w:val="auto"/>
          <w:sz w:val="24"/>
          <w:highlight w:val="none"/>
        </w:rPr>
      </w:pPr>
    </w:p>
    <w:p w14:paraId="2A8BA6EB">
      <w:pPr>
        <w:shd w:val="clear"/>
        <w:spacing w:line="360" w:lineRule="auto"/>
        <w:rPr>
          <w:rFonts w:ascii="宋体" w:hAnsi="宋体" w:cs="宋体"/>
          <w:b/>
          <w:color w:val="auto"/>
          <w:sz w:val="24"/>
          <w:highlight w:val="none"/>
        </w:rPr>
      </w:pPr>
    </w:p>
    <w:p w14:paraId="5E415F61">
      <w:pPr>
        <w:shd w:val="clear"/>
        <w:spacing w:line="360" w:lineRule="auto"/>
        <w:rPr>
          <w:rFonts w:ascii="宋体" w:hAnsi="宋体" w:cs="宋体"/>
          <w:b/>
          <w:color w:val="auto"/>
          <w:sz w:val="24"/>
          <w:highlight w:val="none"/>
        </w:rPr>
      </w:pPr>
    </w:p>
    <w:p w14:paraId="6EB6430B">
      <w:pPr>
        <w:shd w:val="clea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498CC4E4">
      <w:pPr>
        <w:widowControl/>
        <w:shd w:val="clea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67F41E7C">
      <w:pPr>
        <w:widowControl/>
        <w:shd w:val="clea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450C113B">
      <w:pPr>
        <w:widowControl/>
        <w:shd w:val="clea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01AE2C79">
      <w:pPr>
        <w:widowControl/>
        <w:shd w:val="clea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6CE12C2F">
      <w:pPr>
        <w:widowControl/>
        <w:shd w:val="clea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4AFFEC98">
      <w:pPr>
        <w:widowControl/>
        <w:shd w:val="clea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5AA2FC21">
      <w:pPr>
        <w:widowControl/>
        <w:shd w:val="clear"/>
        <w:spacing w:line="360" w:lineRule="auto"/>
        <w:ind w:firstLine="600" w:firstLineChars="200"/>
        <w:jc w:val="left"/>
        <w:rPr>
          <w:rFonts w:ascii="宋体" w:hAnsi="宋体" w:cs="宋体"/>
          <w:color w:val="auto"/>
          <w:sz w:val="30"/>
          <w:szCs w:val="30"/>
          <w:highlight w:val="none"/>
        </w:rPr>
      </w:pPr>
    </w:p>
    <w:p w14:paraId="7DA35D34">
      <w:pPr>
        <w:shd w:val="clear"/>
        <w:spacing w:line="360" w:lineRule="auto"/>
        <w:jc w:val="center"/>
        <w:rPr>
          <w:rFonts w:ascii="宋体" w:hAnsi="宋体" w:cs="宋体"/>
          <w:b/>
          <w:color w:val="auto"/>
          <w:spacing w:val="6"/>
          <w:sz w:val="32"/>
          <w:szCs w:val="32"/>
          <w:highlight w:val="none"/>
        </w:rPr>
      </w:pPr>
    </w:p>
    <w:p w14:paraId="60402F10">
      <w:pPr>
        <w:shd w:val="clear"/>
        <w:spacing w:line="360" w:lineRule="auto"/>
        <w:jc w:val="center"/>
        <w:rPr>
          <w:rFonts w:ascii="宋体" w:hAnsi="宋体" w:cs="宋体"/>
          <w:b/>
          <w:color w:val="auto"/>
          <w:spacing w:val="6"/>
          <w:sz w:val="32"/>
          <w:szCs w:val="32"/>
          <w:highlight w:val="none"/>
        </w:rPr>
      </w:pPr>
    </w:p>
    <w:p w14:paraId="42FE8C43">
      <w:pPr>
        <w:shd w:val="clear"/>
        <w:spacing w:line="360" w:lineRule="auto"/>
        <w:jc w:val="center"/>
        <w:rPr>
          <w:rFonts w:ascii="宋体" w:hAnsi="宋体" w:cs="宋体"/>
          <w:b/>
          <w:color w:val="auto"/>
          <w:spacing w:val="6"/>
          <w:sz w:val="32"/>
          <w:szCs w:val="32"/>
          <w:highlight w:val="none"/>
        </w:rPr>
      </w:pPr>
    </w:p>
    <w:p w14:paraId="1E3BD021">
      <w:pPr>
        <w:shd w:val="clear"/>
        <w:spacing w:line="360" w:lineRule="auto"/>
        <w:jc w:val="center"/>
        <w:rPr>
          <w:rFonts w:ascii="宋体" w:hAnsi="宋体" w:cs="宋体"/>
          <w:b/>
          <w:color w:val="auto"/>
          <w:spacing w:val="6"/>
          <w:sz w:val="32"/>
          <w:szCs w:val="32"/>
          <w:highlight w:val="none"/>
        </w:rPr>
      </w:pPr>
    </w:p>
    <w:p w14:paraId="50F97F56">
      <w:pPr>
        <w:shd w:val="clear"/>
        <w:spacing w:line="360" w:lineRule="auto"/>
        <w:jc w:val="center"/>
        <w:rPr>
          <w:rFonts w:ascii="宋体" w:hAnsi="宋体" w:cs="宋体"/>
          <w:b/>
          <w:color w:val="auto"/>
          <w:spacing w:val="6"/>
          <w:sz w:val="32"/>
          <w:szCs w:val="32"/>
          <w:highlight w:val="none"/>
        </w:rPr>
      </w:pPr>
    </w:p>
    <w:p w14:paraId="36E6C981">
      <w:pPr>
        <w:shd w:val="clear"/>
        <w:spacing w:line="360" w:lineRule="auto"/>
        <w:jc w:val="center"/>
        <w:rPr>
          <w:rFonts w:ascii="宋体" w:hAnsi="宋体" w:cs="宋体"/>
          <w:b/>
          <w:color w:val="auto"/>
          <w:spacing w:val="6"/>
          <w:sz w:val="32"/>
          <w:szCs w:val="32"/>
          <w:highlight w:val="none"/>
        </w:rPr>
      </w:pPr>
    </w:p>
    <w:p w14:paraId="771C1ACD">
      <w:pPr>
        <w:shd w:val="clear"/>
        <w:spacing w:line="360" w:lineRule="auto"/>
        <w:jc w:val="center"/>
        <w:rPr>
          <w:rFonts w:ascii="宋体" w:hAnsi="宋体" w:cs="宋体"/>
          <w:b/>
          <w:color w:val="auto"/>
          <w:spacing w:val="6"/>
          <w:sz w:val="32"/>
          <w:szCs w:val="32"/>
          <w:highlight w:val="none"/>
        </w:rPr>
      </w:pPr>
    </w:p>
    <w:p w14:paraId="2D7664F6">
      <w:pPr>
        <w:shd w:val="clear"/>
        <w:spacing w:line="360" w:lineRule="auto"/>
        <w:jc w:val="center"/>
        <w:rPr>
          <w:rFonts w:ascii="宋体" w:hAnsi="宋体" w:cs="宋体"/>
          <w:b/>
          <w:color w:val="auto"/>
          <w:spacing w:val="6"/>
          <w:sz w:val="32"/>
          <w:szCs w:val="32"/>
          <w:highlight w:val="none"/>
        </w:rPr>
      </w:pPr>
    </w:p>
    <w:p w14:paraId="5226F2D5">
      <w:pPr>
        <w:shd w:val="clear"/>
        <w:spacing w:line="360" w:lineRule="auto"/>
        <w:jc w:val="center"/>
        <w:rPr>
          <w:rFonts w:ascii="宋体" w:hAnsi="宋体" w:cs="宋体"/>
          <w:b/>
          <w:color w:val="auto"/>
          <w:spacing w:val="6"/>
          <w:sz w:val="32"/>
          <w:szCs w:val="32"/>
          <w:highlight w:val="none"/>
        </w:rPr>
      </w:pPr>
    </w:p>
    <w:p w14:paraId="1FCCA855">
      <w:pPr>
        <w:shd w:val="clear"/>
        <w:spacing w:line="360" w:lineRule="auto"/>
        <w:jc w:val="center"/>
        <w:rPr>
          <w:rFonts w:ascii="宋体" w:hAnsi="宋体" w:cs="宋体"/>
          <w:b/>
          <w:color w:val="auto"/>
          <w:spacing w:val="6"/>
          <w:sz w:val="32"/>
          <w:szCs w:val="32"/>
          <w:highlight w:val="none"/>
        </w:rPr>
      </w:pPr>
    </w:p>
    <w:p w14:paraId="3C8D9BC4">
      <w:pPr>
        <w:shd w:val="clear"/>
        <w:spacing w:line="360" w:lineRule="auto"/>
        <w:jc w:val="center"/>
        <w:rPr>
          <w:rFonts w:ascii="宋体" w:hAnsi="宋体" w:cs="宋体"/>
          <w:b/>
          <w:color w:val="auto"/>
          <w:spacing w:val="6"/>
          <w:sz w:val="32"/>
          <w:szCs w:val="32"/>
          <w:highlight w:val="none"/>
        </w:rPr>
      </w:pPr>
    </w:p>
    <w:p w14:paraId="1CFA6239">
      <w:pPr>
        <w:shd w:val="clear"/>
        <w:spacing w:line="360" w:lineRule="auto"/>
        <w:jc w:val="center"/>
        <w:rPr>
          <w:rFonts w:ascii="宋体" w:hAnsi="宋体" w:cs="宋体"/>
          <w:b/>
          <w:color w:val="auto"/>
          <w:spacing w:val="6"/>
          <w:sz w:val="32"/>
          <w:szCs w:val="32"/>
          <w:highlight w:val="none"/>
        </w:rPr>
      </w:pPr>
    </w:p>
    <w:p w14:paraId="37016169">
      <w:pPr>
        <w:shd w:val="clear"/>
        <w:spacing w:line="360" w:lineRule="auto"/>
        <w:jc w:val="left"/>
        <w:rPr>
          <w:rFonts w:ascii="宋体" w:hAnsi="宋体" w:cs="宋体"/>
          <w:b/>
          <w:color w:val="auto"/>
          <w:spacing w:val="6"/>
          <w:sz w:val="32"/>
          <w:szCs w:val="32"/>
          <w:highlight w:val="none"/>
        </w:rPr>
      </w:pPr>
    </w:p>
    <w:p w14:paraId="368ACF71">
      <w:pPr>
        <w:shd w:val="clear"/>
        <w:spacing w:line="360" w:lineRule="auto"/>
        <w:jc w:val="left"/>
        <w:rPr>
          <w:rFonts w:ascii="宋体" w:hAnsi="宋体" w:cs="宋体"/>
          <w:b/>
          <w:color w:val="auto"/>
          <w:spacing w:val="6"/>
          <w:sz w:val="32"/>
          <w:szCs w:val="32"/>
          <w:highlight w:val="none"/>
        </w:rPr>
      </w:pPr>
    </w:p>
    <w:p w14:paraId="67E162FA">
      <w:pPr>
        <w:shd w:val="clea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255CD122">
      <w:pPr>
        <w:shd w:val="clear"/>
        <w:spacing w:line="360" w:lineRule="auto"/>
        <w:jc w:val="center"/>
        <w:rPr>
          <w:rFonts w:ascii="宋体" w:hAnsi="宋体" w:cs="宋体"/>
          <w:b/>
          <w:color w:val="auto"/>
          <w:sz w:val="24"/>
          <w:highlight w:val="none"/>
        </w:rPr>
      </w:pPr>
    </w:p>
    <w:p w14:paraId="3497D196">
      <w:pPr>
        <w:shd w:val="clea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419ECBA3">
      <w:pPr>
        <w:shd w:val="clea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281BBE53">
      <w:pPr>
        <w:shd w:val="clea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7753BC71">
      <w:pPr>
        <w:shd w:val="clea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759ABB6">
      <w:pPr>
        <w:shd w:val="clea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4E053AD3">
      <w:pPr>
        <w:shd w:val="clea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59D6B7A0">
      <w:pPr>
        <w:shd w:val="clea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3CC29CCC">
      <w:pPr>
        <w:shd w:val="clea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5B575A13">
      <w:pPr>
        <w:shd w:val="clea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29D12ED">
      <w:pPr>
        <w:shd w:val="clea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353D193">
      <w:pPr>
        <w:shd w:val="clea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89D45EA">
      <w:pPr>
        <w:shd w:val="clea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3B85A1E3">
      <w:pPr>
        <w:shd w:val="clea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7D581931">
      <w:pPr>
        <w:shd w:val="clea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62F63DC">
      <w:pPr>
        <w:shd w:val="clea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9483785">
      <w:pPr>
        <w:shd w:val="clea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F4A7339">
      <w:pPr>
        <w:shd w:val="clea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37710674">
      <w:pPr>
        <w:shd w:val="clea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794781F0">
      <w:pPr>
        <w:shd w:val="clea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4A776F0A">
      <w:pPr>
        <w:shd w:val="clea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E2ED234">
      <w:pPr>
        <w:shd w:val="clea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66103CC6">
      <w:pPr>
        <w:shd w:val="clea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341F03E0">
      <w:pPr>
        <w:shd w:val="clea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0C384E6A">
      <w:pPr>
        <w:shd w:val="clea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784049BA">
      <w:pPr>
        <w:shd w:val="clea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55A0E4CA">
      <w:pPr>
        <w:shd w:val="clea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45BC89EF">
      <w:pPr>
        <w:shd w:val="clea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739104D8">
      <w:pPr>
        <w:shd w:val="clea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68007394">
      <w:pPr>
        <w:shd w:val="clea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6C8D2260">
      <w:pPr>
        <w:shd w:val="clea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0F498314">
      <w:pPr>
        <w:shd w:val="clea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46DFE109">
      <w:pPr>
        <w:shd w:val="clea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371D40B8">
      <w:pPr>
        <w:shd w:val="clea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5A158C3D">
      <w:pPr>
        <w:shd w:val="clea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38EAABFF">
      <w:pPr>
        <w:shd w:val="clea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569D3CE3">
      <w:pPr>
        <w:shd w:val="clea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7F0EFA8E">
      <w:pPr>
        <w:shd w:val="clea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320C3B9F">
      <w:pPr>
        <w:shd w:val="clear"/>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                                                                                                    </w:t>
      </w:r>
    </w:p>
    <w:p w14:paraId="09D27C1F">
      <w:pPr>
        <w:shd w:val="clea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5DA1CA21">
      <w:pPr>
        <w:shd w:val="clea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1F796DFD">
      <w:pPr>
        <w:shd w:val="clear"/>
        <w:spacing w:line="360" w:lineRule="auto"/>
        <w:rPr>
          <w:rFonts w:ascii="宋体" w:hAnsi="宋体" w:cs="宋体"/>
          <w:b/>
          <w:color w:val="auto"/>
          <w:sz w:val="24"/>
          <w:highlight w:val="none"/>
        </w:rPr>
      </w:pPr>
    </w:p>
    <w:p w14:paraId="2D336D1E">
      <w:pPr>
        <w:shd w:val="clear"/>
        <w:spacing w:line="360" w:lineRule="auto"/>
        <w:rPr>
          <w:rFonts w:ascii="宋体" w:hAnsi="宋体" w:cs="宋体"/>
          <w:b/>
          <w:color w:val="auto"/>
          <w:sz w:val="24"/>
          <w:highlight w:val="none"/>
        </w:rPr>
      </w:pPr>
    </w:p>
    <w:p w14:paraId="0F30844B">
      <w:pPr>
        <w:shd w:val="clea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3FBA2321">
      <w:pPr>
        <w:widowControl/>
        <w:shd w:val="clear"/>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28531248">
      <w:pPr>
        <w:widowControl/>
        <w:shd w:val="clear"/>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0D744374">
      <w:pPr>
        <w:widowControl/>
        <w:shd w:val="clea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67451B7F">
      <w:pPr>
        <w:widowControl/>
        <w:shd w:val="clea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6695271A">
      <w:pPr>
        <w:widowControl/>
        <w:shd w:val="clea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3D520798">
      <w:pPr>
        <w:widowControl/>
        <w:shd w:val="clea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60BA633C">
      <w:pPr>
        <w:widowControl/>
        <w:shd w:val="clear"/>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3EF6629E">
      <w:pPr>
        <w:shd w:val="clear"/>
        <w:spacing w:line="360" w:lineRule="auto"/>
        <w:rPr>
          <w:rFonts w:ascii="宋体" w:hAnsi="宋体" w:cs="宋体"/>
          <w:b/>
          <w:color w:val="auto"/>
          <w:sz w:val="24"/>
          <w:highlight w:val="none"/>
        </w:rPr>
      </w:pPr>
    </w:p>
    <w:p w14:paraId="5B657AAA">
      <w:pPr>
        <w:shd w:val="clear"/>
        <w:autoSpaceDE w:val="0"/>
        <w:autoSpaceDN w:val="0"/>
        <w:jc w:val="center"/>
        <w:rPr>
          <w:rFonts w:ascii="宋体" w:hAnsi="宋体" w:cs="宋体"/>
          <w:b/>
          <w:color w:val="auto"/>
          <w:spacing w:val="6"/>
          <w:sz w:val="32"/>
          <w:szCs w:val="32"/>
          <w:highlight w:val="none"/>
        </w:rPr>
      </w:pPr>
    </w:p>
    <w:p w14:paraId="226A90BB">
      <w:pPr>
        <w:shd w:val="clear"/>
        <w:autoSpaceDE w:val="0"/>
        <w:autoSpaceDN w:val="0"/>
        <w:jc w:val="center"/>
        <w:rPr>
          <w:rFonts w:ascii="宋体" w:hAnsi="宋体" w:cs="宋体"/>
          <w:b/>
          <w:color w:val="auto"/>
          <w:spacing w:val="6"/>
          <w:sz w:val="32"/>
          <w:szCs w:val="32"/>
          <w:highlight w:val="none"/>
        </w:rPr>
      </w:pPr>
    </w:p>
    <w:p w14:paraId="141EA4B6">
      <w:pPr>
        <w:shd w:val="clea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40CAFEA0">
      <w:pPr>
        <w:shd w:val="clear"/>
        <w:spacing w:line="360" w:lineRule="auto"/>
        <w:rPr>
          <w:rFonts w:ascii="宋体" w:hAnsi="宋体" w:cs="宋体"/>
          <w:color w:val="auto"/>
          <w:sz w:val="24"/>
          <w:highlight w:val="none"/>
          <w:u w:val="single"/>
        </w:rPr>
      </w:pPr>
    </w:p>
    <w:p w14:paraId="0FC33912">
      <w:pPr>
        <w:shd w:val="clear"/>
        <w:spacing w:line="360" w:lineRule="auto"/>
        <w:rPr>
          <w:rFonts w:ascii="宋体" w:hAnsi="宋体" w:cs="宋体"/>
          <w:color w:val="auto"/>
          <w:sz w:val="24"/>
          <w:highlight w:val="none"/>
        </w:rPr>
      </w:pPr>
      <w:r>
        <w:rPr>
          <w:rFonts w:hint="eastAsia" w:ascii="宋体" w:hAnsi="宋体" w:cs="宋体"/>
          <w:color w:val="auto"/>
          <w:sz w:val="24"/>
          <w:highlight w:val="none"/>
          <w:u w:val="single"/>
          <w:lang w:eastAsia="zh-CN"/>
        </w:rPr>
        <w:t>杭州大运河数智未来城管理委员会</w:t>
      </w:r>
      <w:r>
        <w:rPr>
          <w:rFonts w:hint="eastAsia" w:ascii="宋体" w:hAnsi="宋体" w:cs="宋体"/>
          <w:color w:val="auto"/>
          <w:sz w:val="24"/>
          <w:highlight w:val="none"/>
          <w:u w:val="single"/>
        </w:rPr>
        <w:t>、</w:t>
      </w:r>
      <w:r>
        <w:rPr>
          <w:rFonts w:hint="eastAsia" w:ascii="宋体" w:hAnsi="宋体" w:cs="宋体"/>
          <w:color w:val="auto"/>
          <w:sz w:val="24"/>
          <w:highlight w:val="none"/>
          <w:u w:val="single"/>
          <w:lang w:eastAsia="zh-CN"/>
        </w:rPr>
        <w:t>华诚工程咨询集团有限公司</w:t>
      </w:r>
      <w:r>
        <w:rPr>
          <w:rFonts w:hint="eastAsia" w:ascii="宋体" w:hAnsi="宋体" w:cs="宋体"/>
          <w:color w:val="auto"/>
          <w:sz w:val="24"/>
          <w:highlight w:val="none"/>
          <w:u w:val="single"/>
        </w:rPr>
        <w:t>：</w:t>
      </w:r>
    </w:p>
    <w:p w14:paraId="18CE2D83">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w:t>
      </w:r>
      <w:r>
        <w:rPr>
          <w:rFonts w:hint="eastAsia" w:ascii="宋体" w:hAnsi="宋体" w:cs="宋体"/>
          <w:color w:val="auto"/>
          <w:sz w:val="24"/>
          <w:highlight w:val="none"/>
          <w:lang w:eastAsia="zh-CN"/>
        </w:rPr>
        <w:t>2024年大运河数智未来城高新云梯暖企通平台建设项目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HCZB-2024070203009</w:t>
      </w:r>
      <w:r>
        <w:rPr>
          <w:rFonts w:hint="eastAsia" w:ascii="宋体" w:hAnsi="宋体" w:cs="宋体"/>
          <w:color w:val="auto"/>
          <w:sz w:val="24"/>
          <w:highlight w:val="none"/>
        </w:rPr>
        <w:t>】</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057B44D8">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3F233559">
      <w:pPr>
        <w:shd w:val="clear"/>
        <w:spacing w:line="360" w:lineRule="auto"/>
        <w:ind w:firstLine="494"/>
        <w:rPr>
          <w:rFonts w:ascii="宋体" w:hAnsi="宋体" w:cs="宋体"/>
          <w:color w:val="auto"/>
          <w:sz w:val="24"/>
          <w:highlight w:val="none"/>
        </w:rPr>
      </w:pPr>
    </w:p>
    <w:p w14:paraId="6179B306">
      <w:pPr>
        <w:shd w:val="clear"/>
        <w:spacing w:line="360" w:lineRule="auto"/>
        <w:ind w:firstLine="494"/>
        <w:rPr>
          <w:rFonts w:ascii="宋体" w:hAnsi="宋体" w:cs="宋体"/>
          <w:color w:val="auto"/>
          <w:sz w:val="24"/>
          <w:highlight w:val="none"/>
        </w:rPr>
      </w:pPr>
    </w:p>
    <w:p w14:paraId="1289D59E">
      <w:pPr>
        <w:shd w:val="clear"/>
        <w:spacing w:line="360" w:lineRule="auto"/>
        <w:ind w:firstLine="494"/>
        <w:rPr>
          <w:rFonts w:ascii="宋体" w:hAnsi="宋体" w:cs="宋体"/>
          <w:color w:val="auto"/>
          <w:sz w:val="24"/>
          <w:highlight w:val="none"/>
        </w:rPr>
      </w:pPr>
    </w:p>
    <w:p w14:paraId="274E45B3">
      <w:pPr>
        <w:shd w:val="clear"/>
        <w:spacing w:line="360" w:lineRule="auto"/>
        <w:ind w:firstLine="494"/>
        <w:rPr>
          <w:rFonts w:ascii="宋体" w:hAnsi="宋体" w:cs="宋体"/>
          <w:color w:val="auto"/>
          <w:sz w:val="24"/>
          <w:highlight w:val="none"/>
        </w:rPr>
      </w:pPr>
    </w:p>
    <w:p w14:paraId="6EB5E9A2">
      <w:pPr>
        <w:shd w:val="clea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14:paraId="74B69C50">
      <w:pPr>
        <w:shd w:val="clea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2393D87B">
      <w:pPr>
        <w:shd w:val="clear"/>
        <w:rPr>
          <w:rFonts w:ascii="宋体" w:hAnsi="宋体" w:cs="宋体"/>
          <w:color w:val="auto"/>
          <w:sz w:val="24"/>
          <w:highlight w:val="none"/>
        </w:rPr>
      </w:pPr>
      <w:r>
        <w:rPr>
          <w:rFonts w:hint="eastAsia" w:ascii="宋体" w:hAnsi="宋体" w:cs="宋体"/>
          <w:b/>
          <w:bCs/>
          <w:color w:val="auto"/>
          <w:sz w:val="24"/>
          <w:highlight w:val="none"/>
        </w:rPr>
        <w:t>附：</w:t>
      </w:r>
    </w:p>
    <w:p w14:paraId="6317F5DB">
      <w:pPr>
        <w:shd w:val="clear"/>
        <w:spacing w:line="360" w:lineRule="auto"/>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14:paraId="0BB3B598">
      <w:pPr>
        <w:shd w:val="clear"/>
        <w:autoSpaceDE w:val="0"/>
        <w:autoSpaceDN w:val="0"/>
        <w:jc w:val="center"/>
        <w:rPr>
          <w:rFonts w:ascii="宋体" w:hAnsi="宋体" w:cs="宋体"/>
          <w:b/>
          <w:color w:val="auto"/>
          <w:spacing w:val="6"/>
          <w:sz w:val="32"/>
          <w:szCs w:val="32"/>
          <w:highlight w:val="none"/>
        </w:rPr>
      </w:pPr>
    </w:p>
    <w:p w14:paraId="00A3C554">
      <w:pPr>
        <w:shd w:val="clear"/>
        <w:autoSpaceDE w:val="0"/>
        <w:autoSpaceDN w:val="0"/>
        <w:jc w:val="center"/>
        <w:rPr>
          <w:rFonts w:ascii="宋体" w:hAnsi="宋体" w:cs="宋体"/>
          <w:b/>
          <w:color w:val="auto"/>
          <w:spacing w:val="6"/>
          <w:sz w:val="32"/>
          <w:szCs w:val="32"/>
          <w:highlight w:val="none"/>
        </w:rPr>
      </w:pPr>
    </w:p>
    <w:p w14:paraId="6218A9F1">
      <w:pPr>
        <w:shd w:val="clear"/>
        <w:autoSpaceDE w:val="0"/>
        <w:autoSpaceDN w:val="0"/>
        <w:jc w:val="center"/>
        <w:rPr>
          <w:rFonts w:ascii="宋体" w:hAnsi="宋体" w:cs="宋体"/>
          <w:b/>
          <w:color w:val="auto"/>
          <w:spacing w:val="6"/>
          <w:sz w:val="32"/>
          <w:szCs w:val="32"/>
          <w:highlight w:val="none"/>
        </w:rPr>
      </w:pPr>
    </w:p>
    <w:p w14:paraId="7C2A0DB4">
      <w:pPr>
        <w:shd w:val="clear"/>
        <w:autoSpaceDE w:val="0"/>
        <w:autoSpaceDN w:val="0"/>
        <w:jc w:val="center"/>
        <w:rPr>
          <w:rFonts w:ascii="宋体" w:hAnsi="宋体" w:cs="宋体"/>
          <w:b/>
          <w:color w:val="auto"/>
          <w:spacing w:val="6"/>
          <w:sz w:val="32"/>
          <w:szCs w:val="32"/>
          <w:highlight w:val="none"/>
        </w:rPr>
      </w:pPr>
    </w:p>
    <w:p w14:paraId="6EDC130C">
      <w:pPr>
        <w:shd w:val="clear"/>
        <w:autoSpaceDE w:val="0"/>
        <w:autoSpaceDN w:val="0"/>
        <w:jc w:val="center"/>
        <w:rPr>
          <w:rFonts w:ascii="宋体" w:hAnsi="宋体" w:cs="宋体"/>
          <w:b/>
          <w:color w:val="auto"/>
          <w:spacing w:val="6"/>
          <w:sz w:val="32"/>
          <w:szCs w:val="32"/>
          <w:highlight w:val="none"/>
        </w:rPr>
      </w:pPr>
    </w:p>
    <w:p w14:paraId="42B053DB">
      <w:pPr>
        <w:shd w:val="clear"/>
        <w:autoSpaceDE w:val="0"/>
        <w:autoSpaceDN w:val="0"/>
        <w:jc w:val="center"/>
        <w:rPr>
          <w:rFonts w:ascii="宋体" w:hAnsi="宋体" w:cs="宋体"/>
          <w:b/>
          <w:color w:val="auto"/>
          <w:spacing w:val="6"/>
          <w:sz w:val="32"/>
          <w:szCs w:val="32"/>
          <w:highlight w:val="none"/>
        </w:rPr>
      </w:pPr>
    </w:p>
    <w:p w14:paraId="57932388">
      <w:pPr>
        <w:shd w:val="clear"/>
        <w:autoSpaceDE w:val="0"/>
        <w:autoSpaceDN w:val="0"/>
        <w:jc w:val="center"/>
        <w:rPr>
          <w:rFonts w:ascii="宋体" w:hAnsi="宋体" w:cs="宋体"/>
          <w:b/>
          <w:color w:val="auto"/>
          <w:spacing w:val="6"/>
          <w:sz w:val="32"/>
          <w:szCs w:val="32"/>
          <w:highlight w:val="none"/>
        </w:rPr>
      </w:pPr>
    </w:p>
    <w:p w14:paraId="69E8470F">
      <w:pPr>
        <w:shd w:val="clear"/>
        <w:autoSpaceDE w:val="0"/>
        <w:autoSpaceDN w:val="0"/>
        <w:jc w:val="center"/>
        <w:rPr>
          <w:rFonts w:ascii="宋体" w:hAnsi="宋体" w:cs="宋体"/>
          <w:b/>
          <w:color w:val="auto"/>
          <w:spacing w:val="6"/>
          <w:sz w:val="32"/>
          <w:szCs w:val="32"/>
          <w:highlight w:val="none"/>
        </w:rPr>
      </w:pPr>
    </w:p>
    <w:p w14:paraId="41CBEB8C">
      <w:pPr>
        <w:shd w:val="clear"/>
        <w:autoSpaceDE w:val="0"/>
        <w:autoSpaceDN w:val="0"/>
        <w:jc w:val="center"/>
        <w:rPr>
          <w:rFonts w:ascii="宋体" w:hAnsi="宋体" w:cs="宋体"/>
          <w:b/>
          <w:color w:val="auto"/>
          <w:spacing w:val="6"/>
          <w:sz w:val="32"/>
          <w:szCs w:val="32"/>
          <w:highlight w:val="none"/>
        </w:rPr>
      </w:pPr>
    </w:p>
    <w:p w14:paraId="714940A7">
      <w:pPr>
        <w:shd w:val="clear"/>
        <w:autoSpaceDE w:val="0"/>
        <w:autoSpaceDN w:val="0"/>
        <w:jc w:val="center"/>
        <w:rPr>
          <w:rFonts w:ascii="宋体" w:hAnsi="宋体" w:cs="宋体"/>
          <w:b/>
          <w:color w:val="auto"/>
          <w:spacing w:val="6"/>
          <w:sz w:val="32"/>
          <w:szCs w:val="32"/>
          <w:highlight w:val="none"/>
        </w:rPr>
      </w:pPr>
    </w:p>
    <w:p w14:paraId="6AF6DF6E">
      <w:pPr>
        <w:shd w:val="clear"/>
        <w:autoSpaceDE w:val="0"/>
        <w:autoSpaceDN w:val="0"/>
        <w:jc w:val="center"/>
        <w:rPr>
          <w:rFonts w:ascii="宋体" w:hAnsi="宋体" w:cs="宋体"/>
          <w:b/>
          <w:color w:val="auto"/>
          <w:spacing w:val="6"/>
          <w:sz w:val="32"/>
          <w:szCs w:val="32"/>
          <w:highlight w:val="none"/>
        </w:rPr>
      </w:pPr>
    </w:p>
    <w:p w14:paraId="4F278CAF">
      <w:pPr>
        <w:shd w:val="clear"/>
        <w:autoSpaceDE w:val="0"/>
        <w:autoSpaceDN w:val="0"/>
        <w:jc w:val="center"/>
        <w:rPr>
          <w:rFonts w:ascii="宋体" w:hAnsi="宋体" w:cs="宋体"/>
          <w:b/>
          <w:color w:val="auto"/>
          <w:spacing w:val="6"/>
          <w:sz w:val="32"/>
          <w:szCs w:val="32"/>
          <w:highlight w:val="none"/>
        </w:rPr>
      </w:pPr>
    </w:p>
    <w:p w14:paraId="6F14B66C">
      <w:pPr>
        <w:shd w:val="clear"/>
        <w:autoSpaceDE w:val="0"/>
        <w:autoSpaceDN w:val="0"/>
        <w:jc w:val="center"/>
        <w:rPr>
          <w:rFonts w:ascii="宋体" w:hAnsi="宋体" w:cs="宋体"/>
          <w:b/>
          <w:color w:val="auto"/>
          <w:spacing w:val="6"/>
          <w:sz w:val="32"/>
          <w:szCs w:val="32"/>
          <w:highlight w:val="none"/>
        </w:rPr>
      </w:pPr>
    </w:p>
    <w:p w14:paraId="2780E0A5">
      <w:pPr>
        <w:shd w:val="clear"/>
        <w:autoSpaceDE w:val="0"/>
        <w:autoSpaceDN w:val="0"/>
        <w:jc w:val="center"/>
        <w:rPr>
          <w:rFonts w:ascii="宋体" w:hAnsi="宋体" w:cs="宋体"/>
          <w:b/>
          <w:color w:val="auto"/>
          <w:spacing w:val="6"/>
          <w:sz w:val="32"/>
          <w:szCs w:val="32"/>
          <w:highlight w:val="none"/>
        </w:rPr>
      </w:pPr>
    </w:p>
    <w:p w14:paraId="30AAA306">
      <w:pPr>
        <w:shd w:val="clear"/>
        <w:autoSpaceDE w:val="0"/>
        <w:autoSpaceDN w:val="0"/>
        <w:jc w:val="center"/>
        <w:rPr>
          <w:rFonts w:ascii="宋体" w:hAnsi="宋体" w:cs="宋体"/>
          <w:b/>
          <w:color w:val="auto"/>
          <w:spacing w:val="6"/>
          <w:sz w:val="32"/>
          <w:szCs w:val="32"/>
          <w:highlight w:val="none"/>
        </w:rPr>
      </w:pPr>
    </w:p>
    <w:p w14:paraId="4824B84A">
      <w:pPr>
        <w:shd w:val="clear"/>
        <w:autoSpaceDE w:val="0"/>
        <w:autoSpaceDN w:val="0"/>
        <w:jc w:val="center"/>
        <w:rPr>
          <w:rFonts w:ascii="宋体" w:hAnsi="宋体" w:cs="宋体"/>
          <w:b/>
          <w:color w:val="auto"/>
          <w:spacing w:val="6"/>
          <w:sz w:val="32"/>
          <w:szCs w:val="32"/>
          <w:highlight w:val="none"/>
        </w:rPr>
      </w:pPr>
    </w:p>
    <w:p w14:paraId="0359A7FB">
      <w:pPr>
        <w:shd w:val="clear"/>
        <w:autoSpaceDE w:val="0"/>
        <w:autoSpaceDN w:val="0"/>
        <w:jc w:val="center"/>
        <w:rPr>
          <w:rFonts w:ascii="宋体" w:hAnsi="宋体" w:cs="宋体"/>
          <w:b/>
          <w:color w:val="auto"/>
          <w:spacing w:val="6"/>
          <w:sz w:val="32"/>
          <w:szCs w:val="32"/>
          <w:highlight w:val="none"/>
        </w:rPr>
      </w:pPr>
    </w:p>
    <w:p w14:paraId="2C25E299">
      <w:pPr>
        <w:shd w:val="clear"/>
        <w:autoSpaceDE w:val="0"/>
        <w:autoSpaceDN w:val="0"/>
        <w:jc w:val="center"/>
        <w:rPr>
          <w:rFonts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5</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lang w:val="zh-CN"/>
        </w:rPr>
        <w:t>联合协议</w:t>
      </w:r>
    </w:p>
    <w:p w14:paraId="4E360F01">
      <w:pPr>
        <w:widowControl/>
        <w:shd w:val="clear"/>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782D99C4">
      <w:pPr>
        <w:shd w:val="clea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lang w:eastAsia="zh-CN"/>
        </w:rPr>
        <w:t>2024年大运河数智未来城高新云梯暖企通平台建设项目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HCZB-2024070203009</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投标。 </w:t>
      </w:r>
    </w:p>
    <w:p w14:paraId="65F2C33D">
      <w:pPr>
        <w:shd w:val="clea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04136138">
      <w:pPr>
        <w:shd w:val="clea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授权代表根据招标文件规定及投标内容而对采购人、采购代理机构所作的任何合法承诺，包括书面澄清及相应等均对联合投标各方产生约束力。</w:t>
      </w:r>
    </w:p>
    <w:p w14:paraId="34230922">
      <w:pPr>
        <w:shd w:val="clea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178E57E8">
      <w:pPr>
        <w:shd w:val="clea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7E11B70E">
      <w:pPr>
        <w:shd w:val="clea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163BC8C3">
      <w:pPr>
        <w:shd w:val="clea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p w14:paraId="0FE6D5D3">
      <w:pPr>
        <w:shd w:val="clea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3B512926">
      <w:pPr>
        <w:shd w:val="clea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w:t>
      </w:r>
      <w:bookmarkStart w:id="531" w:name="_Hlk101131882"/>
      <w:r>
        <w:rPr>
          <w:rFonts w:hint="eastAsia" w:ascii="宋体" w:hAnsi="宋体" w:cs="宋体"/>
          <w:color w:val="auto"/>
          <w:kern w:val="0"/>
          <w:sz w:val="24"/>
          <w:highlight w:val="none"/>
          <w:u w:val="single"/>
        </w:rPr>
        <w:t>联合体成员X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w:t>
      </w:r>
      <w:bookmarkEnd w:id="531"/>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提供的服务由小微企业承接，其合同份额占到合同总金额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w:t>
      </w:r>
      <w:bookmarkStart w:id="532" w:name="_Hlk101133598"/>
      <w:r>
        <w:rPr>
          <w:rFonts w:hint="eastAsia" w:ascii="宋体" w:hAnsi="宋体" w:cs="宋体"/>
          <w:b/>
          <w:color w:val="auto"/>
          <w:kern w:val="0"/>
          <w:sz w:val="24"/>
          <w:highlight w:val="none"/>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bookmarkEnd w:id="532"/>
      <w:r>
        <w:rPr>
          <w:rFonts w:hint="eastAsia" w:ascii="宋体" w:hAnsi="宋体" w:cs="宋体"/>
          <w:b/>
          <w:color w:val="auto"/>
          <w:kern w:val="0"/>
          <w:sz w:val="24"/>
          <w:highlight w:val="none"/>
          <w:lang w:val="zh-CN"/>
        </w:rPr>
        <w:t>）</w:t>
      </w:r>
    </w:p>
    <w:p w14:paraId="644CDA4C">
      <w:pPr>
        <w:shd w:val="clea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533"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bookmarkEnd w:id="533"/>
    </w:p>
    <w:p w14:paraId="190BE6B9">
      <w:pPr>
        <w:shd w:val="clea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3FA149F2">
      <w:pPr>
        <w:shd w:val="clea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0CAD7067">
      <w:pPr>
        <w:shd w:val="clea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3E4F6F56">
      <w:pPr>
        <w:shd w:val="clea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63CF329B">
      <w:pPr>
        <w:shd w:val="clea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59FAF182">
      <w:pPr>
        <w:shd w:val="clea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3DB13116">
      <w:pPr>
        <w:shd w:val="clea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6B498BA2">
      <w:pPr>
        <w:shd w:val="clea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3A2CE24E">
      <w:pPr>
        <w:shd w:val="clea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51F167B9">
      <w:pPr>
        <w:shd w:val="clea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41B31AAC">
      <w:pPr>
        <w:shd w:val="clear"/>
        <w:autoSpaceDE w:val="0"/>
        <w:autoSpaceDN w:val="0"/>
        <w:jc w:val="center"/>
        <w:rPr>
          <w:rFonts w:ascii="宋体" w:hAnsi="宋体" w:cs="宋体"/>
          <w:b/>
          <w:color w:val="auto"/>
          <w:spacing w:val="6"/>
          <w:sz w:val="32"/>
          <w:szCs w:val="32"/>
          <w:highlight w:val="none"/>
        </w:rPr>
      </w:pPr>
    </w:p>
    <w:p w14:paraId="392479DD">
      <w:pPr>
        <w:shd w:val="clear"/>
        <w:autoSpaceDE w:val="0"/>
        <w:autoSpaceDN w:val="0"/>
        <w:jc w:val="center"/>
        <w:rPr>
          <w:rFonts w:ascii="宋体" w:hAnsi="宋体" w:cs="宋体"/>
          <w:b/>
          <w:color w:val="auto"/>
          <w:spacing w:val="6"/>
          <w:sz w:val="32"/>
          <w:szCs w:val="32"/>
          <w:highlight w:val="none"/>
        </w:rPr>
      </w:pPr>
    </w:p>
    <w:p w14:paraId="738470AC">
      <w:pPr>
        <w:shd w:val="clear"/>
        <w:autoSpaceDE w:val="0"/>
        <w:autoSpaceDN w:val="0"/>
        <w:jc w:val="center"/>
        <w:rPr>
          <w:rFonts w:ascii="宋体" w:hAnsi="宋体" w:cs="宋体"/>
          <w:b/>
          <w:color w:val="auto"/>
          <w:spacing w:val="6"/>
          <w:sz w:val="32"/>
          <w:szCs w:val="32"/>
          <w:highlight w:val="none"/>
        </w:rPr>
      </w:pPr>
    </w:p>
    <w:p w14:paraId="353F08B3">
      <w:pPr>
        <w:shd w:val="clear"/>
        <w:autoSpaceDE w:val="0"/>
        <w:autoSpaceDN w:val="0"/>
        <w:jc w:val="center"/>
        <w:rPr>
          <w:rFonts w:ascii="宋体" w:hAnsi="宋体" w:cs="宋体"/>
          <w:b/>
          <w:color w:val="auto"/>
          <w:spacing w:val="6"/>
          <w:sz w:val="32"/>
          <w:szCs w:val="32"/>
          <w:highlight w:val="none"/>
        </w:rPr>
      </w:pPr>
    </w:p>
    <w:p w14:paraId="08EBCE6A">
      <w:pPr>
        <w:shd w:val="clear"/>
        <w:autoSpaceDE w:val="0"/>
        <w:autoSpaceDN w:val="0"/>
        <w:jc w:val="center"/>
        <w:rPr>
          <w:rFonts w:ascii="宋体" w:hAnsi="宋体" w:cs="宋体"/>
          <w:b/>
          <w:color w:val="auto"/>
          <w:spacing w:val="6"/>
          <w:sz w:val="32"/>
          <w:szCs w:val="32"/>
          <w:highlight w:val="none"/>
        </w:rPr>
      </w:pPr>
    </w:p>
    <w:p w14:paraId="0026B41C">
      <w:pPr>
        <w:shd w:val="clear"/>
        <w:autoSpaceDE w:val="0"/>
        <w:autoSpaceDN w:val="0"/>
        <w:jc w:val="center"/>
        <w:rPr>
          <w:rFonts w:ascii="宋体" w:hAnsi="宋体" w:cs="宋体"/>
          <w:b/>
          <w:color w:val="auto"/>
          <w:spacing w:val="6"/>
          <w:sz w:val="32"/>
          <w:szCs w:val="32"/>
          <w:highlight w:val="none"/>
        </w:rPr>
      </w:pPr>
    </w:p>
    <w:p w14:paraId="56E6BE3C">
      <w:pPr>
        <w:shd w:val="clear"/>
        <w:autoSpaceDE w:val="0"/>
        <w:autoSpaceDN w:val="0"/>
        <w:jc w:val="center"/>
        <w:rPr>
          <w:rFonts w:ascii="宋体" w:hAnsi="宋体" w:cs="宋体"/>
          <w:b/>
          <w:color w:val="auto"/>
          <w:spacing w:val="6"/>
          <w:sz w:val="32"/>
          <w:szCs w:val="32"/>
          <w:highlight w:val="none"/>
        </w:rPr>
      </w:pPr>
    </w:p>
    <w:p w14:paraId="66C85AC3">
      <w:pPr>
        <w:shd w:val="clear"/>
        <w:autoSpaceDE w:val="0"/>
        <w:autoSpaceDN w:val="0"/>
        <w:jc w:val="center"/>
        <w:rPr>
          <w:rFonts w:ascii="宋体" w:hAnsi="宋体" w:cs="宋体"/>
          <w:b/>
          <w:color w:val="auto"/>
          <w:spacing w:val="6"/>
          <w:sz w:val="32"/>
          <w:szCs w:val="32"/>
          <w:highlight w:val="none"/>
        </w:rPr>
      </w:pPr>
    </w:p>
    <w:p w14:paraId="7CF9F932">
      <w:pPr>
        <w:shd w:val="clear"/>
        <w:autoSpaceDE w:val="0"/>
        <w:autoSpaceDN w:val="0"/>
        <w:jc w:val="center"/>
        <w:rPr>
          <w:rFonts w:ascii="宋体" w:hAnsi="宋体" w:cs="宋体"/>
          <w:b/>
          <w:color w:val="auto"/>
          <w:spacing w:val="6"/>
          <w:sz w:val="32"/>
          <w:szCs w:val="32"/>
          <w:highlight w:val="none"/>
        </w:rPr>
      </w:pPr>
    </w:p>
    <w:p w14:paraId="4C65352E">
      <w:pPr>
        <w:shd w:val="clear"/>
        <w:autoSpaceDE w:val="0"/>
        <w:autoSpaceDN w:val="0"/>
        <w:jc w:val="center"/>
        <w:rPr>
          <w:rFonts w:ascii="宋体" w:hAnsi="宋体" w:cs="宋体"/>
          <w:b/>
          <w:color w:val="auto"/>
          <w:spacing w:val="6"/>
          <w:sz w:val="32"/>
          <w:szCs w:val="32"/>
          <w:highlight w:val="none"/>
        </w:rPr>
      </w:pPr>
    </w:p>
    <w:p w14:paraId="4F55A33F">
      <w:pPr>
        <w:shd w:val="clear"/>
        <w:autoSpaceDE w:val="0"/>
        <w:autoSpaceDN w:val="0"/>
        <w:jc w:val="center"/>
        <w:rPr>
          <w:rFonts w:ascii="宋体" w:hAnsi="宋体" w:cs="宋体"/>
          <w:b/>
          <w:color w:val="auto"/>
          <w:spacing w:val="6"/>
          <w:sz w:val="32"/>
          <w:szCs w:val="32"/>
          <w:highlight w:val="none"/>
        </w:rPr>
      </w:pPr>
    </w:p>
    <w:p w14:paraId="203A40B5">
      <w:pPr>
        <w:shd w:val="clear"/>
        <w:autoSpaceDE w:val="0"/>
        <w:autoSpaceDN w:val="0"/>
        <w:jc w:val="center"/>
        <w:rPr>
          <w:rFonts w:ascii="宋体" w:hAnsi="宋体" w:cs="宋体"/>
          <w:b/>
          <w:color w:val="auto"/>
          <w:spacing w:val="6"/>
          <w:sz w:val="32"/>
          <w:szCs w:val="32"/>
          <w:highlight w:val="none"/>
        </w:rPr>
      </w:pPr>
    </w:p>
    <w:p w14:paraId="203EC305">
      <w:pPr>
        <w:shd w:val="clear"/>
        <w:autoSpaceDE w:val="0"/>
        <w:autoSpaceDN w:val="0"/>
        <w:jc w:val="center"/>
        <w:rPr>
          <w:rFonts w:ascii="宋体" w:hAnsi="宋体" w:cs="宋体"/>
          <w:b/>
          <w:color w:val="auto"/>
          <w:spacing w:val="6"/>
          <w:sz w:val="32"/>
          <w:szCs w:val="32"/>
          <w:highlight w:val="none"/>
        </w:rPr>
      </w:pPr>
    </w:p>
    <w:p w14:paraId="21B1AE1B">
      <w:pPr>
        <w:shd w:val="clear"/>
        <w:autoSpaceDE w:val="0"/>
        <w:autoSpaceDN w:val="0"/>
        <w:jc w:val="center"/>
        <w:rPr>
          <w:rFonts w:ascii="宋体" w:hAnsi="宋体" w:cs="宋体"/>
          <w:b/>
          <w:color w:val="auto"/>
          <w:spacing w:val="6"/>
          <w:sz w:val="32"/>
          <w:szCs w:val="32"/>
          <w:highlight w:val="none"/>
        </w:rPr>
      </w:pPr>
    </w:p>
    <w:p w14:paraId="44D2EF34">
      <w:pPr>
        <w:shd w:val="clear"/>
        <w:autoSpaceDE w:val="0"/>
        <w:autoSpaceDN w:val="0"/>
        <w:jc w:val="center"/>
        <w:rPr>
          <w:rFonts w:ascii="宋体" w:hAnsi="宋体" w:cs="宋体"/>
          <w:b/>
          <w:color w:val="auto"/>
          <w:spacing w:val="6"/>
          <w:sz w:val="32"/>
          <w:szCs w:val="32"/>
          <w:highlight w:val="none"/>
        </w:rPr>
      </w:pPr>
    </w:p>
    <w:p w14:paraId="648D6D90">
      <w:pPr>
        <w:shd w:val="clear"/>
        <w:autoSpaceDE w:val="0"/>
        <w:autoSpaceDN w:val="0"/>
        <w:jc w:val="center"/>
        <w:rPr>
          <w:rFonts w:ascii="宋体" w:hAnsi="宋体" w:cs="宋体"/>
          <w:b/>
          <w:color w:val="auto"/>
          <w:spacing w:val="6"/>
          <w:sz w:val="32"/>
          <w:szCs w:val="32"/>
          <w:highlight w:val="none"/>
        </w:rPr>
      </w:pPr>
    </w:p>
    <w:p w14:paraId="065A2C0F">
      <w:pPr>
        <w:shd w:val="clear"/>
        <w:autoSpaceDE w:val="0"/>
        <w:autoSpaceDN w:val="0"/>
        <w:jc w:val="center"/>
        <w:rPr>
          <w:rFonts w:ascii="宋体" w:hAnsi="宋体" w:cs="宋体"/>
          <w:b/>
          <w:color w:val="auto"/>
          <w:spacing w:val="6"/>
          <w:sz w:val="32"/>
          <w:szCs w:val="32"/>
          <w:highlight w:val="none"/>
        </w:rPr>
      </w:pPr>
    </w:p>
    <w:p w14:paraId="6DAE0CDB">
      <w:pPr>
        <w:shd w:val="clear"/>
        <w:autoSpaceDE w:val="0"/>
        <w:autoSpaceDN w:val="0"/>
        <w:jc w:val="center"/>
        <w:rPr>
          <w:rFonts w:ascii="宋体" w:hAnsi="宋体" w:cs="宋体"/>
          <w:b/>
          <w:color w:val="auto"/>
          <w:spacing w:val="6"/>
          <w:sz w:val="32"/>
          <w:szCs w:val="32"/>
          <w:highlight w:val="none"/>
        </w:rPr>
      </w:pPr>
    </w:p>
    <w:p w14:paraId="4297CA28">
      <w:pPr>
        <w:shd w:val="clear"/>
        <w:autoSpaceDE w:val="0"/>
        <w:autoSpaceDN w:val="0"/>
        <w:jc w:val="center"/>
        <w:rPr>
          <w:rFonts w:ascii="宋体" w:hAnsi="宋体" w:cs="宋体"/>
          <w:b/>
          <w:color w:val="auto"/>
          <w:spacing w:val="6"/>
          <w:sz w:val="32"/>
          <w:szCs w:val="32"/>
          <w:highlight w:val="none"/>
        </w:rPr>
      </w:pPr>
    </w:p>
    <w:p w14:paraId="0CCDDC95">
      <w:pPr>
        <w:shd w:val="clear"/>
        <w:autoSpaceDE w:val="0"/>
        <w:autoSpaceDN w:val="0"/>
        <w:jc w:val="center"/>
        <w:rPr>
          <w:rFonts w:ascii="宋体" w:hAnsi="宋体" w:cs="宋体"/>
          <w:b/>
          <w:color w:val="auto"/>
          <w:spacing w:val="6"/>
          <w:sz w:val="32"/>
          <w:szCs w:val="32"/>
          <w:highlight w:val="none"/>
        </w:rPr>
      </w:pPr>
    </w:p>
    <w:p w14:paraId="34DB32AF">
      <w:pPr>
        <w:shd w:val="clear"/>
        <w:autoSpaceDE w:val="0"/>
        <w:autoSpaceDN w:val="0"/>
        <w:jc w:val="center"/>
        <w:rPr>
          <w:rFonts w:ascii="宋体" w:hAnsi="宋体" w:cs="宋体"/>
          <w:b/>
          <w:color w:val="auto"/>
          <w:spacing w:val="6"/>
          <w:sz w:val="32"/>
          <w:szCs w:val="32"/>
          <w:highlight w:val="none"/>
        </w:rPr>
      </w:pPr>
    </w:p>
    <w:p w14:paraId="4E9C4136">
      <w:pPr>
        <w:shd w:val="clear"/>
        <w:autoSpaceDE w:val="0"/>
        <w:autoSpaceDN w:val="0"/>
        <w:jc w:val="center"/>
        <w:rPr>
          <w:rFonts w:ascii="宋体" w:hAnsi="宋体" w:cs="宋体"/>
          <w:b/>
          <w:color w:val="auto"/>
          <w:spacing w:val="6"/>
          <w:sz w:val="32"/>
          <w:szCs w:val="32"/>
          <w:highlight w:val="none"/>
        </w:rPr>
      </w:pPr>
    </w:p>
    <w:p w14:paraId="1C483856">
      <w:pPr>
        <w:shd w:val="clear"/>
        <w:autoSpaceDE w:val="0"/>
        <w:autoSpaceDN w:val="0"/>
        <w:jc w:val="center"/>
        <w:rPr>
          <w:rFonts w:ascii="宋体" w:hAnsi="宋体" w:cs="宋体"/>
          <w:b/>
          <w:color w:val="auto"/>
          <w:spacing w:val="6"/>
          <w:sz w:val="32"/>
          <w:szCs w:val="32"/>
          <w:highlight w:val="none"/>
        </w:rPr>
      </w:pPr>
    </w:p>
    <w:p w14:paraId="6344591F">
      <w:pPr>
        <w:shd w:val="clear"/>
        <w:snapToGrid w:val="0"/>
        <w:spacing w:line="360" w:lineRule="auto"/>
        <w:ind w:firstLine="3666" w:firstLineChars="1100"/>
        <w:rPr>
          <w:rFonts w:ascii="宋体" w:hAnsi="宋体" w:cs="宋体"/>
          <w:b/>
          <w:color w:val="auto"/>
          <w:spacing w:val="6"/>
          <w:sz w:val="32"/>
          <w:szCs w:val="32"/>
          <w:highlight w:val="none"/>
        </w:rPr>
      </w:pPr>
    </w:p>
    <w:p w14:paraId="70298EA8">
      <w:pPr>
        <w:widowControl/>
        <w:shd w:val="clear"/>
        <w:adjustRightInd/>
        <w:jc w:val="left"/>
        <w:rPr>
          <w:rFonts w:ascii="宋体" w:hAnsi="宋体" w:cs="宋体"/>
          <w:b/>
          <w:color w:val="auto"/>
          <w:spacing w:val="6"/>
          <w:sz w:val="32"/>
          <w:szCs w:val="32"/>
          <w:highlight w:val="none"/>
        </w:rPr>
      </w:pPr>
      <w:r>
        <w:rPr>
          <w:rFonts w:ascii="宋体" w:hAnsi="宋体" w:cs="宋体"/>
          <w:b/>
          <w:color w:val="auto"/>
          <w:spacing w:val="6"/>
          <w:sz w:val="32"/>
          <w:szCs w:val="32"/>
          <w:highlight w:val="none"/>
        </w:rPr>
        <w:br w:type="page"/>
      </w:r>
    </w:p>
    <w:p w14:paraId="20528A50">
      <w:pPr>
        <w:shd w:val="clear"/>
        <w:snapToGrid w:val="0"/>
        <w:spacing w:line="360" w:lineRule="auto"/>
        <w:ind w:firstLine="3666" w:firstLineChars="1100"/>
        <w:rPr>
          <w:rFonts w:ascii="宋体" w:hAnsi="宋体" w:cs="宋体"/>
          <w:b/>
          <w:color w:val="auto"/>
          <w:kern w:val="0"/>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6</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rPr>
        <w:t>分包意向协议</w:t>
      </w:r>
    </w:p>
    <w:p w14:paraId="07E0D16D">
      <w:pPr>
        <w:widowControl/>
        <w:shd w:val="clear"/>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59CA89E8">
      <w:pPr>
        <w:shd w:val="clea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lang w:eastAsia="zh-CN"/>
        </w:rPr>
        <w:t>2024年大运河数智未来城高新云梯暖企通平台建设项目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HCZB-2024070203009</w:t>
      </w:r>
      <w:r>
        <w:rPr>
          <w:rFonts w:hint="eastAsia" w:ascii="宋体" w:hAnsi="宋体" w:cs="宋体"/>
          <w:color w:val="auto"/>
          <w:sz w:val="24"/>
          <w:highlight w:val="none"/>
        </w:rPr>
        <w:t>】</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465F4F4C">
      <w:pPr>
        <w:shd w:val="clea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528F17D1">
      <w:pPr>
        <w:shd w:val="clea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（分包供应商2名称），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2C4540E2">
      <w:pPr>
        <w:pStyle w:val="2"/>
        <w:shd w:val="clear"/>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1A15E86E">
      <w:pPr>
        <w:shd w:val="clear"/>
        <w:rPr>
          <w:color w:val="auto"/>
          <w:highlight w:val="none"/>
        </w:rPr>
      </w:pPr>
      <w:r>
        <w:rPr>
          <w:rFonts w:hint="eastAsia"/>
          <w:color w:val="auto"/>
          <w:highlight w:val="none"/>
          <w:lang w:val="zh-CN"/>
        </w:rPr>
        <w:t xml:space="preserve"> </w:t>
      </w:r>
    </w:p>
    <w:p w14:paraId="1BC96CDB">
      <w:pPr>
        <w:shd w:val="clea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5EC8DC04">
      <w:pPr>
        <w:shd w:val="clea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……）提供的服务全部由小微企业承接，</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383CFF2C">
      <w:pPr>
        <w:shd w:val="clea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p>
    <w:p w14:paraId="1C96058D">
      <w:pPr>
        <w:shd w:val="clea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10685712">
      <w:pPr>
        <w:shd w:val="clea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78B8058D">
      <w:pPr>
        <w:shd w:val="clea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6CE480DD">
      <w:pPr>
        <w:shd w:val="clea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2C374164">
      <w:pPr>
        <w:shd w:val="clea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4928DA7F">
      <w:pPr>
        <w:shd w:val="clea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224E8EE6">
      <w:pPr>
        <w:shd w:val="clea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09D95D8A">
      <w:pPr>
        <w:shd w:val="clea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5AF34DDF">
      <w:pPr>
        <w:shd w:val="clea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0670AF96">
      <w:pPr>
        <w:shd w:val="clea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1844399E">
      <w:pPr>
        <w:shd w:val="clea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八、其他</w:t>
      </w:r>
    </w:p>
    <w:p w14:paraId="22CDB27A">
      <w:pPr>
        <w:shd w:val="clea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  。                                           投标人名称(电子签名)：</w:t>
      </w:r>
    </w:p>
    <w:p w14:paraId="39882EBD">
      <w:pPr>
        <w:shd w:val="clea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29E7E8D0">
      <w:pPr>
        <w:shd w:val="clea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3A8AF4C0">
      <w:pPr>
        <w:shd w:val="clea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6FDF158D">
      <w:pPr>
        <w:shd w:val="clea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5C0DE84B">
      <w:pPr>
        <w:shd w:val="clear"/>
        <w:autoSpaceDE w:val="0"/>
        <w:autoSpaceDN w:val="0"/>
        <w:jc w:val="center"/>
        <w:rPr>
          <w:rFonts w:ascii="宋体" w:hAnsi="宋体" w:cs="宋体"/>
          <w:b/>
          <w:color w:val="auto"/>
          <w:spacing w:val="6"/>
          <w:sz w:val="32"/>
          <w:szCs w:val="32"/>
          <w:highlight w:val="none"/>
        </w:rPr>
      </w:pPr>
    </w:p>
    <w:p w14:paraId="6A772B4E">
      <w:pPr>
        <w:shd w:val="clear"/>
        <w:autoSpaceDE w:val="0"/>
        <w:autoSpaceDN w:val="0"/>
        <w:jc w:val="center"/>
        <w:rPr>
          <w:rFonts w:ascii="宋体" w:hAnsi="宋体" w:cs="宋体"/>
          <w:b/>
          <w:color w:val="auto"/>
          <w:spacing w:val="6"/>
          <w:sz w:val="32"/>
          <w:szCs w:val="32"/>
          <w:highlight w:val="none"/>
        </w:rPr>
      </w:pPr>
    </w:p>
    <w:p w14:paraId="4D5BFF25">
      <w:pPr>
        <w:shd w:val="clear"/>
        <w:autoSpaceDE w:val="0"/>
        <w:autoSpaceDN w:val="0"/>
        <w:jc w:val="center"/>
        <w:rPr>
          <w:rFonts w:ascii="宋体" w:hAnsi="宋体" w:cs="宋体"/>
          <w:b/>
          <w:color w:val="auto"/>
          <w:spacing w:val="6"/>
          <w:sz w:val="32"/>
          <w:szCs w:val="32"/>
          <w:highlight w:val="none"/>
        </w:rPr>
      </w:pPr>
    </w:p>
    <w:p w14:paraId="729243D8">
      <w:pPr>
        <w:shd w:val="clear"/>
        <w:autoSpaceDE w:val="0"/>
        <w:autoSpaceDN w:val="0"/>
        <w:jc w:val="center"/>
        <w:rPr>
          <w:rFonts w:ascii="宋体" w:hAnsi="宋体" w:cs="宋体"/>
          <w:b/>
          <w:color w:val="auto"/>
          <w:spacing w:val="6"/>
          <w:sz w:val="32"/>
          <w:szCs w:val="32"/>
          <w:highlight w:val="none"/>
        </w:rPr>
      </w:pPr>
    </w:p>
    <w:p w14:paraId="55563CCA">
      <w:pPr>
        <w:shd w:val="clear"/>
        <w:autoSpaceDE w:val="0"/>
        <w:autoSpaceDN w:val="0"/>
        <w:jc w:val="center"/>
        <w:rPr>
          <w:rFonts w:ascii="宋体" w:hAnsi="宋体" w:cs="宋体"/>
          <w:b/>
          <w:color w:val="auto"/>
          <w:spacing w:val="6"/>
          <w:sz w:val="32"/>
          <w:szCs w:val="32"/>
          <w:highlight w:val="none"/>
        </w:rPr>
      </w:pPr>
    </w:p>
    <w:p w14:paraId="6886256A">
      <w:pPr>
        <w:shd w:val="clear"/>
        <w:autoSpaceDE w:val="0"/>
        <w:autoSpaceDN w:val="0"/>
        <w:jc w:val="center"/>
        <w:rPr>
          <w:rFonts w:ascii="宋体" w:hAnsi="宋体" w:cs="宋体"/>
          <w:b/>
          <w:color w:val="auto"/>
          <w:spacing w:val="6"/>
          <w:sz w:val="32"/>
          <w:szCs w:val="32"/>
          <w:highlight w:val="none"/>
        </w:rPr>
      </w:pPr>
    </w:p>
    <w:p w14:paraId="04A1E610">
      <w:pPr>
        <w:shd w:val="clear"/>
        <w:autoSpaceDE w:val="0"/>
        <w:autoSpaceDN w:val="0"/>
        <w:jc w:val="center"/>
        <w:rPr>
          <w:rFonts w:ascii="宋体" w:hAnsi="宋体" w:cs="宋体"/>
          <w:b/>
          <w:color w:val="auto"/>
          <w:spacing w:val="6"/>
          <w:sz w:val="32"/>
          <w:szCs w:val="32"/>
          <w:highlight w:val="none"/>
        </w:rPr>
      </w:pPr>
    </w:p>
    <w:p w14:paraId="5C3B01C1">
      <w:pPr>
        <w:shd w:val="clear"/>
        <w:autoSpaceDE w:val="0"/>
        <w:autoSpaceDN w:val="0"/>
        <w:jc w:val="center"/>
        <w:rPr>
          <w:rFonts w:ascii="宋体" w:hAnsi="宋体" w:cs="宋体"/>
          <w:b/>
          <w:color w:val="auto"/>
          <w:spacing w:val="6"/>
          <w:sz w:val="32"/>
          <w:szCs w:val="32"/>
          <w:highlight w:val="none"/>
        </w:rPr>
      </w:pPr>
    </w:p>
    <w:p w14:paraId="295211E7">
      <w:pPr>
        <w:shd w:val="clear"/>
        <w:autoSpaceDE w:val="0"/>
        <w:autoSpaceDN w:val="0"/>
        <w:jc w:val="center"/>
        <w:rPr>
          <w:rFonts w:ascii="宋体" w:hAnsi="宋体" w:cs="宋体"/>
          <w:b/>
          <w:color w:val="auto"/>
          <w:spacing w:val="6"/>
          <w:sz w:val="32"/>
          <w:szCs w:val="32"/>
          <w:highlight w:val="none"/>
        </w:rPr>
      </w:pPr>
    </w:p>
    <w:p w14:paraId="06C82BAF">
      <w:pPr>
        <w:shd w:val="clear"/>
        <w:autoSpaceDE w:val="0"/>
        <w:autoSpaceDN w:val="0"/>
        <w:jc w:val="center"/>
        <w:rPr>
          <w:rFonts w:ascii="宋体" w:hAnsi="宋体" w:cs="宋体"/>
          <w:b/>
          <w:color w:val="auto"/>
          <w:spacing w:val="6"/>
          <w:sz w:val="32"/>
          <w:szCs w:val="32"/>
          <w:highlight w:val="none"/>
        </w:rPr>
      </w:pPr>
    </w:p>
    <w:p w14:paraId="6CA894A1">
      <w:pPr>
        <w:shd w:val="clear"/>
        <w:autoSpaceDE w:val="0"/>
        <w:autoSpaceDN w:val="0"/>
        <w:jc w:val="center"/>
        <w:rPr>
          <w:rFonts w:ascii="宋体" w:hAnsi="宋体" w:cs="宋体"/>
          <w:b/>
          <w:color w:val="auto"/>
          <w:spacing w:val="6"/>
          <w:sz w:val="32"/>
          <w:szCs w:val="32"/>
          <w:highlight w:val="none"/>
        </w:rPr>
      </w:pPr>
    </w:p>
    <w:p w14:paraId="6E92C74A">
      <w:pPr>
        <w:shd w:val="clear"/>
        <w:autoSpaceDE w:val="0"/>
        <w:autoSpaceDN w:val="0"/>
        <w:jc w:val="center"/>
        <w:rPr>
          <w:rFonts w:ascii="宋体" w:hAnsi="宋体" w:cs="宋体"/>
          <w:b/>
          <w:color w:val="auto"/>
          <w:spacing w:val="6"/>
          <w:sz w:val="32"/>
          <w:szCs w:val="32"/>
          <w:highlight w:val="none"/>
        </w:rPr>
      </w:pPr>
    </w:p>
    <w:p w14:paraId="2DFE1EC3">
      <w:pPr>
        <w:shd w:val="clear"/>
        <w:autoSpaceDE w:val="0"/>
        <w:autoSpaceDN w:val="0"/>
        <w:jc w:val="center"/>
        <w:rPr>
          <w:rFonts w:ascii="宋体" w:hAnsi="宋体" w:cs="宋体"/>
          <w:b/>
          <w:color w:val="auto"/>
          <w:spacing w:val="6"/>
          <w:sz w:val="32"/>
          <w:szCs w:val="32"/>
          <w:highlight w:val="none"/>
        </w:rPr>
      </w:pPr>
    </w:p>
    <w:p w14:paraId="251EC449">
      <w:pPr>
        <w:shd w:val="clear"/>
        <w:autoSpaceDE w:val="0"/>
        <w:autoSpaceDN w:val="0"/>
        <w:jc w:val="center"/>
        <w:rPr>
          <w:rFonts w:ascii="宋体" w:hAnsi="宋体" w:cs="宋体"/>
          <w:b/>
          <w:color w:val="auto"/>
          <w:spacing w:val="6"/>
          <w:sz w:val="32"/>
          <w:szCs w:val="32"/>
          <w:highlight w:val="none"/>
        </w:rPr>
      </w:pPr>
    </w:p>
    <w:p w14:paraId="135DF470">
      <w:pPr>
        <w:shd w:val="clear"/>
        <w:autoSpaceDE w:val="0"/>
        <w:autoSpaceDN w:val="0"/>
        <w:jc w:val="center"/>
        <w:rPr>
          <w:rFonts w:ascii="宋体" w:hAnsi="宋体" w:cs="宋体"/>
          <w:b/>
          <w:color w:val="auto"/>
          <w:spacing w:val="6"/>
          <w:sz w:val="32"/>
          <w:szCs w:val="32"/>
          <w:highlight w:val="none"/>
        </w:rPr>
      </w:pPr>
    </w:p>
    <w:p w14:paraId="3008F0A8">
      <w:pPr>
        <w:shd w:val="clear"/>
        <w:autoSpaceDE w:val="0"/>
        <w:autoSpaceDN w:val="0"/>
        <w:jc w:val="center"/>
        <w:rPr>
          <w:rFonts w:ascii="宋体" w:hAnsi="宋体" w:cs="宋体"/>
          <w:b/>
          <w:color w:val="auto"/>
          <w:spacing w:val="6"/>
          <w:sz w:val="32"/>
          <w:szCs w:val="32"/>
          <w:highlight w:val="none"/>
        </w:rPr>
      </w:pPr>
    </w:p>
    <w:p w14:paraId="723464FF">
      <w:pPr>
        <w:shd w:val="clear"/>
        <w:autoSpaceDE w:val="0"/>
        <w:autoSpaceDN w:val="0"/>
        <w:jc w:val="center"/>
        <w:rPr>
          <w:rFonts w:ascii="宋体" w:hAnsi="宋体" w:cs="宋体"/>
          <w:b/>
          <w:color w:val="auto"/>
          <w:spacing w:val="6"/>
          <w:sz w:val="32"/>
          <w:szCs w:val="32"/>
          <w:highlight w:val="none"/>
        </w:rPr>
      </w:pPr>
    </w:p>
    <w:p w14:paraId="56F7AF8C">
      <w:pPr>
        <w:shd w:val="clear"/>
        <w:autoSpaceDE w:val="0"/>
        <w:autoSpaceDN w:val="0"/>
        <w:jc w:val="center"/>
        <w:rPr>
          <w:rFonts w:ascii="宋体" w:hAnsi="宋体" w:cs="宋体"/>
          <w:b/>
          <w:color w:val="auto"/>
          <w:spacing w:val="6"/>
          <w:sz w:val="32"/>
          <w:szCs w:val="32"/>
          <w:highlight w:val="none"/>
        </w:rPr>
      </w:pPr>
    </w:p>
    <w:p w14:paraId="45CB6E5B">
      <w:pPr>
        <w:shd w:val="clear"/>
        <w:autoSpaceDE w:val="0"/>
        <w:autoSpaceDN w:val="0"/>
        <w:jc w:val="center"/>
        <w:rPr>
          <w:rFonts w:ascii="宋体" w:hAnsi="宋体" w:cs="宋体"/>
          <w:b/>
          <w:color w:val="auto"/>
          <w:spacing w:val="6"/>
          <w:sz w:val="32"/>
          <w:szCs w:val="32"/>
          <w:highlight w:val="none"/>
        </w:rPr>
      </w:pPr>
    </w:p>
    <w:p w14:paraId="08CA5245">
      <w:pPr>
        <w:shd w:val="clear"/>
        <w:autoSpaceDE w:val="0"/>
        <w:autoSpaceDN w:val="0"/>
        <w:jc w:val="center"/>
        <w:rPr>
          <w:rFonts w:ascii="宋体" w:hAnsi="宋体" w:cs="宋体"/>
          <w:b/>
          <w:color w:val="auto"/>
          <w:spacing w:val="6"/>
          <w:sz w:val="32"/>
          <w:szCs w:val="32"/>
          <w:highlight w:val="none"/>
        </w:rPr>
      </w:pPr>
    </w:p>
    <w:p w14:paraId="76641C13">
      <w:pPr>
        <w:shd w:val="clear"/>
        <w:autoSpaceDE w:val="0"/>
        <w:autoSpaceDN w:val="0"/>
        <w:jc w:val="center"/>
        <w:rPr>
          <w:rFonts w:ascii="宋体" w:hAnsi="宋体" w:cs="宋体"/>
          <w:b/>
          <w:color w:val="auto"/>
          <w:spacing w:val="6"/>
          <w:sz w:val="32"/>
          <w:szCs w:val="32"/>
          <w:highlight w:val="none"/>
        </w:rPr>
      </w:pPr>
    </w:p>
    <w:p w14:paraId="3AFA8018">
      <w:pPr>
        <w:shd w:val="clear"/>
        <w:autoSpaceDE w:val="0"/>
        <w:autoSpaceDN w:val="0"/>
        <w:jc w:val="center"/>
        <w:rPr>
          <w:rFonts w:ascii="宋体" w:hAnsi="宋体" w:cs="宋体"/>
          <w:b/>
          <w:color w:val="auto"/>
          <w:spacing w:val="6"/>
          <w:sz w:val="32"/>
          <w:szCs w:val="32"/>
          <w:highlight w:val="none"/>
        </w:rPr>
      </w:pPr>
    </w:p>
    <w:p w14:paraId="4C928B9C">
      <w:pPr>
        <w:shd w:val="clear"/>
        <w:autoSpaceDE w:val="0"/>
        <w:autoSpaceDN w:val="0"/>
        <w:jc w:val="center"/>
        <w:rPr>
          <w:rFonts w:ascii="宋体" w:hAnsi="宋体" w:cs="宋体"/>
          <w:b/>
          <w:color w:val="auto"/>
          <w:spacing w:val="6"/>
          <w:sz w:val="32"/>
          <w:szCs w:val="32"/>
          <w:highlight w:val="none"/>
        </w:rPr>
      </w:pPr>
    </w:p>
    <w:p w14:paraId="464FE6AA">
      <w:pPr>
        <w:shd w:val="clear"/>
        <w:autoSpaceDE w:val="0"/>
        <w:autoSpaceDN w:val="0"/>
        <w:jc w:val="center"/>
        <w:rPr>
          <w:rFonts w:ascii="宋体" w:hAnsi="宋体" w:cs="宋体"/>
          <w:b/>
          <w:color w:val="auto"/>
          <w:spacing w:val="6"/>
          <w:sz w:val="32"/>
          <w:szCs w:val="32"/>
          <w:highlight w:val="none"/>
        </w:rPr>
      </w:pPr>
    </w:p>
    <w:p w14:paraId="504B1F27">
      <w:pPr>
        <w:shd w:val="clear"/>
        <w:autoSpaceDE w:val="0"/>
        <w:autoSpaceDN w:val="0"/>
        <w:jc w:val="center"/>
        <w:rPr>
          <w:rFonts w:ascii="宋体" w:hAnsi="宋体" w:cs="宋体"/>
          <w:b/>
          <w:color w:val="auto"/>
          <w:spacing w:val="6"/>
          <w:sz w:val="32"/>
          <w:szCs w:val="32"/>
          <w:highlight w:val="none"/>
        </w:rPr>
      </w:pPr>
    </w:p>
    <w:p w14:paraId="5A5FC707">
      <w:pPr>
        <w:shd w:val="clear"/>
        <w:autoSpaceDE w:val="0"/>
        <w:autoSpaceDN w:val="0"/>
        <w:jc w:val="center"/>
        <w:rPr>
          <w:rFonts w:ascii="宋体" w:hAnsi="宋体" w:cs="宋体"/>
          <w:b/>
          <w:color w:val="auto"/>
          <w:spacing w:val="6"/>
          <w:sz w:val="32"/>
          <w:szCs w:val="32"/>
          <w:highlight w:val="none"/>
        </w:rPr>
      </w:pPr>
    </w:p>
    <w:p w14:paraId="30163B32">
      <w:pPr>
        <w:shd w:val="clear"/>
        <w:autoSpaceDE w:val="0"/>
        <w:autoSpaceDN w:val="0"/>
        <w:jc w:val="center"/>
        <w:rPr>
          <w:rFonts w:ascii="宋体" w:hAnsi="宋体" w:cs="宋体"/>
          <w:b/>
          <w:color w:val="auto"/>
          <w:spacing w:val="6"/>
          <w:sz w:val="32"/>
          <w:szCs w:val="32"/>
          <w:highlight w:val="none"/>
        </w:rPr>
      </w:pPr>
    </w:p>
    <w:p w14:paraId="67A4D6A0">
      <w:pPr>
        <w:shd w:val="clear"/>
        <w:spacing w:line="360" w:lineRule="auto"/>
        <w:jc w:val="left"/>
        <w:outlineLvl w:val="0"/>
        <w:rPr>
          <w:rFonts w:ascii="宋体" w:hAnsi="宋体" w:cs="宋体"/>
          <w:b/>
          <w:color w:val="auto"/>
          <w:sz w:val="36"/>
          <w:szCs w:val="20"/>
          <w:highlight w:val="none"/>
        </w:rPr>
      </w:pPr>
      <w:r>
        <w:rPr>
          <w:rFonts w:hint="eastAsia" w:ascii="宋体" w:hAnsi="宋体" w:cs="宋体"/>
          <w:b/>
          <w:color w:val="auto"/>
          <w:sz w:val="36"/>
          <w:szCs w:val="20"/>
          <w:highlight w:val="none"/>
        </w:rPr>
        <w:t>附件</w:t>
      </w:r>
      <w:r>
        <w:rPr>
          <w:rFonts w:ascii="宋体" w:hAnsi="宋体" w:cs="宋体"/>
          <w:b/>
          <w:color w:val="auto"/>
          <w:sz w:val="36"/>
          <w:szCs w:val="20"/>
          <w:highlight w:val="none"/>
        </w:rPr>
        <w:t>7</w:t>
      </w:r>
      <w:r>
        <w:rPr>
          <w:rFonts w:hint="eastAsia" w:ascii="宋体" w:hAnsi="宋体" w:cs="宋体"/>
          <w:b/>
          <w:color w:val="auto"/>
          <w:sz w:val="36"/>
          <w:szCs w:val="20"/>
          <w:highlight w:val="none"/>
        </w:rPr>
        <w:t>：中小企业声明函</w:t>
      </w:r>
    </w:p>
    <w:p w14:paraId="66F5583B">
      <w:pPr>
        <w:shd w:val="clear"/>
        <w:spacing w:line="360" w:lineRule="auto"/>
        <w:jc w:val="center"/>
        <w:rPr>
          <w:rFonts w:ascii="宋体" w:hAnsi="宋体" w:cs="宋体"/>
          <w:color w:val="auto"/>
          <w:sz w:val="24"/>
          <w:highlight w:val="none"/>
          <w:u w:val="single"/>
        </w:rPr>
      </w:pPr>
    </w:p>
    <w:p w14:paraId="4590366D">
      <w:pPr>
        <w:shd w:val="clea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14:paraId="456067BD">
      <w:pPr>
        <w:shd w:val="clea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lang w:eastAsia="zh-CN"/>
        </w:rPr>
        <w:t>杭州大运河数智未来城管理委员会</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2024年大运河数智未来城高新云梯暖企通平台建设项目</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596A2A84">
      <w:pPr>
        <w:shd w:val="clea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（采购文件中明确的所属行业）</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7D532D8D">
      <w:pPr>
        <w:shd w:val="clea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 xml:space="preserve"> （标的名称），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 xml:space="preserve">（采购文件中明确的所属行业） </w:t>
      </w:r>
      <w:r>
        <w:rPr>
          <w:rFonts w:hint="eastAsia" w:ascii="宋体" w:hAnsi="宋体" w:cs="宋体"/>
          <w:color w:val="auto"/>
          <w:sz w:val="24"/>
          <w:highlight w:val="none"/>
        </w:rPr>
        <w:t xml:space="preserve">；承建（承接）企业为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23F5D3C0">
      <w:pPr>
        <w:shd w:val="clea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p>
    <w:p w14:paraId="0051F392">
      <w:pPr>
        <w:shd w:val="clea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6F453800">
      <w:pPr>
        <w:shd w:val="clea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76A62238">
      <w:pPr>
        <w:shd w:val="clear"/>
        <w:spacing w:line="360" w:lineRule="auto"/>
        <w:ind w:right="1760"/>
        <w:jc w:val="right"/>
        <w:rPr>
          <w:rFonts w:ascii="宋体" w:hAnsi="宋体" w:cs="宋体"/>
          <w:color w:val="auto"/>
          <w:sz w:val="24"/>
          <w:highlight w:val="none"/>
        </w:rPr>
      </w:pPr>
      <w:r>
        <w:rPr>
          <w:rFonts w:hint="eastAsia" w:ascii="宋体" w:hAnsi="宋体" w:cs="宋体"/>
          <w:color w:val="auto"/>
          <w:sz w:val="24"/>
          <w:highlight w:val="none"/>
        </w:rPr>
        <w:t>投标人名称（电子签名）：</w:t>
      </w:r>
    </w:p>
    <w:p w14:paraId="67AC3025">
      <w:pPr>
        <w:shd w:val="clear"/>
        <w:spacing w:line="360" w:lineRule="auto"/>
        <w:ind w:right="1120" w:firstLine="4680" w:firstLineChars="1950"/>
        <w:rPr>
          <w:rFonts w:ascii="宋体" w:hAnsi="宋体" w:cs="宋体"/>
          <w:color w:val="auto"/>
          <w:sz w:val="24"/>
          <w:highlight w:val="none"/>
        </w:rPr>
      </w:pPr>
      <w:r>
        <w:rPr>
          <w:rFonts w:hint="eastAsia" w:ascii="宋体" w:hAnsi="宋体" w:cs="宋体"/>
          <w:color w:val="auto"/>
          <w:sz w:val="24"/>
          <w:highlight w:val="none"/>
        </w:rPr>
        <w:t>日 期：</w:t>
      </w:r>
    </w:p>
    <w:p w14:paraId="263CE850">
      <w:pPr>
        <w:shd w:val="clear"/>
        <w:spacing w:line="360" w:lineRule="auto"/>
        <w:ind w:firstLine="310" w:firstLineChars="147"/>
        <w:jc w:val="left"/>
        <w:rPr>
          <w:rFonts w:ascii="宋体" w:hAnsi="宋体" w:cs="宋体"/>
          <w:b/>
          <w:color w:val="auto"/>
          <w:szCs w:val="21"/>
          <w:highlight w:val="none"/>
        </w:rPr>
      </w:pPr>
      <w:r>
        <w:rPr>
          <w:rFonts w:hint="eastAsia" w:ascii="宋体" w:hAnsi="宋体" w:cs="宋体"/>
          <w:b/>
          <w:color w:val="auto"/>
          <w:szCs w:val="21"/>
          <w:highlight w:val="none"/>
        </w:rPr>
        <w:t>从业人员、营业收入、资产总额填报上一年度数据，无上一年度数据的新成立企业可不填报。</w:t>
      </w:r>
    </w:p>
    <w:p w14:paraId="148DE4B1">
      <w:pPr>
        <w:shd w:val="clear"/>
        <w:spacing w:line="360" w:lineRule="auto"/>
        <w:ind w:right="420"/>
        <w:rPr>
          <w:rFonts w:ascii="宋体" w:hAnsi="宋体" w:cs="宋体"/>
          <w:color w:val="auto"/>
          <w:sz w:val="24"/>
          <w:highlight w:val="none"/>
        </w:rPr>
      </w:pPr>
    </w:p>
    <w:p w14:paraId="04741146">
      <w:pPr>
        <w:shd w:val="clear"/>
        <w:spacing w:line="360" w:lineRule="auto"/>
        <w:ind w:right="420"/>
        <w:rPr>
          <w:rFonts w:ascii="宋体" w:hAnsi="宋体" w:cs="宋体"/>
          <w:color w:val="auto"/>
          <w:sz w:val="24"/>
          <w:highlight w:val="none"/>
        </w:rPr>
      </w:pPr>
      <w:r>
        <w:rPr>
          <w:rFonts w:hint="eastAsia" w:ascii="宋体" w:hAnsi="宋体" w:cs="宋体"/>
          <w:color w:val="auto"/>
          <w:sz w:val="24"/>
          <w:highlight w:val="none"/>
        </w:rPr>
        <w:t xml:space="preserve">   注：</w:t>
      </w:r>
    </w:p>
    <w:p w14:paraId="28CD353F">
      <w:pPr>
        <w:shd w:val="clea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356F838E">
      <w:pPr>
        <w:shd w:val="clear"/>
        <w:spacing w:line="360" w:lineRule="auto"/>
        <w:ind w:right="420" w:firstLine="720" w:firstLineChars="300"/>
        <w:rPr>
          <w:rFonts w:ascii="宋体" w:hAnsi="宋体" w:cs="宋体"/>
          <w:color w:val="auto"/>
          <w:sz w:val="24"/>
          <w:highlight w:val="none"/>
        </w:rPr>
      </w:pPr>
      <w:r>
        <w:rPr>
          <w:rFonts w:hint="eastAsia" w:ascii="宋体" w:hAnsi="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615FF302">
      <w:pPr>
        <w:pStyle w:val="2"/>
        <w:shd w:val="clear"/>
        <w:rPr>
          <w:rFonts w:ascii="宋体" w:hAnsi="宋体" w:eastAsia="宋体" w:cs="宋体"/>
          <w:color w:val="auto"/>
          <w:highlight w:val="none"/>
          <w:lang w:val="en-US"/>
        </w:rPr>
      </w:pPr>
    </w:p>
    <w:p w14:paraId="77048AB4">
      <w:pPr>
        <w:shd w:val="clear"/>
        <w:spacing w:line="360" w:lineRule="auto"/>
        <w:ind w:right="420"/>
        <w:rPr>
          <w:rFonts w:ascii="宋体" w:hAnsi="宋体" w:cs="宋体"/>
          <w:color w:val="auto"/>
          <w:highlight w:val="none"/>
        </w:rPr>
      </w:pPr>
    </w:p>
    <w:p w14:paraId="73F6BC9E">
      <w:pPr>
        <w:shd w:val="clear"/>
        <w:spacing w:line="360" w:lineRule="auto"/>
        <w:rPr>
          <w:rFonts w:ascii="宋体" w:hAnsi="宋体" w:cs="宋体"/>
          <w:bCs/>
          <w:color w:val="auto"/>
          <w:sz w:val="24"/>
          <w:highlight w:val="none"/>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D769CD9A-2B30-4FC8-A8EA-BDE675CED0BC}"/>
  </w:font>
  <w:font w:name="Arial">
    <w:panose1 w:val="020B0604020202020204"/>
    <w:charset w:val="01"/>
    <w:family w:val="swiss"/>
    <w:pitch w:val="default"/>
    <w:sig w:usb0="E0002EFF" w:usb1="C000785B" w:usb2="00000009" w:usb3="00000000" w:csb0="400001FF" w:csb1="FFFF0000"/>
    <w:embedRegular r:id="rId2" w:fontKey="{8CBF4756-7E00-4BAE-AD8C-A9440DA00D3F}"/>
  </w:font>
  <w:font w:name="黑体">
    <w:panose1 w:val="02010609060101010101"/>
    <w:charset w:val="86"/>
    <w:family w:val="auto"/>
    <w:pitch w:val="default"/>
    <w:sig w:usb0="800002BF" w:usb1="38CF7CFA" w:usb2="00000016" w:usb3="00000000" w:csb0="00040001" w:csb1="00000000"/>
    <w:embedRegular r:id="rId3" w:fontKey="{709DF1D1-EC9E-4ECA-A429-2834EC067DC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4" w:fontKey="{47FFA475-4AF5-4F98-9D59-EAE2329A257D}"/>
  </w:font>
  <w:font w:name="仿宋">
    <w:panose1 w:val="02010609060101010101"/>
    <w:charset w:val="86"/>
    <w:family w:val="auto"/>
    <w:pitch w:val="default"/>
    <w:sig w:usb0="800002BF" w:usb1="38CF7CFA" w:usb2="00000016" w:usb3="00000000" w:csb0="00040001" w:csb1="00000000"/>
    <w:embedRegular r:id="rId5" w:fontKey="{46602A51-9962-4CFF-A043-DC09F17FBF4E}"/>
  </w:font>
  <w:font w:name="仿宋_GB2312">
    <w:panose1 w:val="02010609030101010101"/>
    <w:charset w:val="86"/>
    <w:family w:val="modern"/>
    <w:pitch w:val="default"/>
    <w:sig w:usb0="00000001" w:usb1="080E0000" w:usb2="00000000" w:usb3="00000000" w:csb0="00040000" w:csb1="00000000"/>
    <w:embedRegular r:id="rId6" w:fontKey="{C29A5ED2-ABC9-4923-959E-D4A638AA1CFD}"/>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panose1 w:val="020B0506020202030204"/>
    <w:charset w:val="00"/>
    <w:family w:val="swiss"/>
    <w:pitch w:val="default"/>
    <w:sig w:usb0="00000287"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0000000000000000000"/>
    <w:charset w:val="00"/>
    <w:family w:val="swiss"/>
    <w:pitch w:val="default"/>
    <w:sig w:usb0="00000000" w:usb1="00000000" w:usb2="00000000" w:usb3="00000000" w:csb0="2000019F" w:csb1="4F01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0"/>
    <w:family w:val="auto"/>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embedRegular r:id="rId7" w:fontKey="{9B5ADCFA-C2B6-471C-BC87-04F46D51EDB7}"/>
  </w:font>
  <w:font w:name="MS Mincho">
    <w:panose1 w:val="02020609040205080304"/>
    <w:charset w:val="80"/>
    <w:family w:val="modern"/>
    <w:pitch w:val="default"/>
    <w:sig w:usb0="A00002BF" w:usb1="68C7FCFB" w:usb2="00000010" w:usb3="00000000" w:csb0="4002009F" w:csb1="DFD70000"/>
    <w:embedRegular r:id="rId8" w:fontKey="{B1AE69A3-1BFA-49D4-9EEE-C89298EA3A3D}"/>
  </w:font>
  <w:font w:name="Segoe Print">
    <w:panose1 w:val="02000600000000000000"/>
    <w:charset w:val="00"/>
    <w:family w:val="auto"/>
    <w:pitch w:val="default"/>
    <w:sig w:usb0="0000028F" w:usb1="00000000" w:usb2="00000000" w:usb3="00000000" w:csb0="2000009F" w:csb1="47010000"/>
  </w:font>
  <w:font w:name="Segoe UI Semilight">
    <w:panose1 w:val="020B04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5137FE">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97B2E6">
    <w:pPr>
      <w:pStyle w:val="42"/>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8AB55F">
    <w:pPr>
      <w:pStyle w:val="42"/>
      <w:framePr w:wrap="around" w:vAnchor="text" w:hAnchor="margin" w:xAlign="right" w:y="1"/>
      <w:rPr>
        <w:rStyle w:val="74"/>
      </w:rPr>
    </w:pPr>
    <w:r>
      <w:fldChar w:fldCharType="begin"/>
    </w:r>
    <w:r>
      <w:rPr>
        <w:rStyle w:val="74"/>
      </w:rPr>
      <w:instrText xml:space="preserve">PAGE  </w:instrText>
    </w:r>
    <w:r>
      <w:fldChar w:fldCharType="end"/>
    </w:r>
  </w:p>
  <w:p w14:paraId="545C0817">
    <w:pPr>
      <w:pStyle w:val="42"/>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2B4B45">
    <w:pPr>
      <w:pStyle w:val="42"/>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bookmarkStart w:id="534" w:name="_Toc36110187"/>
    <w:bookmarkStart w:id="535" w:name="_Toc91899912"/>
    <w:bookmarkStart w:id="536" w:name="_Toc164085800"/>
    <w:bookmarkStart w:id="537" w:name="_Toc131845147"/>
    <w:r>
      <w:rPr>
        <w:rFonts w:hint="eastAsia" w:ascii="仿宋_GB2312" w:eastAsia="仿宋_GB2312"/>
        <w:kern w:val="0"/>
        <w:szCs w:val="21"/>
      </w:rPr>
      <w:t xml:space="preserve"> 页</w:t>
    </w:r>
    <w:bookmarkEnd w:id="534"/>
    <w:bookmarkEnd w:id="535"/>
    <w:bookmarkEnd w:id="536"/>
    <w:bookmarkEnd w:id="537"/>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8DED98">
    <w:pPr>
      <w:pStyle w:val="42"/>
      <w:framePr w:wrap="around" w:vAnchor="text" w:hAnchor="margin" w:xAlign="right" w:y="1"/>
      <w:rPr>
        <w:rStyle w:val="74"/>
      </w:rPr>
    </w:pPr>
    <w:r>
      <w:fldChar w:fldCharType="begin"/>
    </w:r>
    <w:r>
      <w:rPr>
        <w:rStyle w:val="74"/>
      </w:rPr>
      <w:instrText xml:space="preserve">PAGE  </w:instrText>
    </w:r>
    <w:r>
      <w:fldChar w:fldCharType="end"/>
    </w:r>
  </w:p>
  <w:p w14:paraId="5E589BD8">
    <w:pPr>
      <w:pStyle w:val="4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9F5006">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3</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C890A9">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w:t>
    </w:r>
  </w:p>
  <w:p w14:paraId="50FD591A">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EF47E1">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w:t>
    </w:r>
  </w:p>
  <w:p w14:paraId="45E7DA68">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A13A02">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w:t>
    </w:r>
  </w:p>
  <w:p w14:paraId="1C935BFC">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BBE6B1">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w:t>
    </w:r>
  </w:p>
  <w:p w14:paraId="10790C69">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653B49">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w:t>
    </w:r>
  </w:p>
  <w:p w14:paraId="2042EB30">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845AE4">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w:t>
    </w:r>
  </w:p>
  <w:p w14:paraId="1F06987B">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094608">
    <w:pPr>
      <w:pStyle w:val="44"/>
      <w:pBdr>
        <w:bottom w:val="single" w:color="auto" w:sz="6" w:space="4"/>
      </w:pBdr>
      <w:jc w:val="right"/>
    </w:pPr>
    <w:r>
      <w:t></w:t>
    </w:r>
    <w:r>
      <w:rPr>
        <w:rFonts w:hint="eastAsia"/>
      </w:rPr>
      <w:t xml:space="preserve">             </w:t>
    </w:r>
    <w:r>
      <w:t>杭州市政府采购公开招标文件</w:t>
    </w:r>
  </w:p>
  <w:p w14:paraId="02DF3B2A">
    <w:pPr>
      <w:pStyle w:val="61"/>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F28A97">
    <w:pPr>
      <w:pStyle w:val="44"/>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A08241">
    <w:pPr>
      <w:pStyle w:val="44"/>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3B81F4">
    <w:pPr>
      <w:pStyle w:val="44"/>
      <w:rPr>
        <w:rFonts w:ascii="仿宋_GB2312" w:eastAsia="仿宋_GB2312"/>
        <w:b/>
        <w:i/>
        <w:u w:val="single"/>
      </w:rPr>
    </w:pPr>
    <w:r>
      <w:t></w:t>
    </w:r>
    <w:r>
      <w:rPr>
        <w:rFonts w:hint="eastAsia"/>
      </w:rPr>
      <w:t xml:space="preserve">                                                  </w:t>
    </w:r>
    <w:r>
      <w:t xml:space="preserve">             杭州市政府采购公开招标文件</w:t>
    </w:r>
  </w:p>
  <w:p w14:paraId="6A8309D7">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FEE2F5">
    <w:pPr>
      <w:pStyle w:val="44"/>
    </w:pPr>
    <w:r>
      <w:t></w:t>
    </w:r>
    <w:r>
      <w:rPr>
        <w:rFonts w:hint="eastAsia"/>
      </w:rPr>
      <w:t xml:space="preserve">         </w:t>
    </w:r>
  </w:p>
  <w:p w14:paraId="32298F26">
    <w:pPr>
      <w:pStyle w:val="44"/>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C6E4CB">
    <w:pPr>
      <w:pStyle w:val="44"/>
      <w:rPr>
        <w:rFonts w:ascii="仿宋_GB2312" w:eastAsia="仿宋_GB2312"/>
        <w:b/>
        <w:i/>
        <w:u w:val="single"/>
      </w:rPr>
    </w:pPr>
    <w:r>
      <w:t></w:t>
    </w:r>
    <w:r>
      <w:rPr>
        <w:rFonts w:hint="eastAsia"/>
      </w:rPr>
      <w:t xml:space="preserve">                                                  </w:t>
    </w:r>
    <w:r>
      <w:t>杭州市政府采购公开招标文件</w:t>
    </w:r>
  </w:p>
  <w:p w14:paraId="39FDBE19">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5C0419">
    <w:pPr>
      <w:pStyle w:val="44"/>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15CF83">
    <w:pPr>
      <w:pStyle w:val="44"/>
      <w:jc w:val="right"/>
      <w:rPr>
        <w:rFonts w:ascii="仿宋_GB2312" w:eastAsia="仿宋_GB2312"/>
        <w:b/>
        <w:i/>
        <w:u w:val="single"/>
      </w:rPr>
    </w:pPr>
    <w:r>
      <w:rPr>
        <w:rFonts w:hint="eastAsia"/>
      </w:rPr>
      <w:t xml:space="preserve">                                  </w:t>
    </w:r>
    <w:r>
      <w:t>杭州市政府采购公开招标文件</w:t>
    </w:r>
  </w:p>
  <w:p w14:paraId="6B9143BD">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B2D7AF">
    <w:pPr>
      <w:pStyle w:val="44"/>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33AF68">
    <w:pPr>
      <w:pStyle w:val="44"/>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F025C71"/>
    <w:multiLevelType w:val="singleLevel"/>
    <w:tmpl w:val="5F025C71"/>
    <w:lvl w:ilvl="0" w:tentative="0">
      <w:start w:val="1"/>
      <w:numFmt w:val="bullet"/>
      <w:lvlText w:val=""/>
      <w:lvlJc w:val="left"/>
      <w:pPr>
        <w:tabs>
          <w:tab w:val="left" w:pos="420"/>
        </w:tabs>
        <w:ind w:left="84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FkN2U4MGY2NzBkNDNkNjNmYTY0MjMzMDUxMTI1YWQifQ=="/>
  </w:docVars>
  <w:rsids>
    <w:rsidRoot w:val="00000000"/>
    <w:rsid w:val="0167398B"/>
    <w:rsid w:val="03E5157D"/>
    <w:rsid w:val="05BD4048"/>
    <w:rsid w:val="06545198"/>
    <w:rsid w:val="0CBB44BF"/>
    <w:rsid w:val="0EFD32BF"/>
    <w:rsid w:val="11275FFA"/>
    <w:rsid w:val="118542D3"/>
    <w:rsid w:val="12BB1EC1"/>
    <w:rsid w:val="138D03E8"/>
    <w:rsid w:val="146A39EB"/>
    <w:rsid w:val="151E03AD"/>
    <w:rsid w:val="15C9134E"/>
    <w:rsid w:val="17E04904"/>
    <w:rsid w:val="18100480"/>
    <w:rsid w:val="196B5A53"/>
    <w:rsid w:val="1B7C6049"/>
    <w:rsid w:val="1EB76D94"/>
    <w:rsid w:val="1F242A63"/>
    <w:rsid w:val="1F6E1F30"/>
    <w:rsid w:val="2126445C"/>
    <w:rsid w:val="217557F8"/>
    <w:rsid w:val="21A40B01"/>
    <w:rsid w:val="245E623D"/>
    <w:rsid w:val="26A37A7A"/>
    <w:rsid w:val="28091C43"/>
    <w:rsid w:val="2C3A38C6"/>
    <w:rsid w:val="2C64760B"/>
    <w:rsid w:val="2E2D0309"/>
    <w:rsid w:val="2F6A001E"/>
    <w:rsid w:val="336074D2"/>
    <w:rsid w:val="347D19AD"/>
    <w:rsid w:val="3575596F"/>
    <w:rsid w:val="36A23215"/>
    <w:rsid w:val="37BD04AA"/>
    <w:rsid w:val="3980282A"/>
    <w:rsid w:val="3C0C05D9"/>
    <w:rsid w:val="3DB10AB3"/>
    <w:rsid w:val="3FFC37EF"/>
    <w:rsid w:val="418677AA"/>
    <w:rsid w:val="42636414"/>
    <w:rsid w:val="4E4741E9"/>
    <w:rsid w:val="513533B9"/>
    <w:rsid w:val="53C805A6"/>
    <w:rsid w:val="56245EC3"/>
    <w:rsid w:val="56951575"/>
    <w:rsid w:val="59F14D15"/>
    <w:rsid w:val="637F3391"/>
    <w:rsid w:val="65B16171"/>
    <w:rsid w:val="667408C9"/>
    <w:rsid w:val="667411A7"/>
    <w:rsid w:val="6C091574"/>
    <w:rsid w:val="6C705F6D"/>
    <w:rsid w:val="6F1140B8"/>
    <w:rsid w:val="6F7C56F5"/>
    <w:rsid w:val="72121874"/>
    <w:rsid w:val="72D354A8"/>
    <w:rsid w:val="735F59C8"/>
    <w:rsid w:val="746F331B"/>
    <w:rsid w:val="764B30E2"/>
    <w:rsid w:val="78DA1AF3"/>
    <w:rsid w:val="78F32400"/>
    <w:rsid w:val="7AE804D8"/>
    <w:rsid w:val="7B4749C8"/>
    <w:rsid w:val="7CD50349"/>
    <w:rsid w:val="7CF95B0B"/>
    <w:rsid w:val="7E8B46EC"/>
    <w:rsid w:val="7FF64583"/>
    <w:rsid w:val="BE9FE0E4"/>
    <w:rsid w:val="E775743B"/>
    <w:rsid w:val="FEDE6F8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4"/>
    <w:link w:val="81"/>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6"/>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26"/>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2"/>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47"/>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06"/>
    <w:autoRedefine/>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57"/>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82"/>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1">
    <w:name w:val="Default Paragraph Font"/>
    <w:unhideWhenUsed/>
    <w:qFormat/>
    <w:uiPriority w:val="1"/>
  </w:style>
  <w:style w:type="table" w:default="1" w:styleId="64">
    <w:name w:val="Normal Table"/>
    <w:unhideWhenUsed/>
    <w:qFormat/>
    <w:uiPriority w:val="99"/>
    <w:tblPr>
      <w:tblCellMar>
        <w:top w:w="0" w:type="dxa"/>
        <w:left w:w="108" w:type="dxa"/>
        <w:bottom w:w="0" w:type="dxa"/>
        <w:right w:w="108" w:type="dxa"/>
      </w:tblCellMar>
    </w:tblPr>
  </w:style>
  <w:style w:type="paragraph" w:customStyle="1" w:styleId="4">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styleId="6">
    <w:name w:val="Normal Indent"/>
    <w:basedOn w:val="1"/>
    <w:link w:val="193"/>
    <w:qFormat/>
    <w:uiPriority w:val="0"/>
    <w:pPr>
      <w:widowControl/>
      <w:snapToGrid w:val="0"/>
      <w:spacing w:line="480" w:lineRule="exact"/>
      <w:ind w:firstLine="567"/>
    </w:pPr>
    <w:rPr>
      <w:rFonts w:ascii="宋体"/>
      <w:snapToGrid w:val="0"/>
      <w:color w:val="000000"/>
      <w:kern w:val="28"/>
      <w:sz w:val="28"/>
      <w:szCs w:val="20"/>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caption"/>
    <w:basedOn w:val="1"/>
    <w:next w:val="1"/>
    <w:link w:val="229"/>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202"/>
    <w:qFormat/>
    <w:uiPriority w:val="0"/>
    <w:pPr>
      <w:shd w:val="clear" w:color="auto" w:fill="000080"/>
    </w:pPr>
  </w:style>
  <w:style w:type="paragraph" w:styleId="20">
    <w:name w:val="annotation text"/>
    <w:basedOn w:val="1"/>
    <w:link w:val="343"/>
    <w:qFormat/>
    <w:uiPriority w:val="99"/>
    <w:pPr>
      <w:jc w:val="left"/>
    </w:pPr>
  </w:style>
  <w:style w:type="paragraph" w:styleId="21">
    <w:name w:val="Salutation"/>
    <w:basedOn w:val="1"/>
    <w:next w:val="1"/>
    <w:link w:val="297"/>
    <w:qFormat/>
    <w:uiPriority w:val="0"/>
    <w:rPr>
      <w:rFonts w:ascii="仿宋_GB2312" w:eastAsia="仿宋_GB2312"/>
      <w:sz w:val="28"/>
      <w:szCs w:val="20"/>
    </w:rPr>
  </w:style>
  <w:style w:type="paragraph" w:styleId="22">
    <w:name w:val="Body Text 3"/>
    <w:basedOn w:val="1"/>
    <w:link w:val="329"/>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w:basedOn w:val="1"/>
    <w:next w:val="25"/>
    <w:link w:val="429"/>
    <w:qFormat/>
    <w:uiPriority w:val="0"/>
    <w:pPr>
      <w:autoSpaceDE w:val="0"/>
      <w:autoSpaceDN w:val="0"/>
      <w:spacing w:line="360" w:lineRule="auto"/>
    </w:pPr>
    <w:rPr>
      <w:rFonts w:ascii="宋体" w:hAnsi="Arial" w:cs="Arial"/>
      <w:snapToGrid w:val="0"/>
      <w:sz w:val="24"/>
      <w:szCs w:val="21"/>
      <w:lang w:val="zh-CN"/>
    </w:rPr>
  </w:style>
  <w:style w:type="paragraph" w:styleId="25">
    <w:name w:val="Body Text First Indent"/>
    <w:basedOn w:val="24"/>
    <w:next w:val="26"/>
    <w:link w:val="320"/>
    <w:qFormat/>
    <w:uiPriority w:val="0"/>
    <w:pPr>
      <w:ind w:firstLine="420"/>
    </w:pPr>
    <w:rPr>
      <w:rFonts w:hAnsi="Calibri" w:cs="Times New Roman"/>
      <w:szCs w:val="20"/>
    </w:rPr>
  </w:style>
  <w:style w:type="paragraph" w:styleId="26">
    <w:name w:val="toc 6"/>
    <w:basedOn w:val="1"/>
    <w:next w:val="1"/>
    <w:qFormat/>
    <w:uiPriority w:val="0"/>
    <w:pPr>
      <w:ind w:left="2100" w:leftChars="1000"/>
    </w:pPr>
  </w:style>
  <w:style w:type="paragraph" w:styleId="27">
    <w:name w:val="Body Text Indent"/>
    <w:basedOn w:val="1"/>
    <w:link w:val="265"/>
    <w:qFormat/>
    <w:uiPriority w:val="0"/>
    <w:pPr>
      <w:spacing w:line="480" w:lineRule="exact"/>
      <w:ind w:firstLine="480" w:firstLineChars="200"/>
    </w:pPr>
    <w:rPr>
      <w:rFonts w:ascii="宋体" w:hAnsi="宋体"/>
      <w:sz w:val="24"/>
    </w:rPr>
  </w:style>
  <w:style w:type="paragraph" w:styleId="28">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9">
    <w:name w:val="List 2"/>
    <w:basedOn w:val="1"/>
    <w:qFormat/>
    <w:uiPriority w:val="0"/>
    <w:pPr>
      <w:adjustRightInd/>
      <w:spacing w:line="360" w:lineRule="auto"/>
      <w:ind w:left="100" w:leftChars="200" w:hanging="200" w:hangingChars="200"/>
    </w:pPr>
    <w:rPr>
      <w:rFonts w:eastAsia="微软雅黑"/>
    </w:rPr>
  </w:style>
  <w:style w:type="paragraph" w:styleId="30">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1">
    <w:name w:val="List Bullet 2"/>
    <w:basedOn w:val="1"/>
    <w:qFormat/>
    <w:uiPriority w:val="0"/>
    <w:pPr>
      <w:autoSpaceDE w:val="0"/>
      <w:autoSpaceDN w:val="0"/>
      <w:ind w:left="420"/>
      <w:jc w:val="left"/>
    </w:pPr>
    <w:rPr>
      <w:rFonts w:ascii="宋体" w:hAnsi="宋体"/>
      <w:color w:val="000000"/>
      <w:kern w:val="0"/>
      <w:sz w:val="24"/>
      <w:szCs w:val="20"/>
    </w:rPr>
  </w:style>
  <w:style w:type="paragraph" w:styleId="32">
    <w:name w:val="HTML Address"/>
    <w:basedOn w:val="1"/>
    <w:link w:val="219"/>
    <w:qFormat/>
    <w:uiPriority w:val="0"/>
    <w:pPr>
      <w:widowControl/>
      <w:adjustRightInd/>
      <w:ind w:firstLine="200" w:firstLineChars="200"/>
      <w:jc w:val="left"/>
    </w:pPr>
    <w:rPr>
      <w:rFonts w:ascii="宋体" w:hAnsi="宋体"/>
      <w:i/>
      <w:iCs/>
      <w:kern w:val="0"/>
      <w:sz w:val="24"/>
    </w:rPr>
  </w:style>
  <w:style w:type="paragraph" w:styleId="33">
    <w:name w:val="toc 5"/>
    <w:basedOn w:val="1"/>
    <w:next w:val="1"/>
    <w:qFormat/>
    <w:uiPriority w:val="0"/>
    <w:pPr>
      <w:ind w:left="1680" w:leftChars="800"/>
    </w:pPr>
  </w:style>
  <w:style w:type="paragraph" w:styleId="34">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5">
    <w:name w:val="Plain Text"/>
    <w:basedOn w:val="1"/>
    <w:link w:val="125"/>
    <w:qFormat/>
    <w:uiPriority w:val="0"/>
    <w:rPr>
      <w:rFonts w:ascii="宋体" w:hAnsi="Courier New" w:cs="Arial"/>
      <w:snapToGrid w:val="0"/>
      <w:szCs w:val="21"/>
    </w:rPr>
  </w:style>
  <w:style w:type="paragraph" w:styleId="36">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7">
    <w:name w:val="toc 8"/>
    <w:basedOn w:val="1"/>
    <w:next w:val="1"/>
    <w:qFormat/>
    <w:uiPriority w:val="0"/>
    <w:pPr>
      <w:ind w:left="2940" w:leftChars="1400"/>
    </w:pPr>
  </w:style>
  <w:style w:type="paragraph" w:styleId="38">
    <w:name w:val="Date"/>
    <w:basedOn w:val="1"/>
    <w:next w:val="1"/>
    <w:link w:val="181"/>
    <w:qFormat/>
    <w:uiPriority w:val="0"/>
    <w:pPr>
      <w:ind w:left="100" w:leftChars="2500"/>
    </w:pPr>
    <w:rPr>
      <w:rFonts w:ascii="宋体"/>
      <w:sz w:val="24"/>
      <w:szCs w:val="21"/>
      <w:lang w:val="zh-CN"/>
    </w:rPr>
  </w:style>
  <w:style w:type="paragraph" w:styleId="39">
    <w:name w:val="Body Text Indent 2"/>
    <w:basedOn w:val="1"/>
    <w:link w:val="307"/>
    <w:qFormat/>
    <w:uiPriority w:val="0"/>
    <w:pPr>
      <w:spacing w:line="360" w:lineRule="auto"/>
      <w:ind w:firstLine="601"/>
      <w:textAlignment w:val="baseline"/>
    </w:pPr>
    <w:rPr>
      <w:rFonts w:ascii="宋体"/>
      <w:kern w:val="0"/>
      <w:sz w:val="28"/>
      <w:szCs w:val="20"/>
    </w:rPr>
  </w:style>
  <w:style w:type="paragraph" w:styleId="40">
    <w:name w:val="endnote text"/>
    <w:basedOn w:val="1"/>
    <w:link w:val="930"/>
    <w:qFormat/>
    <w:uiPriority w:val="0"/>
    <w:rPr>
      <w:lang w:val="zh-CN"/>
    </w:rPr>
  </w:style>
  <w:style w:type="paragraph" w:styleId="41">
    <w:name w:val="Balloon Text"/>
    <w:basedOn w:val="1"/>
    <w:link w:val="188"/>
    <w:qFormat/>
    <w:uiPriority w:val="0"/>
    <w:rPr>
      <w:sz w:val="18"/>
      <w:szCs w:val="18"/>
    </w:rPr>
  </w:style>
  <w:style w:type="paragraph" w:styleId="42">
    <w:name w:val="footer"/>
    <w:basedOn w:val="1"/>
    <w:link w:val="382"/>
    <w:qFormat/>
    <w:uiPriority w:val="99"/>
    <w:pPr>
      <w:tabs>
        <w:tab w:val="center" w:pos="4153"/>
        <w:tab w:val="right" w:pos="8306"/>
      </w:tabs>
      <w:snapToGrid w:val="0"/>
      <w:jc w:val="left"/>
    </w:pPr>
    <w:rPr>
      <w:sz w:val="18"/>
      <w:szCs w:val="18"/>
    </w:rPr>
  </w:style>
  <w:style w:type="paragraph" w:styleId="43">
    <w:name w:val="envelope return"/>
    <w:basedOn w:val="1"/>
    <w:qFormat/>
    <w:uiPriority w:val="0"/>
    <w:pPr>
      <w:snapToGrid w:val="0"/>
    </w:pPr>
    <w:rPr>
      <w:rFonts w:ascii="Arial" w:hAnsi="Arial"/>
    </w:rPr>
  </w:style>
  <w:style w:type="paragraph" w:styleId="44">
    <w:name w:val="header"/>
    <w:basedOn w:val="1"/>
    <w:link w:val="391"/>
    <w:qFormat/>
    <w:uiPriority w:val="99"/>
    <w:pPr>
      <w:pBdr>
        <w:bottom w:val="single" w:color="auto" w:sz="6" w:space="1"/>
      </w:pBdr>
      <w:tabs>
        <w:tab w:val="center" w:pos="4153"/>
        <w:tab w:val="right" w:pos="8306"/>
      </w:tabs>
      <w:snapToGrid w:val="0"/>
      <w:jc w:val="center"/>
    </w:pPr>
    <w:rPr>
      <w:sz w:val="18"/>
      <w:szCs w:val="18"/>
    </w:rPr>
  </w:style>
  <w:style w:type="paragraph" w:styleId="45">
    <w:name w:val="Signature"/>
    <w:basedOn w:val="1"/>
    <w:link w:val="344"/>
    <w:qFormat/>
    <w:uiPriority w:val="0"/>
    <w:pPr>
      <w:spacing w:after="600" w:line="312" w:lineRule="atLeast"/>
      <w:jc w:val="center"/>
      <w:textAlignment w:val="baseline"/>
    </w:pPr>
    <w:rPr>
      <w:rFonts w:eastAsia="仿宋_GB2312"/>
      <w:kern w:val="0"/>
      <w:sz w:val="24"/>
      <w:szCs w:val="20"/>
    </w:rPr>
  </w:style>
  <w:style w:type="paragraph" w:styleId="46">
    <w:name w:val="toc 1"/>
    <w:basedOn w:val="1"/>
    <w:next w:val="1"/>
    <w:qFormat/>
    <w:uiPriority w:val="0"/>
  </w:style>
  <w:style w:type="paragraph" w:styleId="47">
    <w:name w:val="toc 4"/>
    <w:basedOn w:val="1"/>
    <w:next w:val="1"/>
    <w:qFormat/>
    <w:uiPriority w:val="0"/>
    <w:pPr>
      <w:ind w:left="1260" w:leftChars="600"/>
    </w:pPr>
  </w:style>
  <w:style w:type="paragraph" w:styleId="48">
    <w:name w:val="index heading"/>
    <w:basedOn w:val="1"/>
    <w:next w:val="49"/>
    <w:qFormat/>
    <w:uiPriority w:val="0"/>
    <w:pPr>
      <w:adjustRightInd/>
      <w:ind w:firstLine="200" w:firstLineChars="200"/>
    </w:pPr>
  </w:style>
  <w:style w:type="paragraph" w:styleId="49">
    <w:name w:val="index 1"/>
    <w:basedOn w:val="1"/>
    <w:next w:val="1"/>
    <w:qFormat/>
    <w:uiPriority w:val="0"/>
    <w:pPr>
      <w:adjustRightInd/>
      <w:spacing w:line="360" w:lineRule="auto"/>
      <w:ind w:firstLine="200" w:firstLineChars="200"/>
      <w:jc w:val="center"/>
    </w:pPr>
    <w:rPr>
      <w:sz w:val="24"/>
      <w:szCs w:val="20"/>
    </w:rPr>
  </w:style>
  <w:style w:type="paragraph" w:styleId="50">
    <w:name w:val="Subtitle"/>
    <w:basedOn w:val="1"/>
    <w:next w:val="1"/>
    <w:link w:val="133"/>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1">
    <w:name w:val="List Number 5"/>
    <w:basedOn w:val="1"/>
    <w:qFormat/>
    <w:uiPriority w:val="0"/>
    <w:pPr>
      <w:tabs>
        <w:tab w:val="left" w:pos="902"/>
      </w:tabs>
      <w:adjustRightInd/>
      <w:spacing w:line="400" w:lineRule="exact"/>
      <w:ind w:left="902" w:hanging="420"/>
    </w:pPr>
    <w:rPr>
      <w:sz w:val="24"/>
      <w:szCs w:val="20"/>
    </w:rPr>
  </w:style>
  <w:style w:type="paragraph" w:styleId="52">
    <w:name w:val="List"/>
    <w:basedOn w:val="1"/>
    <w:qFormat/>
    <w:uiPriority w:val="0"/>
    <w:pPr>
      <w:ind w:left="200" w:hanging="200" w:hangingChars="200"/>
    </w:pPr>
  </w:style>
  <w:style w:type="paragraph" w:styleId="53">
    <w:name w:val="footnote text"/>
    <w:basedOn w:val="6"/>
    <w:link w:val="309"/>
    <w:qFormat/>
    <w:uiPriority w:val="0"/>
    <w:pPr>
      <w:adjustRightInd/>
      <w:snapToGrid/>
      <w:spacing w:before="60" w:after="60" w:line="300" w:lineRule="exact"/>
      <w:ind w:firstLine="0"/>
    </w:pPr>
    <w:rPr>
      <w:rFonts w:ascii="Calibri"/>
      <w:color w:val="0000FF"/>
      <w:kern w:val="0"/>
      <w:sz w:val="21"/>
    </w:rPr>
  </w:style>
  <w:style w:type="paragraph" w:styleId="54">
    <w:name w:val="List 5"/>
    <w:basedOn w:val="1"/>
    <w:qFormat/>
    <w:uiPriority w:val="0"/>
    <w:pPr>
      <w:adjustRightInd/>
      <w:ind w:left="100" w:leftChars="800" w:hanging="200" w:hangingChars="200"/>
    </w:pPr>
  </w:style>
  <w:style w:type="paragraph" w:styleId="55">
    <w:name w:val="Body Text Indent 3"/>
    <w:basedOn w:val="1"/>
    <w:link w:val="374"/>
    <w:qFormat/>
    <w:uiPriority w:val="0"/>
    <w:pPr>
      <w:spacing w:line="360" w:lineRule="auto"/>
      <w:ind w:firstLine="420"/>
    </w:pPr>
    <w:rPr>
      <w:sz w:val="24"/>
      <w:szCs w:val="20"/>
    </w:rPr>
  </w:style>
  <w:style w:type="paragraph" w:styleId="56">
    <w:name w:val="toc 2"/>
    <w:basedOn w:val="1"/>
    <w:next w:val="1"/>
    <w:qFormat/>
    <w:uiPriority w:val="0"/>
    <w:pPr>
      <w:ind w:left="420" w:leftChars="200"/>
    </w:pPr>
  </w:style>
  <w:style w:type="paragraph" w:styleId="57">
    <w:name w:val="toc 9"/>
    <w:basedOn w:val="1"/>
    <w:next w:val="1"/>
    <w:qFormat/>
    <w:uiPriority w:val="0"/>
    <w:pPr>
      <w:ind w:left="3360" w:leftChars="1600"/>
    </w:pPr>
  </w:style>
  <w:style w:type="paragraph" w:styleId="58">
    <w:name w:val="Body Text 2"/>
    <w:basedOn w:val="1"/>
    <w:link w:val="301"/>
    <w:qFormat/>
    <w:uiPriority w:val="0"/>
    <w:pPr>
      <w:spacing w:after="120" w:line="480" w:lineRule="auto"/>
    </w:pPr>
  </w:style>
  <w:style w:type="paragraph" w:styleId="59">
    <w:name w:val="HTML Preformatted"/>
    <w:basedOn w:val="1"/>
    <w:link w:val="30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0">
    <w:name w:val="Normal (Web)"/>
    <w:basedOn w:val="1"/>
    <w:qFormat/>
    <w:uiPriority w:val="99"/>
    <w:pPr>
      <w:widowControl/>
      <w:spacing w:before="100" w:beforeAutospacing="1" w:after="100" w:afterAutospacing="1"/>
      <w:jc w:val="left"/>
    </w:pPr>
    <w:rPr>
      <w:rFonts w:ascii="宋体" w:hAnsi="宋体"/>
      <w:kern w:val="0"/>
      <w:sz w:val="24"/>
    </w:rPr>
  </w:style>
  <w:style w:type="paragraph" w:styleId="61">
    <w:name w:val="Title"/>
    <w:basedOn w:val="1"/>
    <w:link w:val="285"/>
    <w:qFormat/>
    <w:uiPriority w:val="10"/>
    <w:pPr>
      <w:widowControl/>
      <w:overflowPunct w:val="0"/>
      <w:autoSpaceDE w:val="0"/>
      <w:autoSpaceDN w:val="0"/>
      <w:jc w:val="center"/>
      <w:textAlignment w:val="baseline"/>
    </w:pPr>
    <w:rPr>
      <w:b/>
      <w:kern w:val="0"/>
      <w:sz w:val="24"/>
      <w:szCs w:val="20"/>
      <w:lang w:val="en-GB"/>
    </w:rPr>
  </w:style>
  <w:style w:type="paragraph" w:styleId="62">
    <w:name w:val="annotation subject"/>
    <w:basedOn w:val="20"/>
    <w:next w:val="20"/>
    <w:link w:val="96"/>
    <w:qFormat/>
    <w:uiPriority w:val="0"/>
    <w:rPr>
      <w:b/>
      <w:bCs/>
    </w:rPr>
  </w:style>
  <w:style w:type="paragraph" w:styleId="63">
    <w:name w:val="Body Text First Indent 2"/>
    <w:basedOn w:val="27"/>
    <w:link w:val="121"/>
    <w:qFormat/>
    <w:uiPriority w:val="0"/>
    <w:pPr>
      <w:adjustRightInd/>
      <w:spacing w:after="120" w:line="240" w:lineRule="auto"/>
      <w:ind w:left="420" w:leftChars="200" w:firstLine="210"/>
    </w:pPr>
    <w:rPr>
      <w:sz w:val="21"/>
    </w:rPr>
  </w:style>
  <w:style w:type="table" w:styleId="65">
    <w:name w:val="Table Grid"/>
    <w:basedOn w:val="6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Theme"/>
    <w:basedOn w:val="6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7">
    <w:name w:val="Table Elegant"/>
    <w:basedOn w:val="64"/>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8">
    <w:name w:val="Table Grid 5"/>
    <w:basedOn w:val="64"/>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9">
    <w:name w:val="Table Grid 8"/>
    <w:basedOn w:val="64"/>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0">
    <w:name w:val="Table Professional"/>
    <w:basedOn w:val="64"/>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2">
    <w:name w:val="Strong"/>
    <w:qFormat/>
    <w:uiPriority w:val="22"/>
    <w:rPr>
      <w:b/>
      <w:bCs/>
    </w:rPr>
  </w:style>
  <w:style w:type="character" w:styleId="73">
    <w:name w:val="endnote reference"/>
    <w:qFormat/>
    <w:uiPriority w:val="0"/>
    <w:rPr>
      <w:vertAlign w:val="superscript"/>
    </w:rPr>
  </w:style>
  <w:style w:type="character" w:styleId="74">
    <w:name w:val="page number"/>
    <w:basedOn w:val="71"/>
    <w:qFormat/>
    <w:uiPriority w:val="0"/>
    <w:rPr>
      <w:rFonts w:ascii="Arial" w:hAnsi="Arial" w:eastAsia="黑体" w:cs="Arial"/>
      <w:snapToGrid w:val="0"/>
      <w:kern w:val="0"/>
      <w:szCs w:val="21"/>
    </w:rPr>
  </w:style>
  <w:style w:type="character" w:styleId="75">
    <w:name w:val="FollowedHyperlink"/>
    <w:qFormat/>
    <w:uiPriority w:val="99"/>
    <w:rPr>
      <w:rFonts w:ascii="Arial" w:hAnsi="Arial" w:eastAsia="黑体" w:cs="Arial"/>
      <w:snapToGrid w:val="0"/>
      <w:color w:val="000000"/>
      <w:kern w:val="0"/>
      <w:sz w:val="18"/>
      <w:szCs w:val="18"/>
      <w:u w:val="none"/>
    </w:rPr>
  </w:style>
  <w:style w:type="character" w:styleId="76">
    <w:name w:val="Emphasis"/>
    <w:qFormat/>
    <w:uiPriority w:val="20"/>
    <w:rPr>
      <w:color w:val="CC0033"/>
    </w:rPr>
  </w:style>
  <w:style w:type="character" w:styleId="77">
    <w:name w:val="line number"/>
    <w:basedOn w:val="71"/>
    <w:qFormat/>
    <w:uiPriority w:val="0"/>
    <w:rPr>
      <w:rFonts w:ascii="Arial" w:hAnsi="Arial" w:eastAsia="黑体" w:cs="Arial"/>
      <w:snapToGrid w:val="0"/>
      <w:kern w:val="0"/>
      <w:szCs w:val="21"/>
    </w:rPr>
  </w:style>
  <w:style w:type="character" w:styleId="78">
    <w:name w:val="Hyperlink"/>
    <w:qFormat/>
    <w:uiPriority w:val="99"/>
    <w:rPr>
      <w:rFonts w:ascii="Arial" w:hAnsi="Arial" w:eastAsia="黑体" w:cs="Arial"/>
      <w:snapToGrid w:val="0"/>
      <w:color w:val="000000"/>
      <w:kern w:val="0"/>
      <w:sz w:val="18"/>
      <w:szCs w:val="18"/>
      <w:u w:val="none"/>
    </w:rPr>
  </w:style>
  <w:style w:type="character" w:styleId="79">
    <w:name w:val="HTML Code"/>
    <w:qFormat/>
    <w:uiPriority w:val="0"/>
    <w:rPr>
      <w:rFonts w:ascii="黑体" w:hAnsi="Courier New" w:eastAsia="黑体" w:cs="楷体_GB2312"/>
      <w:sz w:val="20"/>
      <w:szCs w:val="20"/>
    </w:rPr>
  </w:style>
  <w:style w:type="character" w:styleId="80">
    <w:name w:val="annotation reference"/>
    <w:qFormat/>
    <w:uiPriority w:val="99"/>
    <w:rPr>
      <w:sz w:val="21"/>
      <w:szCs w:val="21"/>
    </w:rPr>
  </w:style>
  <w:style w:type="character" w:customStyle="1" w:styleId="81">
    <w:name w:val="标题 1 Char"/>
    <w:link w:val="3"/>
    <w:qFormat/>
    <w:uiPriority w:val="9"/>
    <w:rPr>
      <w:b/>
      <w:bCs/>
      <w:kern w:val="44"/>
      <w:sz w:val="44"/>
      <w:szCs w:val="44"/>
    </w:rPr>
  </w:style>
  <w:style w:type="character" w:customStyle="1" w:styleId="82">
    <w:name w:val="表格非标题文字 Char"/>
    <w:link w:val="83"/>
    <w:qFormat/>
    <w:uiPriority w:val="0"/>
    <w:rPr>
      <w:rFonts w:ascii="Futura Bk" w:hAnsi="Futura Bk"/>
      <w:kern w:val="2"/>
      <w:sz w:val="18"/>
      <w:szCs w:val="21"/>
      <w:lang w:val="en-US" w:eastAsia="zh-CN" w:bidi="ar-SA"/>
    </w:rPr>
  </w:style>
  <w:style w:type="paragraph" w:customStyle="1" w:styleId="83">
    <w:name w:val="表格非标题文字"/>
    <w:link w:val="82"/>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4">
    <w:name w:val="*正文 Char"/>
    <w:link w:val="85"/>
    <w:qFormat/>
    <w:locked/>
    <w:uiPriority w:val="0"/>
    <w:rPr>
      <w:rFonts w:ascii="宋体" w:hAnsi="宋体"/>
      <w:sz w:val="24"/>
    </w:rPr>
  </w:style>
  <w:style w:type="paragraph" w:customStyle="1" w:styleId="85">
    <w:name w:val="*正文"/>
    <w:basedOn w:val="1"/>
    <w:link w:val="84"/>
    <w:qFormat/>
    <w:uiPriority w:val="0"/>
    <w:pPr>
      <w:snapToGrid w:val="0"/>
      <w:spacing w:line="360" w:lineRule="auto"/>
      <w:ind w:firstLine="482"/>
      <w:jc w:val="left"/>
    </w:pPr>
    <w:rPr>
      <w:rFonts w:ascii="宋体" w:hAnsi="宋体"/>
      <w:kern w:val="0"/>
      <w:sz w:val="24"/>
      <w:szCs w:val="20"/>
    </w:rPr>
  </w:style>
  <w:style w:type="character" w:customStyle="1" w:styleId="86">
    <w:name w:val="Char Char71"/>
    <w:semiHidden/>
    <w:qFormat/>
    <w:uiPriority w:val="0"/>
    <w:rPr>
      <w:rFonts w:eastAsia="宋体"/>
      <w:kern w:val="2"/>
      <w:sz w:val="21"/>
      <w:szCs w:val="24"/>
      <w:lang w:val="en-US" w:eastAsia="zh-CN" w:bidi="ar-SA"/>
    </w:rPr>
  </w:style>
  <w:style w:type="character" w:customStyle="1" w:styleId="87">
    <w:name w:val="Char Char6"/>
    <w:qFormat/>
    <w:uiPriority w:val="0"/>
    <w:rPr>
      <w:rFonts w:eastAsia="宋体"/>
      <w:kern w:val="2"/>
      <w:sz w:val="21"/>
      <w:szCs w:val="24"/>
      <w:lang w:val="en-US" w:eastAsia="zh-CN" w:bidi="ar-SA"/>
    </w:rPr>
  </w:style>
  <w:style w:type="character" w:customStyle="1" w:styleId="88">
    <w:name w:val="正文缩进 Char"/>
    <w:qFormat/>
    <w:uiPriority w:val="0"/>
    <w:rPr>
      <w:rFonts w:eastAsia="宋体"/>
      <w:kern w:val="2"/>
      <w:sz w:val="21"/>
      <w:lang w:val="en-US" w:eastAsia="zh-CN"/>
    </w:rPr>
  </w:style>
  <w:style w:type="character" w:customStyle="1" w:styleId="89">
    <w:name w:val="正文首行缩进 Char1"/>
    <w:qFormat/>
    <w:uiPriority w:val="0"/>
    <w:rPr>
      <w:rFonts w:ascii="宋体" w:hAnsi="Times New Roman" w:eastAsia="宋体" w:cs="Times New Roman"/>
      <w:snapToGrid w:val="0"/>
      <w:kern w:val="2"/>
      <w:sz w:val="24"/>
      <w:szCs w:val="21"/>
      <w:lang w:val="zh-CN"/>
    </w:rPr>
  </w:style>
  <w:style w:type="character" w:customStyle="1" w:styleId="90">
    <w:name w:val="Char Char28"/>
    <w:qFormat/>
    <w:uiPriority w:val="6"/>
    <w:rPr>
      <w:rFonts w:ascii="仿宋_GB2312" w:hAnsi="仿宋_GB2312" w:eastAsia="仿宋_GB2312"/>
      <w:kern w:val="1"/>
      <w:sz w:val="28"/>
    </w:rPr>
  </w:style>
  <w:style w:type="character" w:customStyle="1" w:styleId="91">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2">
    <w:name w:val="Heading 1 Char"/>
    <w:qFormat/>
    <w:uiPriority w:val="6"/>
    <w:rPr>
      <w:rFonts w:ascii="Times New Roman" w:hAnsi="Times New Roman" w:eastAsia="黑体" w:cs="Times New Roman"/>
      <w:b/>
      <w:kern w:val="0"/>
      <w:sz w:val="24"/>
      <w:szCs w:val="24"/>
    </w:rPr>
  </w:style>
  <w:style w:type="character" w:customStyle="1" w:styleId="93">
    <w:name w:val="U_正文 Char"/>
    <w:link w:val="94"/>
    <w:qFormat/>
    <w:uiPriority w:val="0"/>
    <w:rPr>
      <w:sz w:val="24"/>
      <w:szCs w:val="24"/>
    </w:rPr>
  </w:style>
  <w:style w:type="paragraph" w:customStyle="1" w:styleId="94">
    <w:name w:val="U_正文"/>
    <w:basedOn w:val="1"/>
    <w:link w:val="93"/>
    <w:qFormat/>
    <w:uiPriority w:val="0"/>
    <w:pPr>
      <w:adjustRightInd/>
      <w:spacing w:beforeLines="20" w:afterLines="20" w:line="300" w:lineRule="auto"/>
      <w:ind w:firstLine="200" w:firstLineChars="200"/>
    </w:pPr>
    <w:rPr>
      <w:kern w:val="0"/>
      <w:sz w:val="24"/>
    </w:rPr>
  </w:style>
  <w:style w:type="character" w:customStyle="1" w:styleId="95">
    <w:name w:val="HTML 地址 Char1"/>
    <w:qFormat/>
    <w:uiPriority w:val="0"/>
    <w:rPr>
      <w:rFonts w:ascii="Times New Roman" w:hAnsi="Times New Roman" w:eastAsia="宋体" w:cs="Times New Roman"/>
      <w:i/>
      <w:iCs/>
      <w:szCs w:val="24"/>
    </w:rPr>
  </w:style>
  <w:style w:type="character" w:customStyle="1" w:styleId="96">
    <w:name w:val="批注主题 Char1"/>
    <w:link w:val="62"/>
    <w:qFormat/>
    <w:uiPriority w:val="0"/>
    <w:rPr>
      <w:b/>
      <w:bCs/>
      <w:kern w:val="2"/>
      <w:sz w:val="21"/>
      <w:szCs w:val="24"/>
    </w:rPr>
  </w:style>
  <w:style w:type="character" w:customStyle="1" w:styleId="97">
    <w:name w:val="Char Char51"/>
    <w:qFormat/>
    <w:uiPriority w:val="0"/>
    <w:rPr>
      <w:rFonts w:ascii="宋体" w:hAnsi="Courier New" w:eastAsia="宋体"/>
      <w:kern w:val="2"/>
      <w:sz w:val="21"/>
      <w:lang w:val="en-US" w:eastAsia="zh-CN"/>
    </w:rPr>
  </w:style>
  <w:style w:type="character" w:customStyle="1" w:styleId="98">
    <w:name w:val="表正文 Char"/>
    <w:qFormat/>
    <w:uiPriority w:val="0"/>
    <w:rPr>
      <w:rFonts w:ascii="宋体" w:eastAsia="宋体"/>
      <w:snapToGrid w:val="0"/>
      <w:color w:val="000000"/>
      <w:kern w:val="28"/>
      <w:sz w:val="28"/>
      <w:lang w:val="en-US" w:eastAsia="zh-CN" w:bidi="ar-SA"/>
    </w:rPr>
  </w:style>
  <w:style w:type="character" w:customStyle="1" w:styleId="99">
    <w:name w:val="Char Char34"/>
    <w:qFormat/>
    <w:uiPriority w:val="6"/>
    <w:rPr>
      <w:b/>
      <w:kern w:val="1"/>
      <w:sz w:val="28"/>
      <w:szCs w:val="28"/>
    </w:rPr>
  </w:style>
  <w:style w:type="character" w:customStyle="1" w:styleId="100">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1">
    <w:name w:val="哈哈正文 Char"/>
    <w:link w:val="102"/>
    <w:qFormat/>
    <w:uiPriority w:val="0"/>
    <w:rPr>
      <w:rFonts w:ascii="宋体" w:hAnsi="宋体" w:eastAsia="宋体"/>
      <w:kern w:val="2"/>
      <w:sz w:val="24"/>
      <w:lang w:bidi="ar-SA"/>
    </w:rPr>
  </w:style>
  <w:style w:type="paragraph" w:customStyle="1" w:styleId="102">
    <w:name w:val="哈哈正文"/>
    <w:basedOn w:val="1"/>
    <w:link w:val="101"/>
    <w:qFormat/>
    <w:uiPriority w:val="0"/>
    <w:pPr>
      <w:adjustRightInd/>
      <w:spacing w:line="360" w:lineRule="auto"/>
      <w:ind w:firstLine="200" w:firstLineChars="200"/>
    </w:pPr>
    <w:rPr>
      <w:rFonts w:ascii="宋体" w:hAnsi="宋体"/>
      <w:sz w:val="24"/>
      <w:szCs w:val="20"/>
    </w:rPr>
  </w:style>
  <w:style w:type="character" w:customStyle="1" w:styleId="103">
    <w:name w:val="未处理的提及1"/>
    <w:qFormat/>
    <w:uiPriority w:val="0"/>
    <w:rPr>
      <w:color w:val="808080"/>
      <w:shd w:val="clear" w:color="auto" w:fill="E6E6E6"/>
    </w:rPr>
  </w:style>
  <w:style w:type="character" w:customStyle="1" w:styleId="104">
    <w:name w:val="txt"/>
    <w:qFormat/>
    <w:uiPriority w:val="0"/>
    <w:rPr>
      <w:rFonts w:ascii="仿宋_GB2312" w:eastAsia="微软雅黑"/>
      <w:b/>
      <w:kern w:val="2"/>
      <w:sz w:val="32"/>
      <w:szCs w:val="32"/>
      <w:lang w:val="en-US" w:eastAsia="zh-CN" w:bidi="ar-SA"/>
    </w:rPr>
  </w:style>
  <w:style w:type="character" w:customStyle="1" w:styleId="105">
    <w:name w:val="二级标题 Char Char"/>
    <w:qFormat/>
    <w:uiPriority w:val="0"/>
    <w:rPr>
      <w:rFonts w:ascii="宋体" w:hAnsi="宋体" w:eastAsia="宋体"/>
      <w:b/>
      <w:snapToGrid w:val="0"/>
      <w:kern w:val="2"/>
      <w:sz w:val="24"/>
      <w:szCs w:val="24"/>
      <w:lang w:val="en-US" w:eastAsia="zh-CN" w:bidi="ar-SA"/>
    </w:rPr>
  </w:style>
  <w:style w:type="character" w:customStyle="1" w:styleId="106">
    <w:name w:val="Char Char32"/>
    <w:qFormat/>
    <w:uiPriority w:val="6"/>
    <w:rPr>
      <w:b/>
      <w:kern w:val="1"/>
      <w:sz w:val="24"/>
      <w:szCs w:val="24"/>
    </w:rPr>
  </w:style>
  <w:style w:type="character" w:customStyle="1" w:styleId="107">
    <w:name w:val="PI Char1"/>
    <w:qFormat/>
    <w:uiPriority w:val="0"/>
    <w:rPr>
      <w:rFonts w:ascii="宋体" w:hAnsi="宋体"/>
      <w:kern w:val="2"/>
      <w:sz w:val="24"/>
      <w:szCs w:val="24"/>
    </w:rPr>
  </w:style>
  <w:style w:type="character" w:customStyle="1" w:styleId="108">
    <w:name w:val="tw4winTerm"/>
    <w:qFormat/>
    <w:uiPriority w:val="0"/>
    <w:rPr>
      <w:color w:val="0000FF"/>
    </w:rPr>
  </w:style>
  <w:style w:type="character" w:customStyle="1" w:styleId="109">
    <w:name w:val="Footer Char"/>
    <w:qFormat/>
    <w:locked/>
    <w:uiPriority w:val="0"/>
    <w:rPr>
      <w:rFonts w:eastAsia="宋体"/>
      <w:kern w:val="2"/>
      <w:sz w:val="18"/>
      <w:lang w:val="en-US" w:eastAsia="zh-CN" w:bidi="ar-SA"/>
    </w:rPr>
  </w:style>
  <w:style w:type="character" w:customStyle="1" w:styleId="110">
    <w:name w:val="普通文字 Char Char1"/>
    <w:qFormat/>
    <w:uiPriority w:val="0"/>
    <w:rPr>
      <w:rFonts w:ascii="宋体" w:hAnsi="Courier New"/>
      <w:kern w:val="2"/>
      <w:sz w:val="21"/>
    </w:rPr>
  </w:style>
  <w:style w:type="character" w:customStyle="1" w:styleId="111">
    <w:name w:val="Char Char101"/>
    <w:qFormat/>
    <w:uiPriority w:val="6"/>
    <w:rPr>
      <w:rFonts w:ascii="宋体" w:hAnsi="宋体"/>
      <w:kern w:val="2"/>
      <w:sz w:val="21"/>
      <w:szCs w:val="24"/>
      <w:lang w:val="en-US" w:eastAsia="zh-CN"/>
    </w:rPr>
  </w:style>
  <w:style w:type="character" w:customStyle="1" w:styleId="112">
    <w:name w:val="标题 4 Char"/>
    <w:qFormat/>
    <w:uiPriority w:val="0"/>
    <w:rPr>
      <w:rFonts w:ascii="Arial" w:hAnsi="Arial" w:eastAsia="黑体"/>
      <w:b/>
      <w:kern w:val="2"/>
      <w:sz w:val="28"/>
    </w:rPr>
  </w:style>
  <w:style w:type="character" w:customStyle="1" w:styleId="113">
    <w:name w:val="链接"/>
    <w:qFormat/>
    <w:uiPriority w:val="0"/>
    <w:rPr>
      <w:color w:val="0000FF"/>
      <w:sz w:val="21"/>
      <w:szCs w:val="21"/>
      <w:u w:val="single"/>
    </w:rPr>
  </w:style>
  <w:style w:type="character" w:customStyle="1" w:styleId="114">
    <w:name w:val="h4 Char"/>
    <w:qFormat/>
    <w:uiPriority w:val="0"/>
    <w:rPr>
      <w:rFonts w:ascii="Arial" w:hAnsi="Arial" w:eastAsia="黑体"/>
      <w:b/>
      <w:bCs/>
      <w:kern w:val="2"/>
      <w:sz w:val="28"/>
      <w:szCs w:val="28"/>
      <w:lang w:val="zh-CN" w:eastAsia="zh-CN" w:bidi="ar-SA"/>
    </w:rPr>
  </w:style>
  <w:style w:type="character" w:customStyle="1" w:styleId="115">
    <w:name w:val="5正文 Char"/>
    <w:link w:val="116"/>
    <w:qFormat/>
    <w:uiPriority w:val="0"/>
    <w:rPr>
      <w:rFonts w:ascii="仿宋_GB2312" w:hAnsi="微软雅黑" w:eastAsia="仿宋_GB2312"/>
      <w:sz w:val="28"/>
      <w:szCs w:val="21"/>
    </w:rPr>
  </w:style>
  <w:style w:type="paragraph" w:customStyle="1" w:styleId="116">
    <w:name w:val="5正文"/>
    <w:basedOn w:val="1"/>
    <w:link w:val="115"/>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7">
    <w:name w:val="标题 3 字符"/>
    <w:qFormat/>
    <w:uiPriority w:val="9"/>
    <w:rPr>
      <w:b/>
      <w:bCs/>
      <w:kern w:val="2"/>
      <w:sz w:val="32"/>
      <w:szCs w:val="32"/>
    </w:rPr>
  </w:style>
  <w:style w:type="character" w:customStyle="1" w:styleId="118">
    <w:name w:val="样式6 Char"/>
    <w:qFormat/>
    <w:uiPriority w:val="0"/>
    <w:rPr>
      <w:rFonts w:ascii="仿宋_GB2312" w:hAnsi="宋体" w:eastAsia="仿宋_GB2312"/>
      <w:b/>
      <w:bCs/>
      <w:kern w:val="2"/>
      <w:sz w:val="24"/>
      <w:szCs w:val="24"/>
      <w:lang w:val="en-US" w:eastAsia="zh-CN" w:bidi="ar-SA"/>
    </w:rPr>
  </w:style>
  <w:style w:type="character" w:customStyle="1" w:styleId="119">
    <w:name w:val="Char Char14"/>
    <w:qFormat/>
    <w:uiPriority w:val="6"/>
    <w:rPr>
      <w:rFonts w:ascii="黑体" w:hAnsi="黑体" w:eastAsia="黑体"/>
    </w:rPr>
  </w:style>
  <w:style w:type="character" w:customStyle="1" w:styleId="120">
    <w:name w:val="Heading 2 Hidden Char"/>
    <w:qFormat/>
    <w:uiPriority w:val="0"/>
    <w:rPr>
      <w:rFonts w:ascii="仿宋_GB2312" w:eastAsia="仿宋_GB2312"/>
      <w:b/>
      <w:bCs/>
      <w:kern w:val="2"/>
      <w:sz w:val="24"/>
      <w:szCs w:val="24"/>
      <w:lang w:val="zh-CN" w:eastAsia="zh-CN" w:bidi="ar-SA"/>
    </w:rPr>
  </w:style>
  <w:style w:type="character" w:customStyle="1" w:styleId="121">
    <w:name w:val="正文首行缩进 2 Char"/>
    <w:link w:val="63"/>
    <w:qFormat/>
    <w:uiPriority w:val="0"/>
    <w:rPr>
      <w:rFonts w:ascii="宋体" w:hAnsi="宋体"/>
      <w:kern w:val="2"/>
      <w:sz w:val="21"/>
      <w:szCs w:val="24"/>
    </w:rPr>
  </w:style>
  <w:style w:type="character" w:customStyle="1" w:styleId="122">
    <w:name w:val="font11"/>
    <w:qFormat/>
    <w:uiPriority w:val="0"/>
    <w:rPr>
      <w:rFonts w:hint="default" w:ascii="Times New Roman" w:hAnsi="Times New Roman" w:cs="Times New Roman"/>
      <w:color w:val="000000"/>
      <w:sz w:val="22"/>
      <w:szCs w:val="22"/>
      <w:u w:val="none"/>
    </w:rPr>
  </w:style>
  <w:style w:type="character" w:customStyle="1" w:styleId="123">
    <w:name w:val="表正文 Char1"/>
    <w:qFormat/>
    <w:uiPriority w:val="0"/>
    <w:rPr>
      <w:rFonts w:ascii="宋体" w:eastAsia="宋体"/>
      <w:snapToGrid w:val="0"/>
      <w:color w:val="000000"/>
      <w:kern w:val="28"/>
      <w:sz w:val="28"/>
    </w:rPr>
  </w:style>
  <w:style w:type="character" w:customStyle="1" w:styleId="124">
    <w:name w:val="blue1"/>
    <w:basedOn w:val="71"/>
    <w:qFormat/>
    <w:uiPriority w:val="0"/>
    <w:rPr>
      <w:rFonts w:ascii="Arial" w:hAnsi="Arial" w:eastAsia="黑体" w:cs="Arial"/>
      <w:snapToGrid w:val="0"/>
      <w:kern w:val="0"/>
      <w:szCs w:val="21"/>
    </w:rPr>
  </w:style>
  <w:style w:type="character" w:customStyle="1" w:styleId="125">
    <w:name w:val="纯文本 Char"/>
    <w:link w:val="35"/>
    <w:qFormat/>
    <w:uiPriority w:val="0"/>
    <w:rPr>
      <w:rFonts w:ascii="宋体" w:hAnsi="Courier New" w:eastAsia="宋体" w:cs="Arial"/>
      <w:snapToGrid w:val="0"/>
      <w:kern w:val="2"/>
      <w:sz w:val="21"/>
      <w:szCs w:val="21"/>
      <w:lang w:val="en-US" w:eastAsia="zh-CN" w:bidi="ar-SA"/>
    </w:rPr>
  </w:style>
  <w:style w:type="character" w:customStyle="1" w:styleId="126">
    <w:name w:val="标书1 Char"/>
    <w:qFormat/>
    <w:uiPriority w:val="0"/>
    <w:rPr>
      <w:rFonts w:eastAsia="宋体"/>
      <w:b/>
      <w:bCs/>
      <w:kern w:val="44"/>
      <w:sz w:val="44"/>
      <w:szCs w:val="44"/>
      <w:lang w:val="en-US" w:eastAsia="zh-CN" w:bidi="ar-SA"/>
    </w:rPr>
  </w:style>
  <w:style w:type="character" w:customStyle="1" w:styleId="127">
    <w:name w:val="样式5 Char"/>
    <w:qFormat/>
    <w:uiPriority w:val="0"/>
    <w:rPr>
      <w:rFonts w:ascii="仿宋_GB2312" w:hAnsi="仿宋" w:eastAsia="仿宋_GB2312"/>
      <w:kern w:val="2"/>
      <w:sz w:val="24"/>
      <w:szCs w:val="24"/>
    </w:rPr>
  </w:style>
  <w:style w:type="character" w:customStyle="1" w:styleId="128">
    <w:name w:val="样式4 Char"/>
    <w:qFormat/>
    <w:uiPriority w:val="0"/>
    <w:rPr>
      <w:rFonts w:ascii="仿宋_GB2312" w:hAnsi="仿宋" w:eastAsia="仿宋_GB2312"/>
      <w:b/>
      <w:kern w:val="2"/>
      <w:sz w:val="32"/>
      <w:szCs w:val="32"/>
      <w:lang w:bidi="ar-SA"/>
    </w:rPr>
  </w:style>
  <w:style w:type="character" w:customStyle="1" w:styleId="129">
    <w:name w:val="插图说明 Char"/>
    <w:qFormat/>
    <w:uiPriority w:val="0"/>
    <w:rPr>
      <w:rFonts w:eastAsia="黑体"/>
      <w:sz w:val="24"/>
      <w:lang w:val="en-US" w:eastAsia="zh-CN"/>
    </w:rPr>
  </w:style>
  <w:style w:type="character" w:customStyle="1" w:styleId="130">
    <w:name w:val="正文2 Char Char"/>
    <w:link w:val="131"/>
    <w:qFormat/>
    <w:uiPriority w:val="0"/>
    <w:rPr>
      <w:rFonts w:eastAsia="宋体"/>
      <w:kern w:val="2"/>
      <w:sz w:val="24"/>
      <w:lang w:val="en-US" w:eastAsia="zh-CN" w:bidi="ar-SA"/>
    </w:rPr>
  </w:style>
  <w:style w:type="paragraph" w:customStyle="1" w:styleId="131">
    <w:name w:val="正文2"/>
    <w:basedOn w:val="1"/>
    <w:link w:val="130"/>
    <w:qFormat/>
    <w:uiPriority w:val="0"/>
    <w:pPr>
      <w:spacing w:before="156" w:line="360" w:lineRule="auto"/>
      <w:ind w:firstLine="510" w:firstLineChars="200"/>
    </w:pPr>
    <w:rPr>
      <w:sz w:val="24"/>
      <w:szCs w:val="20"/>
    </w:rPr>
  </w:style>
  <w:style w:type="character" w:customStyle="1" w:styleId="132">
    <w:name w:val="Char Char24"/>
    <w:qFormat/>
    <w:uiPriority w:val="6"/>
    <w:rPr>
      <w:kern w:val="1"/>
      <w:sz w:val="21"/>
    </w:rPr>
  </w:style>
  <w:style w:type="character" w:customStyle="1" w:styleId="133">
    <w:name w:val="副标题 Char"/>
    <w:link w:val="50"/>
    <w:qFormat/>
    <w:uiPriority w:val="0"/>
    <w:rPr>
      <w:rFonts w:ascii="Arial" w:hAnsi="Arial" w:eastAsia="隶书"/>
      <w:b/>
      <w:bCs/>
      <w:kern w:val="28"/>
      <w:sz w:val="44"/>
      <w:szCs w:val="32"/>
      <w:lang w:val="en-US" w:eastAsia="zh-CN" w:bidi="ar-SA"/>
    </w:rPr>
  </w:style>
  <w:style w:type="character" w:customStyle="1" w:styleId="134">
    <w:name w:val="普通文字 Char1 Char"/>
    <w:qFormat/>
    <w:uiPriority w:val="0"/>
    <w:rPr>
      <w:rFonts w:ascii="宋体" w:hAnsi="Courier New" w:eastAsia="宋体"/>
      <w:kern w:val="2"/>
      <w:sz w:val="21"/>
      <w:szCs w:val="24"/>
      <w:lang w:val="en-US" w:eastAsia="zh-CN" w:bidi="ar-SA"/>
    </w:rPr>
  </w:style>
  <w:style w:type="character" w:customStyle="1" w:styleId="135">
    <w:name w:val="h3 Char1"/>
    <w:qFormat/>
    <w:uiPriority w:val="0"/>
    <w:rPr>
      <w:rFonts w:eastAsia="宋体"/>
      <w:b/>
      <w:bCs/>
      <w:kern w:val="2"/>
      <w:sz w:val="32"/>
      <w:szCs w:val="32"/>
      <w:lang w:bidi="ar-SA"/>
    </w:rPr>
  </w:style>
  <w:style w:type="character" w:customStyle="1" w:styleId="136">
    <w:name w:val="标题 Char1"/>
    <w:qFormat/>
    <w:uiPriority w:val="0"/>
    <w:rPr>
      <w:rFonts w:ascii="Cambria" w:hAnsi="Cambria" w:eastAsia="宋体" w:cs="Times New Roman"/>
      <w:b/>
      <w:bCs/>
      <w:sz w:val="32"/>
      <w:szCs w:val="32"/>
      <w:lang w:bidi="ar-SA"/>
    </w:rPr>
  </w:style>
  <w:style w:type="character" w:customStyle="1" w:styleId="137">
    <w:name w:val="gf正文1 Char"/>
    <w:qFormat/>
    <w:uiPriority w:val="0"/>
    <w:rPr>
      <w:rFonts w:ascii="宋体" w:hAnsi="宋体" w:eastAsia="宋体" w:cs="宋体"/>
      <w:kern w:val="2"/>
      <w:sz w:val="24"/>
      <w:szCs w:val="24"/>
      <w:lang w:val="en-US" w:eastAsia="zh-CN" w:bidi="ar-SA"/>
    </w:rPr>
  </w:style>
  <w:style w:type="character" w:customStyle="1" w:styleId="138">
    <w:name w:val="正文文本缩进 Char1"/>
    <w:qFormat/>
    <w:uiPriority w:val="0"/>
    <w:rPr>
      <w:rFonts w:ascii="Calibri" w:hAnsi="Calibri"/>
      <w:sz w:val="28"/>
    </w:rPr>
  </w:style>
  <w:style w:type="character" w:customStyle="1" w:styleId="139">
    <w:name w:val="No Spacing Char"/>
    <w:link w:val="140"/>
    <w:qFormat/>
    <w:uiPriority w:val="1"/>
    <w:rPr>
      <w:sz w:val="22"/>
      <w:szCs w:val="22"/>
      <w:lang w:val="en-US" w:eastAsia="zh-CN" w:bidi="ar-SA"/>
    </w:rPr>
  </w:style>
  <w:style w:type="paragraph" w:customStyle="1" w:styleId="140">
    <w:name w:val="无间隔1"/>
    <w:link w:val="139"/>
    <w:qFormat/>
    <w:uiPriority w:val="1"/>
    <w:rPr>
      <w:rFonts w:ascii="Times New Roman" w:hAnsi="Times New Roman" w:eastAsia="宋体" w:cs="Times New Roman"/>
      <w:sz w:val="22"/>
      <w:szCs w:val="22"/>
      <w:lang w:val="en-US" w:eastAsia="zh-CN" w:bidi="ar-SA"/>
    </w:rPr>
  </w:style>
  <w:style w:type="character" w:customStyle="1" w:styleId="141">
    <w:name w:val="样式7 Char"/>
    <w:qFormat/>
    <w:uiPriority w:val="0"/>
    <w:rPr>
      <w:rFonts w:ascii="仿宋_GB2312" w:hAnsi="仿宋" w:eastAsia="仿宋_GB2312"/>
      <w:b/>
      <w:kern w:val="2"/>
      <w:sz w:val="24"/>
      <w:szCs w:val="24"/>
    </w:rPr>
  </w:style>
  <w:style w:type="character" w:customStyle="1" w:styleId="142">
    <w:name w:val="font12gray1"/>
    <w:qFormat/>
    <w:uiPriority w:val="0"/>
    <w:rPr>
      <w:rFonts w:ascii="仿宋_GB2312" w:eastAsia="微软雅黑"/>
      <w:b/>
      <w:spacing w:val="300"/>
      <w:kern w:val="2"/>
      <w:sz w:val="18"/>
      <w:szCs w:val="18"/>
      <w:lang w:val="en-US" w:eastAsia="zh-CN" w:bidi="ar-SA"/>
    </w:rPr>
  </w:style>
  <w:style w:type="character" w:customStyle="1" w:styleId="143">
    <w:name w:val="Char Char7"/>
    <w:semiHidden/>
    <w:qFormat/>
    <w:uiPriority w:val="0"/>
    <w:rPr>
      <w:rFonts w:eastAsia="宋体"/>
      <w:kern w:val="2"/>
      <w:sz w:val="21"/>
      <w:szCs w:val="24"/>
      <w:lang w:val="en-US" w:eastAsia="zh-CN" w:bidi="ar-SA"/>
    </w:rPr>
  </w:style>
  <w:style w:type="character" w:customStyle="1" w:styleId="144">
    <w:name w:val="表名 Char"/>
    <w:qFormat/>
    <w:uiPriority w:val="0"/>
    <w:rPr>
      <w:rFonts w:eastAsia="宋体"/>
      <w:b/>
      <w:bCs/>
      <w:kern w:val="2"/>
      <w:sz w:val="24"/>
      <w:szCs w:val="24"/>
      <w:lang w:val="en-US" w:eastAsia="zh-CN" w:bidi="ar-SA"/>
    </w:rPr>
  </w:style>
  <w:style w:type="character" w:customStyle="1" w:styleId="145">
    <w:name w:val="Document Map Char"/>
    <w:qFormat/>
    <w:locked/>
    <w:uiPriority w:val="0"/>
    <w:rPr>
      <w:rFonts w:eastAsia="宋体"/>
      <w:kern w:val="2"/>
      <w:sz w:val="21"/>
      <w:szCs w:val="24"/>
      <w:lang w:val="en-US" w:eastAsia="zh-CN" w:bidi="ar-SA"/>
    </w:rPr>
  </w:style>
  <w:style w:type="character" w:customStyle="1" w:styleId="146">
    <w:name w:val="font41"/>
    <w:qFormat/>
    <w:uiPriority w:val="0"/>
    <w:rPr>
      <w:rFonts w:hint="eastAsia" w:ascii="仿宋_GB2312" w:eastAsia="仿宋_GB2312" w:cs="仿宋_GB2312"/>
      <w:color w:val="000000"/>
      <w:sz w:val="22"/>
      <w:szCs w:val="22"/>
      <w:u w:val="none"/>
    </w:rPr>
  </w:style>
  <w:style w:type="character" w:customStyle="1" w:styleId="147">
    <w:name w:val="标题 6 Char"/>
    <w:link w:val="9"/>
    <w:qFormat/>
    <w:uiPriority w:val="0"/>
    <w:rPr>
      <w:rFonts w:ascii="Arial" w:hAnsi="Arial" w:eastAsia="黑体"/>
      <w:b/>
      <w:bCs/>
      <w:kern w:val="2"/>
      <w:sz w:val="24"/>
      <w:szCs w:val="24"/>
    </w:rPr>
  </w:style>
  <w:style w:type="character" w:customStyle="1" w:styleId="148">
    <w:name w:val="纯文本 Char_0"/>
    <w:link w:val="149"/>
    <w:qFormat/>
    <w:uiPriority w:val="0"/>
    <w:rPr>
      <w:rFonts w:ascii="宋体" w:hAnsi="Courier New"/>
      <w:kern w:val="2"/>
      <w:sz w:val="21"/>
      <w:szCs w:val="21"/>
      <w:lang w:val="en-US" w:eastAsia="zh-CN"/>
    </w:rPr>
  </w:style>
  <w:style w:type="paragraph" w:customStyle="1" w:styleId="149">
    <w:name w:val="纯文本_0_0"/>
    <w:basedOn w:val="150"/>
    <w:link w:val="148"/>
    <w:qFormat/>
    <w:uiPriority w:val="0"/>
    <w:rPr>
      <w:rFonts w:ascii="宋体" w:hAnsi="Courier New"/>
      <w:szCs w:val="21"/>
    </w:rPr>
  </w:style>
  <w:style w:type="paragraph" w:customStyle="1" w:styleId="15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1">
    <w:name w:val="Balloon Text Char"/>
    <w:qFormat/>
    <w:locked/>
    <w:uiPriority w:val="0"/>
    <w:rPr>
      <w:rFonts w:eastAsia="宋体"/>
      <w:kern w:val="2"/>
      <w:sz w:val="18"/>
      <w:szCs w:val="18"/>
      <w:lang w:val="en-US" w:eastAsia="zh-CN" w:bidi="ar-SA"/>
    </w:rPr>
  </w:style>
  <w:style w:type="character" w:customStyle="1" w:styleId="152">
    <w:name w:val="正文 项目2 Char"/>
    <w:basedOn w:val="153"/>
    <w:qFormat/>
    <w:uiPriority w:val="0"/>
    <w:rPr>
      <w:rFonts w:ascii="仿宋_GB2312" w:hAnsi="仿宋_GB2312" w:eastAsia="仿宋_GB2312"/>
      <w:kern w:val="2"/>
      <w:sz w:val="24"/>
      <w:lang w:bidi="ar-SA"/>
    </w:rPr>
  </w:style>
  <w:style w:type="character" w:customStyle="1" w:styleId="153">
    <w:name w:val="正文 项目 Char"/>
    <w:qFormat/>
    <w:uiPriority w:val="0"/>
    <w:rPr>
      <w:rFonts w:ascii="仿宋_GB2312" w:hAnsi="仿宋_GB2312" w:eastAsia="仿宋_GB2312"/>
      <w:kern w:val="2"/>
      <w:sz w:val="24"/>
      <w:lang w:bidi="ar-SA"/>
    </w:rPr>
  </w:style>
  <w:style w:type="character" w:customStyle="1" w:styleId="154">
    <w:name w:val="h Char Char1"/>
    <w:qFormat/>
    <w:uiPriority w:val="0"/>
    <w:rPr>
      <w:rFonts w:eastAsia="宋体"/>
      <w:kern w:val="2"/>
      <w:sz w:val="18"/>
      <w:szCs w:val="18"/>
      <w:lang w:val="en-US" w:eastAsia="zh-CN" w:bidi="ar-SA"/>
    </w:rPr>
  </w:style>
  <w:style w:type="character" w:customStyle="1" w:styleId="155">
    <w:name w:val="Char Char27"/>
    <w:qFormat/>
    <w:uiPriority w:val="6"/>
    <w:rPr>
      <w:rFonts w:ascii="宋体" w:hAnsi="宋体" w:eastAsia="宋体"/>
      <w:color w:val="000000"/>
      <w:kern w:val="1"/>
      <w:sz w:val="28"/>
      <w:lang w:val="en-US" w:eastAsia="zh-CN" w:bidi="ar-SA"/>
    </w:rPr>
  </w:style>
  <w:style w:type="character" w:customStyle="1" w:styleId="156">
    <w:name w:val="px14"/>
    <w:qFormat/>
    <w:uiPriority w:val="0"/>
    <w:rPr>
      <w:rFonts w:ascii="仿宋_GB2312" w:eastAsia="微软雅黑" w:cs="Times New Roman"/>
      <w:b/>
      <w:kern w:val="2"/>
      <w:sz w:val="32"/>
      <w:szCs w:val="32"/>
      <w:lang w:val="en-US" w:eastAsia="zh-CN" w:bidi="ar-SA"/>
    </w:rPr>
  </w:style>
  <w:style w:type="character" w:customStyle="1" w:styleId="157">
    <w:name w:val="HTML 预设格式 Char1"/>
    <w:qFormat/>
    <w:uiPriority w:val="0"/>
    <w:rPr>
      <w:rFonts w:ascii="Courier New" w:hAnsi="Courier New" w:eastAsia="宋体" w:cs="Courier New"/>
      <w:sz w:val="20"/>
      <w:szCs w:val="20"/>
    </w:rPr>
  </w:style>
  <w:style w:type="character" w:customStyle="1" w:styleId="158">
    <w:name w:val="普通文字 Char1"/>
    <w:qFormat/>
    <w:uiPriority w:val="0"/>
    <w:rPr>
      <w:rFonts w:ascii="宋体" w:hAnsi="Courier New" w:eastAsia="宋体"/>
      <w:kern w:val="2"/>
      <w:sz w:val="21"/>
      <w:lang w:val="en-US" w:eastAsia="zh-CN"/>
    </w:rPr>
  </w:style>
  <w:style w:type="character" w:customStyle="1" w:styleId="159">
    <w:name w:val="hei16b1"/>
    <w:qFormat/>
    <w:uiPriority w:val="0"/>
    <w:rPr>
      <w:rFonts w:hint="default" w:ascii="Arial" w:hAnsi="Arial" w:cs="Arial"/>
      <w:b/>
      <w:bCs/>
      <w:color w:val="000000"/>
      <w:sz w:val="24"/>
      <w:szCs w:val="24"/>
    </w:rPr>
  </w:style>
  <w:style w:type="character" w:customStyle="1" w:styleId="160">
    <w:name w:val="正文（绿盟科技） Char"/>
    <w:link w:val="161"/>
    <w:qFormat/>
    <w:uiPriority w:val="0"/>
    <w:rPr>
      <w:rFonts w:ascii="Arial" w:hAnsi="Arial"/>
      <w:sz w:val="21"/>
      <w:szCs w:val="21"/>
    </w:rPr>
  </w:style>
  <w:style w:type="paragraph" w:customStyle="1" w:styleId="161">
    <w:name w:val="正文（绿盟科技）"/>
    <w:link w:val="160"/>
    <w:qFormat/>
    <w:uiPriority w:val="0"/>
    <w:pPr>
      <w:spacing w:line="300" w:lineRule="auto"/>
    </w:pPr>
    <w:rPr>
      <w:rFonts w:ascii="Arial" w:hAnsi="Arial" w:eastAsia="宋体" w:cs="Times New Roman"/>
      <w:sz w:val="21"/>
      <w:szCs w:val="21"/>
      <w:lang w:val="en-US" w:eastAsia="zh-CN" w:bidi="ar-SA"/>
    </w:rPr>
  </w:style>
  <w:style w:type="character" w:customStyle="1" w:styleId="162">
    <w:name w:val="Char Char19"/>
    <w:qFormat/>
    <w:uiPriority w:val="6"/>
    <w:rPr>
      <w:rFonts w:ascii="宋体" w:hAnsi="宋体"/>
      <w:i/>
      <w:sz w:val="24"/>
      <w:szCs w:val="24"/>
    </w:rPr>
  </w:style>
  <w:style w:type="character" w:customStyle="1" w:styleId="163">
    <w:name w:val="页脚 Char"/>
    <w:qFormat/>
    <w:uiPriority w:val="0"/>
    <w:rPr>
      <w:rFonts w:eastAsia="仿宋_GB2312"/>
      <w:kern w:val="2"/>
      <w:sz w:val="18"/>
      <w:lang w:val="en-US" w:eastAsia="zh-CN"/>
    </w:rPr>
  </w:style>
  <w:style w:type="character" w:customStyle="1" w:styleId="164">
    <w:name w:val="批注主题 Char"/>
    <w:qFormat/>
    <w:uiPriority w:val="0"/>
    <w:rPr>
      <w:rFonts w:eastAsia="宋体"/>
      <w:b/>
      <w:bCs/>
      <w:kern w:val="2"/>
      <w:sz w:val="21"/>
      <w:szCs w:val="24"/>
      <w:lang w:val="en-US" w:eastAsia="zh-CN" w:bidi="ar-SA"/>
    </w:rPr>
  </w:style>
  <w:style w:type="character" w:customStyle="1" w:styleId="165">
    <w:name w:val="Comment Text Char"/>
    <w:qFormat/>
    <w:locked/>
    <w:uiPriority w:val="0"/>
    <w:rPr>
      <w:rFonts w:ascii="宋体" w:hAnsi="宋体" w:eastAsia="宋体"/>
      <w:kern w:val="2"/>
      <w:sz w:val="24"/>
      <w:lang w:val="en-US" w:eastAsia="zh-CN" w:bidi="ar-SA"/>
    </w:rPr>
  </w:style>
  <w:style w:type="character" w:customStyle="1" w:styleId="166">
    <w:name w:val="标题 2 字符"/>
    <w:qFormat/>
    <w:uiPriority w:val="1"/>
    <w:rPr>
      <w:rFonts w:ascii="仿宋_GB2312" w:hAnsi="Times New Roman" w:eastAsia="仿宋_GB2312" w:cs="Times New Roman"/>
      <w:b/>
      <w:kern w:val="2"/>
      <w:sz w:val="24"/>
      <w:lang w:val="zh-CN"/>
    </w:rPr>
  </w:style>
  <w:style w:type="character" w:customStyle="1" w:styleId="167">
    <w:name w:val="Char Char72"/>
    <w:qFormat/>
    <w:uiPriority w:val="0"/>
    <w:rPr>
      <w:rFonts w:eastAsia="宋体"/>
      <w:kern w:val="2"/>
      <w:sz w:val="21"/>
      <w:szCs w:val="24"/>
      <w:lang w:val="en-US" w:eastAsia="zh-CN" w:bidi="ar-SA"/>
    </w:rPr>
  </w:style>
  <w:style w:type="character" w:customStyle="1" w:styleId="168">
    <w:name w:val="正文文本缩进 Char2"/>
    <w:qFormat/>
    <w:uiPriority w:val="0"/>
    <w:rPr>
      <w:rFonts w:ascii="Times New Roman" w:hAnsi="Times New Roman" w:eastAsia="宋体" w:cs="Times New Roman"/>
      <w:snapToGrid w:val="0"/>
      <w:kern w:val="0"/>
      <w:szCs w:val="24"/>
    </w:rPr>
  </w:style>
  <w:style w:type="character" w:customStyle="1" w:styleId="169">
    <w:name w:val="样式2 Char"/>
    <w:qFormat/>
    <w:uiPriority w:val="0"/>
    <w:rPr>
      <w:rFonts w:ascii="仿宋_GB2312" w:hAnsi="仿宋" w:eastAsia="仿宋_GB2312" w:cs="仿宋_GB2312"/>
      <w:b/>
      <w:bCs/>
      <w:sz w:val="32"/>
      <w:szCs w:val="30"/>
      <w:lang w:val="zh-CN"/>
    </w:rPr>
  </w:style>
  <w:style w:type="character" w:customStyle="1" w:styleId="170">
    <w:name w:val="表格名称[858D7CFB-ED40-4347-BF05-701D383B685F]"/>
    <w:link w:val="171"/>
    <w:qFormat/>
    <w:uiPriority w:val="0"/>
    <w:rPr>
      <w:sz w:val="32"/>
    </w:rPr>
  </w:style>
  <w:style w:type="paragraph" w:customStyle="1" w:styleId="171">
    <w:name w:val="表格名称"/>
    <w:basedOn w:val="2"/>
    <w:link w:val="170"/>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2">
    <w:name w:val="Char Char4"/>
    <w:qFormat/>
    <w:uiPriority w:val="0"/>
    <w:rPr>
      <w:rFonts w:eastAsia="宋体"/>
      <w:b/>
      <w:sz w:val="24"/>
      <w:lang w:val="en-GB" w:eastAsia="zh-CN" w:bidi="ar-SA"/>
    </w:rPr>
  </w:style>
  <w:style w:type="character" w:customStyle="1" w:styleId="173">
    <w:name w:val="c7 style3"/>
    <w:qFormat/>
    <w:uiPriority w:val="0"/>
  </w:style>
  <w:style w:type="character" w:customStyle="1" w:styleId="174">
    <w:name w:val="正文文本 3 Char1"/>
    <w:semiHidden/>
    <w:qFormat/>
    <w:uiPriority w:val="99"/>
    <w:rPr>
      <w:rFonts w:ascii="Times New Roman" w:hAnsi="Times New Roman" w:eastAsia="宋体" w:cs="Times New Roman"/>
      <w:sz w:val="16"/>
      <w:szCs w:val="16"/>
    </w:rPr>
  </w:style>
  <w:style w:type="character" w:customStyle="1" w:styleId="175">
    <w:name w:val="tw4winInternal"/>
    <w:qFormat/>
    <w:uiPriority w:val="0"/>
    <w:rPr>
      <w:rFonts w:ascii="Courier New" w:hAnsi="Courier New" w:cs="Courier New"/>
      <w:color w:val="FF0000"/>
      <w:lang w:val="en-US" w:eastAsia="zh-CN"/>
    </w:rPr>
  </w:style>
  <w:style w:type="character" w:customStyle="1" w:styleId="176">
    <w:name w:val="Char Char10"/>
    <w:semiHidden/>
    <w:qFormat/>
    <w:uiPriority w:val="0"/>
    <w:rPr>
      <w:rFonts w:ascii="宋体" w:hAnsi="宋体"/>
      <w:kern w:val="2"/>
      <w:sz w:val="21"/>
      <w:szCs w:val="24"/>
      <w:lang w:val="en-US" w:eastAsia="zh-CN"/>
    </w:rPr>
  </w:style>
  <w:style w:type="character" w:customStyle="1" w:styleId="177">
    <w:name w:val="shadow11"/>
    <w:qFormat/>
    <w:uiPriority w:val="0"/>
    <w:rPr>
      <w:color w:val="000000"/>
      <w:sz w:val="21"/>
    </w:rPr>
  </w:style>
  <w:style w:type="character" w:customStyle="1" w:styleId="178">
    <w:name w:val="正文非缩进 Char3"/>
    <w:qFormat/>
    <w:uiPriority w:val="0"/>
    <w:rPr>
      <w:rFonts w:ascii="宋体" w:eastAsia="宋体"/>
      <w:snapToGrid w:val="0"/>
      <w:color w:val="000000"/>
      <w:kern w:val="28"/>
      <w:sz w:val="28"/>
      <w:lang w:val="en-US" w:eastAsia="zh-CN" w:bidi="ar-SA"/>
    </w:rPr>
  </w:style>
  <w:style w:type="character" w:customStyle="1" w:styleId="179">
    <w:name w:val="Char Char"/>
    <w:qFormat/>
    <w:uiPriority w:val="0"/>
    <w:rPr>
      <w:rFonts w:ascii="宋体" w:hAnsi="Courier New" w:eastAsia="宋体"/>
      <w:kern w:val="2"/>
      <w:sz w:val="21"/>
      <w:lang w:val="en-US" w:eastAsia="zh-CN" w:bidi="ar-SA"/>
    </w:rPr>
  </w:style>
  <w:style w:type="character" w:customStyle="1" w:styleId="180">
    <w:name w:val="签名 Char1"/>
    <w:qFormat/>
    <w:uiPriority w:val="0"/>
    <w:rPr>
      <w:rFonts w:ascii="Times New Roman" w:hAnsi="Times New Roman" w:eastAsia="宋体" w:cs="Times New Roman"/>
      <w:szCs w:val="24"/>
    </w:rPr>
  </w:style>
  <w:style w:type="character" w:customStyle="1" w:styleId="181">
    <w:name w:val="日期 Char"/>
    <w:link w:val="38"/>
    <w:qFormat/>
    <w:uiPriority w:val="0"/>
    <w:rPr>
      <w:rFonts w:ascii="宋体"/>
      <w:kern w:val="2"/>
      <w:sz w:val="24"/>
      <w:szCs w:val="21"/>
      <w:lang w:val="zh-CN"/>
    </w:rPr>
  </w:style>
  <w:style w:type="character" w:customStyle="1" w:styleId="182">
    <w:name w:val="标题 9 Char"/>
    <w:link w:val="12"/>
    <w:qFormat/>
    <w:uiPriority w:val="0"/>
    <w:rPr>
      <w:rFonts w:ascii="Arial" w:hAnsi="Arial" w:eastAsia="黑体"/>
      <w:kern w:val="2"/>
      <w:sz w:val="21"/>
      <w:szCs w:val="21"/>
    </w:rPr>
  </w:style>
  <w:style w:type="character" w:customStyle="1" w:styleId="183">
    <w:name w:val="Char Char18"/>
    <w:qFormat/>
    <w:uiPriority w:val="6"/>
    <w:rPr>
      <w:rFonts w:ascii="宋体" w:hAnsi="宋体"/>
      <w:sz w:val="28"/>
    </w:rPr>
  </w:style>
  <w:style w:type="character" w:customStyle="1" w:styleId="184">
    <w:name w:val="批注文字 Char"/>
    <w:qFormat/>
    <w:uiPriority w:val="99"/>
    <w:rPr>
      <w:kern w:val="2"/>
      <w:sz w:val="21"/>
      <w:szCs w:val="24"/>
    </w:rPr>
  </w:style>
  <w:style w:type="character" w:customStyle="1" w:styleId="185">
    <w:name w:val="Char Char22"/>
    <w:qFormat/>
    <w:uiPriority w:val="6"/>
    <w:rPr>
      <w:rFonts w:ascii="宋体" w:hAnsi="宋体"/>
      <w:kern w:val="1"/>
      <w:sz w:val="24"/>
      <w:szCs w:val="24"/>
    </w:rPr>
  </w:style>
  <w:style w:type="character" w:customStyle="1" w:styleId="186">
    <w:name w:val="pt141"/>
    <w:qFormat/>
    <w:uiPriority w:val="0"/>
    <w:rPr>
      <w:color w:val="330066"/>
      <w:sz w:val="22"/>
      <w:szCs w:val="22"/>
    </w:rPr>
  </w:style>
  <w:style w:type="character" w:customStyle="1" w:styleId="187">
    <w:name w:val="正文文本缩进 2 Char1"/>
    <w:semiHidden/>
    <w:qFormat/>
    <w:uiPriority w:val="99"/>
    <w:rPr>
      <w:rFonts w:ascii="Times New Roman" w:hAnsi="Times New Roman" w:eastAsia="宋体" w:cs="Times New Roman"/>
      <w:szCs w:val="24"/>
    </w:rPr>
  </w:style>
  <w:style w:type="character" w:customStyle="1" w:styleId="188">
    <w:name w:val="批注框文本 Char"/>
    <w:link w:val="41"/>
    <w:qFormat/>
    <w:uiPriority w:val="0"/>
    <w:rPr>
      <w:kern w:val="2"/>
      <w:sz w:val="18"/>
      <w:szCs w:val="18"/>
    </w:rPr>
  </w:style>
  <w:style w:type="character" w:customStyle="1" w:styleId="189">
    <w:name w:val="Char Char611"/>
    <w:qFormat/>
    <w:uiPriority w:val="0"/>
    <w:rPr>
      <w:rFonts w:eastAsia="宋体"/>
      <w:kern w:val="2"/>
      <w:sz w:val="21"/>
      <w:szCs w:val="24"/>
      <w:lang w:val="en-US" w:eastAsia="zh-CN" w:bidi="ar-SA"/>
    </w:rPr>
  </w:style>
  <w:style w:type="character" w:customStyle="1" w:styleId="190">
    <w:name w:val="highlight1"/>
    <w:qFormat/>
    <w:uiPriority w:val="0"/>
    <w:rPr>
      <w:rFonts w:ascii="仿宋_GB2312" w:eastAsia="微软雅黑"/>
      <w:b/>
      <w:kern w:val="2"/>
      <w:sz w:val="23"/>
      <w:szCs w:val="23"/>
      <w:lang w:val="en-US" w:eastAsia="zh-CN" w:bidi="ar-SA"/>
    </w:rPr>
  </w:style>
  <w:style w:type="character" w:customStyle="1" w:styleId="191">
    <w:name w:val="my正文 Char"/>
    <w:link w:val="192"/>
    <w:qFormat/>
    <w:locked/>
    <w:uiPriority w:val="0"/>
    <w:rPr>
      <w:rFonts w:ascii="Tahoma" w:hAnsi="Tahoma"/>
      <w:sz w:val="24"/>
      <w:szCs w:val="24"/>
    </w:rPr>
  </w:style>
  <w:style w:type="paragraph" w:customStyle="1" w:styleId="192">
    <w:name w:val="my正文"/>
    <w:basedOn w:val="1"/>
    <w:link w:val="191"/>
    <w:qFormat/>
    <w:uiPriority w:val="0"/>
    <w:pPr>
      <w:adjustRightInd/>
      <w:spacing w:line="360" w:lineRule="auto"/>
      <w:ind w:firstLine="480" w:firstLineChars="200"/>
    </w:pPr>
    <w:rPr>
      <w:rFonts w:ascii="Tahoma" w:hAnsi="Tahoma"/>
      <w:kern w:val="0"/>
      <w:sz w:val="24"/>
    </w:rPr>
  </w:style>
  <w:style w:type="character" w:customStyle="1" w:styleId="193">
    <w:name w:val="正文缩进 Char2"/>
    <w:link w:val="6"/>
    <w:qFormat/>
    <w:uiPriority w:val="0"/>
    <w:rPr>
      <w:rFonts w:ascii="宋体" w:eastAsia="宋体"/>
      <w:snapToGrid w:val="0"/>
      <w:color w:val="000000"/>
      <w:kern w:val="28"/>
      <w:sz w:val="28"/>
      <w:lang w:val="en-US" w:eastAsia="zh-CN" w:bidi="ar-SA"/>
    </w:rPr>
  </w:style>
  <w:style w:type="character" w:customStyle="1" w:styleId="194">
    <w:name w:val="Used by Word for text of Help footnotes Char Char1"/>
    <w:qFormat/>
    <w:uiPriority w:val="0"/>
    <w:rPr>
      <w:color w:val="0000FF"/>
      <w:sz w:val="21"/>
    </w:rPr>
  </w:style>
  <w:style w:type="character" w:customStyle="1" w:styleId="195">
    <w:name w:val="页眉 Char"/>
    <w:qFormat/>
    <w:uiPriority w:val="0"/>
    <w:rPr>
      <w:rFonts w:eastAsia="仿宋_GB2312"/>
      <w:kern w:val="2"/>
      <w:sz w:val="18"/>
      <w:lang w:val="en-US" w:eastAsia="zh-CN"/>
    </w:rPr>
  </w:style>
  <w:style w:type="character" w:customStyle="1" w:styleId="196">
    <w:name w:val="FA正文 Char Char"/>
    <w:qFormat/>
    <w:uiPriority w:val="0"/>
    <w:rPr>
      <w:rFonts w:hAnsi="宋体"/>
      <w:kern w:val="2"/>
      <w:sz w:val="24"/>
      <w:lang w:bidi="ar-SA"/>
    </w:rPr>
  </w:style>
  <w:style w:type="character" w:customStyle="1" w:styleId="197">
    <w:name w:val="纯文本 字符"/>
    <w:qFormat/>
    <w:uiPriority w:val="0"/>
    <w:rPr>
      <w:rFonts w:ascii="宋体" w:hAnsi="Courier New" w:eastAsia="宋体" w:cs="Arial"/>
      <w:snapToGrid w:val="0"/>
      <w:kern w:val="2"/>
      <w:sz w:val="21"/>
      <w:szCs w:val="21"/>
      <w:lang w:val="en-US" w:eastAsia="zh-CN" w:bidi="ar-SA"/>
    </w:rPr>
  </w:style>
  <w:style w:type="character" w:customStyle="1" w:styleId="198">
    <w:name w:val="3级 Char"/>
    <w:link w:val="199"/>
    <w:qFormat/>
    <w:uiPriority w:val="0"/>
    <w:rPr>
      <w:rFonts w:ascii="宋体" w:hAnsi="宋体"/>
      <w:b/>
      <w:bCs/>
      <w:sz w:val="28"/>
    </w:rPr>
  </w:style>
  <w:style w:type="paragraph" w:customStyle="1" w:styleId="199">
    <w:name w:val="3级"/>
    <w:basedOn w:val="200"/>
    <w:link w:val="198"/>
    <w:qFormat/>
    <w:uiPriority w:val="0"/>
    <w:pPr>
      <w:ind w:left="0" w:right="466" w:firstLine="288"/>
    </w:pPr>
    <w:rPr>
      <w:rFonts w:hAnsi="宋体"/>
    </w:rPr>
  </w:style>
  <w:style w:type="paragraph" w:customStyle="1" w:styleId="200">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1">
    <w:name w:val="myp11"/>
    <w:qFormat/>
    <w:uiPriority w:val="0"/>
    <w:rPr>
      <w:rFonts w:ascii="仿宋_GB2312" w:eastAsia="微软雅黑"/>
      <w:b/>
      <w:kern w:val="2"/>
      <w:sz w:val="32"/>
      <w:szCs w:val="32"/>
      <w:lang w:val="en-US" w:eastAsia="zh-CN" w:bidi="ar-SA"/>
    </w:rPr>
  </w:style>
  <w:style w:type="character" w:customStyle="1" w:styleId="202">
    <w:name w:val="文档结构图 Char1"/>
    <w:link w:val="19"/>
    <w:qFormat/>
    <w:uiPriority w:val="0"/>
    <w:rPr>
      <w:kern w:val="2"/>
      <w:sz w:val="21"/>
      <w:szCs w:val="24"/>
      <w:shd w:val="clear" w:color="auto" w:fill="000080"/>
    </w:rPr>
  </w:style>
  <w:style w:type="character" w:customStyle="1" w:styleId="203">
    <w:name w:val="H6 Char"/>
    <w:qFormat/>
    <w:uiPriority w:val="0"/>
    <w:rPr>
      <w:rFonts w:ascii="Arial" w:hAnsi="Arial" w:eastAsia="黑体"/>
      <w:b/>
      <w:bCs/>
      <w:kern w:val="2"/>
      <w:sz w:val="24"/>
      <w:szCs w:val="24"/>
    </w:rPr>
  </w:style>
  <w:style w:type="character" w:customStyle="1" w:styleId="204">
    <w:name w:val="Char Char91"/>
    <w:qFormat/>
    <w:uiPriority w:val="0"/>
    <w:rPr>
      <w:rFonts w:eastAsia="宋体"/>
      <w:kern w:val="2"/>
      <w:sz w:val="18"/>
      <w:szCs w:val="18"/>
      <w:lang w:val="en-US" w:eastAsia="zh-CN" w:bidi="ar-SA"/>
    </w:rPr>
  </w:style>
  <w:style w:type="character" w:customStyle="1" w:styleId="205">
    <w:name w:val="副标题 Char1"/>
    <w:qFormat/>
    <w:uiPriority w:val="0"/>
    <w:rPr>
      <w:rFonts w:ascii="Cambria" w:hAnsi="Cambria" w:eastAsia="宋体" w:cs="Times New Roman"/>
      <w:b/>
      <w:bCs/>
      <w:snapToGrid w:val="0"/>
      <w:kern w:val="28"/>
      <w:sz w:val="32"/>
      <w:szCs w:val="32"/>
    </w:rPr>
  </w:style>
  <w:style w:type="character" w:customStyle="1" w:styleId="206">
    <w:name w:val="font61"/>
    <w:qFormat/>
    <w:uiPriority w:val="0"/>
    <w:rPr>
      <w:rFonts w:hint="eastAsia" w:ascii="仿宋" w:hAnsi="仿宋" w:eastAsia="仿宋" w:cs="仿宋"/>
      <w:color w:val="000000"/>
      <w:sz w:val="20"/>
      <w:szCs w:val="20"/>
      <w:u w:val="none"/>
    </w:rPr>
  </w:style>
  <w:style w:type="character" w:customStyle="1" w:styleId="207">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8">
    <w:name w:val="Char Char211"/>
    <w:qFormat/>
    <w:uiPriority w:val="0"/>
    <w:rPr>
      <w:rFonts w:eastAsia="宋体"/>
      <w:b/>
      <w:bCs/>
      <w:kern w:val="2"/>
      <w:sz w:val="21"/>
      <w:szCs w:val="24"/>
      <w:lang w:val="en-US" w:eastAsia="zh-CN" w:bidi="ar-SA"/>
    </w:rPr>
  </w:style>
  <w:style w:type="character" w:customStyle="1" w:styleId="209">
    <w:name w:val="标题 2 Char"/>
    <w:qFormat/>
    <w:uiPriority w:val="0"/>
    <w:rPr>
      <w:rFonts w:ascii="Arial" w:hAnsi="Arial" w:eastAsia="黑体"/>
      <w:b/>
      <w:kern w:val="2"/>
      <w:sz w:val="32"/>
      <w:lang w:val="en-US" w:eastAsia="zh-CN"/>
    </w:rPr>
  </w:style>
  <w:style w:type="character" w:customStyle="1" w:styleId="210">
    <w:name w:val="maywed421"/>
    <w:qFormat/>
    <w:uiPriority w:val="0"/>
    <w:rPr>
      <w:color w:val="366FB6"/>
      <w:u w:val="none"/>
    </w:rPr>
  </w:style>
  <w:style w:type="character" w:customStyle="1" w:styleId="211">
    <w:name w:val="正文文本缩进 Char"/>
    <w:qFormat/>
    <w:uiPriority w:val="0"/>
    <w:rPr>
      <w:rFonts w:ascii="宋体" w:hAnsi="宋体"/>
      <w:kern w:val="2"/>
      <w:sz w:val="24"/>
      <w:szCs w:val="24"/>
    </w:rPr>
  </w:style>
  <w:style w:type="character" w:customStyle="1" w:styleId="212">
    <w:name w:val="Char Char102"/>
    <w:semiHidden/>
    <w:qFormat/>
    <w:uiPriority w:val="0"/>
    <w:rPr>
      <w:rFonts w:ascii="宋体" w:hAnsi="宋体"/>
      <w:kern w:val="2"/>
      <w:sz w:val="21"/>
      <w:szCs w:val="24"/>
      <w:lang w:val="en-US" w:eastAsia="zh-CN"/>
    </w:rPr>
  </w:style>
  <w:style w:type="character" w:customStyle="1" w:styleId="213">
    <w:name w:val="页眉 Char1"/>
    <w:qFormat/>
    <w:uiPriority w:val="0"/>
    <w:rPr>
      <w:rFonts w:eastAsia="宋体"/>
      <w:kern w:val="2"/>
      <w:sz w:val="18"/>
      <w:szCs w:val="18"/>
      <w:lang w:val="en-US" w:eastAsia="zh-CN" w:bidi="ar-SA"/>
    </w:rPr>
  </w:style>
  <w:style w:type="character" w:customStyle="1" w:styleId="214">
    <w:name w:val="md"/>
    <w:basedOn w:val="71"/>
    <w:qFormat/>
    <w:uiPriority w:val="0"/>
    <w:rPr>
      <w:rFonts w:ascii="Arial" w:hAnsi="Arial" w:eastAsia="黑体" w:cs="Arial"/>
      <w:snapToGrid w:val="0"/>
      <w:kern w:val="0"/>
      <w:szCs w:val="21"/>
    </w:rPr>
  </w:style>
  <w:style w:type="character" w:customStyle="1" w:styleId="215">
    <w:name w:val="big1"/>
    <w:qFormat/>
    <w:uiPriority w:val="0"/>
    <w:rPr>
      <w:rFonts w:hint="eastAsia" w:ascii="宋体" w:hAnsi="宋体" w:eastAsia="宋体"/>
      <w:color w:val="333333"/>
      <w:sz w:val="22"/>
      <w:szCs w:val="22"/>
    </w:rPr>
  </w:style>
  <w:style w:type="character" w:customStyle="1" w:styleId="216">
    <w:name w:val="Char Char311"/>
    <w:qFormat/>
    <w:uiPriority w:val="0"/>
    <w:rPr>
      <w:rFonts w:eastAsia="宋体"/>
      <w:kern w:val="2"/>
      <w:sz w:val="21"/>
      <w:szCs w:val="24"/>
      <w:lang w:val="en-US" w:eastAsia="zh-CN" w:bidi="ar-SA"/>
    </w:rPr>
  </w:style>
  <w:style w:type="character" w:customStyle="1" w:styleId="217">
    <w:name w:val="Char Char81"/>
    <w:qFormat/>
    <w:uiPriority w:val="6"/>
    <w:rPr>
      <w:rFonts w:eastAsia="宋体"/>
      <w:b/>
      <w:sz w:val="24"/>
      <w:lang w:val="en-GB" w:eastAsia="zh-CN"/>
    </w:rPr>
  </w:style>
  <w:style w:type="character" w:customStyle="1" w:styleId="218">
    <w:name w:val="样式3 Char"/>
    <w:basedOn w:val="169"/>
    <w:qFormat/>
    <w:uiPriority w:val="0"/>
    <w:rPr>
      <w:rFonts w:ascii="仿宋_GB2312" w:hAnsi="仿宋" w:eastAsia="仿宋_GB2312" w:cs="仿宋_GB2312"/>
      <w:sz w:val="32"/>
      <w:szCs w:val="30"/>
      <w:lang w:val="zh-CN"/>
    </w:rPr>
  </w:style>
  <w:style w:type="character" w:customStyle="1" w:styleId="219">
    <w:name w:val="HTML 地址 Char"/>
    <w:link w:val="32"/>
    <w:qFormat/>
    <w:uiPriority w:val="0"/>
    <w:rPr>
      <w:rFonts w:ascii="宋体" w:hAnsi="宋体"/>
      <w:i/>
      <w:iCs/>
      <w:sz w:val="24"/>
      <w:szCs w:val="24"/>
    </w:rPr>
  </w:style>
  <w:style w:type="character" w:customStyle="1" w:styleId="220">
    <w:name w:val="正文首行缩进 2 Char1"/>
    <w:qFormat/>
    <w:uiPriority w:val="0"/>
    <w:rPr>
      <w:rFonts w:ascii="Times New Roman" w:hAnsi="Times New Roman" w:eastAsia="宋体" w:cs="Times New Roman"/>
      <w:kern w:val="2"/>
      <w:sz w:val="24"/>
      <w:szCs w:val="24"/>
    </w:rPr>
  </w:style>
  <w:style w:type="character" w:customStyle="1" w:styleId="221">
    <w:name w:val="副标题 Char2"/>
    <w:qFormat/>
    <w:uiPriority w:val="0"/>
    <w:rPr>
      <w:rFonts w:ascii="Cambria" w:hAnsi="Cambria" w:eastAsia="宋体" w:cs="Times New Roman"/>
      <w:b/>
      <w:bCs/>
      <w:snapToGrid w:val="0"/>
      <w:kern w:val="28"/>
      <w:sz w:val="32"/>
      <w:szCs w:val="32"/>
    </w:rPr>
  </w:style>
  <w:style w:type="character" w:customStyle="1" w:styleId="222">
    <w:name w:val="标题4-dyf Char"/>
    <w:link w:val="223"/>
    <w:qFormat/>
    <w:uiPriority w:val="0"/>
    <w:rPr>
      <w:rFonts w:ascii="Cambria" w:hAnsi="Cambria"/>
      <w:b/>
      <w:bCs/>
      <w:color w:val="000000"/>
      <w:kern w:val="2"/>
      <w:sz w:val="21"/>
      <w:szCs w:val="21"/>
    </w:rPr>
  </w:style>
  <w:style w:type="paragraph" w:customStyle="1" w:styleId="223">
    <w:name w:val="标题4-dyf"/>
    <w:basedOn w:val="7"/>
    <w:link w:val="222"/>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4">
    <w:name w:val="dectext1"/>
    <w:qFormat/>
    <w:uiPriority w:val="0"/>
    <w:rPr>
      <w:rFonts w:ascii="宋体" w:hAnsi="宋体" w:eastAsia="宋体"/>
      <w:color w:val="333333"/>
      <w:sz w:val="21"/>
      <w:szCs w:val="21"/>
      <w:u w:val="none"/>
    </w:rPr>
  </w:style>
  <w:style w:type="character" w:customStyle="1" w:styleId="225">
    <w:name w:val="冯 Char"/>
    <w:link w:val="226"/>
    <w:qFormat/>
    <w:uiPriority w:val="0"/>
    <w:rPr>
      <w:rFonts w:ascii="宋体" w:hAnsi="宋体"/>
      <w:color w:val="000000"/>
      <w:sz w:val="24"/>
      <w:szCs w:val="24"/>
    </w:rPr>
  </w:style>
  <w:style w:type="paragraph" w:customStyle="1" w:styleId="226">
    <w:name w:val="冯"/>
    <w:basedOn w:val="1"/>
    <w:link w:val="225"/>
    <w:qFormat/>
    <w:uiPriority w:val="0"/>
    <w:pPr>
      <w:widowControl/>
      <w:adjustRightInd/>
      <w:spacing w:line="360" w:lineRule="auto"/>
      <w:ind w:firstLine="480" w:firstLineChars="200"/>
    </w:pPr>
    <w:rPr>
      <w:rFonts w:ascii="宋体" w:hAnsi="宋体"/>
      <w:color w:val="000000"/>
      <w:kern w:val="0"/>
      <w:sz w:val="24"/>
    </w:rPr>
  </w:style>
  <w:style w:type="character" w:customStyle="1" w:styleId="227">
    <w:name w:val="Header Char"/>
    <w:qFormat/>
    <w:locked/>
    <w:uiPriority w:val="0"/>
    <w:rPr>
      <w:rFonts w:eastAsia="宋体"/>
      <w:kern w:val="2"/>
      <w:sz w:val="18"/>
      <w:szCs w:val="18"/>
      <w:lang w:val="en-US" w:eastAsia="zh-CN" w:bidi="ar-SA"/>
    </w:rPr>
  </w:style>
  <w:style w:type="character" w:customStyle="1" w:styleId="228">
    <w:name w:val="Char Char12"/>
    <w:qFormat/>
    <w:uiPriority w:val="0"/>
    <w:rPr>
      <w:rFonts w:ascii="仿宋_GB2312" w:eastAsia="仿宋_GB2312"/>
      <w:b/>
      <w:bCs/>
      <w:kern w:val="2"/>
      <w:sz w:val="24"/>
      <w:szCs w:val="24"/>
      <w:lang w:val="zh-CN" w:eastAsia="zh-CN" w:bidi="ar-SA"/>
    </w:rPr>
  </w:style>
  <w:style w:type="character" w:customStyle="1" w:styleId="229">
    <w:name w:val="题注 Char"/>
    <w:link w:val="17"/>
    <w:qFormat/>
    <w:uiPriority w:val="0"/>
    <w:rPr>
      <w:b/>
      <w:kern w:val="2"/>
      <w:sz w:val="28"/>
    </w:rPr>
  </w:style>
  <w:style w:type="character" w:customStyle="1" w:styleId="230">
    <w:name w:val="普通文字 Char3"/>
    <w:qFormat/>
    <w:uiPriority w:val="0"/>
    <w:rPr>
      <w:rFonts w:ascii="宋体" w:hAnsi="Courier New" w:eastAsia="宋体"/>
      <w:kern w:val="2"/>
      <w:sz w:val="21"/>
      <w:lang w:val="en-US" w:eastAsia="zh-CN" w:bidi="ar-SA"/>
    </w:rPr>
  </w:style>
  <w:style w:type="character" w:customStyle="1" w:styleId="231">
    <w:name w:val="公文正文 Char"/>
    <w:qFormat/>
    <w:uiPriority w:val="0"/>
    <w:rPr>
      <w:rFonts w:ascii="仿宋_GB2312" w:eastAsia="仿宋_GB2312"/>
      <w:kern w:val="2"/>
      <w:sz w:val="24"/>
      <w:szCs w:val="24"/>
      <w:lang w:val="en-US" w:eastAsia="zh-CN" w:bidi="ar-SA"/>
    </w:rPr>
  </w:style>
  <w:style w:type="character" w:customStyle="1" w:styleId="232">
    <w:name w:val="正文首行缩进 Char Char Char Char Char"/>
    <w:qFormat/>
    <w:uiPriority w:val="0"/>
    <w:rPr>
      <w:rFonts w:ascii="宋体"/>
      <w:kern w:val="2"/>
      <w:sz w:val="24"/>
      <w:lang w:val="zh-CN"/>
    </w:rPr>
  </w:style>
  <w:style w:type="character" w:customStyle="1" w:styleId="233">
    <w:name w:val="PI Char"/>
    <w:qFormat/>
    <w:uiPriority w:val="0"/>
    <w:rPr>
      <w:rFonts w:ascii="宋体" w:hAnsi="宋体" w:eastAsia="宋体"/>
      <w:kern w:val="2"/>
      <w:sz w:val="24"/>
      <w:szCs w:val="24"/>
      <w:lang w:val="en-US" w:eastAsia="zh-CN" w:bidi="ar-SA"/>
    </w:rPr>
  </w:style>
  <w:style w:type="character" w:customStyle="1" w:styleId="234">
    <w:name w:val="Default Char"/>
    <w:link w:val="235"/>
    <w:qFormat/>
    <w:uiPriority w:val="0"/>
    <w:rPr>
      <w:rFonts w:ascii="仿宋_GB2312" w:eastAsia="仿宋_GB2312" w:cs="仿宋_GB2312"/>
      <w:color w:val="000000"/>
      <w:sz w:val="24"/>
      <w:szCs w:val="24"/>
      <w:lang w:val="en-US" w:eastAsia="zh-CN" w:bidi="ar-SA"/>
    </w:rPr>
  </w:style>
  <w:style w:type="paragraph" w:customStyle="1" w:styleId="235">
    <w:name w:val="Default"/>
    <w:link w:val="234"/>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6">
    <w:name w:val="style91"/>
    <w:qFormat/>
    <w:uiPriority w:val="0"/>
    <w:rPr>
      <w:color w:val="333333"/>
    </w:rPr>
  </w:style>
  <w:style w:type="character" w:customStyle="1" w:styleId="237">
    <w:name w:val="列出段落 Char2"/>
    <w:qFormat/>
    <w:uiPriority w:val="34"/>
    <w:rPr>
      <w:rFonts w:ascii="Calibri" w:hAnsi="Calibri"/>
      <w:kern w:val="2"/>
      <w:sz w:val="28"/>
    </w:rPr>
  </w:style>
  <w:style w:type="character" w:customStyle="1" w:styleId="238">
    <w:name w:val="mdeck"/>
    <w:qFormat/>
    <w:uiPriority w:val="0"/>
    <w:rPr>
      <w:rFonts w:ascii="仿宋_GB2312" w:eastAsia="微软雅黑"/>
      <w:b/>
      <w:kern w:val="2"/>
      <w:sz w:val="32"/>
      <w:szCs w:val="32"/>
      <w:lang w:val="en-US" w:eastAsia="zh-CN" w:bidi="ar-SA"/>
    </w:rPr>
  </w:style>
  <w:style w:type="character" w:customStyle="1" w:styleId="239">
    <w:name w:val="unnamed11"/>
    <w:qFormat/>
    <w:uiPriority w:val="0"/>
    <w:rPr>
      <w:sz w:val="20"/>
      <w:szCs w:val="20"/>
    </w:rPr>
  </w:style>
  <w:style w:type="character" w:customStyle="1" w:styleId="240">
    <w:name w:val="正文文本 Char2"/>
    <w:semiHidden/>
    <w:qFormat/>
    <w:uiPriority w:val="99"/>
    <w:rPr>
      <w:rFonts w:ascii="Times New Roman" w:hAnsi="Times New Roman" w:eastAsia="宋体" w:cs="Times New Roman"/>
      <w:snapToGrid w:val="0"/>
      <w:kern w:val="0"/>
      <w:szCs w:val="24"/>
    </w:rPr>
  </w:style>
  <w:style w:type="character" w:customStyle="1" w:styleId="241">
    <w:name w:val="标书正文格式 Char"/>
    <w:qFormat/>
    <w:uiPriority w:val="0"/>
    <w:rPr>
      <w:rFonts w:eastAsia="楷体_GB2312"/>
      <w:kern w:val="2"/>
      <w:sz w:val="24"/>
      <w:szCs w:val="24"/>
      <w:lang w:bidi="ar-SA"/>
    </w:rPr>
  </w:style>
  <w:style w:type="character" w:customStyle="1" w:styleId="242">
    <w:name w:val="Char Char11"/>
    <w:qFormat/>
    <w:locked/>
    <w:uiPriority w:val="0"/>
    <w:rPr>
      <w:rFonts w:ascii="宋体" w:hAnsi="宋体" w:eastAsia="宋体"/>
      <w:b/>
      <w:kern w:val="2"/>
      <w:sz w:val="24"/>
      <w:szCs w:val="24"/>
      <w:lang w:val="en-US" w:eastAsia="zh-CN" w:bidi="ar-SA"/>
    </w:rPr>
  </w:style>
  <w:style w:type="character" w:customStyle="1" w:styleId="243">
    <w:name w:val="ca-131"/>
    <w:qFormat/>
    <w:uiPriority w:val="0"/>
    <w:rPr>
      <w:rFonts w:hint="eastAsia" w:ascii="仿宋_GB2312" w:eastAsia="仿宋_GB2312"/>
      <w:b/>
      <w:bCs/>
      <w:color w:val="000000"/>
      <w:spacing w:val="-20"/>
      <w:sz w:val="24"/>
      <w:szCs w:val="24"/>
    </w:rPr>
  </w:style>
  <w:style w:type="character" w:customStyle="1" w:styleId="244">
    <w:name w:val="tw4winMark"/>
    <w:qFormat/>
    <w:uiPriority w:val="0"/>
    <w:rPr>
      <w:rFonts w:ascii="Courier New" w:hAnsi="Courier New" w:cs="Courier New"/>
      <w:vanish/>
      <w:color w:val="800080"/>
      <w:sz w:val="24"/>
      <w:szCs w:val="24"/>
      <w:vertAlign w:val="subscript"/>
    </w:rPr>
  </w:style>
  <w:style w:type="character" w:customStyle="1" w:styleId="245">
    <w:name w:val="正文样式 Char"/>
    <w:link w:val="246"/>
    <w:qFormat/>
    <w:uiPriority w:val="0"/>
    <w:rPr>
      <w:rFonts w:ascii="Calibri" w:hAnsi="Calibri"/>
      <w:sz w:val="24"/>
      <w:szCs w:val="24"/>
    </w:rPr>
  </w:style>
  <w:style w:type="paragraph" w:customStyle="1" w:styleId="246">
    <w:name w:val="正文样式"/>
    <w:basedOn w:val="1"/>
    <w:link w:val="245"/>
    <w:qFormat/>
    <w:uiPriority w:val="0"/>
    <w:pPr>
      <w:adjustRightInd/>
      <w:spacing w:line="360" w:lineRule="auto"/>
      <w:ind w:firstLine="480" w:firstLineChars="200"/>
    </w:pPr>
    <w:rPr>
      <w:kern w:val="0"/>
      <w:sz w:val="24"/>
    </w:rPr>
  </w:style>
  <w:style w:type="character" w:customStyle="1" w:styleId="247">
    <w:name w:val="表正文 Char3"/>
    <w:qFormat/>
    <w:uiPriority w:val="0"/>
    <w:rPr>
      <w:rFonts w:eastAsia="宋体"/>
    </w:rPr>
  </w:style>
  <w:style w:type="character" w:customStyle="1" w:styleId="248">
    <w:name w:val="H5 Char"/>
    <w:qFormat/>
    <w:uiPriority w:val="0"/>
    <w:rPr>
      <w:b/>
      <w:bCs/>
      <w:kern w:val="2"/>
      <w:sz w:val="28"/>
      <w:szCs w:val="28"/>
    </w:rPr>
  </w:style>
  <w:style w:type="character" w:customStyle="1" w:styleId="249">
    <w:name w:val="Char Char3"/>
    <w:qFormat/>
    <w:uiPriority w:val="0"/>
    <w:rPr>
      <w:rFonts w:eastAsia="宋体"/>
      <w:kern w:val="2"/>
      <w:sz w:val="21"/>
      <w:szCs w:val="24"/>
      <w:lang w:val="en-US" w:eastAsia="zh-CN" w:bidi="ar-SA"/>
    </w:rPr>
  </w:style>
  <w:style w:type="character" w:customStyle="1" w:styleId="250">
    <w:name w:val="正文 编号 Char"/>
    <w:qFormat/>
    <w:uiPriority w:val="0"/>
    <w:rPr>
      <w:rFonts w:ascii="仿宋_GB2312" w:hAnsi="仿宋_GB2312" w:eastAsia="仿宋_GB2312"/>
      <w:kern w:val="2"/>
      <w:sz w:val="24"/>
      <w:lang w:bidi="ar-SA"/>
    </w:rPr>
  </w:style>
  <w:style w:type="character" w:customStyle="1" w:styleId="251">
    <w:name w:val="question-title2"/>
    <w:qFormat/>
    <w:uiPriority w:val="6"/>
    <w:rPr>
      <w:rFonts w:ascii="Arial" w:hAnsi="Arial" w:eastAsia="黑体" w:cs="Arial"/>
      <w:snapToGrid w:val="0"/>
      <w:kern w:val="0"/>
      <w:szCs w:val="21"/>
    </w:rPr>
  </w:style>
  <w:style w:type="character" w:customStyle="1" w:styleId="252">
    <w:name w:val="gf正文1 Char Char"/>
    <w:link w:val="253"/>
    <w:qFormat/>
    <w:uiPriority w:val="0"/>
    <w:rPr>
      <w:rFonts w:ascii="宋体" w:hAnsi="宋体" w:cs="宋体"/>
      <w:kern w:val="2"/>
      <w:sz w:val="24"/>
      <w:szCs w:val="24"/>
    </w:rPr>
  </w:style>
  <w:style w:type="paragraph" w:customStyle="1" w:styleId="253">
    <w:name w:val="gf正文1"/>
    <w:basedOn w:val="1"/>
    <w:link w:val="252"/>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4">
    <w:name w:val="Char Char15"/>
    <w:qFormat/>
    <w:uiPriority w:val="6"/>
    <w:rPr>
      <w:rFonts w:ascii="宋体" w:hAnsi="宋体"/>
      <w:kern w:val="1"/>
      <w:sz w:val="21"/>
    </w:rPr>
  </w:style>
  <w:style w:type="character" w:customStyle="1" w:styleId="255">
    <w:name w:val="正文缩进 Char3"/>
    <w:qFormat/>
    <w:uiPriority w:val="0"/>
    <w:rPr>
      <w:rFonts w:ascii="宋体" w:eastAsia="宋体"/>
      <w:snapToGrid w:val="0"/>
      <w:color w:val="000000"/>
      <w:kern w:val="28"/>
      <w:sz w:val="28"/>
      <w:lang w:val="en-US" w:eastAsia="zh-CN" w:bidi="ar-SA"/>
    </w:rPr>
  </w:style>
  <w:style w:type="character" w:customStyle="1" w:styleId="256">
    <w:name w:val="列出段落 Char1"/>
    <w:link w:val="257"/>
    <w:qFormat/>
    <w:uiPriority w:val="0"/>
    <w:rPr>
      <w:rFonts w:ascii="Calibri" w:hAnsi="Calibri"/>
      <w:sz w:val="24"/>
      <w:lang w:eastAsia="en-US"/>
    </w:rPr>
  </w:style>
  <w:style w:type="paragraph" w:customStyle="1" w:styleId="257">
    <w:name w:val="列表1"/>
    <w:basedOn w:val="1"/>
    <w:next w:val="258"/>
    <w:link w:val="256"/>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58">
    <w:name w:val="List Paragraph"/>
    <w:basedOn w:val="1"/>
    <w:qFormat/>
    <w:uiPriority w:val="34"/>
    <w:pPr>
      <w:spacing w:line="360" w:lineRule="auto"/>
      <w:ind w:firstLine="200" w:firstLineChars="200"/>
    </w:pPr>
    <w:rPr>
      <w:rFonts w:eastAsia="楷体_GB2312" w:cs="Lucida Sans"/>
      <w:sz w:val="24"/>
    </w:rPr>
  </w:style>
  <w:style w:type="character" w:customStyle="1" w:styleId="259">
    <w:name w:val="Char Char8"/>
    <w:qFormat/>
    <w:uiPriority w:val="0"/>
    <w:rPr>
      <w:rFonts w:eastAsia="宋体"/>
      <w:b/>
      <w:sz w:val="24"/>
      <w:lang w:val="en-GB" w:eastAsia="zh-CN"/>
    </w:rPr>
  </w:style>
  <w:style w:type="character" w:customStyle="1" w:styleId="260">
    <w:name w:val="Normal Indent Char Char"/>
    <w:qFormat/>
    <w:uiPriority w:val="0"/>
    <w:rPr>
      <w:rFonts w:eastAsia="宋体"/>
      <w:kern w:val="2"/>
      <w:sz w:val="21"/>
      <w:lang w:val="en-US" w:eastAsia="zh-CN" w:bidi="ar-SA"/>
    </w:rPr>
  </w:style>
  <w:style w:type="character" w:customStyle="1" w:styleId="261">
    <w:name w:val="列表段落 字符"/>
    <w:qFormat/>
    <w:uiPriority w:val="99"/>
  </w:style>
  <w:style w:type="character" w:customStyle="1" w:styleId="262">
    <w:name w:val="Ò³Ã¼ Char Char1"/>
    <w:qFormat/>
    <w:uiPriority w:val="0"/>
    <w:rPr>
      <w:rFonts w:eastAsia="宋体"/>
      <w:kern w:val="2"/>
      <w:sz w:val="18"/>
      <w:szCs w:val="18"/>
      <w:lang w:val="en-US" w:eastAsia="zh-CN" w:bidi="ar-SA"/>
    </w:rPr>
  </w:style>
  <w:style w:type="character" w:customStyle="1" w:styleId="263">
    <w:name w:val="方案正文 Char"/>
    <w:qFormat/>
    <w:uiPriority w:val="0"/>
    <w:rPr>
      <w:rFonts w:ascii="仿宋_GB2312" w:eastAsia="仿宋_GB2312"/>
      <w:b/>
      <w:color w:val="000000"/>
      <w:kern w:val="2"/>
      <w:sz w:val="24"/>
      <w:lang w:val="en-US" w:eastAsia="zh-CN" w:bidi="ar-SA"/>
    </w:rPr>
  </w:style>
  <w:style w:type="character" w:customStyle="1" w:styleId="264">
    <w:name w:val="Char Char30"/>
    <w:qFormat/>
    <w:uiPriority w:val="6"/>
    <w:rPr>
      <w:rFonts w:ascii="Arial" w:hAnsi="Arial" w:eastAsia="黑体"/>
      <w:kern w:val="1"/>
      <w:sz w:val="21"/>
      <w:szCs w:val="21"/>
    </w:rPr>
  </w:style>
  <w:style w:type="character" w:customStyle="1" w:styleId="265">
    <w:name w:val="正文文本缩进 Char3"/>
    <w:link w:val="27"/>
    <w:qFormat/>
    <w:uiPriority w:val="0"/>
    <w:rPr>
      <w:rFonts w:ascii="宋体" w:hAnsi="宋体"/>
      <w:kern w:val="2"/>
      <w:sz w:val="24"/>
      <w:szCs w:val="24"/>
    </w:rPr>
  </w:style>
  <w:style w:type="character" w:customStyle="1" w:styleId="266">
    <w:name w:val="font01"/>
    <w:qFormat/>
    <w:uiPriority w:val="0"/>
    <w:rPr>
      <w:rFonts w:hint="eastAsia" w:ascii="微软雅黑" w:hAnsi="微软雅黑" w:eastAsia="微软雅黑" w:cs="微软雅黑"/>
      <w:color w:val="000000"/>
      <w:sz w:val="20"/>
      <w:szCs w:val="20"/>
      <w:u w:val="none"/>
    </w:rPr>
  </w:style>
  <w:style w:type="character" w:customStyle="1" w:styleId="267">
    <w:name w:val="Char Char20"/>
    <w:qFormat/>
    <w:uiPriority w:val="6"/>
    <w:rPr>
      <w:kern w:val="1"/>
      <w:sz w:val="24"/>
    </w:rPr>
  </w:style>
  <w:style w:type="character" w:customStyle="1" w:styleId="268">
    <w:name w:val="tw4winExternal"/>
    <w:qFormat/>
    <w:uiPriority w:val="0"/>
    <w:rPr>
      <w:rFonts w:ascii="Courier New" w:hAnsi="Courier New" w:cs="Courier New"/>
      <w:color w:val="808080"/>
      <w:lang w:val="en-US" w:eastAsia="zh-CN"/>
    </w:rPr>
  </w:style>
  <w:style w:type="character" w:customStyle="1" w:styleId="269">
    <w:name w:val="标题 4 Char1"/>
    <w:qFormat/>
    <w:uiPriority w:val="9"/>
    <w:rPr>
      <w:rFonts w:ascii="Cambria" w:hAnsi="Cambria" w:eastAsia="宋体" w:cs="Times New Roman"/>
      <w:b/>
      <w:bCs/>
      <w:kern w:val="2"/>
      <w:sz w:val="28"/>
      <w:szCs w:val="28"/>
    </w:rPr>
  </w:style>
  <w:style w:type="character" w:customStyle="1" w:styleId="270">
    <w:name w:val="批注文字 Char2"/>
    <w:qFormat/>
    <w:uiPriority w:val="99"/>
    <w:rPr>
      <w:rFonts w:ascii="Times New Roman" w:hAnsi="Times New Roman" w:eastAsia="宋体" w:cs="Times New Roman"/>
      <w:snapToGrid w:val="0"/>
      <w:kern w:val="0"/>
      <w:szCs w:val="24"/>
    </w:rPr>
  </w:style>
  <w:style w:type="character" w:customStyle="1" w:styleId="271">
    <w:name w:val="正文文本 2 Char"/>
    <w:qFormat/>
    <w:uiPriority w:val="0"/>
    <w:rPr>
      <w:rFonts w:eastAsia="宋体"/>
      <w:kern w:val="2"/>
      <w:sz w:val="21"/>
      <w:szCs w:val="24"/>
      <w:lang w:val="en-US" w:eastAsia="zh-CN" w:bidi="ar-SA"/>
    </w:rPr>
  </w:style>
  <w:style w:type="character" w:customStyle="1" w:styleId="272">
    <w:name w:val="Ò³Ã¼ Char Char"/>
    <w:qFormat/>
    <w:uiPriority w:val="0"/>
    <w:rPr>
      <w:rFonts w:eastAsia="宋体"/>
      <w:kern w:val="2"/>
      <w:sz w:val="18"/>
      <w:lang w:val="en-US" w:eastAsia="zh-CN" w:bidi="ar-SA"/>
    </w:rPr>
  </w:style>
  <w:style w:type="character" w:customStyle="1" w:styleId="273">
    <w:name w:val="message1"/>
    <w:qFormat/>
    <w:uiPriority w:val="0"/>
    <w:rPr>
      <w:rFonts w:hint="default" w:ascii="Tahoma" w:hAnsi="Tahoma" w:cs="Tahoma"/>
      <w:sz w:val="18"/>
      <w:szCs w:val="18"/>
    </w:rPr>
  </w:style>
  <w:style w:type="character" w:customStyle="1" w:styleId="274">
    <w:name w:val="Char Char23"/>
    <w:qFormat/>
    <w:uiPriority w:val="6"/>
    <w:rPr>
      <w:color w:val="0000FF"/>
      <w:sz w:val="21"/>
    </w:rPr>
  </w:style>
  <w:style w:type="character" w:customStyle="1" w:styleId="275">
    <w:name w:val="批注框文本 字符"/>
    <w:qFormat/>
    <w:uiPriority w:val="0"/>
    <w:rPr>
      <w:rFonts w:ascii="Arial" w:hAnsi="Arial" w:eastAsia="黑体" w:cs="Arial"/>
      <w:snapToGrid w:val="0"/>
      <w:kern w:val="0"/>
      <w:sz w:val="18"/>
      <w:szCs w:val="18"/>
    </w:rPr>
  </w:style>
  <w:style w:type="character" w:customStyle="1" w:styleId="276">
    <w:name w:val="纯文本 Char2"/>
    <w:semiHidden/>
    <w:qFormat/>
    <w:uiPriority w:val="99"/>
    <w:rPr>
      <w:rFonts w:ascii="宋体" w:hAnsi="Courier New" w:eastAsia="宋体" w:cs="Courier New"/>
    </w:rPr>
  </w:style>
  <w:style w:type="character" w:customStyle="1" w:styleId="277">
    <w:name w:val="Char Char25"/>
    <w:qFormat/>
    <w:uiPriority w:val="6"/>
    <w:rPr>
      <w:rFonts w:ascii="宋体" w:hAnsi="宋体"/>
      <w:kern w:val="1"/>
      <w:sz w:val="24"/>
      <w:lang w:val="zh-CN"/>
    </w:rPr>
  </w:style>
  <w:style w:type="character" w:customStyle="1" w:styleId="278">
    <w:name w:val="Char Char411"/>
    <w:qFormat/>
    <w:uiPriority w:val="0"/>
    <w:rPr>
      <w:rFonts w:eastAsia="宋体"/>
      <w:b/>
      <w:sz w:val="24"/>
      <w:lang w:val="en-GB" w:eastAsia="zh-CN" w:bidi="ar-SA"/>
    </w:rPr>
  </w:style>
  <w:style w:type="character" w:customStyle="1" w:styleId="279">
    <w:name w:val="Heading 7 Char"/>
    <w:qFormat/>
    <w:locked/>
    <w:uiPriority w:val="0"/>
    <w:rPr>
      <w:rFonts w:ascii="宋体" w:hAnsi="宋体" w:eastAsia="宋体"/>
      <w:b/>
      <w:bCs/>
      <w:kern w:val="2"/>
      <w:sz w:val="24"/>
      <w:szCs w:val="24"/>
      <w:lang w:val="en-US" w:eastAsia="zh-CN" w:bidi="ar-SA"/>
    </w:rPr>
  </w:style>
  <w:style w:type="character" w:customStyle="1" w:styleId="280">
    <w:name w:val="此正文 Char"/>
    <w:link w:val="281"/>
    <w:qFormat/>
    <w:uiPriority w:val="0"/>
    <w:rPr>
      <w:kern w:val="2"/>
      <w:sz w:val="24"/>
      <w:szCs w:val="24"/>
    </w:rPr>
  </w:style>
  <w:style w:type="paragraph" w:customStyle="1" w:styleId="281">
    <w:name w:val="此正文"/>
    <w:basedOn w:val="1"/>
    <w:link w:val="280"/>
    <w:qFormat/>
    <w:uiPriority w:val="0"/>
    <w:pPr>
      <w:adjustRightInd/>
      <w:spacing w:line="360" w:lineRule="auto"/>
      <w:ind w:firstLine="200" w:firstLineChars="200"/>
    </w:pPr>
    <w:rPr>
      <w:sz w:val="24"/>
    </w:rPr>
  </w:style>
  <w:style w:type="character" w:customStyle="1" w:styleId="282">
    <w:name w:val="Char Char2"/>
    <w:qFormat/>
    <w:uiPriority w:val="0"/>
    <w:rPr>
      <w:rFonts w:eastAsia="宋体"/>
      <w:b/>
      <w:bCs/>
      <w:kern w:val="2"/>
      <w:sz w:val="21"/>
      <w:szCs w:val="24"/>
      <w:lang w:val="en-US" w:eastAsia="zh-CN" w:bidi="ar-SA"/>
    </w:rPr>
  </w:style>
  <w:style w:type="character" w:customStyle="1" w:styleId="283">
    <w:name w:val="Footer-Even Char1"/>
    <w:qFormat/>
    <w:uiPriority w:val="0"/>
    <w:rPr>
      <w:rFonts w:eastAsia="宋体"/>
      <w:kern w:val="2"/>
      <w:sz w:val="18"/>
      <w:szCs w:val="18"/>
      <w:lang w:val="en-US" w:eastAsia="zh-CN" w:bidi="ar-SA"/>
    </w:rPr>
  </w:style>
  <w:style w:type="character" w:customStyle="1" w:styleId="284">
    <w:name w:val="Char Char29"/>
    <w:qFormat/>
    <w:uiPriority w:val="6"/>
    <w:rPr>
      <w:rFonts w:ascii="Arial" w:hAnsi="Arial" w:eastAsia="微软雅黑"/>
      <w:b/>
      <w:kern w:val="1"/>
      <w:sz w:val="44"/>
      <w:szCs w:val="32"/>
      <w:lang w:val="en-US" w:eastAsia="zh-CN" w:bidi="ar-SA"/>
    </w:rPr>
  </w:style>
  <w:style w:type="character" w:customStyle="1" w:styleId="285">
    <w:name w:val="标题 Char2"/>
    <w:link w:val="61"/>
    <w:qFormat/>
    <w:uiPriority w:val="10"/>
    <w:rPr>
      <w:b/>
      <w:sz w:val="24"/>
      <w:lang w:val="en-GB"/>
    </w:rPr>
  </w:style>
  <w:style w:type="character" w:customStyle="1" w:styleId="286">
    <w:name w:val="font81"/>
    <w:qFormat/>
    <w:uiPriority w:val="0"/>
    <w:rPr>
      <w:rFonts w:ascii="微软雅黑" w:hAnsi="微软雅黑" w:eastAsia="微软雅黑" w:cs="微软雅黑"/>
      <w:color w:val="000000"/>
      <w:sz w:val="20"/>
      <w:szCs w:val="20"/>
      <w:u w:val="none"/>
    </w:rPr>
  </w:style>
  <w:style w:type="character" w:customStyle="1" w:styleId="287">
    <w:name w:val="Char Char312"/>
    <w:qFormat/>
    <w:uiPriority w:val="0"/>
    <w:rPr>
      <w:rFonts w:ascii="Times New Roman" w:hAnsi="Times New Roman" w:eastAsia="宋体" w:cs="Times New Roman"/>
      <w:b/>
      <w:kern w:val="2"/>
      <w:sz w:val="32"/>
      <w:szCs w:val="24"/>
      <w:lang w:val="en-US" w:eastAsia="zh-CN" w:bidi="ar-SA"/>
    </w:rPr>
  </w:style>
  <w:style w:type="character" w:customStyle="1" w:styleId="288">
    <w:name w:val="t21"/>
    <w:qFormat/>
    <w:uiPriority w:val="0"/>
    <w:rPr>
      <w:rFonts w:ascii="仿宋_GB2312" w:eastAsia="微软雅黑"/>
      <w:b/>
      <w:kern w:val="2"/>
      <w:sz w:val="23"/>
      <w:szCs w:val="23"/>
      <w:lang w:val="en-US" w:eastAsia="zh-CN" w:bidi="ar-SA"/>
    </w:rPr>
  </w:style>
  <w:style w:type="character" w:customStyle="1" w:styleId="289">
    <w:name w:val="样式8 Char"/>
    <w:qFormat/>
    <w:uiPriority w:val="0"/>
    <w:rPr>
      <w:rFonts w:ascii="仿宋_GB2312" w:hAnsi="宋体" w:eastAsia="仿宋_GB2312"/>
      <w:b/>
      <w:bCs/>
      <w:kern w:val="2"/>
      <w:sz w:val="24"/>
      <w:szCs w:val="24"/>
    </w:rPr>
  </w:style>
  <w:style w:type="character" w:customStyle="1" w:styleId="290">
    <w:name w:val="表格 Char Char"/>
    <w:qFormat/>
    <w:uiPriority w:val="0"/>
    <w:rPr>
      <w:rFonts w:ascii="宋体" w:hAnsi="宋体" w:eastAsia="宋体"/>
      <w:lang w:bidi="ar-SA"/>
    </w:rPr>
  </w:style>
  <w:style w:type="character" w:customStyle="1" w:styleId="291">
    <w:name w:val="正文文本 字符1"/>
    <w:qFormat/>
    <w:uiPriority w:val="0"/>
    <w:rPr>
      <w:rFonts w:ascii="Calibri" w:hAnsi="Calibri" w:eastAsia="黑体" w:cs="Arial"/>
      <w:snapToGrid w:val="0"/>
      <w:kern w:val="2"/>
      <w:sz w:val="28"/>
      <w:szCs w:val="21"/>
    </w:rPr>
  </w:style>
  <w:style w:type="character" w:customStyle="1" w:styleId="292">
    <w:name w:val="标题 5 Char"/>
    <w:link w:val="8"/>
    <w:qFormat/>
    <w:uiPriority w:val="9"/>
    <w:rPr>
      <w:b/>
      <w:bCs/>
      <w:kern w:val="2"/>
      <w:sz w:val="28"/>
      <w:szCs w:val="28"/>
    </w:rPr>
  </w:style>
  <w:style w:type="character" w:customStyle="1" w:styleId="293">
    <w:name w:val="标题 6 Char1"/>
    <w:qFormat/>
    <w:uiPriority w:val="0"/>
    <w:rPr>
      <w:rFonts w:ascii="Arial" w:hAnsi="Arial" w:eastAsia="黑体" w:cs="Times New Roman"/>
      <w:b/>
      <w:sz w:val="24"/>
      <w:szCs w:val="20"/>
      <w:lang w:bidi="ar-SA"/>
    </w:rPr>
  </w:style>
  <w:style w:type="character" w:customStyle="1" w:styleId="294">
    <w:name w:val="带编号样式 Char"/>
    <w:qFormat/>
    <w:uiPriority w:val="0"/>
    <w:rPr>
      <w:rFonts w:ascii="仿宋_GB2312" w:eastAsia="仿宋_GB2312"/>
      <w:color w:val="000000"/>
      <w:sz w:val="24"/>
      <w:lang w:bidi="ar-SA"/>
    </w:rPr>
  </w:style>
  <w:style w:type="character" w:customStyle="1" w:styleId="295">
    <w:name w:val="unnamed31"/>
    <w:qFormat/>
    <w:uiPriority w:val="0"/>
    <w:rPr>
      <w:rFonts w:ascii="Tahoma" w:hAnsi="Tahoma" w:eastAsia="宋体"/>
      <w:b/>
      <w:kern w:val="2"/>
      <w:sz w:val="24"/>
      <w:szCs w:val="32"/>
      <w:u w:val="none"/>
      <w:lang w:val="en-US" w:eastAsia="zh-CN" w:bidi="ar-SA"/>
    </w:rPr>
  </w:style>
  <w:style w:type="character" w:customStyle="1" w:styleId="296">
    <w:name w:val="正文首行缩进 Char Char Char Char Char Char1"/>
    <w:qFormat/>
    <w:uiPriority w:val="0"/>
    <w:rPr>
      <w:rFonts w:ascii="宋体" w:eastAsia="宋体"/>
      <w:kern w:val="2"/>
      <w:sz w:val="24"/>
      <w:szCs w:val="24"/>
      <w:lang w:val="zh-CN" w:bidi="ar-SA"/>
    </w:rPr>
  </w:style>
  <w:style w:type="character" w:customStyle="1" w:styleId="297">
    <w:name w:val="称呼 Char"/>
    <w:link w:val="21"/>
    <w:qFormat/>
    <w:uiPriority w:val="0"/>
    <w:rPr>
      <w:rFonts w:ascii="仿宋_GB2312" w:eastAsia="仿宋_GB2312"/>
      <w:kern w:val="2"/>
      <w:sz w:val="28"/>
    </w:rPr>
  </w:style>
  <w:style w:type="character" w:customStyle="1" w:styleId="298">
    <w:name w:val="文本正文 Char Char"/>
    <w:qFormat/>
    <w:locked/>
    <w:uiPriority w:val="0"/>
    <w:rPr>
      <w:sz w:val="24"/>
      <w:lang w:bidi="ar-SA"/>
    </w:rPr>
  </w:style>
  <w:style w:type="character" w:customStyle="1" w:styleId="299">
    <w:name w:val="正文缩进 字符"/>
    <w:qFormat/>
    <w:uiPriority w:val="0"/>
    <w:rPr>
      <w:rFonts w:ascii="宋体" w:eastAsia="宋体"/>
      <w:snapToGrid w:val="0"/>
      <w:color w:val="000000"/>
      <w:kern w:val="28"/>
      <w:sz w:val="28"/>
      <w:lang w:val="en-US" w:eastAsia="zh-CN" w:bidi="ar-SA"/>
    </w:rPr>
  </w:style>
  <w:style w:type="character" w:customStyle="1" w:styleId="300">
    <w:name w:val="HTML 预设格式 Char"/>
    <w:link w:val="59"/>
    <w:qFormat/>
    <w:uiPriority w:val="0"/>
    <w:rPr>
      <w:rFonts w:ascii="黑体" w:hAnsi="Courier New" w:eastAsia="黑体"/>
    </w:rPr>
  </w:style>
  <w:style w:type="character" w:customStyle="1" w:styleId="301">
    <w:name w:val="正文文本 2 Char1"/>
    <w:link w:val="58"/>
    <w:qFormat/>
    <w:uiPriority w:val="0"/>
    <w:rPr>
      <w:kern w:val="2"/>
      <w:sz w:val="21"/>
      <w:szCs w:val="24"/>
    </w:rPr>
  </w:style>
  <w:style w:type="character" w:customStyle="1" w:styleId="302">
    <w:name w:val="样式 样式 标题 4h4H4Fab-4T5Ref Heading 1rh1Heading sqlsect 1.2.3.... +... Char"/>
    <w:link w:val="303"/>
    <w:qFormat/>
    <w:uiPriority w:val="0"/>
    <w:rPr>
      <w:rFonts w:ascii="微软雅黑" w:hAnsi="微软雅黑" w:eastAsia="微软雅黑"/>
      <w:b/>
      <w:bCs/>
      <w:kern w:val="2"/>
      <w:sz w:val="24"/>
      <w:szCs w:val="28"/>
    </w:rPr>
  </w:style>
  <w:style w:type="paragraph" w:customStyle="1" w:styleId="303">
    <w:name w:val="样式 样式 标题 4h4H4Fab-4T5Ref Heading 1rh1Heading sqlsect 1.2.3.... +..."/>
    <w:basedOn w:val="304"/>
    <w:link w:val="302"/>
    <w:qFormat/>
    <w:uiPriority w:val="0"/>
    <w:pPr>
      <w:tabs>
        <w:tab w:val="left" w:pos="2356"/>
      </w:tabs>
    </w:pPr>
  </w:style>
  <w:style w:type="paragraph" w:customStyle="1" w:styleId="304">
    <w:name w:val="样式 标题 4h4H4Fab-4T5Ref Heading 1rh1Heading sqlsect 1.2.3...."/>
    <w:basedOn w:val="7"/>
    <w:link w:val="412"/>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5">
    <w:name w:val="正文非缩进 Char"/>
    <w:qFormat/>
    <w:uiPriority w:val="0"/>
    <w:rPr>
      <w:rFonts w:ascii="宋体" w:eastAsia="宋体"/>
      <w:snapToGrid w:val="0"/>
      <w:color w:val="000000"/>
      <w:kern w:val="28"/>
      <w:sz w:val="28"/>
      <w:lang w:val="en-US" w:eastAsia="zh-CN" w:bidi="ar-SA"/>
    </w:rPr>
  </w:style>
  <w:style w:type="character" w:customStyle="1" w:styleId="306">
    <w:name w:val="标题 7 Char"/>
    <w:link w:val="10"/>
    <w:qFormat/>
    <w:uiPriority w:val="0"/>
    <w:rPr>
      <w:b/>
      <w:bCs/>
      <w:kern w:val="2"/>
      <w:sz w:val="24"/>
      <w:szCs w:val="24"/>
    </w:rPr>
  </w:style>
  <w:style w:type="character" w:customStyle="1" w:styleId="307">
    <w:name w:val="正文文本缩进 2 Char"/>
    <w:link w:val="39"/>
    <w:qFormat/>
    <w:uiPriority w:val="0"/>
    <w:rPr>
      <w:rFonts w:ascii="宋体"/>
      <w:sz w:val="28"/>
    </w:rPr>
  </w:style>
  <w:style w:type="character" w:customStyle="1" w:styleId="308">
    <w:name w:val="Char Char5"/>
    <w:qFormat/>
    <w:uiPriority w:val="0"/>
    <w:rPr>
      <w:rFonts w:ascii="宋体" w:hAnsi="Courier New" w:eastAsia="宋体"/>
      <w:kern w:val="2"/>
      <w:sz w:val="21"/>
      <w:lang w:val="en-US" w:eastAsia="zh-CN"/>
    </w:rPr>
  </w:style>
  <w:style w:type="character" w:customStyle="1" w:styleId="309">
    <w:name w:val="脚注文本 Char"/>
    <w:link w:val="53"/>
    <w:qFormat/>
    <w:uiPriority w:val="0"/>
    <w:rPr>
      <w:color w:val="0000FF"/>
      <w:sz w:val="21"/>
    </w:rPr>
  </w:style>
  <w:style w:type="character" w:customStyle="1" w:styleId="310">
    <w:name w:val="称呼 Char1"/>
    <w:qFormat/>
    <w:uiPriority w:val="0"/>
    <w:rPr>
      <w:rFonts w:ascii="Times New Roman" w:hAnsi="Times New Roman" w:eastAsia="宋体" w:cs="Times New Roman"/>
      <w:szCs w:val="24"/>
    </w:rPr>
  </w:style>
  <w:style w:type="character" w:customStyle="1" w:styleId="311">
    <w:name w:val="正文1 Char"/>
    <w:qFormat/>
    <w:uiPriority w:val="0"/>
    <w:rPr>
      <w:rFonts w:ascii="宋体" w:eastAsia="宋体"/>
      <w:snapToGrid w:val="0"/>
      <w:color w:val="000000"/>
      <w:kern w:val="28"/>
      <w:sz w:val="28"/>
      <w:lang w:val="en-US" w:eastAsia="zh-CN" w:bidi="ar-SA"/>
    </w:rPr>
  </w:style>
  <w:style w:type="character" w:customStyle="1" w:styleId="312">
    <w:name w:val="正文缩进 Char1"/>
    <w:qFormat/>
    <w:uiPriority w:val="0"/>
    <w:rPr>
      <w:rFonts w:ascii="宋体" w:eastAsia="宋体"/>
      <w:snapToGrid w:val="0"/>
      <w:color w:val="000000"/>
      <w:kern w:val="28"/>
      <w:sz w:val="28"/>
      <w:lang w:val="en-US" w:eastAsia="zh-CN" w:bidi="ar-SA"/>
    </w:rPr>
  </w:style>
  <w:style w:type="character" w:customStyle="1" w:styleId="313">
    <w:name w:val="font21"/>
    <w:qFormat/>
    <w:uiPriority w:val="0"/>
    <w:rPr>
      <w:rFonts w:hint="eastAsia" w:ascii="宋体" w:hAnsi="宋体" w:eastAsia="宋体"/>
      <w:kern w:val="2"/>
      <w:sz w:val="28"/>
      <w:szCs w:val="28"/>
      <w:lang w:val="en-US" w:eastAsia="zh-CN" w:bidi="ar-SA"/>
    </w:rPr>
  </w:style>
  <w:style w:type="character" w:customStyle="1" w:styleId="314">
    <w:name w:val="Char Char26"/>
    <w:qFormat/>
    <w:uiPriority w:val="6"/>
    <w:rPr>
      <w:kern w:val="1"/>
      <w:sz w:val="21"/>
      <w:szCs w:val="24"/>
    </w:rPr>
  </w:style>
  <w:style w:type="character" w:customStyle="1" w:styleId="315">
    <w:name w:val="Item List Char"/>
    <w:link w:val="316"/>
    <w:qFormat/>
    <w:uiPriority w:val="0"/>
    <w:rPr>
      <w:rFonts w:ascii="Arial"/>
      <w:bCs/>
      <w:sz w:val="21"/>
      <w:szCs w:val="21"/>
      <w:lang w:val="en-US" w:eastAsia="zh-CN" w:bidi="ar-SA"/>
    </w:rPr>
  </w:style>
  <w:style w:type="paragraph" w:customStyle="1" w:styleId="316">
    <w:name w:val="Item List"/>
    <w:link w:val="315"/>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7">
    <w:name w:val="批注框文本 Char1"/>
    <w:qFormat/>
    <w:uiPriority w:val="0"/>
    <w:rPr>
      <w:rFonts w:ascii="Times New Roman" w:hAnsi="Times New Roman" w:eastAsia="宋体" w:cs="Times New Roman"/>
      <w:sz w:val="18"/>
      <w:szCs w:val="18"/>
    </w:rPr>
  </w:style>
  <w:style w:type="character" w:customStyle="1" w:styleId="318">
    <w:name w:val="纯文本 Char1"/>
    <w:link w:val="319"/>
    <w:qFormat/>
    <w:uiPriority w:val="0"/>
    <w:rPr>
      <w:rFonts w:ascii="宋体" w:hAnsi="Courier New"/>
    </w:rPr>
  </w:style>
  <w:style w:type="paragraph" w:customStyle="1" w:styleId="319">
    <w:name w:val="纯文本1"/>
    <w:basedOn w:val="1"/>
    <w:link w:val="318"/>
    <w:qFormat/>
    <w:uiPriority w:val="0"/>
    <w:pPr>
      <w:adjustRightInd/>
    </w:pPr>
    <w:rPr>
      <w:rFonts w:ascii="宋体" w:hAnsi="Courier New"/>
      <w:kern w:val="0"/>
      <w:sz w:val="20"/>
      <w:szCs w:val="20"/>
    </w:rPr>
  </w:style>
  <w:style w:type="character" w:customStyle="1" w:styleId="320">
    <w:name w:val="正文首行缩进 Char"/>
    <w:link w:val="25"/>
    <w:qFormat/>
    <w:uiPriority w:val="0"/>
    <w:rPr>
      <w:rFonts w:ascii="宋体"/>
      <w:kern w:val="2"/>
      <w:sz w:val="24"/>
      <w:lang w:val="zh-CN"/>
    </w:rPr>
  </w:style>
  <w:style w:type="character" w:customStyle="1" w:styleId="321">
    <w:name w:val="h3 Char"/>
    <w:qFormat/>
    <w:uiPriority w:val="0"/>
    <w:rPr>
      <w:rFonts w:eastAsia="宋体"/>
      <w:b/>
      <w:kern w:val="2"/>
      <w:sz w:val="32"/>
      <w:lang w:val="en-US" w:eastAsia="zh-CN" w:bidi="ar-SA"/>
    </w:rPr>
  </w:style>
  <w:style w:type="character" w:customStyle="1" w:styleId="322">
    <w:name w:val="dandyren_title1"/>
    <w:qFormat/>
    <w:uiPriority w:val="0"/>
    <w:rPr>
      <w:b/>
      <w:bCs/>
      <w:color w:val="FF6633"/>
      <w:sz w:val="18"/>
      <w:szCs w:val="18"/>
    </w:rPr>
  </w:style>
  <w:style w:type="character" w:customStyle="1" w:styleId="323">
    <w:name w:val="Char Char31"/>
    <w:qFormat/>
    <w:uiPriority w:val="6"/>
    <w:rPr>
      <w:rFonts w:ascii="Arial" w:hAnsi="Arial" w:eastAsia="黑体"/>
      <w:kern w:val="1"/>
      <w:sz w:val="24"/>
      <w:szCs w:val="24"/>
    </w:rPr>
  </w:style>
  <w:style w:type="character" w:customStyle="1" w:styleId="324">
    <w:name w:val="h Char1"/>
    <w:qFormat/>
    <w:uiPriority w:val="0"/>
    <w:rPr>
      <w:sz w:val="18"/>
      <w:szCs w:val="18"/>
    </w:rPr>
  </w:style>
  <w:style w:type="character" w:customStyle="1" w:styleId="325">
    <w:name w:val="solutionfonts"/>
    <w:qFormat/>
    <w:uiPriority w:val="0"/>
  </w:style>
  <w:style w:type="character" w:customStyle="1" w:styleId="326">
    <w:name w:val="标题 4 Char2"/>
    <w:link w:val="7"/>
    <w:qFormat/>
    <w:uiPriority w:val="9"/>
    <w:rPr>
      <w:rFonts w:ascii="Arial" w:hAnsi="Arial" w:eastAsia="黑体"/>
      <w:b/>
      <w:bCs/>
      <w:kern w:val="2"/>
      <w:sz w:val="28"/>
      <w:szCs w:val="28"/>
      <w:lang w:val="zh-CN"/>
    </w:rPr>
  </w:style>
  <w:style w:type="character" w:customStyle="1" w:styleId="327">
    <w:name w:val="首行缩进 Char"/>
    <w:qFormat/>
    <w:uiPriority w:val="0"/>
    <w:rPr>
      <w:rFonts w:ascii="宋体" w:eastAsia="宋体"/>
      <w:kern w:val="2"/>
      <w:sz w:val="24"/>
      <w:lang w:val="en-US" w:eastAsia="zh-CN" w:bidi="ar-SA"/>
    </w:rPr>
  </w:style>
  <w:style w:type="character" w:customStyle="1" w:styleId="328">
    <w:name w:val="Char Char52"/>
    <w:qFormat/>
    <w:uiPriority w:val="0"/>
    <w:rPr>
      <w:rFonts w:ascii="宋体" w:hAnsi="Courier New" w:eastAsia="宋体"/>
      <w:kern w:val="2"/>
      <w:sz w:val="21"/>
      <w:lang w:val="en-US" w:eastAsia="zh-CN"/>
    </w:rPr>
  </w:style>
  <w:style w:type="character" w:customStyle="1" w:styleId="329">
    <w:name w:val="正文文本 3 Char"/>
    <w:link w:val="22"/>
    <w:qFormat/>
    <w:uiPriority w:val="0"/>
    <w:rPr>
      <w:kern w:val="2"/>
      <w:sz w:val="21"/>
    </w:rPr>
  </w:style>
  <w:style w:type="character" w:customStyle="1" w:styleId="330">
    <w:name w:val="font31"/>
    <w:qFormat/>
    <w:uiPriority w:val="0"/>
    <w:rPr>
      <w:rFonts w:hint="eastAsia" w:ascii="仿宋" w:hAnsi="仿宋" w:eastAsia="仿宋" w:cs="仿宋"/>
      <w:color w:val="000000"/>
      <w:sz w:val="20"/>
      <w:szCs w:val="20"/>
      <w:u w:val="none"/>
    </w:rPr>
  </w:style>
  <w:style w:type="character" w:customStyle="1" w:styleId="331">
    <w:name w:val="正文说明 Char"/>
    <w:link w:val="332"/>
    <w:qFormat/>
    <w:uiPriority w:val="0"/>
    <w:rPr>
      <w:sz w:val="24"/>
      <w:szCs w:val="24"/>
    </w:rPr>
  </w:style>
  <w:style w:type="paragraph" w:customStyle="1" w:styleId="332">
    <w:name w:val="正文说明"/>
    <w:basedOn w:val="1"/>
    <w:link w:val="331"/>
    <w:qFormat/>
    <w:uiPriority w:val="0"/>
    <w:pPr>
      <w:adjustRightInd/>
      <w:spacing w:line="360" w:lineRule="auto"/>
    </w:pPr>
    <w:rPr>
      <w:kern w:val="0"/>
      <w:sz w:val="24"/>
    </w:rPr>
  </w:style>
  <w:style w:type="character" w:customStyle="1" w:styleId="333">
    <w:name w:val="脚注文本 Char1"/>
    <w:qFormat/>
    <w:uiPriority w:val="0"/>
    <w:rPr>
      <w:rFonts w:ascii="Times New Roman" w:hAnsi="Times New Roman" w:eastAsia="宋体" w:cs="Times New Roman"/>
      <w:sz w:val="18"/>
      <w:szCs w:val="18"/>
    </w:rPr>
  </w:style>
  <w:style w:type="character" w:customStyle="1" w:styleId="334">
    <w:name w:val="Char Char1211"/>
    <w:qFormat/>
    <w:uiPriority w:val="0"/>
    <w:rPr>
      <w:rFonts w:ascii="仿宋_GB2312" w:eastAsia="仿宋_GB2312"/>
      <w:b/>
      <w:bCs/>
      <w:kern w:val="2"/>
      <w:sz w:val="24"/>
      <w:szCs w:val="24"/>
      <w:lang w:val="zh-CN" w:eastAsia="zh-CN" w:bidi="ar-SA"/>
    </w:rPr>
  </w:style>
  <w:style w:type="character" w:customStyle="1" w:styleId="335">
    <w:name w:val="标题 Char"/>
    <w:qFormat/>
    <w:uiPriority w:val="0"/>
    <w:rPr>
      <w:rFonts w:eastAsia="宋体"/>
      <w:b/>
      <w:sz w:val="24"/>
      <w:lang w:val="en-GB" w:eastAsia="zh-CN" w:bidi="ar-SA"/>
    </w:rPr>
  </w:style>
  <w:style w:type="character" w:customStyle="1" w:styleId="336">
    <w:name w:val="Char Char35"/>
    <w:qFormat/>
    <w:uiPriority w:val="6"/>
    <w:rPr>
      <w:rFonts w:ascii="Arial" w:hAnsi="Arial" w:eastAsia="黑体"/>
      <w:b/>
      <w:kern w:val="1"/>
      <w:sz w:val="28"/>
      <w:szCs w:val="28"/>
      <w:lang w:val="zh-CN"/>
    </w:rPr>
  </w:style>
  <w:style w:type="character" w:customStyle="1" w:styleId="337">
    <w:name w:val="纯文本 Char Char Char"/>
    <w:qFormat/>
    <w:uiPriority w:val="0"/>
    <w:rPr>
      <w:rFonts w:ascii="宋体" w:hAnsi="Courier New" w:eastAsia="宋体"/>
      <w:kern w:val="2"/>
      <w:sz w:val="21"/>
      <w:lang w:val="en-US" w:eastAsia="zh-CN" w:bidi="ar-SA"/>
    </w:rPr>
  </w:style>
  <w:style w:type="character" w:customStyle="1" w:styleId="338">
    <w:name w:val="Table Text Char"/>
    <w:link w:val="339"/>
    <w:qFormat/>
    <w:uiPriority w:val="0"/>
    <w:rPr>
      <w:sz w:val="24"/>
      <w:szCs w:val="24"/>
    </w:rPr>
  </w:style>
  <w:style w:type="paragraph" w:customStyle="1" w:styleId="339">
    <w:name w:val="Table Text"/>
    <w:basedOn w:val="1"/>
    <w:link w:val="338"/>
    <w:qFormat/>
    <w:uiPriority w:val="0"/>
    <w:pPr>
      <w:widowControl/>
      <w:spacing w:before="60" w:after="60"/>
      <w:jc w:val="left"/>
    </w:pPr>
    <w:rPr>
      <w:kern w:val="0"/>
      <w:sz w:val="24"/>
    </w:rPr>
  </w:style>
  <w:style w:type="character" w:customStyle="1" w:styleId="340">
    <w:name w:val="正文1 Char1"/>
    <w:qFormat/>
    <w:uiPriority w:val="0"/>
    <w:rPr>
      <w:rFonts w:ascii="仿宋_GB2312" w:hAnsi="Courier New" w:eastAsia="仿宋_GB2312"/>
      <w:kern w:val="28"/>
      <w:sz w:val="24"/>
      <w:szCs w:val="24"/>
      <w:lang w:val="en-US" w:eastAsia="zh-CN"/>
    </w:rPr>
  </w:style>
  <w:style w:type="character" w:customStyle="1" w:styleId="341">
    <w:name w:val="页脚 Char1"/>
    <w:qFormat/>
    <w:uiPriority w:val="0"/>
    <w:rPr>
      <w:rFonts w:eastAsia="宋体"/>
      <w:kern w:val="2"/>
      <w:sz w:val="18"/>
      <w:szCs w:val="18"/>
      <w:lang w:val="en-US" w:eastAsia="zh-CN" w:bidi="ar-SA"/>
    </w:rPr>
  </w:style>
  <w:style w:type="character" w:customStyle="1" w:styleId="342">
    <w:name w:val="Bold"/>
    <w:qFormat/>
    <w:uiPriority w:val="0"/>
    <w:rPr>
      <w:rFonts w:ascii="Arial" w:hAnsi="Arial" w:eastAsia="黑体" w:cs="Times New Roman"/>
      <w:b/>
      <w:kern w:val="2"/>
      <w:sz w:val="32"/>
      <w:szCs w:val="32"/>
      <w:lang w:val="en-US" w:eastAsia="zh-CN" w:bidi="ar-SA"/>
    </w:rPr>
  </w:style>
  <w:style w:type="character" w:customStyle="1" w:styleId="343">
    <w:name w:val="批注文字 Char1"/>
    <w:link w:val="20"/>
    <w:qFormat/>
    <w:uiPriority w:val="99"/>
    <w:rPr>
      <w:kern w:val="2"/>
      <w:sz w:val="21"/>
      <w:szCs w:val="24"/>
    </w:rPr>
  </w:style>
  <w:style w:type="character" w:customStyle="1" w:styleId="344">
    <w:name w:val="签名 Char"/>
    <w:link w:val="45"/>
    <w:qFormat/>
    <w:uiPriority w:val="0"/>
    <w:rPr>
      <w:rFonts w:eastAsia="仿宋_GB2312"/>
      <w:sz w:val="24"/>
    </w:rPr>
  </w:style>
  <w:style w:type="character" w:customStyle="1" w:styleId="345">
    <w:name w:val="hui3"/>
    <w:qFormat/>
    <w:uiPriority w:val="0"/>
    <w:rPr>
      <w:color w:val="333333"/>
    </w:rPr>
  </w:style>
  <w:style w:type="character" w:customStyle="1" w:styleId="346">
    <w:name w:val="Char Char17"/>
    <w:qFormat/>
    <w:uiPriority w:val="6"/>
    <w:rPr>
      <w:rFonts w:eastAsia="仿宋_GB2312"/>
      <w:sz w:val="24"/>
    </w:rPr>
  </w:style>
  <w:style w:type="character" w:customStyle="1" w:styleId="347">
    <w:name w:val="标题 4 字符"/>
    <w:qFormat/>
    <w:uiPriority w:val="9"/>
    <w:rPr>
      <w:rFonts w:ascii="等线 Light" w:hAnsi="等线 Light" w:eastAsia="等线 Light" w:cs="Times New Roman"/>
      <w:b/>
      <w:bCs/>
      <w:snapToGrid w:val="0"/>
      <w:kern w:val="0"/>
      <w:sz w:val="28"/>
      <w:szCs w:val="28"/>
    </w:rPr>
  </w:style>
  <w:style w:type="character" w:customStyle="1" w:styleId="348">
    <w:name w:val="Char Char37"/>
    <w:qFormat/>
    <w:uiPriority w:val="6"/>
    <w:rPr>
      <w:b/>
      <w:kern w:val="1"/>
      <w:sz w:val="44"/>
      <w:szCs w:val="44"/>
    </w:rPr>
  </w:style>
  <w:style w:type="character" w:customStyle="1" w:styleId="349">
    <w:name w:val="列出段落 Char"/>
    <w:qFormat/>
    <w:uiPriority w:val="0"/>
    <w:rPr>
      <w:rFonts w:eastAsia="楷体_GB2312" w:cs="Lucida Sans"/>
      <w:kern w:val="2"/>
      <w:sz w:val="24"/>
      <w:szCs w:val="24"/>
      <w:lang w:val="en-US" w:eastAsia="zh-CN" w:bidi="ar-SA"/>
    </w:rPr>
  </w:style>
  <w:style w:type="character" w:customStyle="1" w:styleId="350">
    <w:name w:val="正文文本缩进 3 Char1"/>
    <w:semiHidden/>
    <w:qFormat/>
    <w:uiPriority w:val="99"/>
    <w:rPr>
      <w:rFonts w:ascii="Times New Roman" w:hAnsi="Times New Roman" w:eastAsia="宋体" w:cs="Times New Roman"/>
      <w:sz w:val="16"/>
      <w:szCs w:val="16"/>
    </w:rPr>
  </w:style>
  <w:style w:type="character" w:customStyle="1" w:styleId="351">
    <w:name w:val="公文正文 Char Char"/>
    <w:link w:val="352"/>
    <w:qFormat/>
    <w:uiPriority w:val="0"/>
    <w:rPr>
      <w:rFonts w:ascii="仿宋_GB2312" w:eastAsia="仿宋_GB2312"/>
      <w:kern w:val="2"/>
      <w:sz w:val="24"/>
      <w:szCs w:val="24"/>
    </w:rPr>
  </w:style>
  <w:style w:type="paragraph" w:customStyle="1" w:styleId="352">
    <w:name w:val="公文正文"/>
    <w:basedOn w:val="1"/>
    <w:link w:val="351"/>
    <w:qFormat/>
    <w:uiPriority w:val="0"/>
    <w:pPr>
      <w:adjustRightInd/>
      <w:spacing w:before="156" w:line="360" w:lineRule="auto"/>
      <w:ind w:firstLine="360" w:firstLineChars="200"/>
    </w:pPr>
    <w:rPr>
      <w:rFonts w:ascii="仿宋_GB2312" w:eastAsia="仿宋_GB2312"/>
      <w:sz w:val="24"/>
    </w:rPr>
  </w:style>
  <w:style w:type="character" w:customStyle="1" w:styleId="353">
    <w:name w:val="Table Text Char1"/>
    <w:qFormat/>
    <w:uiPriority w:val="0"/>
    <w:rPr>
      <w:rFonts w:eastAsia="宋体"/>
      <w:sz w:val="24"/>
      <w:szCs w:val="24"/>
      <w:lang w:val="en-US" w:eastAsia="zh-CN" w:bidi="ar-SA"/>
    </w:rPr>
  </w:style>
  <w:style w:type="character" w:customStyle="1" w:styleId="354">
    <w:name w:val="标题 1 Char Char"/>
    <w:qFormat/>
    <w:uiPriority w:val="0"/>
    <w:rPr>
      <w:rFonts w:hint="eastAsia" w:ascii="宋体" w:hAnsi="宋体" w:eastAsia="宋体"/>
      <w:b/>
      <w:spacing w:val="-2"/>
      <w:sz w:val="24"/>
      <w:lang w:val="en-US" w:eastAsia="zh-CN" w:bidi="ar-SA"/>
    </w:rPr>
  </w:style>
  <w:style w:type="character" w:customStyle="1" w:styleId="355">
    <w:name w:val="正文（缩进2汉字） Char"/>
    <w:link w:val="356"/>
    <w:qFormat/>
    <w:uiPriority w:val="0"/>
    <w:rPr>
      <w:rFonts w:ascii="宋体"/>
    </w:rPr>
  </w:style>
  <w:style w:type="paragraph" w:customStyle="1" w:styleId="356">
    <w:name w:val="正文（缩进2汉字）"/>
    <w:basedOn w:val="1"/>
    <w:link w:val="355"/>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7">
    <w:name w:val="标题 8 Char"/>
    <w:link w:val="11"/>
    <w:qFormat/>
    <w:uiPriority w:val="0"/>
    <w:rPr>
      <w:rFonts w:ascii="Arial" w:hAnsi="Arial" w:eastAsia="黑体"/>
      <w:kern w:val="2"/>
      <w:sz w:val="24"/>
      <w:szCs w:val="24"/>
    </w:rPr>
  </w:style>
  <w:style w:type="character" w:customStyle="1" w:styleId="358">
    <w:name w:val="标书表格字体格式 Char"/>
    <w:qFormat/>
    <w:uiPriority w:val="0"/>
    <w:rPr>
      <w:kern w:val="2"/>
      <w:sz w:val="21"/>
      <w:szCs w:val="24"/>
      <w:lang w:bidi="ar-SA"/>
    </w:rPr>
  </w:style>
  <w:style w:type="character" w:customStyle="1" w:styleId="359">
    <w:name w:val="tw4winError"/>
    <w:qFormat/>
    <w:uiPriority w:val="0"/>
    <w:rPr>
      <w:rFonts w:ascii="Courier New" w:hAnsi="Courier New" w:cs="Courier New"/>
      <w:color w:val="00FF00"/>
      <w:sz w:val="40"/>
      <w:szCs w:val="40"/>
    </w:rPr>
  </w:style>
  <w:style w:type="character" w:customStyle="1" w:styleId="360">
    <w:name w:val="Body Text(ch) Char Char"/>
    <w:qFormat/>
    <w:uiPriority w:val="0"/>
    <w:rPr>
      <w:rFonts w:ascii="宋体"/>
      <w:kern w:val="2"/>
      <w:sz w:val="24"/>
      <w:szCs w:val="21"/>
      <w:lang w:val="zh-CN"/>
    </w:rPr>
  </w:style>
  <w:style w:type="character" w:customStyle="1" w:styleId="361">
    <w:name w:val="正文首行缩进两字 Char"/>
    <w:qFormat/>
    <w:uiPriority w:val="0"/>
    <w:rPr>
      <w:sz w:val="24"/>
      <w:szCs w:val="24"/>
      <w:lang w:val="en-US" w:eastAsia="zh-CN" w:bidi="ar-SA"/>
    </w:rPr>
  </w:style>
  <w:style w:type="character" w:customStyle="1" w:styleId="362">
    <w:name w:val="正文文本 Char"/>
    <w:qFormat/>
    <w:uiPriority w:val="0"/>
    <w:rPr>
      <w:rFonts w:eastAsia="宋体"/>
      <w:kern w:val="2"/>
      <w:sz w:val="24"/>
      <w:szCs w:val="24"/>
      <w:lang w:val="en-US" w:eastAsia="zh-CN" w:bidi="ar-SA"/>
    </w:rPr>
  </w:style>
  <w:style w:type="character" w:customStyle="1" w:styleId="363">
    <w:name w:val="文档结构图 字符1"/>
    <w:qFormat/>
    <w:uiPriority w:val="0"/>
    <w:rPr>
      <w:rFonts w:ascii="宋体" w:hAnsi="Calibri" w:eastAsia="黑体" w:cs="Arial"/>
      <w:snapToGrid w:val="0"/>
      <w:kern w:val="2"/>
      <w:sz w:val="18"/>
      <w:szCs w:val="18"/>
    </w:rPr>
  </w:style>
  <w:style w:type="character" w:customStyle="1" w:styleId="364">
    <w:name w:val="content"/>
    <w:qFormat/>
    <w:uiPriority w:val="0"/>
  </w:style>
  <w:style w:type="character" w:customStyle="1" w:styleId="365">
    <w:name w:val="tw4winPopup"/>
    <w:qFormat/>
    <w:uiPriority w:val="0"/>
    <w:rPr>
      <w:rFonts w:ascii="Courier New" w:hAnsi="Courier New" w:cs="Courier New"/>
      <w:color w:val="008000"/>
      <w:lang w:val="en-US" w:eastAsia="zh-CN"/>
    </w:rPr>
  </w:style>
  <w:style w:type="character" w:customStyle="1" w:styleId="366">
    <w:name w:val="param-name"/>
    <w:qFormat/>
    <w:uiPriority w:val="99"/>
    <w:rPr>
      <w:rFonts w:ascii="Arial" w:hAnsi="Arial" w:eastAsia="黑体" w:cs="Arial"/>
      <w:snapToGrid w:val="0"/>
      <w:kern w:val="0"/>
      <w:szCs w:val="21"/>
    </w:rPr>
  </w:style>
  <w:style w:type="character" w:customStyle="1" w:styleId="367">
    <w:name w:val="标准正文格式 Char"/>
    <w:qFormat/>
    <w:uiPriority w:val="0"/>
    <w:rPr>
      <w:rFonts w:ascii="宋体" w:eastAsia="仿宋_GB2312" w:cs="宋体"/>
      <w:color w:val="000000"/>
      <w:sz w:val="24"/>
      <w:lang w:val="en-US" w:eastAsia="zh-CN" w:bidi="ar-SA"/>
    </w:rPr>
  </w:style>
  <w:style w:type="character" w:customStyle="1" w:styleId="368">
    <w:name w:val="Char Char212"/>
    <w:qFormat/>
    <w:uiPriority w:val="0"/>
    <w:rPr>
      <w:rFonts w:eastAsia="宋体"/>
      <w:b/>
      <w:bCs/>
      <w:kern w:val="2"/>
      <w:sz w:val="21"/>
      <w:szCs w:val="24"/>
      <w:lang w:val="en-US" w:eastAsia="zh-CN" w:bidi="ar-SA"/>
    </w:rPr>
  </w:style>
  <w:style w:type="character" w:customStyle="1" w:styleId="369">
    <w:name w:val="文档结构图 Char"/>
    <w:qFormat/>
    <w:uiPriority w:val="0"/>
    <w:rPr>
      <w:rFonts w:eastAsia="宋体"/>
      <w:kern w:val="2"/>
      <w:sz w:val="21"/>
      <w:szCs w:val="24"/>
      <w:lang w:val="en-US" w:eastAsia="zh-CN" w:bidi="ar-SA"/>
    </w:rPr>
  </w:style>
  <w:style w:type="character" w:customStyle="1" w:styleId="370">
    <w:name w:val="zbggmain style9"/>
    <w:qFormat/>
    <w:uiPriority w:val="0"/>
  </w:style>
  <w:style w:type="character" w:customStyle="1" w:styleId="371">
    <w:name w:val="Char Char16"/>
    <w:qFormat/>
    <w:uiPriority w:val="6"/>
    <w:rPr>
      <w:kern w:val="1"/>
      <w:sz w:val="18"/>
      <w:szCs w:val="18"/>
    </w:rPr>
  </w:style>
  <w:style w:type="character" w:customStyle="1" w:styleId="372">
    <w:name w:val="font51"/>
    <w:qFormat/>
    <w:uiPriority w:val="0"/>
    <w:rPr>
      <w:rFonts w:hint="eastAsia" w:ascii="仿宋" w:hAnsi="仿宋" w:eastAsia="仿宋" w:cs="仿宋"/>
      <w:color w:val="000000"/>
      <w:sz w:val="20"/>
      <w:szCs w:val="20"/>
      <w:u w:val="none"/>
    </w:rPr>
  </w:style>
  <w:style w:type="character" w:customStyle="1" w:styleId="373">
    <w:name w:val="Char Char82"/>
    <w:qFormat/>
    <w:uiPriority w:val="0"/>
    <w:rPr>
      <w:rFonts w:eastAsia="宋体"/>
      <w:b/>
      <w:sz w:val="24"/>
      <w:lang w:val="en-GB" w:eastAsia="zh-CN"/>
    </w:rPr>
  </w:style>
  <w:style w:type="character" w:customStyle="1" w:styleId="374">
    <w:name w:val="正文文本缩进 3 Char"/>
    <w:link w:val="55"/>
    <w:qFormat/>
    <w:uiPriority w:val="0"/>
    <w:rPr>
      <w:kern w:val="2"/>
      <w:sz w:val="24"/>
    </w:rPr>
  </w:style>
  <w:style w:type="character" w:customStyle="1" w:styleId="375">
    <w:name w:val="日期 Char1"/>
    <w:semiHidden/>
    <w:qFormat/>
    <w:uiPriority w:val="99"/>
    <w:rPr>
      <w:rFonts w:ascii="Times New Roman" w:hAnsi="Times New Roman" w:eastAsia="宋体" w:cs="Times New Roman"/>
      <w:szCs w:val="24"/>
    </w:rPr>
  </w:style>
  <w:style w:type="character" w:customStyle="1" w:styleId="376">
    <w:name w:val="页眉 字符"/>
    <w:qFormat/>
    <w:uiPriority w:val="99"/>
    <w:rPr>
      <w:kern w:val="2"/>
      <w:sz w:val="18"/>
      <w:szCs w:val="18"/>
    </w:rPr>
  </w:style>
  <w:style w:type="character" w:customStyle="1" w:styleId="377">
    <w:name w:val="Char Char33"/>
    <w:qFormat/>
    <w:uiPriority w:val="6"/>
    <w:rPr>
      <w:rFonts w:ascii="Arial" w:hAnsi="Arial" w:eastAsia="黑体"/>
      <w:b/>
      <w:kern w:val="1"/>
      <w:sz w:val="24"/>
      <w:szCs w:val="24"/>
    </w:rPr>
  </w:style>
  <w:style w:type="character" w:customStyle="1" w:styleId="378">
    <w:name w:val="b11_01b Char"/>
    <w:link w:val="379"/>
    <w:qFormat/>
    <w:uiPriority w:val="0"/>
    <w:rPr>
      <w:rFonts w:ascii="Verdana" w:hAnsi="Verdana"/>
      <w:b/>
      <w:bCs/>
      <w:color w:val="4A82CA"/>
      <w:sz w:val="17"/>
      <w:szCs w:val="17"/>
    </w:rPr>
  </w:style>
  <w:style w:type="paragraph" w:customStyle="1" w:styleId="379">
    <w:name w:val="b11_01b"/>
    <w:basedOn w:val="1"/>
    <w:next w:val="1"/>
    <w:link w:val="378"/>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0">
    <w:name w:val="Char Char121"/>
    <w:qFormat/>
    <w:uiPriority w:val="6"/>
    <w:rPr>
      <w:rFonts w:ascii="仿宋_GB2312" w:eastAsia="仿宋_GB2312"/>
      <w:b/>
      <w:bCs/>
      <w:kern w:val="2"/>
      <w:sz w:val="24"/>
      <w:szCs w:val="24"/>
      <w:lang w:val="zh-CN" w:eastAsia="zh-CN" w:bidi="ar-SA"/>
    </w:rPr>
  </w:style>
  <w:style w:type="character" w:customStyle="1" w:styleId="381">
    <w:name w:val="Footer-Even Char"/>
    <w:qFormat/>
    <w:uiPriority w:val="0"/>
    <w:rPr>
      <w:rFonts w:eastAsia="宋体"/>
      <w:kern w:val="2"/>
      <w:sz w:val="18"/>
      <w:lang w:val="en-US" w:eastAsia="zh-CN" w:bidi="ar-SA"/>
    </w:rPr>
  </w:style>
  <w:style w:type="character" w:customStyle="1" w:styleId="382">
    <w:name w:val="页脚 Char2"/>
    <w:link w:val="42"/>
    <w:qFormat/>
    <w:locked/>
    <w:uiPriority w:val="99"/>
    <w:rPr>
      <w:kern w:val="2"/>
      <w:sz w:val="18"/>
      <w:szCs w:val="18"/>
    </w:rPr>
  </w:style>
  <w:style w:type="character" w:customStyle="1" w:styleId="383">
    <w:name w:val="Char Char36"/>
    <w:qFormat/>
    <w:uiPriority w:val="6"/>
    <w:rPr>
      <w:rFonts w:ascii="仿宋_GB2312" w:hAnsi="仿宋_GB2312" w:eastAsia="仿宋_GB2312" w:cs="Arial"/>
      <w:b/>
      <w:kern w:val="1"/>
      <w:sz w:val="32"/>
      <w:szCs w:val="32"/>
      <w:lang w:val="zh-CN" w:eastAsia="zh-CN" w:bidi="ar-SA"/>
    </w:rPr>
  </w:style>
  <w:style w:type="character" w:customStyle="1" w:styleId="384">
    <w:name w:val="Char Char61"/>
    <w:qFormat/>
    <w:uiPriority w:val="6"/>
    <w:rPr>
      <w:rFonts w:eastAsia="宋体"/>
      <w:kern w:val="2"/>
      <w:sz w:val="21"/>
      <w:szCs w:val="24"/>
      <w:lang w:val="en-US" w:eastAsia="zh-CN" w:bidi="ar-SA"/>
    </w:rPr>
  </w:style>
  <w:style w:type="character" w:customStyle="1" w:styleId="385">
    <w:name w:val="正文文字缩进 2 Char Char"/>
    <w:qFormat/>
    <w:uiPriority w:val="0"/>
    <w:rPr>
      <w:rFonts w:ascii="宋体"/>
      <w:sz w:val="28"/>
    </w:rPr>
  </w:style>
  <w:style w:type="character" w:customStyle="1" w:styleId="386">
    <w:name w:val="f141"/>
    <w:qFormat/>
    <w:uiPriority w:val="0"/>
    <w:rPr>
      <w:rFonts w:ascii="Tahoma" w:hAnsi="Tahoma" w:eastAsia="宋体"/>
      <w:b/>
      <w:kern w:val="2"/>
      <w:sz w:val="21"/>
      <w:szCs w:val="21"/>
      <w:lang w:val="en-US" w:eastAsia="zh-CN" w:bidi="ar-SA"/>
    </w:rPr>
  </w:style>
  <w:style w:type="character" w:customStyle="1" w:styleId="387">
    <w:name w:val="段落 Char Char"/>
    <w:link w:val="388"/>
    <w:qFormat/>
    <w:uiPriority w:val="0"/>
    <w:rPr>
      <w:rFonts w:ascii="宋体" w:hAnsi="宋体"/>
      <w:sz w:val="24"/>
    </w:rPr>
  </w:style>
  <w:style w:type="paragraph" w:customStyle="1" w:styleId="388">
    <w:name w:val="段落"/>
    <w:basedOn w:val="1"/>
    <w:link w:val="387"/>
    <w:qFormat/>
    <w:uiPriority w:val="0"/>
    <w:pPr>
      <w:adjustRightInd/>
      <w:spacing w:line="360" w:lineRule="auto"/>
      <w:ind w:firstLine="480" w:firstLineChars="200"/>
    </w:pPr>
    <w:rPr>
      <w:rFonts w:ascii="宋体" w:hAnsi="宋体"/>
      <w:kern w:val="0"/>
      <w:sz w:val="24"/>
      <w:szCs w:val="20"/>
    </w:rPr>
  </w:style>
  <w:style w:type="character" w:customStyle="1" w:styleId="389">
    <w:name w:val="标题 3 Char2"/>
    <w:qFormat/>
    <w:uiPriority w:val="0"/>
    <w:rPr>
      <w:rFonts w:eastAsia="宋体"/>
      <w:b/>
      <w:bCs/>
      <w:kern w:val="2"/>
      <w:sz w:val="32"/>
      <w:szCs w:val="32"/>
      <w:lang w:val="en-US" w:eastAsia="zh-CN" w:bidi="ar-SA"/>
    </w:rPr>
  </w:style>
  <w:style w:type="character" w:customStyle="1" w:styleId="390">
    <w:name w:val="apple-converted-space"/>
    <w:qFormat/>
    <w:uiPriority w:val="0"/>
  </w:style>
  <w:style w:type="character" w:customStyle="1" w:styleId="391">
    <w:name w:val="页眉 Char2"/>
    <w:link w:val="44"/>
    <w:qFormat/>
    <w:uiPriority w:val="99"/>
    <w:rPr>
      <w:kern w:val="2"/>
      <w:sz w:val="18"/>
      <w:szCs w:val="18"/>
    </w:rPr>
  </w:style>
  <w:style w:type="character" w:customStyle="1" w:styleId="392">
    <w:name w:val="Char Char9"/>
    <w:qFormat/>
    <w:uiPriority w:val="0"/>
    <w:rPr>
      <w:rFonts w:eastAsia="宋体"/>
      <w:kern w:val="2"/>
      <w:sz w:val="18"/>
      <w:szCs w:val="18"/>
      <w:lang w:val="en-US" w:eastAsia="zh-CN" w:bidi="ar-SA"/>
    </w:rPr>
  </w:style>
  <w:style w:type="character" w:customStyle="1" w:styleId="393">
    <w:name w:val="Char Char41"/>
    <w:qFormat/>
    <w:uiPriority w:val="0"/>
    <w:rPr>
      <w:rFonts w:eastAsia="宋体"/>
      <w:b/>
      <w:sz w:val="24"/>
      <w:lang w:val="en-GB" w:eastAsia="zh-CN" w:bidi="ar-SA"/>
    </w:rPr>
  </w:style>
  <w:style w:type="character" w:customStyle="1" w:styleId="394">
    <w:name w:val="large1"/>
    <w:qFormat/>
    <w:uiPriority w:val="0"/>
    <w:rPr>
      <w:rFonts w:hint="eastAsia" w:ascii="宋体" w:hAnsi="宋体" w:eastAsia="宋体"/>
      <w:sz w:val="21"/>
      <w:szCs w:val="21"/>
    </w:rPr>
  </w:style>
  <w:style w:type="character" w:customStyle="1" w:styleId="395">
    <w:name w:val="正文段 Char"/>
    <w:link w:val="396"/>
    <w:qFormat/>
    <w:uiPriority w:val="0"/>
    <w:rPr>
      <w:sz w:val="24"/>
    </w:rPr>
  </w:style>
  <w:style w:type="paragraph" w:customStyle="1" w:styleId="396">
    <w:name w:val="正文段"/>
    <w:basedOn w:val="1"/>
    <w:link w:val="395"/>
    <w:qFormat/>
    <w:uiPriority w:val="0"/>
    <w:pPr>
      <w:widowControl/>
      <w:snapToGrid w:val="0"/>
      <w:spacing w:after="156" w:afterLines="50"/>
      <w:ind w:firstLine="200" w:firstLineChars="200"/>
    </w:pPr>
    <w:rPr>
      <w:kern w:val="0"/>
      <w:sz w:val="24"/>
      <w:szCs w:val="20"/>
    </w:rPr>
  </w:style>
  <w:style w:type="character" w:customStyle="1" w:styleId="397">
    <w:name w:val="Char Char13"/>
    <w:qFormat/>
    <w:uiPriority w:val="6"/>
    <w:rPr>
      <w:rFonts w:ascii="宋体" w:hAnsi="宋体"/>
      <w:kern w:val="1"/>
      <w:sz w:val="21"/>
      <w:szCs w:val="24"/>
    </w:rPr>
  </w:style>
  <w:style w:type="character" w:customStyle="1" w:styleId="398">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9">
    <w:name w:val="冯广丽 Char"/>
    <w:link w:val="400"/>
    <w:qFormat/>
    <w:uiPriority w:val="0"/>
    <w:rPr>
      <w:rFonts w:ascii="宋体" w:hAnsi="宋体"/>
      <w:kern w:val="2"/>
      <w:sz w:val="24"/>
      <w:szCs w:val="22"/>
    </w:rPr>
  </w:style>
  <w:style w:type="paragraph" w:customStyle="1" w:styleId="400">
    <w:name w:val="冯广丽"/>
    <w:basedOn w:val="1"/>
    <w:link w:val="399"/>
    <w:qFormat/>
    <w:uiPriority w:val="0"/>
    <w:pPr>
      <w:adjustRightInd/>
      <w:spacing w:line="360" w:lineRule="auto"/>
      <w:ind w:firstLine="480" w:firstLineChars="200"/>
    </w:pPr>
    <w:rPr>
      <w:rFonts w:ascii="宋体" w:hAnsi="宋体"/>
      <w:sz w:val="24"/>
      <w:szCs w:val="22"/>
    </w:rPr>
  </w:style>
  <w:style w:type="character" w:customStyle="1" w:styleId="401">
    <w:name w:val="批注文字 字符"/>
    <w:autoRedefine/>
    <w:qFormat/>
    <w:uiPriority w:val="0"/>
    <w:rPr>
      <w:rFonts w:ascii="Arial" w:hAnsi="Arial" w:eastAsia="黑体" w:cs="Arial"/>
      <w:snapToGrid w:val="0"/>
      <w:kern w:val="0"/>
      <w:szCs w:val="21"/>
    </w:rPr>
  </w:style>
  <w:style w:type="character" w:customStyle="1" w:styleId="402">
    <w:name w:val="Char Char161"/>
    <w:qFormat/>
    <w:uiPriority w:val="0"/>
    <w:rPr>
      <w:rFonts w:eastAsia="宋体"/>
      <w:b/>
      <w:kern w:val="2"/>
      <w:sz w:val="32"/>
      <w:lang w:val="en-US" w:eastAsia="zh-CN"/>
    </w:rPr>
  </w:style>
  <w:style w:type="character" w:customStyle="1" w:styleId="403">
    <w:name w:val="javascript"/>
    <w:qFormat/>
    <w:uiPriority w:val="0"/>
  </w:style>
  <w:style w:type="character" w:customStyle="1" w:styleId="404">
    <w:name w:val="图名 Char"/>
    <w:qFormat/>
    <w:uiPriority w:val="0"/>
    <w:rPr>
      <w:rFonts w:ascii="Arial" w:hAnsi="Arial" w:eastAsia="黑体"/>
      <w:kern w:val="2"/>
      <w:sz w:val="24"/>
      <w:szCs w:val="24"/>
      <w:lang w:val="en-US" w:eastAsia="zh-CN" w:bidi="ar-SA"/>
    </w:rPr>
  </w:style>
  <w:style w:type="character" w:customStyle="1" w:styleId="405">
    <w:name w:val="Used by Word for text of Help footnotes Char Char"/>
    <w:qFormat/>
    <w:uiPriority w:val="0"/>
    <w:rPr>
      <w:rFonts w:ascii="Times New Roman" w:hAnsi="Times New Roman" w:eastAsia="宋体" w:cs="Times New Roman"/>
      <w:sz w:val="20"/>
      <w:szCs w:val="20"/>
    </w:rPr>
  </w:style>
  <w:style w:type="character" w:customStyle="1" w:styleId="406">
    <w:name w:val="编号，小四 Char"/>
    <w:link w:val="407"/>
    <w:qFormat/>
    <w:uiPriority w:val="0"/>
    <w:rPr>
      <w:rFonts w:ascii="Arial" w:hAnsi="Arial"/>
      <w:sz w:val="24"/>
    </w:rPr>
  </w:style>
  <w:style w:type="paragraph" w:customStyle="1" w:styleId="407">
    <w:name w:val="编号，小四"/>
    <w:basedOn w:val="1"/>
    <w:link w:val="406"/>
    <w:qFormat/>
    <w:uiPriority w:val="0"/>
    <w:pPr>
      <w:tabs>
        <w:tab w:val="left" w:pos="432"/>
      </w:tabs>
      <w:adjustRightInd/>
      <w:spacing w:line="360" w:lineRule="auto"/>
      <w:ind w:left="432" w:hanging="432"/>
    </w:pPr>
    <w:rPr>
      <w:rFonts w:ascii="Arial" w:hAnsi="Arial"/>
      <w:kern w:val="0"/>
      <w:sz w:val="24"/>
      <w:szCs w:val="20"/>
    </w:rPr>
  </w:style>
  <w:style w:type="character" w:customStyle="1" w:styleId="408">
    <w:name w:val="Font Style82"/>
    <w:qFormat/>
    <w:uiPriority w:val="99"/>
    <w:rPr>
      <w:rFonts w:ascii="宋体" w:eastAsia="宋体" w:cs="宋体"/>
      <w:color w:val="000000"/>
      <w:sz w:val="14"/>
      <w:szCs w:val="14"/>
    </w:rPr>
  </w:style>
  <w:style w:type="character" w:customStyle="1" w:styleId="409">
    <w:name w:val="标题 2 Char Char"/>
    <w:qFormat/>
    <w:uiPriority w:val="0"/>
    <w:rPr>
      <w:rFonts w:ascii="楷体_GB2312" w:hAnsi="Arial" w:eastAsia="楷体_GB2312"/>
      <w:b/>
      <w:bCs/>
      <w:kern w:val="2"/>
      <w:sz w:val="24"/>
      <w:szCs w:val="32"/>
      <w:lang w:val="en-US" w:eastAsia="zh-CN" w:bidi="ar-SA"/>
    </w:rPr>
  </w:style>
  <w:style w:type="character" w:customStyle="1" w:styleId="410">
    <w:name w:val="未用 Char"/>
    <w:qFormat/>
    <w:uiPriority w:val="0"/>
    <w:rPr>
      <w:rFonts w:ascii="Arial" w:hAnsi="Arial" w:eastAsia="黑体"/>
      <w:kern w:val="2"/>
      <w:sz w:val="21"/>
      <w:szCs w:val="21"/>
      <w:lang w:val="en-US" w:eastAsia="zh-CN" w:bidi="ar-SA"/>
    </w:rPr>
  </w:style>
  <w:style w:type="character" w:customStyle="1" w:styleId="411">
    <w:name w:val="myp1111"/>
    <w:qFormat/>
    <w:uiPriority w:val="0"/>
    <w:rPr>
      <w:rFonts w:hint="default" w:ascii="ˎ̥" w:hAnsi="ˎ̥"/>
      <w:color w:val="000000"/>
      <w:sz w:val="20"/>
      <w:szCs w:val="20"/>
      <w:u w:val="none"/>
    </w:rPr>
  </w:style>
  <w:style w:type="character" w:customStyle="1" w:styleId="412">
    <w:name w:val="样式 标题 4h4H4Fab-4T5Ref Heading 1rh1Heading sqlsect 1.2.3.... Char"/>
    <w:link w:val="304"/>
    <w:qFormat/>
    <w:uiPriority w:val="0"/>
    <w:rPr>
      <w:rFonts w:ascii="微软雅黑" w:hAnsi="微软雅黑" w:eastAsia="微软雅黑"/>
      <w:b/>
      <w:bCs/>
      <w:kern w:val="2"/>
      <w:sz w:val="24"/>
      <w:szCs w:val="28"/>
    </w:rPr>
  </w:style>
  <w:style w:type="character" w:customStyle="1" w:styleId="413">
    <w:name w:val="h Char Char"/>
    <w:qFormat/>
    <w:uiPriority w:val="0"/>
    <w:rPr>
      <w:rFonts w:eastAsia="宋体"/>
      <w:kern w:val="2"/>
      <w:sz w:val="18"/>
      <w:lang w:val="en-US" w:eastAsia="zh-CN" w:bidi="ar-SA"/>
    </w:rPr>
  </w:style>
  <w:style w:type="character" w:customStyle="1" w:styleId="414">
    <w:name w:val="仿宋正文 Char"/>
    <w:link w:val="415"/>
    <w:qFormat/>
    <w:uiPriority w:val="0"/>
    <w:rPr>
      <w:rFonts w:ascii="仿宋_GB2312" w:eastAsia="仿宋_GB2312"/>
      <w:kern w:val="2"/>
      <w:sz w:val="24"/>
      <w:lang w:val="en-US" w:eastAsia="zh-CN" w:bidi="ar-SA"/>
    </w:rPr>
  </w:style>
  <w:style w:type="paragraph" w:customStyle="1" w:styleId="415">
    <w:name w:val="仿宋正文"/>
    <w:basedOn w:val="1"/>
    <w:link w:val="414"/>
    <w:qFormat/>
    <w:uiPriority w:val="0"/>
    <w:pPr>
      <w:adjustRightInd/>
      <w:spacing w:line="360" w:lineRule="auto"/>
      <w:ind w:firstLine="480" w:firstLineChars="200"/>
    </w:pPr>
    <w:rPr>
      <w:rFonts w:ascii="仿宋_GB2312" w:eastAsia="仿宋_GB2312"/>
      <w:sz w:val="24"/>
      <w:szCs w:val="20"/>
    </w:rPr>
  </w:style>
  <w:style w:type="character" w:customStyle="1" w:styleId="416">
    <w:name w:val="正文首行缩进 Char Char Char Char Char Char"/>
    <w:qFormat/>
    <w:uiPriority w:val="0"/>
    <w:rPr>
      <w:rFonts w:ascii="宋体" w:eastAsia="宋体"/>
      <w:kern w:val="2"/>
      <w:sz w:val="24"/>
      <w:lang w:val="zh-CN" w:bidi="ar-SA"/>
    </w:rPr>
  </w:style>
  <w:style w:type="character" w:customStyle="1" w:styleId="417">
    <w:name w:val="样式 宋体"/>
    <w:qFormat/>
    <w:uiPriority w:val="0"/>
    <w:rPr>
      <w:rFonts w:ascii="宋体" w:hAnsi="宋体"/>
      <w:sz w:val="24"/>
    </w:rPr>
  </w:style>
  <w:style w:type="character" w:customStyle="1" w:styleId="418">
    <w:name w:val="tw4winJump"/>
    <w:qFormat/>
    <w:uiPriority w:val="0"/>
    <w:rPr>
      <w:rFonts w:ascii="Courier New" w:hAnsi="Courier New" w:cs="Courier New"/>
      <w:color w:val="008080"/>
      <w:lang w:val="en-US" w:eastAsia="zh-CN"/>
    </w:rPr>
  </w:style>
  <w:style w:type="character" w:customStyle="1" w:styleId="419">
    <w:name w:val="标题 1 字符"/>
    <w:qFormat/>
    <w:uiPriority w:val="9"/>
    <w:rPr>
      <w:rFonts w:ascii="Arial" w:hAnsi="Arial" w:eastAsia="黑体" w:cs="Arial"/>
      <w:b/>
      <w:bCs/>
      <w:snapToGrid w:val="0"/>
      <w:kern w:val="44"/>
      <w:sz w:val="44"/>
      <w:szCs w:val="44"/>
    </w:rPr>
  </w:style>
  <w:style w:type="character" w:customStyle="1" w:styleId="420">
    <w:name w:val="style36"/>
    <w:basedOn w:val="71"/>
    <w:qFormat/>
    <w:uiPriority w:val="0"/>
    <w:rPr>
      <w:rFonts w:ascii="Arial" w:hAnsi="Arial" w:eastAsia="黑体" w:cs="Arial"/>
      <w:snapToGrid w:val="0"/>
      <w:kern w:val="0"/>
      <w:szCs w:val="21"/>
    </w:rPr>
  </w:style>
  <w:style w:type="character" w:customStyle="1" w:styleId="421">
    <w:name w:val="pt9"/>
    <w:qFormat/>
    <w:uiPriority w:val="0"/>
    <w:rPr>
      <w:rFonts w:ascii="仿宋_GB2312" w:eastAsia="微软雅黑"/>
      <w:b/>
      <w:kern w:val="2"/>
      <w:sz w:val="32"/>
      <w:szCs w:val="32"/>
      <w:lang w:val="en-US" w:eastAsia="zh-CN" w:bidi="ar-SA"/>
    </w:rPr>
  </w:style>
  <w:style w:type="character" w:customStyle="1" w:styleId="422">
    <w:name w:val="DO_NOT_TRANSLATE"/>
    <w:qFormat/>
    <w:uiPriority w:val="0"/>
    <w:rPr>
      <w:rFonts w:ascii="Courier New" w:hAnsi="Courier New" w:cs="Courier New"/>
      <w:color w:val="800000"/>
      <w:lang w:val="en-US" w:eastAsia="zh-CN"/>
    </w:rPr>
  </w:style>
  <w:style w:type="character" w:customStyle="1" w:styleId="423">
    <w:name w:val="标书1 Char1"/>
    <w:qFormat/>
    <w:uiPriority w:val="0"/>
    <w:rPr>
      <w:rFonts w:eastAsia="宋体"/>
      <w:b/>
      <w:bCs/>
      <w:kern w:val="44"/>
      <w:sz w:val="44"/>
      <w:szCs w:val="44"/>
      <w:lang w:val="en-US" w:eastAsia="zh-CN" w:bidi="ar-SA"/>
    </w:rPr>
  </w:style>
  <w:style w:type="character" w:customStyle="1" w:styleId="424">
    <w:name w:val="页脚 字符"/>
    <w:qFormat/>
    <w:uiPriority w:val="99"/>
    <w:rPr>
      <w:kern w:val="2"/>
      <w:sz w:val="18"/>
      <w:szCs w:val="18"/>
    </w:rPr>
  </w:style>
  <w:style w:type="character" w:customStyle="1" w:styleId="425">
    <w:name w:val="正文2 Char"/>
    <w:qFormat/>
    <w:uiPriority w:val="0"/>
    <w:rPr>
      <w:rFonts w:eastAsia="宋体"/>
      <w:kern w:val="2"/>
      <w:sz w:val="24"/>
      <w:lang w:val="en-US" w:eastAsia="zh-CN" w:bidi="ar-SA"/>
    </w:rPr>
  </w:style>
  <w:style w:type="character" w:customStyle="1" w:styleId="426">
    <w:name w:val="Char Char21"/>
    <w:qFormat/>
    <w:uiPriority w:val="6"/>
    <w:rPr>
      <w:rFonts w:ascii="宋体" w:hAnsi="宋体"/>
      <w:kern w:val="1"/>
      <w:sz w:val="24"/>
      <w:szCs w:val="21"/>
      <w:lang w:val="zh-CN"/>
    </w:rPr>
  </w:style>
  <w:style w:type="character" w:customStyle="1" w:styleId="427">
    <w:name w:val="样式 正文缩进 + 首行缩进:  2 字符 Char Char"/>
    <w:link w:val="428"/>
    <w:qFormat/>
    <w:uiPriority w:val="0"/>
    <w:rPr>
      <w:rFonts w:cs="宋体"/>
      <w:kern w:val="2"/>
      <w:sz w:val="24"/>
    </w:rPr>
  </w:style>
  <w:style w:type="paragraph" w:customStyle="1" w:styleId="428">
    <w:name w:val="样式 正文缩进 + 首行缩进:  2 字符"/>
    <w:basedOn w:val="6"/>
    <w:link w:val="427"/>
    <w:qFormat/>
    <w:uiPriority w:val="0"/>
    <w:pPr>
      <w:widowControl w:val="0"/>
      <w:adjustRightInd/>
      <w:snapToGrid/>
      <w:spacing w:line="360" w:lineRule="auto"/>
      <w:ind w:firstLine="200" w:firstLineChars="200"/>
    </w:pPr>
    <w:rPr>
      <w:rFonts w:ascii="Calibri"/>
      <w:color w:val="auto"/>
      <w:kern w:val="2"/>
      <w:sz w:val="24"/>
    </w:rPr>
  </w:style>
  <w:style w:type="character" w:customStyle="1" w:styleId="429">
    <w:name w:val="正文文本 Char1"/>
    <w:link w:val="24"/>
    <w:qFormat/>
    <w:uiPriority w:val="0"/>
    <w:rPr>
      <w:rFonts w:ascii="宋体" w:hAnsi="Arial" w:eastAsia="宋体" w:cs="Arial"/>
      <w:snapToGrid w:val="0"/>
      <w:kern w:val="2"/>
      <w:sz w:val="24"/>
      <w:szCs w:val="21"/>
      <w:lang w:val="zh-CN" w:eastAsia="zh-CN" w:bidi="ar-SA"/>
    </w:rPr>
  </w:style>
  <w:style w:type="character" w:customStyle="1" w:styleId="430">
    <w:name w:val="gray6"/>
    <w:basedOn w:val="71"/>
    <w:qFormat/>
    <w:uiPriority w:val="0"/>
    <w:rPr>
      <w:rFonts w:ascii="Arial" w:hAnsi="Arial" w:eastAsia="黑体" w:cs="Arial"/>
      <w:snapToGrid w:val="0"/>
      <w:kern w:val="0"/>
      <w:szCs w:val="21"/>
    </w:rPr>
  </w:style>
  <w:style w:type="character" w:customStyle="1" w:styleId="431">
    <w:name w:val="hui"/>
    <w:basedOn w:val="71"/>
    <w:qFormat/>
    <w:uiPriority w:val="0"/>
    <w:rPr>
      <w:rFonts w:ascii="Arial" w:hAnsi="Arial" w:eastAsia="黑体" w:cs="Arial"/>
      <w:snapToGrid w:val="0"/>
      <w:kern w:val="0"/>
      <w:szCs w:val="21"/>
    </w:rPr>
  </w:style>
  <w:style w:type="character" w:customStyle="1" w:styleId="432">
    <w:name w:val="哈哈正文 Char Char"/>
    <w:qFormat/>
    <w:uiPriority w:val="0"/>
    <w:rPr>
      <w:rFonts w:ascii="宋体" w:hAnsi="宋体" w:eastAsia="宋体" w:cs="宋体"/>
      <w:kern w:val="2"/>
      <w:sz w:val="24"/>
      <w:lang w:val="en-US" w:eastAsia="zh-CN" w:bidi="ar-SA"/>
    </w:rPr>
  </w:style>
  <w:style w:type="paragraph" w:customStyle="1" w:styleId="433">
    <w:name w:val="样式 正文文本缩进 + 左侧:  2 字符 首行缩进:  2 字符"/>
    <w:basedOn w:val="27"/>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4">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5">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6">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7">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8">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9">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0">
    <w:name w:val="标题4_自定义"/>
    <w:basedOn w:val="7"/>
    <w:qFormat/>
    <w:uiPriority w:val="0"/>
    <w:pPr>
      <w:adjustRightInd/>
      <w:spacing w:before="0" w:after="0" w:line="360" w:lineRule="auto"/>
    </w:pPr>
    <w:rPr>
      <w:rFonts w:ascii="Verdana" w:eastAsia="Verdana"/>
      <w:sz w:val="21"/>
      <w:lang w:val="en-US"/>
    </w:rPr>
  </w:style>
  <w:style w:type="paragraph" w:customStyle="1" w:styleId="441">
    <w:name w:val="正文 内标 序号标"/>
    <w:basedOn w:val="442"/>
    <w:qFormat/>
    <w:uiPriority w:val="0"/>
    <w:pPr>
      <w:tabs>
        <w:tab w:val="left" w:pos="0"/>
      </w:tabs>
      <w:adjustRightInd/>
      <w:spacing w:before="0"/>
      <w:ind w:firstLine="482"/>
    </w:pPr>
    <w:rPr>
      <w:rFonts w:ascii="微软雅黑" w:hAnsi="微软雅黑"/>
      <w:sz w:val="24"/>
      <w:szCs w:val="24"/>
    </w:rPr>
  </w:style>
  <w:style w:type="paragraph" w:customStyle="1" w:styleId="442">
    <w:name w:val="My正文"/>
    <w:basedOn w:val="1"/>
    <w:qFormat/>
    <w:uiPriority w:val="0"/>
    <w:pPr>
      <w:spacing w:before="120" w:line="360" w:lineRule="auto"/>
      <w:ind w:firstLine="567"/>
    </w:pPr>
    <w:rPr>
      <w:rFonts w:ascii="Arial" w:hAnsi="Arial"/>
      <w:sz w:val="20"/>
      <w:szCs w:val="20"/>
    </w:rPr>
  </w:style>
  <w:style w:type="paragraph" w:customStyle="1" w:styleId="443">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4">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5">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6">
    <w:name w:val="修订2"/>
    <w:qFormat/>
    <w:uiPriority w:val="0"/>
    <w:rPr>
      <w:rFonts w:ascii="Times New Roman" w:hAnsi="Times New Roman" w:eastAsia="宋体" w:cs="Times New Roman"/>
      <w:kern w:val="2"/>
      <w:sz w:val="21"/>
      <w:lang w:val="en-US" w:eastAsia="zh-CN" w:bidi="ar-SA"/>
    </w:rPr>
  </w:style>
  <w:style w:type="paragraph" w:customStyle="1" w:styleId="447">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8">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9">
    <w:name w:val="文章标题"/>
    <w:next w:val="450"/>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0">
    <w:name w:val="封面公司名"/>
    <w:qFormat/>
    <w:uiPriority w:val="0"/>
    <w:pPr>
      <w:jc w:val="center"/>
    </w:pPr>
    <w:rPr>
      <w:rFonts w:ascii="Arial" w:hAnsi="Arial" w:eastAsia="楷体_GB2312" w:cs="宋体"/>
      <w:bCs/>
      <w:kern w:val="2"/>
      <w:sz w:val="28"/>
      <w:lang w:val="en-US" w:eastAsia="zh-CN" w:bidi="ar-SA"/>
    </w:rPr>
  </w:style>
  <w:style w:type="paragraph" w:customStyle="1" w:styleId="451">
    <w:name w:val="Char1 Char Char Char5"/>
    <w:basedOn w:val="1"/>
    <w:qFormat/>
    <w:uiPriority w:val="0"/>
    <w:pPr>
      <w:adjustRightInd/>
      <w:ind w:firstLine="200" w:firstLineChars="200"/>
    </w:pPr>
    <w:rPr>
      <w:rFonts w:ascii="Tahoma" w:hAnsi="Tahoma"/>
      <w:sz w:val="24"/>
      <w:szCs w:val="20"/>
    </w:rPr>
  </w:style>
  <w:style w:type="paragraph" w:customStyle="1" w:styleId="452">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3">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4">
    <w:name w:val="Char Char Char Char Char Char Char Char"/>
    <w:basedOn w:val="1"/>
    <w:qFormat/>
    <w:uiPriority w:val="0"/>
    <w:pPr>
      <w:tabs>
        <w:tab w:val="left" w:pos="360"/>
      </w:tabs>
    </w:pPr>
    <w:rPr>
      <w:sz w:val="24"/>
      <w:szCs w:val="20"/>
    </w:rPr>
  </w:style>
  <w:style w:type="paragraph" w:customStyle="1" w:styleId="455">
    <w:name w:val="Char Char11 Char Char Char"/>
    <w:basedOn w:val="1"/>
    <w:qFormat/>
    <w:uiPriority w:val="0"/>
    <w:pPr>
      <w:spacing w:line="360" w:lineRule="auto"/>
    </w:pPr>
    <w:rPr>
      <w:szCs w:val="20"/>
    </w:rPr>
  </w:style>
  <w:style w:type="paragraph" w:customStyle="1" w:styleId="456">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7">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8">
    <w:name w:val="样式3"/>
    <w:basedOn w:val="459"/>
    <w:qFormat/>
    <w:uiPriority w:val="0"/>
    <w:pPr>
      <w:tabs>
        <w:tab w:val="left" w:pos="2790"/>
        <w:tab w:val="left" w:pos="4230"/>
      </w:tabs>
      <w:spacing w:before="312" w:beforeLines="100"/>
      <w:jc w:val="left"/>
    </w:pPr>
  </w:style>
  <w:style w:type="paragraph" w:customStyle="1" w:styleId="459">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0">
    <w:name w:val="Char Char1 Char Char1 Char Char1"/>
    <w:basedOn w:val="1"/>
    <w:qFormat/>
    <w:uiPriority w:val="0"/>
    <w:pPr>
      <w:tabs>
        <w:tab w:val="left" w:pos="840"/>
      </w:tabs>
      <w:ind w:left="840" w:hanging="420"/>
    </w:pPr>
    <w:rPr>
      <w:rFonts w:ascii="Tahoma" w:hAnsi="Tahoma"/>
      <w:sz w:val="24"/>
    </w:rPr>
  </w:style>
  <w:style w:type="paragraph" w:customStyle="1" w:styleId="461">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2">
    <w:name w:val="标书标题2"/>
    <w:basedOn w:val="2"/>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3">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4">
    <w:name w:val="正文21"/>
    <w:basedOn w:val="1"/>
    <w:qFormat/>
    <w:uiPriority w:val="0"/>
    <w:pPr>
      <w:adjustRightInd/>
      <w:spacing w:before="156" w:line="360" w:lineRule="auto"/>
      <w:ind w:firstLine="510" w:firstLineChars="200"/>
    </w:pPr>
    <w:rPr>
      <w:sz w:val="24"/>
      <w:szCs w:val="20"/>
    </w:rPr>
  </w:style>
  <w:style w:type="paragraph" w:customStyle="1" w:styleId="465">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6">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7">
    <w:name w:val="Char1"/>
    <w:basedOn w:val="1"/>
    <w:qFormat/>
    <w:uiPriority w:val="0"/>
    <w:rPr>
      <w:rFonts w:ascii="仿宋_GB2312" w:eastAsia="仿宋_GB2312"/>
      <w:b/>
      <w:sz w:val="32"/>
      <w:szCs w:val="32"/>
    </w:rPr>
  </w:style>
  <w:style w:type="paragraph" w:customStyle="1" w:styleId="468">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9">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0">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1">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2">
    <w:name w:val="6级标题"/>
    <w:basedOn w:val="473"/>
    <w:qFormat/>
    <w:uiPriority w:val="0"/>
    <w:pPr>
      <w:keepNext/>
      <w:tabs>
        <w:tab w:val="left" w:pos="360"/>
      </w:tabs>
      <w:spacing w:before="0" w:after="0"/>
      <w:outlineLvl w:val="5"/>
    </w:pPr>
  </w:style>
  <w:style w:type="paragraph" w:customStyle="1" w:styleId="473">
    <w:name w:val="5级标题"/>
    <w:basedOn w:val="474"/>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4">
    <w:name w:val="4级标题"/>
    <w:basedOn w:val="258"/>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5">
    <w:name w:val="样式 正文文本缩进 + 段前: 2 字符"/>
    <w:basedOn w:val="1"/>
    <w:qFormat/>
    <w:uiPriority w:val="0"/>
    <w:pPr>
      <w:adjustRightInd/>
      <w:ind w:left="420" w:leftChars="200"/>
      <w:jc w:val="left"/>
    </w:pPr>
    <w:rPr>
      <w:sz w:val="28"/>
      <w:szCs w:val="20"/>
      <w:lang w:eastAsia="zh-TW"/>
    </w:rPr>
  </w:style>
  <w:style w:type="paragraph" w:customStyle="1" w:styleId="476">
    <w:name w:val="Char2 Char Char"/>
    <w:basedOn w:val="1"/>
    <w:qFormat/>
    <w:uiPriority w:val="0"/>
    <w:pPr>
      <w:adjustRightInd/>
    </w:pPr>
    <w:rPr>
      <w:rFonts w:ascii="Tahoma" w:hAnsi="Tahoma"/>
      <w:sz w:val="24"/>
      <w:szCs w:val="20"/>
    </w:rPr>
  </w:style>
  <w:style w:type="paragraph" w:customStyle="1" w:styleId="477">
    <w:name w:val="_Style 11"/>
    <w:basedOn w:val="1"/>
    <w:qFormat/>
    <w:uiPriority w:val="34"/>
    <w:pPr>
      <w:adjustRightInd/>
      <w:ind w:firstLine="420" w:firstLineChars="200"/>
    </w:pPr>
    <w:rPr>
      <w:rFonts w:eastAsia="仿宋_GB2312"/>
      <w:sz w:val="28"/>
    </w:rPr>
  </w:style>
  <w:style w:type="paragraph" w:customStyle="1" w:styleId="478">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9">
    <w:name w:val="Char Char Char"/>
    <w:basedOn w:val="1"/>
    <w:qFormat/>
    <w:uiPriority w:val="0"/>
    <w:rPr>
      <w:rFonts w:ascii="Tahoma" w:hAnsi="Tahoma"/>
      <w:sz w:val="24"/>
      <w:szCs w:val="20"/>
    </w:rPr>
  </w:style>
  <w:style w:type="paragraph" w:customStyle="1" w:styleId="480">
    <w:name w:val="数字标题6"/>
    <w:basedOn w:val="9"/>
    <w:next w:val="1"/>
    <w:qFormat/>
    <w:uiPriority w:val="0"/>
    <w:pPr>
      <w:tabs>
        <w:tab w:val="left" w:pos="1080"/>
      </w:tabs>
      <w:ind w:left="1080" w:hanging="1080"/>
    </w:pPr>
    <w:rPr>
      <w:rFonts w:ascii="Times New Roman" w:hAnsi="Times New Roman" w:eastAsia="宋体"/>
      <w:i/>
    </w:rPr>
  </w:style>
  <w:style w:type="paragraph" w:customStyle="1" w:styleId="481">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2">
    <w:name w:val="No Spacing"/>
    <w:basedOn w:val="1"/>
    <w:link w:val="931"/>
    <w:qFormat/>
    <w:uiPriority w:val="99"/>
    <w:rPr>
      <w:szCs w:val="22"/>
    </w:rPr>
  </w:style>
  <w:style w:type="paragraph" w:customStyle="1" w:styleId="483">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4">
    <w:name w:val="Char Char Char Char Char Char Char Char Char Char Char Char1 Char1"/>
    <w:basedOn w:val="1"/>
    <w:qFormat/>
    <w:uiPriority w:val="6"/>
    <w:rPr>
      <w:rFonts w:ascii="Tahoma" w:hAnsi="Tahoma" w:cs="仿宋_GB2312"/>
      <w:sz w:val="24"/>
      <w:szCs w:val="20"/>
    </w:rPr>
  </w:style>
  <w:style w:type="paragraph" w:customStyle="1" w:styleId="485">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6">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7">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8">
    <w:name w:val="MM Topic 2"/>
    <w:basedOn w:val="2"/>
    <w:qFormat/>
    <w:uiPriority w:val="0"/>
    <w:pPr>
      <w:tabs>
        <w:tab w:val="left" w:pos="1260"/>
      </w:tabs>
      <w:ind w:left="1260" w:hanging="420"/>
    </w:pPr>
    <w:rPr>
      <w:rFonts w:ascii="Arial" w:hAnsi="Arial" w:eastAsia="黑体"/>
      <w:lang w:val="en-US"/>
    </w:rPr>
  </w:style>
  <w:style w:type="paragraph" w:customStyle="1" w:styleId="489">
    <w:name w:val="五级无标题条"/>
    <w:basedOn w:val="1"/>
    <w:qFormat/>
    <w:uiPriority w:val="0"/>
    <w:pPr>
      <w:adjustRightInd/>
    </w:pPr>
  </w:style>
  <w:style w:type="paragraph" w:customStyle="1" w:styleId="490">
    <w:name w:val="Char5"/>
    <w:basedOn w:val="1"/>
    <w:qFormat/>
    <w:uiPriority w:val="0"/>
    <w:rPr>
      <w:rFonts w:ascii="仿宋_GB2312" w:eastAsia="仿宋_GB2312"/>
      <w:b/>
      <w:sz w:val="32"/>
      <w:szCs w:val="32"/>
    </w:rPr>
  </w:style>
  <w:style w:type="paragraph" w:customStyle="1" w:styleId="491">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2">
    <w:name w:val="彩色列表 - 强调文字颜色 12"/>
    <w:basedOn w:val="1"/>
    <w:qFormat/>
    <w:uiPriority w:val="0"/>
    <w:pPr>
      <w:adjustRightInd/>
      <w:ind w:firstLine="420" w:firstLineChars="200"/>
    </w:pPr>
    <w:rPr>
      <w:rFonts w:ascii="Calibri" w:hAnsi="Calibri"/>
      <w:szCs w:val="22"/>
    </w:rPr>
  </w:style>
  <w:style w:type="paragraph" w:customStyle="1" w:styleId="493">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4">
    <w:name w:val="Char2"/>
    <w:basedOn w:val="1"/>
    <w:qFormat/>
    <w:uiPriority w:val="0"/>
    <w:rPr>
      <w:rFonts w:ascii="仿宋_GB2312" w:eastAsia="仿宋_GB2312"/>
      <w:b/>
      <w:sz w:val="32"/>
      <w:szCs w:val="32"/>
    </w:rPr>
  </w:style>
  <w:style w:type="paragraph" w:customStyle="1" w:styleId="495">
    <w:name w:val="数字标题3"/>
    <w:basedOn w:val="5"/>
    <w:next w:val="1"/>
    <w:qFormat/>
    <w:uiPriority w:val="0"/>
    <w:pPr>
      <w:spacing w:line="240" w:lineRule="auto"/>
    </w:pPr>
    <w:rPr>
      <w:sz w:val="28"/>
      <w:szCs w:val="28"/>
    </w:rPr>
  </w:style>
  <w:style w:type="paragraph" w:customStyle="1" w:styleId="496">
    <w:name w:val="FA正文"/>
    <w:basedOn w:val="1"/>
    <w:qFormat/>
    <w:uiPriority w:val="0"/>
    <w:pPr>
      <w:spacing w:line="360" w:lineRule="auto"/>
      <w:ind w:firstLine="480" w:firstLineChars="200"/>
    </w:pPr>
    <w:rPr>
      <w:rFonts w:hAnsi="宋体"/>
      <w:sz w:val="24"/>
      <w:szCs w:val="20"/>
    </w:rPr>
  </w:style>
  <w:style w:type="paragraph" w:customStyle="1" w:styleId="497">
    <w:name w:val="MM Topic 5"/>
    <w:basedOn w:val="8"/>
    <w:qFormat/>
    <w:uiPriority w:val="0"/>
    <w:pPr>
      <w:tabs>
        <w:tab w:val="left" w:pos="2520"/>
      </w:tabs>
      <w:adjustRightInd/>
      <w:ind w:left="2520" w:hanging="420"/>
    </w:pPr>
  </w:style>
  <w:style w:type="paragraph" w:customStyle="1" w:styleId="498">
    <w:name w:val="Char Char Char Char Char Char Char Char Char Char1"/>
    <w:basedOn w:val="1"/>
    <w:qFormat/>
    <w:uiPriority w:val="0"/>
    <w:rPr>
      <w:rFonts w:ascii="仿宋_GB2312" w:eastAsia="仿宋_GB2312"/>
      <w:b/>
      <w:sz w:val="32"/>
      <w:szCs w:val="32"/>
    </w:rPr>
  </w:style>
  <w:style w:type="paragraph" w:customStyle="1" w:styleId="499">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0">
    <w:name w:val="修订1"/>
    <w:qFormat/>
    <w:uiPriority w:val="3"/>
    <w:rPr>
      <w:rFonts w:ascii="Times New Roman" w:hAnsi="Times New Roman" w:eastAsia="宋体" w:cs="Times New Roman"/>
      <w:color w:val="000000"/>
      <w:kern w:val="1"/>
      <w:sz w:val="21"/>
      <w:lang w:val="en-US" w:eastAsia="zh-CN" w:bidi="ar-SA"/>
    </w:rPr>
  </w:style>
  <w:style w:type="paragraph" w:customStyle="1" w:styleId="501">
    <w:name w:val="Char2 Char Char Char"/>
    <w:basedOn w:val="1"/>
    <w:qFormat/>
    <w:uiPriority w:val="0"/>
    <w:rPr>
      <w:rFonts w:ascii="仿宋_GB2312" w:eastAsia="仿宋_GB2312"/>
      <w:b/>
      <w:sz w:val="32"/>
      <w:szCs w:val="32"/>
    </w:rPr>
  </w:style>
  <w:style w:type="paragraph" w:customStyle="1" w:styleId="502">
    <w:name w:val="Char2 Char Char Char1"/>
    <w:basedOn w:val="1"/>
    <w:qFormat/>
    <w:uiPriority w:val="6"/>
    <w:rPr>
      <w:rFonts w:ascii="仿宋_GB2312" w:eastAsia="仿宋_GB2312"/>
      <w:b/>
      <w:sz w:val="32"/>
      <w:szCs w:val="32"/>
    </w:rPr>
  </w:style>
  <w:style w:type="paragraph" w:customStyle="1" w:styleId="503">
    <w:name w:val="默认段落样式"/>
    <w:basedOn w:val="131"/>
    <w:qFormat/>
    <w:uiPriority w:val="0"/>
    <w:pPr>
      <w:spacing w:before="0"/>
      <w:ind w:firstLine="480"/>
      <w:outlineLvl w:val="2"/>
    </w:pPr>
    <w:rPr>
      <w:rFonts w:ascii="仿宋_GB2312" w:hAnsi="宋体" w:eastAsia="仿宋_GB2312"/>
      <w:color w:val="000000"/>
      <w:szCs w:val="24"/>
    </w:rPr>
  </w:style>
  <w:style w:type="paragraph" w:customStyle="1" w:styleId="504">
    <w:name w:val="图中文字"/>
    <w:basedOn w:val="1"/>
    <w:qFormat/>
    <w:uiPriority w:val="0"/>
    <w:pPr>
      <w:snapToGrid w:val="0"/>
      <w:spacing w:line="0" w:lineRule="atLeast"/>
      <w:ind w:firstLine="200" w:firstLineChars="200"/>
      <w:jc w:val="center"/>
    </w:pPr>
    <w:rPr>
      <w:sz w:val="24"/>
      <w:szCs w:val="20"/>
    </w:rPr>
  </w:style>
  <w:style w:type="paragraph" w:customStyle="1" w:styleId="505">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6">
    <w:name w:val="MM Topic 3"/>
    <w:basedOn w:val="5"/>
    <w:qFormat/>
    <w:uiPriority w:val="0"/>
    <w:pPr>
      <w:tabs>
        <w:tab w:val="left" w:pos="1680"/>
      </w:tabs>
      <w:adjustRightInd/>
      <w:ind w:left="1680" w:hanging="420"/>
    </w:pPr>
  </w:style>
  <w:style w:type="paragraph" w:customStyle="1" w:styleId="507">
    <w:name w:val="标准小四"/>
    <w:basedOn w:val="1"/>
    <w:qFormat/>
    <w:uiPriority w:val="0"/>
    <w:pPr>
      <w:spacing w:line="360" w:lineRule="auto"/>
      <w:ind w:firstLine="480" w:firstLineChars="200"/>
    </w:pPr>
    <w:rPr>
      <w:rFonts w:ascii="Arial" w:hAnsi="Arial"/>
      <w:sz w:val="24"/>
      <w:szCs w:val="21"/>
    </w:rPr>
  </w:style>
  <w:style w:type="paragraph" w:customStyle="1" w:styleId="508">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lang w:val="en-US"/>
    </w:rPr>
  </w:style>
  <w:style w:type="paragraph" w:customStyle="1" w:styleId="509">
    <w:name w:val="表格（小）"/>
    <w:basedOn w:val="1"/>
    <w:qFormat/>
    <w:uiPriority w:val="0"/>
    <w:pPr>
      <w:adjustRightInd/>
      <w:snapToGrid w:val="0"/>
      <w:spacing w:line="300" w:lineRule="auto"/>
    </w:pPr>
    <w:rPr>
      <w:rFonts w:eastAsia="仿宋"/>
      <w:szCs w:val="21"/>
    </w:rPr>
  </w:style>
  <w:style w:type="paragraph" w:customStyle="1" w:styleId="510">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1">
    <w:name w:val="Char2 Char Char1"/>
    <w:basedOn w:val="1"/>
    <w:qFormat/>
    <w:uiPriority w:val="6"/>
    <w:pPr>
      <w:adjustRightInd/>
    </w:pPr>
    <w:rPr>
      <w:rFonts w:ascii="Tahoma" w:hAnsi="Tahoma"/>
      <w:sz w:val="24"/>
      <w:szCs w:val="20"/>
    </w:rPr>
  </w:style>
  <w:style w:type="paragraph" w:customStyle="1" w:styleId="512">
    <w:name w:val="列出段落5"/>
    <w:basedOn w:val="1"/>
    <w:qFormat/>
    <w:uiPriority w:val="0"/>
    <w:pPr>
      <w:spacing w:line="360" w:lineRule="auto"/>
      <w:ind w:firstLine="200" w:firstLineChars="200"/>
    </w:pPr>
    <w:rPr>
      <w:rFonts w:eastAsia="楷体_GB2312" w:cs="Lucida Sans"/>
      <w:sz w:val="24"/>
    </w:rPr>
  </w:style>
  <w:style w:type="paragraph" w:customStyle="1" w:styleId="513">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4">
    <w:name w:val="表格文字"/>
    <w:basedOn w:val="1"/>
    <w:next w:val="6"/>
    <w:qFormat/>
    <w:uiPriority w:val="0"/>
    <w:pPr>
      <w:adjustRightInd/>
      <w:ind w:firstLine="200" w:firstLineChars="200"/>
    </w:pPr>
    <w:rPr>
      <w:rFonts w:ascii="Arial" w:hAnsi="Arial"/>
      <w:spacing w:val="-5"/>
      <w:kern w:val="0"/>
      <w:sz w:val="24"/>
      <w:szCs w:val="20"/>
    </w:rPr>
  </w:style>
  <w:style w:type="paragraph" w:customStyle="1" w:styleId="515">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6">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7">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8">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9">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0">
    <w:name w:val="_Style 3"/>
    <w:basedOn w:val="1"/>
    <w:qFormat/>
    <w:uiPriority w:val="0"/>
    <w:pPr>
      <w:adjustRightInd/>
      <w:ind w:firstLine="420" w:firstLineChars="200"/>
    </w:pPr>
    <w:rPr>
      <w:rFonts w:eastAsia="仿宋_GB2312"/>
      <w:sz w:val="28"/>
    </w:rPr>
  </w:style>
  <w:style w:type="paragraph" w:customStyle="1" w:styleId="521">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2">
    <w:name w:val="Bulleting First Indent 1"/>
    <w:basedOn w:val="25"/>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3">
    <w:name w:val="左对齐表格文字"/>
    <w:basedOn w:val="1"/>
    <w:qFormat/>
    <w:uiPriority w:val="0"/>
    <w:pPr>
      <w:adjustRightInd/>
      <w:ind w:firstLine="200" w:firstLineChars="200"/>
      <w:jc w:val="right"/>
    </w:pPr>
  </w:style>
  <w:style w:type="paragraph" w:customStyle="1" w:styleId="524">
    <w:name w:val="Char Char11 Char Char Char Char Char Char Char Char Char"/>
    <w:basedOn w:val="1"/>
    <w:qFormat/>
    <w:uiPriority w:val="0"/>
    <w:pPr>
      <w:spacing w:line="360" w:lineRule="auto"/>
    </w:pPr>
    <w:rPr>
      <w:szCs w:val="20"/>
    </w:rPr>
  </w:style>
  <w:style w:type="paragraph" w:customStyle="1" w:styleId="525">
    <w:name w:val="正文1.25"/>
    <w:basedOn w:val="1"/>
    <w:qFormat/>
    <w:uiPriority w:val="0"/>
    <w:pPr>
      <w:adjustRightInd/>
      <w:spacing w:line="300" w:lineRule="auto"/>
      <w:ind w:firstLine="480" w:firstLineChars="200"/>
    </w:pPr>
    <w:rPr>
      <w:sz w:val="24"/>
      <w:szCs w:val="20"/>
    </w:rPr>
  </w:style>
  <w:style w:type="paragraph" w:customStyle="1" w:styleId="526">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7">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8">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9">
    <w:name w:val="Char Char1 Char Char Char1"/>
    <w:basedOn w:val="1"/>
    <w:qFormat/>
    <w:uiPriority w:val="6"/>
    <w:rPr>
      <w:rFonts w:ascii="仿宋_GB2312" w:eastAsia="仿宋_GB2312"/>
      <w:b/>
      <w:sz w:val="32"/>
      <w:szCs w:val="20"/>
    </w:rPr>
  </w:style>
  <w:style w:type="paragraph" w:customStyle="1" w:styleId="530">
    <w:name w:val="列出段落2"/>
    <w:basedOn w:val="1"/>
    <w:qFormat/>
    <w:uiPriority w:val="0"/>
    <w:pPr>
      <w:adjustRightInd/>
      <w:ind w:firstLine="420" w:firstLineChars="200"/>
    </w:pPr>
    <w:rPr>
      <w:rFonts w:ascii="宋体" w:hAnsi="宋体"/>
      <w:sz w:val="24"/>
    </w:rPr>
  </w:style>
  <w:style w:type="paragraph" w:customStyle="1" w:styleId="531">
    <w:name w:val="默认段落字体 Para Char Char Char Char Char Char Char"/>
    <w:basedOn w:val="1"/>
    <w:qFormat/>
    <w:uiPriority w:val="0"/>
    <w:rPr>
      <w:rFonts w:eastAsia="仿宋_GB2312"/>
      <w:sz w:val="28"/>
      <w:szCs w:val="20"/>
    </w:rPr>
  </w:style>
  <w:style w:type="paragraph" w:customStyle="1" w:styleId="532">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3">
    <w:name w:val="样式 标题 4PIM 4H4h4bulletblbbH41H42H43H44H45H46H47H48...1"/>
    <w:basedOn w:val="7"/>
    <w:qFormat/>
    <w:uiPriority w:val="0"/>
    <w:pPr>
      <w:widowControl/>
      <w:jc w:val="left"/>
    </w:pPr>
    <w:rPr>
      <w:rFonts w:cs="宋体"/>
      <w:sz w:val="24"/>
      <w:szCs w:val="20"/>
    </w:rPr>
  </w:style>
  <w:style w:type="paragraph" w:customStyle="1" w:styleId="534">
    <w:name w:val="彩色列表 - 强调文字颜色 11"/>
    <w:basedOn w:val="1"/>
    <w:qFormat/>
    <w:uiPriority w:val="0"/>
    <w:pPr>
      <w:adjustRightInd/>
      <w:ind w:firstLine="420" w:firstLineChars="200"/>
    </w:pPr>
    <w:rPr>
      <w:rFonts w:ascii="Calibri" w:hAnsi="Calibri"/>
      <w:szCs w:val="22"/>
    </w:rPr>
  </w:style>
  <w:style w:type="paragraph" w:customStyle="1" w:styleId="535">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6">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7">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8">
    <w:name w:val="Char Char Char1 Char1"/>
    <w:basedOn w:val="1"/>
    <w:qFormat/>
    <w:uiPriority w:val="6"/>
    <w:rPr>
      <w:szCs w:val="20"/>
    </w:rPr>
  </w:style>
  <w:style w:type="paragraph" w:customStyle="1" w:styleId="539">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0">
    <w:name w:val="样式 标题 2 + 宋体 左侧:  1.76 厘米 首行缩进:  0 厘米"/>
    <w:basedOn w:val="2"/>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1">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2">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3">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4">
    <w:name w:val="CM14"/>
    <w:basedOn w:val="235"/>
    <w:next w:val="235"/>
    <w:qFormat/>
    <w:uiPriority w:val="0"/>
    <w:pPr>
      <w:spacing w:after="68"/>
    </w:pPr>
    <w:rPr>
      <w:rFonts w:ascii="FHLHE E+ Futura Bk" w:eastAsia="FHLHE E+ Futura Bk" w:cs="Times New Roman"/>
      <w:color w:val="auto"/>
    </w:rPr>
  </w:style>
  <w:style w:type="paragraph" w:customStyle="1" w:styleId="545">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6">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7">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8">
    <w:name w:val="正文文字 2"/>
    <w:basedOn w:val="235"/>
    <w:next w:val="235"/>
    <w:qFormat/>
    <w:uiPriority w:val="0"/>
    <w:rPr>
      <w:rFonts w:ascii="宋体" w:eastAsia="宋体" w:cs="Times New Roman"/>
      <w:color w:val="auto"/>
    </w:rPr>
  </w:style>
  <w:style w:type="paragraph" w:customStyle="1" w:styleId="549">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0">
    <w:name w:val="Char Char1 Char"/>
    <w:basedOn w:val="1"/>
    <w:qFormat/>
    <w:uiPriority w:val="0"/>
    <w:rPr>
      <w:rFonts w:ascii="仿宋_GB2312" w:eastAsia="仿宋_GB2312"/>
      <w:b/>
      <w:sz w:val="32"/>
      <w:szCs w:val="32"/>
    </w:rPr>
  </w:style>
  <w:style w:type="paragraph" w:customStyle="1" w:styleId="551">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2">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3">
    <w:name w:val="Char Char111"/>
    <w:basedOn w:val="1"/>
    <w:qFormat/>
    <w:uiPriority w:val="0"/>
    <w:pPr>
      <w:spacing w:line="360" w:lineRule="auto"/>
    </w:pPr>
    <w:rPr>
      <w:szCs w:val="20"/>
    </w:rPr>
  </w:style>
  <w:style w:type="paragraph" w:customStyle="1" w:styleId="554">
    <w:name w:val="Char"/>
    <w:basedOn w:val="1"/>
    <w:qFormat/>
    <w:uiPriority w:val="0"/>
    <w:rPr>
      <w:rFonts w:ascii="仿宋_GB2312" w:eastAsia="仿宋_GB2312"/>
      <w:b/>
      <w:sz w:val="32"/>
      <w:szCs w:val="32"/>
    </w:rPr>
  </w:style>
  <w:style w:type="paragraph" w:customStyle="1" w:styleId="555">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6">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7">
    <w:name w:val="Char Char Char1 Char"/>
    <w:basedOn w:val="1"/>
    <w:qFormat/>
    <w:uiPriority w:val="0"/>
    <w:rPr>
      <w:szCs w:val="20"/>
    </w:rPr>
  </w:style>
  <w:style w:type="paragraph" w:customStyle="1" w:styleId="558">
    <w:name w:val="正文标准"/>
    <w:basedOn w:val="1"/>
    <w:qFormat/>
    <w:uiPriority w:val="0"/>
    <w:pPr>
      <w:adjustRightInd/>
      <w:spacing w:line="360" w:lineRule="auto"/>
      <w:ind w:firstLine="200" w:firstLineChars="200"/>
    </w:pPr>
    <w:rPr>
      <w:rFonts w:ascii="宋体" w:hAnsi="Calibri"/>
      <w:sz w:val="24"/>
    </w:rPr>
  </w:style>
  <w:style w:type="paragraph" w:customStyle="1" w:styleId="559">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0">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1">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2">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3">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4">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5">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6">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8">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0">
    <w:name w:val="标准有序列表（L1）"/>
    <w:basedOn w:val="6"/>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571">
    <w:name w:val="Char Char Char Char Char Char Char Char Char Char"/>
    <w:basedOn w:val="1"/>
    <w:qFormat/>
    <w:uiPriority w:val="0"/>
    <w:rPr>
      <w:rFonts w:ascii="仿宋_GB2312" w:eastAsia="仿宋_GB2312"/>
      <w:b/>
      <w:sz w:val="32"/>
      <w:szCs w:val="32"/>
    </w:rPr>
  </w:style>
  <w:style w:type="paragraph" w:customStyle="1" w:styleId="572">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3">
    <w:name w:val="_正文段落"/>
    <w:basedOn w:val="1"/>
    <w:qFormat/>
    <w:uiPriority w:val="0"/>
    <w:pPr>
      <w:adjustRightInd/>
      <w:ind w:firstLine="560"/>
    </w:pPr>
    <w:rPr>
      <w:rFonts w:ascii="仿宋_GB2312" w:hAnsi="仿宋" w:eastAsia="仿宋_GB2312"/>
      <w:kern w:val="0"/>
      <w:sz w:val="28"/>
      <w:szCs w:val="28"/>
    </w:rPr>
  </w:style>
  <w:style w:type="paragraph" w:customStyle="1" w:styleId="574">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5">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6">
    <w:name w:val="正文（首行缩进）"/>
    <w:basedOn w:val="27"/>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7">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8">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9">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0">
    <w:name w:val="Char Char Char1 Char2"/>
    <w:basedOn w:val="1"/>
    <w:qFormat/>
    <w:uiPriority w:val="0"/>
    <w:rPr>
      <w:szCs w:val="20"/>
    </w:rPr>
  </w:style>
  <w:style w:type="paragraph" w:customStyle="1" w:styleId="581">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2">
    <w:name w:val="默认段落字体 Para Char"/>
    <w:basedOn w:val="1"/>
    <w:qFormat/>
    <w:uiPriority w:val="0"/>
    <w:rPr>
      <w:rFonts w:ascii="Tahoma" w:hAnsi="Tahoma"/>
      <w:sz w:val="24"/>
      <w:szCs w:val="20"/>
    </w:rPr>
  </w:style>
  <w:style w:type="paragraph" w:customStyle="1" w:styleId="583">
    <w:name w:val="标题五"/>
    <w:basedOn w:val="1"/>
    <w:qFormat/>
    <w:uiPriority w:val="0"/>
    <w:pPr>
      <w:adjustRightInd/>
      <w:spacing w:before="156" w:beforeLines="50" w:line="360" w:lineRule="auto"/>
    </w:pPr>
    <w:rPr>
      <w:b/>
      <w:sz w:val="24"/>
    </w:rPr>
  </w:style>
  <w:style w:type="paragraph" w:customStyle="1" w:styleId="584">
    <w:name w:val="Char Char1101"/>
    <w:basedOn w:val="1"/>
    <w:qFormat/>
    <w:uiPriority w:val="0"/>
    <w:pPr>
      <w:spacing w:line="360" w:lineRule="auto"/>
    </w:pPr>
    <w:rPr>
      <w:rFonts w:ascii="Tahoma" w:hAnsi="Tahoma"/>
      <w:sz w:val="24"/>
      <w:szCs w:val="20"/>
    </w:rPr>
  </w:style>
  <w:style w:type="paragraph" w:customStyle="1" w:styleId="585">
    <w:name w:val="Char Char Char Char Char Char Char Char1"/>
    <w:basedOn w:val="1"/>
    <w:qFormat/>
    <w:uiPriority w:val="0"/>
    <w:pPr>
      <w:tabs>
        <w:tab w:val="left" w:pos="360"/>
      </w:tabs>
    </w:pPr>
    <w:rPr>
      <w:sz w:val="24"/>
      <w:szCs w:val="20"/>
    </w:rPr>
  </w:style>
  <w:style w:type="paragraph" w:customStyle="1" w:styleId="586">
    <w:name w:val="Char Char Char 字元 字元"/>
    <w:basedOn w:val="1"/>
    <w:qFormat/>
    <w:uiPriority w:val="0"/>
    <w:pPr>
      <w:adjustRightInd/>
      <w:spacing w:line="360" w:lineRule="auto"/>
      <w:ind w:firstLine="200" w:firstLineChars="200"/>
    </w:pPr>
    <w:rPr>
      <w:szCs w:val="20"/>
    </w:rPr>
  </w:style>
  <w:style w:type="paragraph" w:customStyle="1" w:styleId="587">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8">
    <w:name w:val="Char Char Char Char Char Char Char"/>
    <w:basedOn w:val="1"/>
    <w:qFormat/>
    <w:uiPriority w:val="0"/>
    <w:rPr>
      <w:rFonts w:ascii="仿宋_GB2312" w:eastAsia="仿宋_GB2312"/>
      <w:b/>
      <w:sz w:val="32"/>
      <w:szCs w:val="32"/>
    </w:rPr>
  </w:style>
  <w:style w:type="paragraph" w:customStyle="1" w:styleId="589">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0">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1">
    <w:name w:val="样式 标题 22h2L1 Heading 2H2sect 1.2H21sect 1.21H22sect 1.2..."/>
    <w:basedOn w:val="2"/>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2">
    <w:name w:val="样式6"/>
    <w:basedOn w:val="35"/>
    <w:qFormat/>
    <w:uiPriority w:val="0"/>
    <w:pPr>
      <w:spacing w:line="460" w:lineRule="exact"/>
      <w:outlineLvl w:val="2"/>
    </w:pPr>
    <w:rPr>
      <w:rFonts w:ascii="仿宋_GB2312" w:hAnsi="宋体" w:eastAsia="仿宋_GB2312"/>
      <w:b/>
      <w:bCs/>
      <w:sz w:val="24"/>
      <w:szCs w:val="24"/>
    </w:rPr>
  </w:style>
  <w:style w:type="paragraph" w:customStyle="1" w:styleId="593">
    <w:name w:val="批注框文本 Char Char"/>
    <w:basedOn w:val="1"/>
    <w:qFormat/>
    <w:uiPriority w:val="0"/>
    <w:pPr>
      <w:adjustRightInd/>
    </w:pPr>
    <w:rPr>
      <w:sz w:val="18"/>
      <w:szCs w:val="20"/>
    </w:rPr>
  </w:style>
  <w:style w:type="paragraph" w:customStyle="1" w:styleId="594">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5">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6">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7">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8">
    <w:name w:val="索引 11"/>
    <w:basedOn w:val="1"/>
    <w:next w:val="1"/>
    <w:qFormat/>
    <w:uiPriority w:val="99"/>
    <w:pPr>
      <w:adjustRightInd/>
      <w:spacing w:line="360" w:lineRule="auto"/>
    </w:pPr>
    <w:rPr>
      <w:rFonts w:ascii="仿宋_GB2312" w:eastAsia="仿宋_GB2312"/>
      <w:sz w:val="24"/>
      <w:szCs w:val="20"/>
    </w:rPr>
  </w:style>
  <w:style w:type="paragraph" w:customStyle="1" w:styleId="599">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0">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1">
    <w:name w:val="正文文字缩进项目"/>
    <w:basedOn w:val="27"/>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2">
    <w:name w:val="文档正文"/>
    <w:basedOn w:val="1"/>
    <w:qFormat/>
    <w:uiPriority w:val="0"/>
    <w:pPr>
      <w:spacing w:line="480" w:lineRule="atLeast"/>
      <w:ind w:firstLine="567"/>
      <w:textAlignment w:val="baseline"/>
    </w:pPr>
    <w:rPr>
      <w:kern w:val="0"/>
      <w:sz w:val="24"/>
      <w:szCs w:val="20"/>
    </w:rPr>
  </w:style>
  <w:style w:type="paragraph" w:customStyle="1" w:styleId="603">
    <w:name w:val="正文文字表格居中"/>
    <w:basedOn w:val="1"/>
    <w:next w:val="58"/>
    <w:qFormat/>
    <w:uiPriority w:val="0"/>
    <w:pPr>
      <w:snapToGrid w:val="0"/>
      <w:spacing w:line="360" w:lineRule="auto"/>
    </w:pPr>
    <w:rPr>
      <w:rFonts w:ascii="宋体"/>
      <w:b/>
      <w:sz w:val="24"/>
      <w:szCs w:val="20"/>
    </w:rPr>
  </w:style>
  <w:style w:type="paragraph" w:customStyle="1" w:styleId="604">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5">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6">
    <w:name w:val="Plain Text1"/>
    <w:basedOn w:val="1"/>
    <w:qFormat/>
    <w:uiPriority w:val="7"/>
    <w:pPr>
      <w:adjustRightInd/>
    </w:pPr>
    <w:rPr>
      <w:rFonts w:ascii="宋体" w:hAnsi="Courier New"/>
    </w:rPr>
  </w:style>
  <w:style w:type="paragraph" w:customStyle="1" w:styleId="607">
    <w:name w:val="Char3"/>
    <w:basedOn w:val="1"/>
    <w:qFormat/>
    <w:uiPriority w:val="0"/>
    <w:pPr>
      <w:adjustRightInd/>
    </w:pPr>
    <w:rPr>
      <w:rFonts w:ascii="仿宋_GB2312" w:eastAsia="仿宋_GB2312"/>
      <w:b/>
      <w:sz w:val="32"/>
      <w:szCs w:val="32"/>
    </w:rPr>
  </w:style>
  <w:style w:type="paragraph" w:customStyle="1" w:styleId="608">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9">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0">
    <w:name w:val="标题2"/>
    <w:basedOn w:val="2"/>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1">
    <w:name w:val="List Paragraph1"/>
    <w:basedOn w:val="1"/>
    <w:qFormat/>
    <w:uiPriority w:val="0"/>
    <w:pPr>
      <w:spacing w:line="360" w:lineRule="auto"/>
      <w:ind w:firstLine="200" w:firstLineChars="200"/>
    </w:pPr>
    <w:rPr>
      <w:rFonts w:eastAsia="楷体_GB2312" w:cs="Lucida Sans"/>
      <w:sz w:val="24"/>
    </w:rPr>
  </w:style>
  <w:style w:type="paragraph" w:customStyle="1" w:styleId="612">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3">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4">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5">
    <w:name w:val="Char3 Char Char Char"/>
    <w:basedOn w:val="1"/>
    <w:qFormat/>
    <w:uiPriority w:val="0"/>
    <w:pPr>
      <w:widowControl/>
      <w:adjustRightInd/>
      <w:spacing w:after="160" w:line="240" w:lineRule="exact"/>
      <w:jc w:val="left"/>
    </w:pPr>
    <w:rPr>
      <w:szCs w:val="20"/>
    </w:rPr>
  </w:style>
  <w:style w:type="paragraph" w:customStyle="1" w:styleId="616">
    <w:name w:val="表格标题2"/>
    <w:basedOn w:val="617"/>
    <w:qFormat/>
    <w:uiPriority w:val="0"/>
    <w:rPr>
      <w:b/>
    </w:rPr>
  </w:style>
  <w:style w:type="paragraph" w:customStyle="1" w:styleId="617">
    <w:name w:val="表格内文"/>
    <w:basedOn w:val="1"/>
    <w:qFormat/>
    <w:uiPriority w:val="0"/>
    <w:pPr>
      <w:adjustRightInd/>
      <w:spacing w:line="360" w:lineRule="auto"/>
    </w:pPr>
    <w:rPr>
      <w:rFonts w:ascii="宋体" w:hAnsi="宋体" w:cs="宋体"/>
      <w:color w:val="000000"/>
      <w:szCs w:val="20"/>
    </w:rPr>
  </w:style>
  <w:style w:type="paragraph" w:customStyle="1" w:styleId="618">
    <w:name w:val="Char Char Char Char Char Char Char Char Char Char2"/>
    <w:basedOn w:val="1"/>
    <w:qFormat/>
    <w:uiPriority w:val="0"/>
    <w:rPr>
      <w:rFonts w:ascii="仿宋_GB2312" w:eastAsia="仿宋_GB2312"/>
      <w:b/>
      <w:sz w:val="32"/>
      <w:szCs w:val="32"/>
    </w:rPr>
  </w:style>
  <w:style w:type="paragraph" w:customStyle="1" w:styleId="619">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0">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1">
    <w:name w:val="Char Char11 Char Char Char Char Char Char Char Char Char11"/>
    <w:basedOn w:val="1"/>
    <w:qFormat/>
    <w:uiPriority w:val="0"/>
    <w:pPr>
      <w:spacing w:line="360" w:lineRule="auto"/>
    </w:pPr>
    <w:rPr>
      <w:szCs w:val="20"/>
    </w:rPr>
  </w:style>
  <w:style w:type="paragraph" w:customStyle="1" w:styleId="622">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3">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4">
    <w:name w:val="MM Topic 1"/>
    <w:basedOn w:val="3"/>
    <w:qFormat/>
    <w:uiPriority w:val="0"/>
    <w:pPr>
      <w:tabs>
        <w:tab w:val="left" w:pos="840"/>
      </w:tabs>
      <w:adjustRightInd/>
      <w:ind w:left="840" w:hanging="420"/>
    </w:pPr>
  </w:style>
  <w:style w:type="paragraph" w:customStyle="1" w:styleId="625">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626">
    <w:name w:val="文本正文 Char"/>
    <w:basedOn w:val="1"/>
    <w:qFormat/>
    <w:uiPriority w:val="0"/>
    <w:pPr>
      <w:spacing w:line="360" w:lineRule="auto"/>
      <w:ind w:firstLine="200" w:firstLineChars="200"/>
    </w:pPr>
    <w:rPr>
      <w:kern w:val="0"/>
      <w:sz w:val="24"/>
      <w:szCs w:val="20"/>
    </w:rPr>
  </w:style>
  <w:style w:type="paragraph" w:customStyle="1" w:styleId="627">
    <w:name w:val="表格"/>
    <w:basedOn w:val="1"/>
    <w:qFormat/>
    <w:uiPriority w:val="0"/>
    <w:pPr>
      <w:snapToGrid w:val="0"/>
      <w:ind w:firstLine="42" w:firstLineChars="21"/>
    </w:pPr>
    <w:rPr>
      <w:rFonts w:ascii="宋体" w:hAnsi="宋体"/>
      <w:kern w:val="0"/>
      <w:sz w:val="20"/>
      <w:szCs w:val="20"/>
    </w:rPr>
  </w:style>
  <w:style w:type="paragraph" w:customStyle="1" w:styleId="628">
    <w:name w:val="标书标题4"/>
    <w:basedOn w:val="7"/>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9">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0">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1">
    <w:name w:val="表格项目符号 2"/>
    <w:basedOn w:val="31"/>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2">
    <w:name w:val="EB_表格"/>
    <w:basedOn w:val="1"/>
    <w:qFormat/>
    <w:uiPriority w:val="0"/>
    <w:pPr>
      <w:adjustRightInd/>
      <w:spacing w:line="300" w:lineRule="auto"/>
      <w:jc w:val="center"/>
    </w:pPr>
  </w:style>
  <w:style w:type="paragraph" w:customStyle="1" w:styleId="633">
    <w:name w:val="_Style 6"/>
    <w:basedOn w:val="1"/>
    <w:qFormat/>
    <w:uiPriority w:val="34"/>
    <w:pPr>
      <w:adjustRightInd/>
      <w:ind w:firstLine="420" w:firstLineChars="200"/>
    </w:pPr>
    <w:rPr>
      <w:rFonts w:eastAsia="仿宋_GB2312"/>
      <w:sz w:val="28"/>
    </w:rPr>
  </w:style>
  <w:style w:type="paragraph" w:customStyle="1" w:styleId="634">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5">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6">
    <w:name w:val="!大节"/>
    <w:basedOn w:val="2"/>
    <w:qFormat/>
    <w:uiPriority w:val="0"/>
    <w:pPr>
      <w:spacing w:before="260" w:after="260" w:line="415" w:lineRule="auto"/>
      <w:ind w:left="420" w:hanging="420"/>
    </w:pPr>
    <w:rPr>
      <w:rFonts w:ascii="Arial" w:hAnsi="Arial" w:eastAsia="微软雅黑"/>
      <w:lang w:val="en-US"/>
    </w:rPr>
  </w:style>
  <w:style w:type="paragraph" w:customStyle="1" w:styleId="637">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8">
    <w:name w:val="正文表标题"/>
    <w:next w:val="639"/>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0">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1">
    <w:name w:val="trademark"/>
    <w:qFormat/>
    <w:uiPriority w:val="0"/>
    <w:pPr>
      <w:spacing w:after="60"/>
    </w:pPr>
    <w:rPr>
      <w:rFonts w:ascii="Futura Bk" w:hAnsi="Futura Bk" w:eastAsia="宋体" w:cs="Times New Roman"/>
      <w:sz w:val="15"/>
      <w:lang w:val="en-US" w:eastAsia="en-US" w:bidi="ar-SA"/>
    </w:rPr>
  </w:style>
  <w:style w:type="paragraph" w:customStyle="1" w:styleId="642">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3">
    <w:name w:val="Char Char1 Char Char Char Char Char Char1"/>
    <w:basedOn w:val="1"/>
    <w:qFormat/>
    <w:uiPriority w:val="0"/>
    <w:rPr>
      <w:rFonts w:ascii="仿宋_GB2312" w:eastAsia="仿宋_GB2312"/>
      <w:b/>
      <w:sz w:val="32"/>
      <w:szCs w:val="20"/>
    </w:rPr>
  </w:style>
  <w:style w:type="paragraph" w:customStyle="1" w:styleId="644">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5">
    <w:name w:val="Char1 Char Char Char1"/>
    <w:basedOn w:val="1"/>
    <w:qFormat/>
    <w:uiPriority w:val="0"/>
    <w:pPr>
      <w:adjustRightInd/>
      <w:ind w:firstLine="200" w:firstLineChars="200"/>
    </w:pPr>
    <w:rPr>
      <w:rFonts w:ascii="Tahoma" w:hAnsi="Tahoma"/>
      <w:sz w:val="24"/>
      <w:szCs w:val="20"/>
    </w:rPr>
  </w:style>
  <w:style w:type="paragraph" w:customStyle="1" w:styleId="646">
    <w:name w:val="a1"/>
    <w:basedOn w:val="1"/>
    <w:qFormat/>
    <w:uiPriority w:val="0"/>
    <w:pPr>
      <w:widowControl/>
      <w:spacing w:line="300" w:lineRule="atLeast"/>
      <w:jc w:val="left"/>
    </w:pPr>
    <w:rPr>
      <w:rFonts w:ascii="宋体" w:hAnsi="宋体"/>
      <w:kern w:val="0"/>
      <w:sz w:val="18"/>
      <w:szCs w:val="20"/>
    </w:rPr>
  </w:style>
  <w:style w:type="paragraph" w:customStyle="1" w:styleId="647">
    <w:name w:val="样式7"/>
    <w:basedOn w:val="648"/>
    <w:next w:val="1"/>
    <w:qFormat/>
    <w:uiPriority w:val="0"/>
    <w:pPr>
      <w:spacing w:after="156" w:afterLines="50"/>
      <w:jc w:val="left"/>
      <w:outlineLvl w:val="3"/>
    </w:pPr>
    <w:rPr>
      <w:sz w:val="24"/>
      <w:szCs w:val="24"/>
    </w:rPr>
  </w:style>
  <w:style w:type="paragraph" w:customStyle="1" w:styleId="648">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9">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0">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1">
    <w:name w:val="样式 样式2 + 左侧:  1 字符 右侧:  1 字符"/>
    <w:basedOn w:val="459"/>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2">
    <w:name w:val="Char2 Char Char2"/>
    <w:basedOn w:val="1"/>
    <w:qFormat/>
    <w:uiPriority w:val="0"/>
    <w:pPr>
      <w:adjustRightInd/>
    </w:pPr>
    <w:rPr>
      <w:rFonts w:ascii="Tahoma" w:hAnsi="Tahoma"/>
      <w:sz w:val="24"/>
      <w:szCs w:val="20"/>
    </w:rPr>
  </w:style>
  <w:style w:type="paragraph" w:customStyle="1" w:styleId="653">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4">
    <w:name w:val="三级条标题"/>
    <w:basedOn w:val="655"/>
    <w:next w:val="639"/>
    <w:qFormat/>
    <w:uiPriority w:val="0"/>
    <w:pPr>
      <w:tabs>
        <w:tab w:val="left" w:pos="1260"/>
        <w:tab w:val="left" w:pos="1680"/>
        <w:tab w:val="left" w:pos="2100"/>
        <w:tab w:val="left" w:pos="2520"/>
      </w:tabs>
      <w:ind w:left="2520"/>
      <w:outlineLvl w:val="4"/>
    </w:pPr>
  </w:style>
  <w:style w:type="paragraph" w:customStyle="1" w:styleId="655">
    <w:name w:val="二级条标题"/>
    <w:basedOn w:val="656"/>
    <w:next w:val="639"/>
    <w:qFormat/>
    <w:uiPriority w:val="0"/>
    <w:pPr>
      <w:tabs>
        <w:tab w:val="left" w:pos="1260"/>
        <w:tab w:val="left" w:pos="1680"/>
        <w:tab w:val="left" w:pos="2100"/>
      </w:tabs>
      <w:ind w:left="0"/>
      <w:outlineLvl w:val="3"/>
    </w:pPr>
  </w:style>
  <w:style w:type="paragraph" w:customStyle="1" w:styleId="656">
    <w:name w:val="一级条标题"/>
    <w:basedOn w:val="657"/>
    <w:next w:val="639"/>
    <w:qFormat/>
    <w:uiPriority w:val="0"/>
    <w:pPr>
      <w:tabs>
        <w:tab w:val="left" w:pos="1260"/>
        <w:tab w:val="left" w:pos="1680"/>
      </w:tabs>
      <w:spacing w:before="0" w:beforeLines="0" w:after="0" w:afterLines="0"/>
      <w:ind w:left="1680"/>
      <w:outlineLvl w:val="2"/>
    </w:pPr>
  </w:style>
  <w:style w:type="paragraph" w:customStyle="1" w:styleId="657">
    <w:name w:val="章标题"/>
    <w:next w:val="639"/>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8">
    <w:name w:val="数字标题2"/>
    <w:basedOn w:val="2"/>
    <w:next w:val="1"/>
    <w:qFormat/>
    <w:uiPriority w:val="0"/>
    <w:pPr>
      <w:tabs>
        <w:tab w:val="left" w:pos="480"/>
      </w:tabs>
      <w:ind w:left="480" w:hanging="480"/>
    </w:pPr>
    <w:rPr>
      <w:rFonts w:ascii="Times New Roman" w:eastAsia="宋体"/>
      <w:i/>
      <w:sz w:val="36"/>
      <w:szCs w:val="36"/>
      <w:lang w:val="en-US"/>
    </w:rPr>
  </w:style>
  <w:style w:type="paragraph" w:customStyle="1" w:styleId="659">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0">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1">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2">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3">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4">
    <w:name w:val="正文 项目2"/>
    <w:basedOn w:val="665"/>
    <w:qFormat/>
    <w:uiPriority w:val="0"/>
    <w:pPr>
      <w:tabs>
        <w:tab w:val="left" w:pos="840"/>
      </w:tabs>
      <w:spacing w:after="0"/>
      <w:ind w:left="900"/>
    </w:pPr>
  </w:style>
  <w:style w:type="paragraph" w:customStyle="1" w:styleId="665">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6">
    <w:name w:val="Body Text 2*"/>
    <w:basedOn w:val="1"/>
    <w:qFormat/>
    <w:uiPriority w:val="6"/>
    <w:pPr>
      <w:widowControl/>
      <w:adjustRightInd/>
      <w:ind w:left="720" w:hanging="720"/>
    </w:pPr>
    <w:rPr>
      <w:color w:val="000000"/>
      <w:kern w:val="0"/>
      <w:sz w:val="24"/>
      <w:szCs w:val="20"/>
      <w:lang w:val="en-GB"/>
    </w:rPr>
  </w:style>
  <w:style w:type="paragraph" w:customStyle="1" w:styleId="667">
    <w:name w:val="表1"/>
    <w:basedOn w:val="1"/>
    <w:qFormat/>
    <w:uiPriority w:val="0"/>
    <w:pPr>
      <w:tabs>
        <w:tab w:val="left" w:pos="703"/>
      </w:tabs>
      <w:adjustRightInd/>
      <w:spacing w:line="360" w:lineRule="auto"/>
      <w:ind w:left="703"/>
      <w:jc w:val="center"/>
    </w:pPr>
  </w:style>
  <w:style w:type="paragraph" w:customStyle="1" w:styleId="668">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9">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0">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1">
    <w:name w:val="2级标题"/>
    <w:basedOn w:val="672"/>
    <w:qFormat/>
    <w:uiPriority w:val="0"/>
    <w:pPr>
      <w:jc w:val="left"/>
      <w:outlineLvl w:val="1"/>
    </w:pPr>
    <w:rPr>
      <w:rFonts w:ascii="Times New Roman" w:hAnsi="Times New Roman" w:eastAsia="仿宋"/>
      <w:sz w:val="30"/>
    </w:rPr>
  </w:style>
  <w:style w:type="paragraph" w:customStyle="1" w:styleId="672">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3">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4">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5">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6">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7">
    <w:name w:val="bullet"/>
    <w:basedOn w:val="1"/>
    <w:qFormat/>
    <w:uiPriority w:val="0"/>
    <w:pPr>
      <w:tabs>
        <w:tab w:val="left" w:pos="840"/>
      </w:tabs>
      <w:adjustRightInd/>
      <w:ind w:left="840" w:hanging="420"/>
    </w:pPr>
  </w:style>
  <w:style w:type="paragraph" w:customStyle="1" w:styleId="678">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9">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0">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1">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2">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3">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4">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5">
    <w:name w:val="MM Topic 4"/>
    <w:basedOn w:val="7"/>
    <w:qFormat/>
    <w:uiPriority w:val="0"/>
    <w:pPr>
      <w:tabs>
        <w:tab w:val="left" w:pos="2100"/>
      </w:tabs>
      <w:adjustRightInd/>
      <w:ind w:left="2100" w:hanging="420"/>
    </w:pPr>
    <w:rPr>
      <w:lang w:val="en-US"/>
    </w:rPr>
  </w:style>
  <w:style w:type="paragraph" w:customStyle="1" w:styleId="686">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7">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8">
    <w:name w:val="Char Char11 Char Char Char Char Char Char Char Char Char1"/>
    <w:basedOn w:val="1"/>
    <w:qFormat/>
    <w:uiPriority w:val="6"/>
    <w:pPr>
      <w:spacing w:line="360" w:lineRule="auto"/>
    </w:pPr>
    <w:rPr>
      <w:szCs w:val="20"/>
    </w:rPr>
  </w:style>
  <w:style w:type="paragraph" w:customStyle="1" w:styleId="689">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0">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1">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2">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3">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4">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5">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6">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7">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8">
    <w:name w:val="单元格居中"/>
    <w:basedOn w:val="1"/>
    <w:qFormat/>
    <w:uiPriority w:val="0"/>
    <w:pPr>
      <w:adjustRightInd/>
      <w:spacing w:line="360" w:lineRule="auto"/>
      <w:jc w:val="center"/>
    </w:pPr>
    <w:rPr>
      <w:sz w:val="24"/>
    </w:rPr>
  </w:style>
  <w:style w:type="paragraph" w:customStyle="1" w:styleId="699">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0">
    <w:name w:val="Char Char Char Char Char Char Char1"/>
    <w:basedOn w:val="1"/>
    <w:qFormat/>
    <w:uiPriority w:val="6"/>
    <w:rPr>
      <w:rFonts w:ascii="仿宋_GB2312" w:eastAsia="仿宋_GB2312"/>
      <w:b/>
      <w:sz w:val="32"/>
      <w:szCs w:val="32"/>
    </w:rPr>
  </w:style>
  <w:style w:type="paragraph" w:customStyle="1" w:styleId="701">
    <w:name w:val="正文缩进1"/>
    <w:basedOn w:val="1"/>
    <w:next w:val="27"/>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2">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3">
    <w:name w:val="Char3 Char Char Char11"/>
    <w:basedOn w:val="1"/>
    <w:qFormat/>
    <w:uiPriority w:val="0"/>
    <w:pPr>
      <w:widowControl/>
      <w:adjustRightInd/>
      <w:spacing w:after="160" w:line="240" w:lineRule="exact"/>
      <w:jc w:val="left"/>
    </w:pPr>
    <w:rPr>
      <w:szCs w:val="20"/>
    </w:rPr>
  </w:style>
  <w:style w:type="paragraph" w:customStyle="1" w:styleId="704">
    <w:name w:val="Char Char1121"/>
    <w:basedOn w:val="1"/>
    <w:qFormat/>
    <w:uiPriority w:val="0"/>
    <w:pPr>
      <w:spacing w:line="360" w:lineRule="auto"/>
    </w:pPr>
    <w:rPr>
      <w:szCs w:val="20"/>
    </w:rPr>
  </w:style>
  <w:style w:type="paragraph" w:customStyle="1" w:styleId="705">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6">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7">
    <w:name w:val="Normal0"/>
    <w:qFormat/>
    <w:uiPriority w:val="0"/>
    <w:rPr>
      <w:rFonts w:ascii="Times New Roman" w:hAnsi="Times New Roman" w:eastAsia="宋体" w:cs="Times New Roman"/>
      <w:lang w:val="en-US" w:eastAsia="en-US" w:bidi="ar-SA"/>
    </w:rPr>
  </w:style>
  <w:style w:type="paragraph" w:customStyle="1" w:styleId="708">
    <w:name w:val="带编号样式"/>
    <w:basedOn w:val="626"/>
    <w:qFormat/>
    <w:uiPriority w:val="0"/>
    <w:pPr>
      <w:tabs>
        <w:tab w:val="left" w:pos="840"/>
      </w:tabs>
      <w:snapToGrid w:val="0"/>
      <w:ind w:left="840" w:hanging="420" w:firstLineChars="0"/>
    </w:pPr>
    <w:rPr>
      <w:rFonts w:ascii="仿宋_GB2312" w:eastAsia="仿宋_GB2312"/>
      <w:color w:val="000000"/>
    </w:rPr>
  </w:style>
  <w:style w:type="paragraph" w:customStyle="1" w:styleId="709">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0">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1">
    <w:name w:val="封面"/>
    <w:basedOn w:val="1"/>
    <w:qFormat/>
    <w:uiPriority w:val="0"/>
    <w:pPr>
      <w:spacing w:line="360" w:lineRule="atLeast"/>
      <w:jc w:val="right"/>
      <w:textAlignment w:val="baseline"/>
    </w:pPr>
    <w:rPr>
      <w:rFonts w:ascii="Symbol" w:hAnsi="Symbol"/>
      <w:kern w:val="0"/>
      <w:szCs w:val="20"/>
    </w:rPr>
  </w:style>
  <w:style w:type="paragraph" w:customStyle="1" w:styleId="712">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3">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4">
    <w:name w:val="默认段落字体 Para Char Char Char1 Char"/>
    <w:basedOn w:val="1"/>
    <w:qFormat/>
    <w:uiPriority w:val="0"/>
    <w:pPr>
      <w:spacing w:line="240" w:lineRule="atLeast"/>
      <w:ind w:left="420" w:firstLine="420"/>
    </w:pPr>
    <w:rPr>
      <w:sz w:val="24"/>
    </w:rPr>
  </w:style>
  <w:style w:type="paragraph" w:customStyle="1" w:styleId="715">
    <w:name w:val="WW-正文文字缩进 2"/>
    <w:basedOn w:val="1"/>
    <w:qFormat/>
    <w:uiPriority w:val="0"/>
    <w:pPr>
      <w:suppressAutoHyphens/>
      <w:adjustRightInd/>
      <w:ind w:firstLine="420"/>
    </w:pPr>
    <w:rPr>
      <w:kern w:val="1"/>
      <w:szCs w:val="20"/>
    </w:rPr>
  </w:style>
  <w:style w:type="paragraph" w:customStyle="1" w:styleId="716">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7">
    <w:name w:val="样式 标题 2 + 四号"/>
    <w:basedOn w:val="2"/>
    <w:qFormat/>
    <w:uiPriority w:val="0"/>
    <w:pPr>
      <w:spacing w:before="120" w:after="120"/>
      <w:ind w:left="0" w:firstLine="0"/>
      <w:jc w:val="both"/>
    </w:pPr>
    <w:rPr>
      <w:rFonts w:ascii="宋体" w:hAnsi="Arial" w:eastAsia="宋体"/>
      <w:sz w:val="28"/>
      <w:lang w:val="en-US"/>
    </w:rPr>
  </w:style>
  <w:style w:type="paragraph" w:customStyle="1" w:styleId="718">
    <w:name w:val="有符号正文"/>
    <w:basedOn w:val="1"/>
    <w:qFormat/>
    <w:uiPriority w:val="0"/>
    <w:pPr>
      <w:adjustRightInd/>
      <w:spacing w:line="400" w:lineRule="exact"/>
      <w:ind w:firstLine="200" w:firstLineChars="200"/>
    </w:pPr>
    <w:rPr>
      <w:rFonts w:ascii="Arial" w:hAnsi="Arial"/>
    </w:rPr>
  </w:style>
  <w:style w:type="paragraph" w:customStyle="1" w:styleId="719">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0">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1">
    <w:name w:val="4"/>
    <w:basedOn w:val="1"/>
    <w:next w:val="39"/>
    <w:qFormat/>
    <w:uiPriority w:val="0"/>
    <w:pPr>
      <w:spacing w:after="120" w:line="480" w:lineRule="auto"/>
      <w:ind w:left="420" w:leftChars="200"/>
    </w:pPr>
    <w:rPr>
      <w:sz w:val="24"/>
      <w:szCs w:val="20"/>
    </w:rPr>
  </w:style>
  <w:style w:type="paragraph" w:customStyle="1" w:styleId="722">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3">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4">
    <w:name w:val="样式 标题 3H3 + 两端对齐"/>
    <w:basedOn w:val="5"/>
    <w:qFormat/>
    <w:uiPriority w:val="0"/>
    <w:pPr>
      <w:keepLines w:val="0"/>
      <w:spacing w:before="0" w:after="0" w:line="240" w:lineRule="auto"/>
      <w:jc w:val="left"/>
    </w:pPr>
    <w:rPr>
      <w:rFonts w:cs="宋体"/>
      <w:sz w:val="21"/>
      <w:szCs w:val="20"/>
    </w:rPr>
  </w:style>
  <w:style w:type="paragraph" w:customStyle="1" w:styleId="725">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6">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7">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8">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9">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0">
    <w:name w:val="Char Char1 Char Char Char"/>
    <w:basedOn w:val="1"/>
    <w:qFormat/>
    <w:uiPriority w:val="0"/>
    <w:rPr>
      <w:rFonts w:ascii="仿宋_GB2312" w:eastAsia="仿宋_GB2312"/>
      <w:b/>
      <w:sz w:val="32"/>
      <w:szCs w:val="20"/>
    </w:rPr>
  </w:style>
  <w:style w:type="paragraph" w:customStyle="1" w:styleId="731">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2">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3">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4">
    <w:name w:val="Char Char1 Char Char Char2"/>
    <w:basedOn w:val="1"/>
    <w:qFormat/>
    <w:uiPriority w:val="0"/>
    <w:rPr>
      <w:rFonts w:ascii="仿宋_GB2312" w:eastAsia="仿宋_GB2312"/>
      <w:b/>
      <w:sz w:val="32"/>
      <w:szCs w:val="32"/>
    </w:rPr>
  </w:style>
  <w:style w:type="paragraph" w:customStyle="1" w:styleId="735">
    <w:name w:val="Char3 Char Char Char1"/>
    <w:basedOn w:val="1"/>
    <w:qFormat/>
    <w:uiPriority w:val="6"/>
    <w:pPr>
      <w:widowControl/>
      <w:adjustRightInd/>
      <w:spacing w:after="160" w:line="240" w:lineRule="exact"/>
      <w:jc w:val="left"/>
    </w:pPr>
    <w:rPr>
      <w:szCs w:val="20"/>
    </w:rPr>
  </w:style>
  <w:style w:type="paragraph" w:customStyle="1" w:styleId="736">
    <w:name w:val="Char1 Char Char Char21"/>
    <w:basedOn w:val="1"/>
    <w:autoRedefine/>
    <w:qFormat/>
    <w:uiPriority w:val="0"/>
    <w:rPr>
      <w:rFonts w:ascii="Tahoma" w:hAnsi="Tahoma"/>
      <w:sz w:val="24"/>
      <w:szCs w:val="20"/>
    </w:rPr>
  </w:style>
  <w:style w:type="paragraph" w:customStyle="1" w:styleId="737">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8">
    <w:name w:val="正文（标题三）"/>
    <w:basedOn w:val="1"/>
    <w:qFormat/>
    <w:uiPriority w:val="0"/>
    <w:pPr>
      <w:spacing w:line="360" w:lineRule="auto"/>
      <w:ind w:firstLine="200" w:firstLineChars="200"/>
    </w:pPr>
    <w:rPr>
      <w:sz w:val="24"/>
    </w:rPr>
  </w:style>
  <w:style w:type="paragraph" w:customStyle="1" w:styleId="739">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0">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1">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2">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3">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4">
    <w:name w:val="Char1 Char Char Char4"/>
    <w:basedOn w:val="1"/>
    <w:qFormat/>
    <w:uiPriority w:val="0"/>
    <w:pPr>
      <w:adjustRightInd/>
      <w:ind w:firstLine="200" w:firstLineChars="200"/>
    </w:pPr>
    <w:rPr>
      <w:rFonts w:ascii="Tahoma" w:hAnsi="Tahoma"/>
      <w:sz w:val="24"/>
      <w:szCs w:val="20"/>
    </w:rPr>
  </w:style>
  <w:style w:type="paragraph" w:customStyle="1" w:styleId="745">
    <w:name w:val="_标题2"/>
    <w:basedOn w:val="712"/>
    <w:next w:val="712"/>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6">
    <w:name w:val="样式1 + (中宋体"/>
    <w:basedOn w:val="723"/>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7">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8">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9">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0">
    <w:name w:val="四号　首行缩进"/>
    <w:basedOn w:val="1"/>
    <w:qFormat/>
    <w:uiPriority w:val="0"/>
    <w:pPr>
      <w:adjustRightInd/>
      <w:spacing w:line="360" w:lineRule="auto"/>
    </w:pPr>
    <w:rPr>
      <w:rFonts w:ascii="宋体" w:hAnsi="宋体"/>
      <w:szCs w:val="20"/>
    </w:rPr>
  </w:style>
  <w:style w:type="paragraph" w:customStyle="1" w:styleId="751">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2">
    <w:name w:val="Char Char Char Char Char Char Char Char Char Char Char1 Char"/>
    <w:basedOn w:val="1"/>
    <w:qFormat/>
    <w:uiPriority w:val="0"/>
    <w:pPr>
      <w:adjustRightInd/>
    </w:pPr>
    <w:rPr>
      <w:rFonts w:ascii="Tahoma" w:hAnsi="Tahoma"/>
      <w:sz w:val="24"/>
    </w:rPr>
  </w:style>
  <w:style w:type="paragraph" w:customStyle="1" w:styleId="753">
    <w:name w:val="Char Char Char Char11"/>
    <w:basedOn w:val="1"/>
    <w:qFormat/>
    <w:uiPriority w:val="0"/>
    <w:rPr>
      <w:rFonts w:ascii="Tahoma" w:hAnsi="Tahoma"/>
      <w:sz w:val="24"/>
      <w:szCs w:val="20"/>
    </w:rPr>
  </w:style>
  <w:style w:type="paragraph" w:customStyle="1" w:styleId="754">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5">
    <w:name w:val="Char Char Char Char"/>
    <w:basedOn w:val="1"/>
    <w:qFormat/>
    <w:uiPriority w:val="0"/>
    <w:rPr>
      <w:rFonts w:ascii="Tahoma" w:hAnsi="Tahoma"/>
      <w:sz w:val="24"/>
      <w:szCs w:val="20"/>
    </w:rPr>
  </w:style>
  <w:style w:type="paragraph" w:customStyle="1" w:styleId="756">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7">
    <w:name w:val="Char19"/>
    <w:basedOn w:val="1"/>
    <w:qFormat/>
    <w:uiPriority w:val="0"/>
    <w:pPr>
      <w:adjustRightInd/>
    </w:pPr>
    <w:rPr>
      <w:szCs w:val="20"/>
    </w:rPr>
  </w:style>
  <w:style w:type="paragraph" w:customStyle="1" w:styleId="758">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9">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0">
    <w:name w:val="_Style 5"/>
    <w:basedOn w:val="1"/>
    <w:qFormat/>
    <w:uiPriority w:val="34"/>
    <w:pPr>
      <w:adjustRightInd/>
      <w:ind w:firstLine="420" w:firstLineChars="200"/>
    </w:pPr>
    <w:rPr>
      <w:rFonts w:eastAsia="仿宋_GB2312"/>
      <w:sz w:val="28"/>
    </w:rPr>
  </w:style>
  <w:style w:type="paragraph" w:customStyle="1" w:styleId="761">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2">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3">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4">
    <w:name w:val="标书表格字体格式"/>
    <w:next w:val="758"/>
    <w:qFormat/>
    <w:uiPriority w:val="0"/>
    <w:rPr>
      <w:rFonts w:ascii="Times New Roman" w:hAnsi="Times New Roman" w:eastAsia="宋体" w:cs="Times New Roman"/>
      <w:kern w:val="2"/>
      <w:sz w:val="21"/>
      <w:szCs w:val="24"/>
      <w:lang w:val="en-US" w:eastAsia="zh-CN" w:bidi="ar-SA"/>
    </w:rPr>
  </w:style>
  <w:style w:type="paragraph" w:customStyle="1" w:styleId="765">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6">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7">
    <w:name w:val="修订3"/>
    <w:qFormat/>
    <w:uiPriority w:val="0"/>
    <w:rPr>
      <w:rFonts w:ascii="Times New Roman" w:hAnsi="Times New Roman" w:eastAsia="宋体" w:cs="Times New Roman"/>
      <w:kern w:val="2"/>
      <w:sz w:val="21"/>
      <w:lang w:val="en-US" w:eastAsia="zh-CN" w:bidi="ar-SA"/>
    </w:rPr>
  </w:style>
  <w:style w:type="paragraph" w:customStyle="1" w:styleId="768">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769">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0">
    <w:name w:val="表文字"/>
    <w:qFormat/>
    <w:uiPriority w:val="0"/>
    <w:rPr>
      <w:rFonts w:ascii="宋体" w:hAnsi="Times New Roman" w:eastAsia="宋体" w:cs="Times New Roman"/>
      <w:kern w:val="2"/>
      <w:lang w:val="en-US" w:eastAsia="zh-CN" w:bidi="ar-SA"/>
    </w:rPr>
  </w:style>
  <w:style w:type="paragraph" w:customStyle="1" w:styleId="771">
    <w:name w:val="MM Title"/>
    <w:basedOn w:val="61"/>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2">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3">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4">
    <w:name w:val="Char Char Char Char Char Char Char Char2"/>
    <w:basedOn w:val="1"/>
    <w:qFormat/>
    <w:uiPriority w:val="0"/>
    <w:pPr>
      <w:tabs>
        <w:tab w:val="left" w:pos="360"/>
      </w:tabs>
    </w:pPr>
    <w:rPr>
      <w:sz w:val="24"/>
      <w:szCs w:val="20"/>
    </w:rPr>
  </w:style>
  <w:style w:type="paragraph" w:customStyle="1" w:styleId="775">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6">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7">
    <w:name w:val="中文标题 3"/>
    <w:basedOn w:val="27"/>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8">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9">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0">
    <w:name w:val="正文－恩普"/>
    <w:basedOn w:val="6"/>
    <w:qFormat/>
    <w:uiPriority w:val="0"/>
    <w:pPr>
      <w:adjustRightInd/>
      <w:snapToGrid/>
      <w:spacing w:before="100" w:beforeAutospacing="1" w:after="100" w:afterLines="50" w:afterAutospacing="1" w:line="360" w:lineRule="auto"/>
      <w:ind w:firstLine="480" w:firstLineChars="200"/>
      <w:jc w:val="left"/>
    </w:pPr>
    <w:rPr>
      <w:rFonts w:ascii="Times New Roman"/>
      <w:color w:val="auto"/>
      <w:kern w:val="0"/>
      <w:sz w:val="24"/>
    </w:rPr>
  </w:style>
  <w:style w:type="paragraph" w:customStyle="1" w:styleId="781">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2">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3">
    <w:name w:val="p0"/>
    <w:basedOn w:val="1"/>
    <w:qFormat/>
    <w:uiPriority w:val="0"/>
    <w:pPr>
      <w:widowControl/>
      <w:adjustRightInd/>
    </w:pPr>
    <w:rPr>
      <w:kern w:val="0"/>
      <w:szCs w:val="21"/>
    </w:rPr>
  </w:style>
  <w:style w:type="paragraph" w:customStyle="1" w:styleId="784">
    <w:name w:val="Char6"/>
    <w:basedOn w:val="1"/>
    <w:qFormat/>
    <w:uiPriority w:val="0"/>
    <w:rPr>
      <w:rFonts w:ascii="仿宋_GB2312" w:eastAsia="仿宋_GB2312"/>
      <w:b/>
      <w:sz w:val="32"/>
      <w:szCs w:val="32"/>
    </w:rPr>
  </w:style>
  <w:style w:type="paragraph" w:customStyle="1" w:styleId="785">
    <w:name w:val="Char111"/>
    <w:basedOn w:val="1"/>
    <w:qFormat/>
    <w:uiPriority w:val="0"/>
    <w:rPr>
      <w:rFonts w:ascii="仿宋_GB2312" w:eastAsia="仿宋_GB2312"/>
      <w:b/>
      <w:sz w:val="32"/>
      <w:szCs w:val="32"/>
    </w:rPr>
  </w:style>
  <w:style w:type="paragraph" w:customStyle="1" w:styleId="786">
    <w:name w:val="标题3"/>
    <w:basedOn w:val="5"/>
    <w:next w:val="55"/>
    <w:qFormat/>
    <w:uiPriority w:val="0"/>
    <w:pPr>
      <w:tabs>
        <w:tab w:val="clear" w:pos="900"/>
      </w:tabs>
      <w:spacing w:after="0" w:line="360" w:lineRule="auto"/>
    </w:pPr>
    <w:rPr>
      <w:rFonts w:ascii="仿宋" w:hAnsi="仿宋" w:eastAsia="仿宋" w:cs="仿宋"/>
    </w:rPr>
  </w:style>
  <w:style w:type="paragraph" w:customStyle="1" w:styleId="787">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8">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9">
    <w:name w:val="Char1 Char Char Char2"/>
    <w:basedOn w:val="1"/>
    <w:qFormat/>
    <w:uiPriority w:val="0"/>
    <w:pPr>
      <w:adjustRightInd/>
      <w:ind w:firstLine="200" w:firstLineChars="200"/>
    </w:pPr>
    <w:rPr>
      <w:rFonts w:ascii="Tahoma" w:hAnsi="Tahoma"/>
      <w:sz w:val="24"/>
      <w:szCs w:val="20"/>
    </w:rPr>
  </w:style>
  <w:style w:type="paragraph" w:customStyle="1" w:styleId="790">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1">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2">
    <w:name w:val="Char Char Char Char Char Char Char2"/>
    <w:basedOn w:val="1"/>
    <w:qFormat/>
    <w:uiPriority w:val="0"/>
    <w:rPr>
      <w:rFonts w:ascii="仿宋_GB2312" w:eastAsia="仿宋_GB2312"/>
      <w:b/>
      <w:sz w:val="32"/>
      <w:szCs w:val="32"/>
    </w:rPr>
  </w:style>
  <w:style w:type="paragraph" w:customStyle="1" w:styleId="793">
    <w:name w:val="五级条标题"/>
    <w:basedOn w:val="794"/>
    <w:next w:val="639"/>
    <w:qFormat/>
    <w:uiPriority w:val="0"/>
    <w:pPr>
      <w:tabs>
        <w:tab w:val="left" w:pos="1260"/>
        <w:tab w:val="left" w:pos="1680"/>
        <w:tab w:val="left" w:pos="2100"/>
        <w:tab w:val="left" w:pos="2940"/>
        <w:tab w:val="left" w:pos="3360"/>
      </w:tabs>
      <w:ind w:left="3360"/>
      <w:outlineLvl w:val="6"/>
    </w:pPr>
  </w:style>
  <w:style w:type="paragraph" w:customStyle="1" w:styleId="794">
    <w:name w:val="四级条标题"/>
    <w:basedOn w:val="654"/>
    <w:next w:val="639"/>
    <w:qFormat/>
    <w:uiPriority w:val="0"/>
    <w:pPr>
      <w:tabs>
        <w:tab w:val="left" w:pos="2940"/>
        <w:tab w:val="clear" w:pos="2520"/>
      </w:tabs>
      <w:ind w:left="2940"/>
      <w:outlineLvl w:val="5"/>
    </w:pPr>
  </w:style>
  <w:style w:type="paragraph" w:customStyle="1" w:styleId="795">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6">
    <w:name w:val="Char23"/>
    <w:basedOn w:val="1"/>
    <w:qFormat/>
    <w:uiPriority w:val="0"/>
    <w:rPr>
      <w:rFonts w:ascii="仿宋_GB2312" w:eastAsia="仿宋_GB2312"/>
      <w:b/>
      <w:sz w:val="32"/>
      <w:szCs w:val="32"/>
    </w:rPr>
  </w:style>
  <w:style w:type="paragraph" w:customStyle="1" w:styleId="797">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8">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9">
    <w:name w:val="首行缩进"/>
    <w:basedOn w:val="1"/>
    <w:qFormat/>
    <w:uiPriority w:val="0"/>
    <w:pPr>
      <w:spacing w:line="360" w:lineRule="auto"/>
      <w:ind w:firstLine="480" w:firstLineChars="200"/>
    </w:pPr>
    <w:rPr>
      <w:rFonts w:ascii="宋体"/>
      <w:sz w:val="24"/>
      <w:szCs w:val="20"/>
    </w:rPr>
  </w:style>
  <w:style w:type="paragraph" w:customStyle="1" w:styleId="800">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1">
    <w:name w:val="单元格左对齐"/>
    <w:basedOn w:val="1"/>
    <w:qFormat/>
    <w:uiPriority w:val="0"/>
    <w:pPr>
      <w:adjustRightInd/>
      <w:spacing w:line="360" w:lineRule="auto"/>
    </w:pPr>
    <w:rPr>
      <w:sz w:val="24"/>
    </w:rPr>
  </w:style>
  <w:style w:type="paragraph" w:customStyle="1" w:styleId="802">
    <w:name w:val="正文主体"/>
    <w:basedOn w:val="623"/>
    <w:qFormat/>
    <w:uiPriority w:val="0"/>
  </w:style>
  <w:style w:type="paragraph" w:customStyle="1" w:styleId="803">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4">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5">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6">
    <w:name w:val="正文（首行缩进2字符）"/>
    <w:basedOn w:val="1"/>
    <w:qFormat/>
    <w:uiPriority w:val="0"/>
    <w:pPr>
      <w:adjustRightInd/>
      <w:spacing w:line="360" w:lineRule="auto"/>
      <w:ind w:firstLine="480" w:firstLineChars="200"/>
    </w:pPr>
    <w:rPr>
      <w:sz w:val="24"/>
      <w:szCs w:val="20"/>
    </w:rPr>
  </w:style>
  <w:style w:type="paragraph" w:customStyle="1" w:styleId="807">
    <w:name w:val="P1"/>
    <w:basedOn w:val="1"/>
    <w:qFormat/>
    <w:uiPriority w:val="0"/>
    <w:pPr>
      <w:adjustRightInd/>
      <w:spacing w:line="288" w:lineRule="auto"/>
      <w:ind w:firstLine="425" w:firstLineChars="200"/>
    </w:pPr>
  </w:style>
  <w:style w:type="paragraph" w:customStyle="1" w:styleId="808">
    <w:name w:val="列表内容"/>
    <w:basedOn w:val="1"/>
    <w:next w:val="1"/>
    <w:qFormat/>
    <w:uiPriority w:val="0"/>
    <w:pPr>
      <w:widowControl/>
      <w:tabs>
        <w:tab w:val="left" w:pos="840"/>
      </w:tabs>
      <w:ind w:left="840" w:hanging="420"/>
      <w:jc w:val="left"/>
    </w:pPr>
    <w:rPr>
      <w:kern w:val="0"/>
      <w:sz w:val="18"/>
    </w:rPr>
  </w:style>
  <w:style w:type="paragraph" w:customStyle="1" w:styleId="809">
    <w:name w:val="Char Char11 Char Char Char1"/>
    <w:basedOn w:val="1"/>
    <w:qFormat/>
    <w:uiPriority w:val="6"/>
    <w:pPr>
      <w:spacing w:line="360" w:lineRule="auto"/>
    </w:pPr>
    <w:rPr>
      <w:szCs w:val="20"/>
    </w:rPr>
  </w:style>
  <w:style w:type="paragraph" w:customStyle="1" w:styleId="810">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1">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2">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3">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4">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815">
    <w:name w:val="默认段落字体 Para Char Char Char Char"/>
    <w:basedOn w:val="1"/>
    <w:qFormat/>
    <w:uiPriority w:val="0"/>
    <w:pPr>
      <w:spacing w:line="360" w:lineRule="auto"/>
    </w:pPr>
    <w:rPr>
      <w:szCs w:val="20"/>
    </w:rPr>
  </w:style>
  <w:style w:type="paragraph" w:customStyle="1" w:styleId="816">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7">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8">
    <w:name w:val="Char2 Char Char Char2"/>
    <w:basedOn w:val="1"/>
    <w:qFormat/>
    <w:uiPriority w:val="0"/>
    <w:rPr>
      <w:rFonts w:ascii="仿宋_GB2312" w:eastAsia="仿宋_GB2312"/>
      <w:b/>
      <w:sz w:val="32"/>
      <w:szCs w:val="32"/>
    </w:rPr>
  </w:style>
  <w:style w:type="paragraph" w:customStyle="1" w:styleId="819">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0">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1">
    <w:name w:val="正文 首行缩进:  2 字符 Char"/>
    <w:basedOn w:val="1"/>
    <w:qFormat/>
    <w:uiPriority w:val="0"/>
    <w:pPr>
      <w:adjustRightInd/>
      <w:spacing w:line="360" w:lineRule="auto"/>
      <w:ind w:firstLine="480"/>
    </w:pPr>
    <w:rPr>
      <w:rFonts w:cs="宋体"/>
      <w:sz w:val="24"/>
      <w:szCs w:val="20"/>
    </w:rPr>
  </w:style>
  <w:style w:type="paragraph" w:customStyle="1" w:styleId="822">
    <w:name w:val="Char Char4 Char Char"/>
    <w:basedOn w:val="1"/>
    <w:qFormat/>
    <w:uiPriority w:val="0"/>
    <w:pPr>
      <w:widowControl/>
      <w:adjustRightInd/>
      <w:spacing w:after="160" w:line="240" w:lineRule="exact"/>
      <w:jc w:val="left"/>
    </w:pPr>
  </w:style>
  <w:style w:type="paragraph" w:customStyle="1" w:styleId="823">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4">
    <w:name w:val="Char Char11 Char Char Char2"/>
    <w:basedOn w:val="1"/>
    <w:qFormat/>
    <w:uiPriority w:val="0"/>
    <w:pPr>
      <w:spacing w:line="360" w:lineRule="auto"/>
    </w:pPr>
    <w:rPr>
      <w:szCs w:val="20"/>
    </w:rPr>
  </w:style>
  <w:style w:type="paragraph" w:customStyle="1" w:styleId="825">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6">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7">
    <w:name w:val="数字标题4"/>
    <w:basedOn w:val="7"/>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8">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9">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0">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1">
    <w:name w:val="Char311"/>
    <w:basedOn w:val="1"/>
    <w:qFormat/>
    <w:uiPriority w:val="0"/>
    <w:pPr>
      <w:adjustRightInd/>
      <w:ind w:firstLine="200" w:firstLineChars="200"/>
    </w:pPr>
    <w:rPr>
      <w:rFonts w:ascii="Tahoma" w:hAnsi="Tahoma"/>
      <w:sz w:val="24"/>
      <w:szCs w:val="20"/>
    </w:rPr>
  </w:style>
  <w:style w:type="paragraph" w:customStyle="1" w:styleId="832">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3">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4">
    <w:name w:val="正文 内标"/>
    <w:basedOn w:val="749"/>
    <w:qFormat/>
    <w:uiPriority w:val="0"/>
    <w:pPr>
      <w:tabs>
        <w:tab w:val="left" w:pos="0"/>
      </w:tabs>
      <w:ind w:left="900" w:firstLine="0" w:firstLineChars="0"/>
    </w:pPr>
  </w:style>
  <w:style w:type="paragraph" w:customStyle="1" w:styleId="835">
    <w:name w:val="Bulleted List"/>
    <w:basedOn w:val="1"/>
    <w:qFormat/>
    <w:uiPriority w:val="0"/>
    <w:pPr>
      <w:tabs>
        <w:tab w:val="left" w:pos="1260"/>
      </w:tabs>
      <w:adjustRightInd/>
      <w:ind w:left="1260" w:hanging="420"/>
    </w:pPr>
  </w:style>
  <w:style w:type="paragraph" w:customStyle="1" w:styleId="836">
    <w:name w:val="样式 正文文本缩进 2 + 仿宋_GB2312 黑色 行距: 1.5 倍行距"/>
    <w:basedOn w:val="39"/>
    <w:qFormat/>
    <w:uiPriority w:val="0"/>
    <w:pPr>
      <w:adjustRightInd/>
      <w:ind w:firstLine="560" w:firstLineChars="200"/>
      <w:textAlignment w:val="auto"/>
    </w:pPr>
    <w:rPr>
      <w:rFonts w:hAnsi="宋体" w:cs="宋体"/>
      <w:color w:val="000000"/>
      <w:kern w:val="2"/>
      <w:sz w:val="24"/>
    </w:rPr>
  </w:style>
  <w:style w:type="paragraph" w:customStyle="1" w:styleId="837">
    <w:name w:val="样式 左侧:  0.85 厘米"/>
    <w:basedOn w:val="1"/>
    <w:qFormat/>
    <w:uiPriority w:val="2"/>
    <w:pPr>
      <w:adjustRightInd/>
      <w:spacing w:line="360" w:lineRule="auto"/>
    </w:pPr>
    <w:rPr>
      <w:rFonts w:cs="宋体"/>
      <w:sz w:val="24"/>
      <w:szCs w:val="20"/>
    </w:rPr>
  </w:style>
  <w:style w:type="paragraph" w:customStyle="1" w:styleId="838">
    <w:name w:val="Char Char Char Char Char Char Char Char Char Char Char Char1 Char"/>
    <w:basedOn w:val="1"/>
    <w:qFormat/>
    <w:uiPriority w:val="0"/>
    <w:rPr>
      <w:rFonts w:ascii="Tahoma" w:hAnsi="Tahoma" w:cs="仿宋_GB2312"/>
      <w:sz w:val="24"/>
      <w:szCs w:val="20"/>
    </w:rPr>
  </w:style>
  <w:style w:type="paragraph" w:customStyle="1" w:styleId="839">
    <w:name w:val="正文1"/>
    <w:basedOn w:val="34"/>
    <w:qFormat/>
    <w:uiPriority w:val="0"/>
    <w:pPr>
      <w:ind w:left="0" w:leftChars="0" w:firstLine="480" w:firstLineChars="200"/>
    </w:pPr>
    <w:rPr>
      <w:rFonts w:ascii="仿宋_GB2312" w:hAnsi="Courier New" w:eastAsia="仿宋_GB2312"/>
      <w:kern w:val="28"/>
      <w:sz w:val="24"/>
    </w:rPr>
  </w:style>
  <w:style w:type="paragraph" w:customStyle="1" w:styleId="840">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1">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2">
    <w:name w:val="模板普通正文"/>
    <w:basedOn w:val="27"/>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3">
    <w:name w:val="Char Char1 Char Char Char Char Char Char"/>
    <w:basedOn w:val="1"/>
    <w:qFormat/>
    <w:uiPriority w:val="0"/>
    <w:rPr>
      <w:rFonts w:ascii="仿宋_GB2312" w:eastAsia="仿宋_GB2312"/>
      <w:b/>
      <w:sz w:val="32"/>
      <w:szCs w:val="20"/>
    </w:rPr>
  </w:style>
  <w:style w:type="paragraph" w:customStyle="1" w:styleId="844">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5">
    <w:name w:val="Char Char1 Char Char Char Char Char Char2"/>
    <w:basedOn w:val="1"/>
    <w:qFormat/>
    <w:uiPriority w:val="0"/>
    <w:rPr>
      <w:rFonts w:ascii="仿宋_GB2312" w:eastAsia="仿宋_GB2312"/>
      <w:b/>
      <w:sz w:val="32"/>
      <w:szCs w:val="20"/>
    </w:rPr>
  </w:style>
  <w:style w:type="paragraph" w:customStyle="1" w:styleId="846">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7">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8">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9">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0">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1">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2">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3">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4">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5">
    <w:name w:val="Char31"/>
    <w:basedOn w:val="1"/>
    <w:qFormat/>
    <w:uiPriority w:val="0"/>
    <w:pPr>
      <w:adjustRightInd/>
    </w:pPr>
    <w:rPr>
      <w:rFonts w:ascii="仿宋_GB2312" w:eastAsia="仿宋_GB2312"/>
      <w:b/>
      <w:sz w:val="32"/>
      <w:szCs w:val="32"/>
    </w:rPr>
  </w:style>
  <w:style w:type="paragraph" w:customStyle="1" w:styleId="856">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57">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8">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9">
    <w:name w:val="Char Char1"/>
    <w:basedOn w:val="1"/>
    <w:qFormat/>
    <w:uiPriority w:val="0"/>
    <w:pPr>
      <w:widowControl/>
      <w:spacing w:after="160" w:line="240" w:lineRule="exact"/>
      <w:jc w:val="left"/>
    </w:pPr>
    <w:rPr>
      <w:rFonts w:eastAsia="仿宋_GB2312"/>
      <w:sz w:val="28"/>
    </w:rPr>
  </w:style>
  <w:style w:type="paragraph" w:customStyle="1" w:styleId="860">
    <w:name w:val="Char21"/>
    <w:basedOn w:val="1"/>
    <w:qFormat/>
    <w:uiPriority w:val="0"/>
    <w:pPr>
      <w:adjustRightInd/>
      <w:ind w:firstLine="200" w:firstLineChars="200"/>
    </w:pPr>
    <w:rPr>
      <w:rFonts w:ascii="仿宋_GB2312" w:eastAsia="仿宋_GB2312"/>
      <w:b/>
      <w:sz w:val="32"/>
      <w:szCs w:val="32"/>
    </w:rPr>
  </w:style>
  <w:style w:type="paragraph" w:customStyle="1" w:styleId="861">
    <w:name w:val="列表段落1"/>
    <w:basedOn w:val="1"/>
    <w:qFormat/>
    <w:uiPriority w:val="34"/>
    <w:pPr>
      <w:adjustRightInd/>
      <w:ind w:right="238" w:firstLine="420"/>
    </w:pPr>
    <w:rPr>
      <w:rFonts w:ascii="Calibri" w:hAnsi="Calibri"/>
      <w:sz w:val="24"/>
    </w:rPr>
  </w:style>
  <w:style w:type="paragraph" w:customStyle="1" w:styleId="862">
    <w:name w:val="Char Char110"/>
    <w:basedOn w:val="1"/>
    <w:qFormat/>
    <w:uiPriority w:val="6"/>
    <w:pPr>
      <w:spacing w:line="360" w:lineRule="auto"/>
    </w:pPr>
    <w:rPr>
      <w:rFonts w:ascii="Tahoma" w:hAnsi="Tahoma"/>
      <w:sz w:val="24"/>
      <w:szCs w:val="20"/>
    </w:rPr>
  </w:style>
  <w:style w:type="paragraph" w:customStyle="1" w:styleId="863">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4">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5">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6">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7">
    <w:name w:val="Char Char Char Char Char Char Char Char Char Char Char Char1 Char2"/>
    <w:basedOn w:val="1"/>
    <w:qFormat/>
    <w:uiPriority w:val="0"/>
    <w:rPr>
      <w:rFonts w:ascii="Tahoma" w:hAnsi="Tahoma" w:cs="仿宋_GB2312"/>
      <w:sz w:val="24"/>
      <w:szCs w:val="20"/>
    </w:rPr>
  </w:style>
  <w:style w:type="paragraph" w:customStyle="1" w:styleId="868">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9">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0">
    <w:name w:val="样式 列表编号 + 段后: 0.5 行"/>
    <w:basedOn w:val="16"/>
    <w:qFormat/>
    <w:uiPriority w:val="2"/>
    <w:pPr>
      <w:tabs>
        <w:tab w:val="clear" w:pos="390"/>
        <w:tab w:val="clear" w:pos="454"/>
      </w:tabs>
      <w:spacing w:after="0"/>
      <w:ind w:left="840" w:hanging="420"/>
      <w:contextualSpacing/>
    </w:pPr>
    <w:rPr>
      <w:rFonts w:cs="宋体"/>
    </w:rPr>
  </w:style>
  <w:style w:type="paragraph" w:customStyle="1" w:styleId="871">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2">
    <w:name w:val="_Style 12"/>
    <w:basedOn w:val="19"/>
    <w:qFormat/>
    <w:uiPriority w:val="0"/>
    <w:pPr>
      <w:snapToGrid w:val="0"/>
      <w:spacing w:line="360" w:lineRule="auto"/>
    </w:pPr>
  </w:style>
  <w:style w:type="paragraph" w:customStyle="1" w:styleId="873">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4">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5">
    <w:name w:val="_Style 94"/>
    <w:basedOn w:val="1"/>
    <w:next w:val="258"/>
    <w:qFormat/>
    <w:uiPriority w:val="34"/>
    <w:pPr>
      <w:adjustRightInd/>
      <w:spacing w:line="360" w:lineRule="auto"/>
      <w:ind w:firstLine="200" w:firstLineChars="200"/>
    </w:pPr>
    <w:rPr>
      <w:rFonts w:ascii="Calibri" w:hAnsi="Calibri"/>
      <w:sz w:val="28"/>
      <w:szCs w:val="20"/>
    </w:rPr>
  </w:style>
  <w:style w:type="paragraph" w:customStyle="1" w:styleId="876">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7">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8">
    <w:name w:val="3级标题"/>
    <w:basedOn w:val="671"/>
    <w:qFormat/>
    <w:uiPriority w:val="0"/>
    <w:pPr>
      <w:outlineLvl w:val="2"/>
    </w:pPr>
  </w:style>
  <w:style w:type="paragraph" w:customStyle="1" w:styleId="879">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0">
    <w:name w:val="Char1 Char Char Char3"/>
    <w:basedOn w:val="1"/>
    <w:qFormat/>
    <w:uiPriority w:val="0"/>
    <w:pPr>
      <w:adjustRightInd/>
      <w:ind w:firstLine="200" w:firstLineChars="200"/>
    </w:pPr>
    <w:rPr>
      <w:rFonts w:ascii="Tahoma" w:hAnsi="Tahoma"/>
      <w:sz w:val="24"/>
      <w:szCs w:val="20"/>
    </w:rPr>
  </w:style>
  <w:style w:type="paragraph" w:customStyle="1" w:styleId="881">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2">
    <w:name w:val="MM Empty"/>
    <w:basedOn w:val="1"/>
    <w:qFormat/>
    <w:uiPriority w:val="0"/>
    <w:pPr>
      <w:adjustRightInd/>
    </w:pPr>
  </w:style>
  <w:style w:type="paragraph" w:customStyle="1" w:styleId="883">
    <w:name w:val="Char24"/>
    <w:basedOn w:val="1"/>
    <w:qFormat/>
    <w:uiPriority w:val="0"/>
    <w:rPr>
      <w:rFonts w:ascii="仿宋_GB2312" w:eastAsia="仿宋_GB2312"/>
      <w:b/>
      <w:sz w:val="32"/>
      <w:szCs w:val="32"/>
    </w:rPr>
  </w:style>
  <w:style w:type="paragraph" w:customStyle="1" w:styleId="884">
    <w:name w:val="正文箭头"/>
    <w:basedOn w:val="537"/>
    <w:qFormat/>
    <w:uiPriority w:val="0"/>
  </w:style>
  <w:style w:type="paragraph" w:customStyle="1" w:styleId="885">
    <w:name w:val="U_编号2"/>
    <w:basedOn w:val="1"/>
    <w:qFormat/>
    <w:uiPriority w:val="0"/>
    <w:pPr>
      <w:tabs>
        <w:tab w:val="left" w:pos="785"/>
      </w:tabs>
      <w:adjustRightInd/>
      <w:spacing w:beforeLines="10" w:afterLines="10" w:line="300" w:lineRule="auto"/>
    </w:pPr>
    <w:rPr>
      <w:sz w:val="24"/>
    </w:rPr>
  </w:style>
  <w:style w:type="paragraph" w:customStyle="1" w:styleId="886">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7">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8">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9">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0">
    <w:name w:val="_Style 1"/>
    <w:basedOn w:val="1"/>
    <w:qFormat/>
    <w:uiPriority w:val="34"/>
    <w:pPr>
      <w:adjustRightInd/>
      <w:ind w:firstLine="420" w:firstLineChars="200"/>
    </w:pPr>
    <w:rPr>
      <w:rFonts w:eastAsia="仿宋_GB2312"/>
      <w:sz w:val="28"/>
    </w:rPr>
  </w:style>
  <w:style w:type="paragraph" w:customStyle="1" w:styleId="891">
    <w:name w:val="表格 内容"/>
    <w:basedOn w:val="728"/>
    <w:qFormat/>
    <w:uiPriority w:val="0"/>
    <w:rPr>
      <w:b w:val="0"/>
      <w:sz w:val="20"/>
    </w:rPr>
  </w:style>
  <w:style w:type="paragraph" w:customStyle="1" w:styleId="892">
    <w:name w:val="正文首行缩进1"/>
    <w:basedOn w:val="2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3">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4">
    <w:name w:val="数字标题5"/>
    <w:basedOn w:val="8"/>
    <w:next w:val="1"/>
    <w:qFormat/>
    <w:uiPriority w:val="0"/>
    <w:pPr>
      <w:tabs>
        <w:tab w:val="left" w:pos="1080"/>
      </w:tabs>
      <w:ind w:left="1080" w:hanging="1080"/>
    </w:pPr>
  </w:style>
  <w:style w:type="paragraph" w:customStyle="1" w:styleId="895">
    <w:name w:val="数字标题1"/>
    <w:basedOn w:val="3"/>
    <w:next w:val="1"/>
    <w:qFormat/>
    <w:uiPriority w:val="0"/>
    <w:pPr>
      <w:tabs>
        <w:tab w:val="left" w:pos="480"/>
      </w:tabs>
      <w:ind w:left="480" w:hanging="480"/>
    </w:pPr>
  </w:style>
  <w:style w:type="paragraph" w:customStyle="1" w:styleId="896">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7">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8">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9">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0">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1">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2">
    <w:name w:val="0"/>
    <w:basedOn w:val="1"/>
    <w:qFormat/>
    <w:uiPriority w:val="0"/>
    <w:pPr>
      <w:widowControl/>
    </w:pPr>
    <w:rPr>
      <w:kern w:val="0"/>
      <w:sz w:val="24"/>
      <w:szCs w:val="20"/>
    </w:rPr>
  </w:style>
  <w:style w:type="paragraph" w:customStyle="1" w:styleId="903">
    <w:name w:val="Char Char113"/>
    <w:basedOn w:val="1"/>
    <w:qFormat/>
    <w:uiPriority w:val="0"/>
    <w:pPr>
      <w:widowControl/>
      <w:spacing w:after="160" w:line="240" w:lineRule="exact"/>
      <w:jc w:val="left"/>
    </w:pPr>
    <w:rPr>
      <w:rFonts w:eastAsia="仿宋_GB2312"/>
      <w:sz w:val="28"/>
    </w:rPr>
  </w:style>
  <w:style w:type="paragraph" w:customStyle="1" w:styleId="904">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5">
    <w:name w:val="_Style 8"/>
    <w:basedOn w:val="1"/>
    <w:qFormat/>
    <w:uiPriority w:val="34"/>
    <w:pPr>
      <w:adjustRightInd/>
      <w:ind w:firstLine="420" w:firstLineChars="200"/>
    </w:pPr>
    <w:rPr>
      <w:rFonts w:eastAsia="仿宋_GB2312"/>
      <w:sz w:val="28"/>
    </w:rPr>
  </w:style>
  <w:style w:type="paragraph" w:customStyle="1" w:styleId="906">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7">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8">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9">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0">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1">
    <w:name w:val="Char Char112"/>
    <w:basedOn w:val="1"/>
    <w:qFormat/>
    <w:uiPriority w:val="6"/>
    <w:pPr>
      <w:widowControl/>
      <w:spacing w:after="160" w:line="240" w:lineRule="exact"/>
      <w:jc w:val="left"/>
    </w:pPr>
    <w:rPr>
      <w:rFonts w:eastAsia="仿宋_GB2312"/>
      <w:sz w:val="28"/>
    </w:rPr>
  </w:style>
  <w:style w:type="paragraph" w:customStyle="1" w:styleId="912">
    <w:name w:val="正文 图"/>
    <w:basedOn w:val="442"/>
    <w:qFormat/>
    <w:uiPriority w:val="0"/>
    <w:pPr>
      <w:adjustRightInd/>
      <w:spacing w:before="0"/>
      <w:ind w:firstLine="0"/>
      <w:jc w:val="center"/>
    </w:pPr>
    <w:rPr>
      <w:rFonts w:ascii="微软雅黑" w:hAnsi="微软雅黑"/>
    </w:rPr>
  </w:style>
  <w:style w:type="paragraph" w:customStyle="1" w:styleId="913">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4">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5">
    <w:name w:val="Thf"/>
    <w:basedOn w:val="561"/>
    <w:qFormat/>
    <w:uiPriority w:val="0"/>
    <w:pPr>
      <w:ind w:left="0"/>
    </w:pPr>
  </w:style>
  <w:style w:type="paragraph" w:customStyle="1" w:styleId="916">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7">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8">
    <w:name w:val="注释"/>
    <w:basedOn w:val="1"/>
    <w:qFormat/>
    <w:uiPriority w:val="0"/>
    <w:pPr>
      <w:adjustRightInd/>
      <w:spacing w:line="360" w:lineRule="auto"/>
      <w:ind w:firstLine="480"/>
    </w:pPr>
    <w:rPr>
      <w:sz w:val="24"/>
    </w:rPr>
  </w:style>
  <w:style w:type="table" w:customStyle="1" w:styleId="919">
    <w:name w:val="网格型2"/>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1"/>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6"/>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3"/>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4"/>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5"/>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5">
    <w:name w:val="列出段落111"/>
    <w:basedOn w:val="1"/>
    <w:qFormat/>
    <w:uiPriority w:val="34"/>
    <w:pPr>
      <w:ind w:firstLine="420" w:firstLineChars="200"/>
    </w:pPr>
  </w:style>
  <w:style w:type="character" w:customStyle="1" w:styleId="926">
    <w:name w:val="交叉引用"/>
    <w:qFormat/>
    <w:uiPriority w:val="1"/>
    <w:rPr>
      <w:rFonts w:ascii="Arial" w:hAnsi="Arial" w:eastAsia="黑体"/>
      <w:snapToGrid w:val="0"/>
      <w:color w:val="0000FF"/>
      <w:kern w:val="0"/>
      <w:sz w:val="20"/>
      <w:szCs w:val="21"/>
      <w:u w:val="single"/>
      <w:lang w:val="en-US" w:eastAsia="zh-CN"/>
    </w:rPr>
  </w:style>
  <w:style w:type="character" w:customStyle="1" w:styleId="927">
    <w:name w:val="正文缩进 字符1"/>
    <w:qFormat/>
    <w:uiPriority w:val="0"/>
    <w:rPr>
      <w:rFonts w:ascii="宋体" w:eastAsia="宋体"/>
      <w:snapToGrid w:val="0"/>
      <w:color w:val="000000"/>
      <w:kern w:val="28"/>
      <w:sz w:val="28"/>
      <w:lang w:val="en-US" w:eastAsia="zh-CN" w:bidi="ar-SA"/>
    </w:rPr>
  </w:style>
  <w:style w:type="character" w:customStyle="1" w:styleId="928">
    <w:name w:val="页脚 字符1"/>
    <w:qFormat/>
    <w:locked/>
    <w:uiPriority w:val="99"/>
    <w:rPr>
      <w:kern w:val="2"/>
      <w:sz w:val="18"/>
      <w:szCs w:val="18"/>
    </w:rPr>
  </w:style>
  <w:style w:type="character" w:customStyle="1" w:styleId="929">
    <w:name w:val="页眉 字符1"/>
    <w:qFormat/>
    <w:uiPriority w:val="99"/>
    <w:rPr>
      <w:kern w:val="2"/>
      <w:sz w:val="18"/>
      <w:szCs w:val="18"/>
    </w:rPr>
  </w:style>
  <w:style w:type="character" w:customStyle="1" w:styleId="930">
    <w:name w:val="尾注文本 Char"/>
    <w:link w:val="40"/>
    <w:qFormat/>
    <w:uiPriority w:val="0"/>
    <w:rPr>
      <w:kern w:val="2"/>
      <w:sz w:val="21"/>
      <w:szCs w:val="24"/>
      <w:lang w:val="zh-CN"/>
    </w:rPr>
  </w:style>
  <w:style w:type="character" w:customStyle="1" w:styleId="931">
    <w:name w:val="无间隔 Char"/>
    <w:link w:val="482"/>
    <w:qFormat/>
    <w:uiPriority w:val="99"/>
    <w:rPr>
      <w:kern w:val="2"/>
      <w:sz w:val="21"/>
      <w:szCs w:val="22"/>
    </w:rPr>
  </w:style>
  <w:style w:type="character" w:customStyle="1" w:styleId="932">
    <w:name w:val="标准文本 Char Char"/>
    <w:link w:val="933"/>
    <w:qFormat/>
    <w:uiPriority w:val="0"/>
    <w:rPr>
      <w:rFonts w:cs="宋体"/>
      <w:kern w:val="2"/>
      <w:sz w:val="24"/>
    </w:rPr>
  </w:style>
  <w:style w:type="paragraph" w:customStyle="1" w:styleId="933">
    <w:name w:val="标准文本"/>
    <w:basedOn w:val="1"/>
    <w:link w:val="932"/>
    <w:qFormat/>
    <w:uiPriority w:val="0"/>
    <w:pPr>
      <w:adjustRightInd/>
      <w:spacing w:line="360" w:lineRule="auto"/>
      <w:ind w:firstLine="480" w:firstLineChars="200"/>
    </w:pPr>
    <w:rPr>
      <w:rFonts w:cs="宋体"/>
      <w:sz w:val="24"/>
      <w:szCs w:val="20"/>
    </w:rPr>
  </w:style>
  <w:style w:type="character" w:customStyle="1" w:styleId="934">
    <w:name w:val="Char Char213"/>
    <w:qFormat/>
    <w:uiPriority w:val="0"/>
    <w:rPr>
      <w:rFonts w:eastAsia="Century Gothic"/>
      <w:b/>
      <w:bCs/>
      <w:kern w:val="44"/>
      <w:sz w:val="32"/>
      <w:szCs w:val="44"/>
      <w:lang w:val="en-US" w:eastAsia="zh-CN" w:bidi="ar-SA"/>
    </w:rPr>
  </w:style>
  <w:style w:type="character" w:customStyle="1" w:styleId="935">
    <w:name w:val="apple-style-span"/>
    <w:qFormat/>
    <w:uiPriority w:val="0"/>
    <w:rPr>
      <w:rFonts w:ascii="Arial" w:hAnsi="Arial" w:eastAsia="黑体" w:cs="Arial"/>
      <w:snapToGrid w:val="0"/>
      <w:kern w:val="0"/>
      <w:szCs w:val="21"/>
    </w:rPr>
  </w:style>
  <w:style w:type="character" w:customStyle="1" w:styleId="936">
    <w:name w:val="15"/>
    <w:qFormat/>
    <w:uiPriority w:val="0"/>
    <w:rPr>
      <w:rFonts w:hint="default" w:ascii="Calibri" w:hAnsi="Calibri"/>
      <w:color w:val="0000FF"/>
      <w:u w:val="single"/>
    </w:rPr>
  </w:style>
  <w:style w:type="character" w:customStyle="1" w:styleId="937">
    <w:name w:val="16"/>
    <w:qFormat/>
    <w:uiPriority w:val="0"/>
    <w:rPr>
      <w:rFonts w:hint="eastAsia" w:ascii="宋体" w:hAnsi="宋体" w:eastAsia="宋体"/>
      <w:color w:val="000000"/>
      <w:sz w:val="20"/>
      <w:szCs w:val="20"/>
    </w:rPr>
  </w:style>
  <w:style w:type="character" w:customStyle="1" w:styleId="938">
    <w:name w:val="edui-unclickable"/>
    <w:qFormat/>
    <w:uiPriority w:val="0"/>
    <w:rPr>
      <w:color w:val="808080"/>
    </w:rPr>
  </w:style>
  <w:style w:type="character" w:customStyle="1" w:styleId="939">
    <w:name w:val="tpc_content1"/>
    <w:qFormat/>
    <w:uiPriority w:val="0"/>
    <w:rPr>
      <w:sz w:val="20"/>
      <w:szCs w:val="20"/>
    </w:rPr>
  </w:style>
  <w:style w:type="character" w:customStyle="1" w:styleId="940">
    <w:name w:val="正文文本缩进 字符"/>
    <w:qFormat/>
    <w:uiPriority w:val="0"/>
    <w:rPr>
      <w:rFonts w:ascii="Century Gothic" w:hAnsi="Century Gothic" w:eastAsia="Century Gothic"/>
      <w:kern w:val="2"/>
      <w:sz w:val="24"/>
      <w:lang w:val="en-US" w:eastAsia="zh-CN" w:bidi="ar-SA"/>
    </w:rPr>
  </w:style>
  <w:style w:type="character" w:customStyle="1" w:styleId="941">
    <w:name w:val="正文文本 2 字符"/>
    <w:qFormat/>
    <w:uiPriority w:val="0"/>
    <w:rPr>
      <w:rFonts w:ascii="Arial" w:hAnsi="Arial" w:eastAsia="宋体"/>
      <w:kern w:val="2"/>
      <w:sz w:val="24"/>
      <w:szCs w:val="24"/>
      <w:lang w:val="en-US" w:eastAsia="zh-CN" w:bidi="ar-SA"/>
    </w:rPr>
  </w:style>
  <w:style w:type="character" w:customStyle="1" w:styleId="942">
    <w:name w:val="edui-clickable2"/>
    <w:qFormat/>
    <w:uiPriority w:val="0"/>
    <w:rPr>
      <w:color w:val="0000FF"/>
      <w:u w:val="single"/>
    </w:rPr>
  </w:style>
  <w:style w:type="character" w:customStyle="1" w:styleId="943">
    <w:name w:val="style1"/>
    <w:qFormat/>
    <w:uiPriority w:val="0"/>
    <w:rPr>
      <w:rFonts w:ascii="Arial" w:hAnsi="Arial" w:eastAsia="黑体" w:cs="Arial"/>
      <w:snapToGrid w:val="0"/>
      <w:kern w:val="0"/>
      <w:szCs w:val="21"/>
    </w:rPr>
  </w:style>
  <w:style w:type="character" w:customStyle="1" w:styleId="944">
    <w:name w:val="zbggtop11 style5"/>
    <w:qFormat/>
    <w:uiPriority w:val="0"/>
    <w:rPr>
      <w:rFonts w:ascii="Arial" w:hAnsi="Arial" w:eastAsia="黑体" w:cs="Arial"/>
      <w:snapToGrid w:val="0"/>
      <w:kern w:val="0"/>
      <w:szCs w:val="21"/>
    </w:rPr>
  </w:style>
  <w:style w:type="character" w:customStyle="1" w:styleId="945">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6">
    <w:name w:val="bulletintext1"/>
    <w:qFormat/>
    <w:uiPriority w:val="0"/>
    <w:rPr>
      <w:color w:val="000000"/>
      <w:sz w:val="18"/>
    </w:rPr>
  </w:style>
  <w:style w:type="paragraph" w:customStyle="1" w:styleId="947">
    <w:name w:val="_Style 947"/>
    <w:basedOn w:val="1"/>
    <w:next w:val="258"/>
    <w:qFormat/>
    <w:uiPriority w:val="34"/>
    <w:pPr>
      <w:adjustRightInd/>
      <w:ind w:firstLine="420" w:firstLineChars="200"/>
    </w:pPr>
  </w:style>
  <w:style w:type="paragraph" w:customStyle="1" w:styleId="948">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9">
    <w:name w:val="纯文本2"/>
    <w:basedOn w:val="1"/>
    <w:qFormat/>
    <w:uiPriority w:val="0"/>
    <w:pPr>
      <w:adjustRightInd/>
      <w:snapToGrid w:val="0"/>
      <w:jc w:val="left"/>
    </w:pPr>
    <w:rPr>
      <w:rFonts w:ascii="Century Gothic" w:hAnsi="楷体_GB2312" w:eastAsia="Century Gothic"/>
      <w:szCs w:val="20"/>
    </w:rPr>
  </w:style>
  <w:style w:type="paragraph" w:customStyle="1" w:styleId="950">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1">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2">
    <w:name w:val="节"/>
    <w:basedOn w:val="2"/>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3">
    <w:name w:val="Blockquote"/>
    <w:basedOn w:val="1"/>
    <w:qFormat/>
    <w:uiPriority w:val="0"/>
    <w:pPr>
      <w:autoSpaceDE w:val="0"/>
      <w:autoSpaceDN w:val="0"/>
      <w:spacing w:before="100" w:after="100"/>
      <w:ind w:left="360" w:right="360"/>
      <w:jc w:val="left"/>
    </w:pPr>
    <w:rPr>
      <w:kern w:val="0"/>
      <w:sz w:val="24"/>
      <w:szCs w:val="20"/>
    </w:rPr>
  </w:style>
  <w:style w:type="paragraph" w:customStyle="1" w:styleId="954">
    <w:name w:val="p1"/>
    <w:basedOn w:val="1"/>
    <w:qFormat/>
    <w:uiPriority w:val="0"/>
    <w:pPr>
      <w:widowControl/>
      <w:adjustRightInd/>
      <w:jc w:val="left"/>
    </w:pPr>
    <w:rPr>
      <w:rFonts w:ascii=".PingFang SC" w:eastAsia=".PingFang SC"/>
      <w:color w:val="454545"/>
      <w:kern w:val="0"/>
      <w:sz w:val="18"/>
      <w:szCs w:val="18"/>
    </w:rPr>
  </w:style>
  <w:style w:type="paragraph" w:customStyle="1" w:styleId="955">
    <w:name w:val="Table Paragraph"/>
    <w:basedOn w:val="1"/>
    <w:qFormat/>
    <w:uiPriority w:val="0"/>
    <w:pPr>
      <w:adjustRightInd/>
      <w:jc w:val="left"/>
    </w:pPr>
    <w:rPr>
      <w:rFonts w:ascii="Calibri" w:hAnsi="Calibri"/>
      <w:kern w:val="0"/>
      <w:sz w:val="22"/>
      <w:szCs w:val="22"/>
      <w:lang w:eastAsia="en-US"/>
    </w:rPr>
  </w:style>
  <w:style w:type="paragraph" w:customStyle="1" w:styleId="956">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7">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8">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9">
    <w:name w:val="ksfind_class_select1"/>
    <w:basedOn w:val="71"/>
    <w:qFormat/>
    <w:uiPriority w:val="0"/>
    <w:rPr>
      <w:color w:val="000000"/>
      <w:shd w:val="clear" w:color="auto" w:fill="EFD200"/>
    </w:rPr>
  </w:style>
  <w:style w:type="character" w:customStyle="1" w:styleId="960">
    <w:name w:val="font71"/>
    <w:qFormat/>
    <w:uiPriority w:val="0"/>
    <w:rPr>
      <w:rFonts w:hint="eastAsia" w:ascii="宋体" w:hAnsi="宋体" w:eastAsia="宋体" w:cs="宋体"/>
      <w:color w:val="000000"/>
      <w:sz w:val="22"/>
      <w:szCs w:val="22"/>
      <w:u w:val="none"/>
    </w:rPr>
  </w:style>
  <w:style w:type="character" w:customStyle="1" w:styleId="961">
    <w:name w:val="font91"/>
    <w:qFormat/>
    <w:uiPriority w:val="0"/>
    <w:rPr>
      <w:rFonts w:hint="eastAsia" w:ascii="仿宋" w:hAnsi="仿宋" w:eastAsia="仿宋" w:cs="仿宋"/>
      <w:color w:val="000000"/>
      <w:sz w:val="22"/>
      <w:szCs w:val="22"/>
      <w:u w:val="none"/>
    </w:rPr>
  </w:style>
  <w:style w:type="paragraph" w:customStyle="1" w:styleId="962">
    <w:name w:val="修订4"/>
    <w:hidden/>
    <w:semiHidden/>
    <w:qFormat/>
    <w:uiPriority w:val="99"/>
    <w:rPr>
      <w:rFonts w:ascii="Times New Roman" w:hAnsi="Times New Roman" w:eastAsia="宋体" w:cs="Times New Roman"/>
      <w:kern w:val="2"/>
      <w:sz w:val="21"/>
      <w:szCs w:val="24"/>
      <w:lang w:val="en-US" w:eastAsia="zh-CN" w:bidi="ar-SA"/>
    </w:rPr>
  </w:style>
  <w:style w:type="table" w:customStyle="1" w:styleId="963">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87</Pages>
  <Words>49946</Words>
  <Characters>52518</Characters>
  <Lines>281</Lines>
  <Paragraphs>79</Paragraphs>
  <TotalTime>32</TotalTime>
  <ScaleCrop>false</ScaleCrop>
  <LinksUpToDate>false</LinksUpToDate>
  <CharactersWithSpaces>57926</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2021-07-31T00:22:00Z</dcterms:created>
  <dc:creator>玥</dc:creator>
  <cp:lastModifiedBy>招标代理</cp:lastModifiedBy>
  <cp:lastPrinted>2024-05-28T01:34:00Z</cp:lastPrinted>
  <dcterms:modified xsi:type="dcterms:W3CDTF">2024-07-31T08:01:38Z</dcterms:modified>
  <dc:title>杭州市市民卡扩大发卡工程</dc:title>
  <cp:revision>305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11D3448DEAF2405B896FFF22481282E4_13</vt:lpwstr>
  </property>
</Properties>
</file>