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8"/>
        <w:tblW w:w="0" w:type="auto"/>
        <w:jc w:val="center"/>
        <w:tblLayout w:type="fixed"/>
        <w:tblCellMar>
          <w:top w:w="0" w:type="dxa"/>
          <w:left w:w="108" w:type="dxa"/>
          <w:bottom w:w="0" w:type="dxa"/>
          <w:right w:w="108" w:type="dxa"/>
        </w:tblCellMar>
      </w:tblPr>
      <w:tblGrid>
        <w:gridCol w:w="8824"/>
      </w:tblGrid>
      <w:tr>
        <w:tblPrEx>
          <w:tblCellMar>
            <w:top w:w="0" w:type="dxa"/>
            <w:left w:w="108" w:type="dxa"/>
            <w:bottom w:w="0" w:type="dxa"/>
            <w:right w:w="108" w:type="dxa"/>
          </w:tblCellMar>
        </w:tblPrEx>
        <w:trPr>
          <w:trHeight w:val="1814" w:hRule="atLeast"/>
          <w:jc w:val="center"/>
        </w:trPr>
        <w:tc>
          <w:tcPr>
            <w:tcW w:w="8824" w:type="dxa"/>
            <w:vAlign w:val="center"/>
          </w:tcPr>
          <w:p>
            <w:pPr>
              <w:jc w:val="center"/>
              <w:rPr>
                <w:rFonts w:ascii="隶书" w:hAnsi="华文中宋" w:eastAsia="隶书" w:cs="Arial"/>
                <w:color w:val="000000" w:themeColor="text1"/>
                <w:w w:val="66"/>
                <w:kern w:val="0"/>
                <w:sz w:val="80"/>
                <w:szCs w:val="80"/>
                <w14:textFill>
                  <w14:solidFill>
                    <w14:schemeClr w14:val="tx1"/>
                  </w14:solidFill>
                </w14:textFill>
              </w:rPr>
            </w:pPr>
            <w:r>
              <w:rPr>
                <w:rFonts w:hint="eastAsia" w:ascii="隶书" w:hAnsi="华文中宋" w:eastAsia="隶书" w:cs="Arial"/>
                <w:color w:val="000000" w:themeColor="text1"/>
                <w:w w:val="66"/>
                <w:kern w:val="0"/>
                <w:sz w:val="80"/>
                <w:szCs w:val="80"/>
                <w14:textFill>
                  <w14:solidFill>
                    <w14:schemeClr w14:val="tx1"/>
                  </w14:solidFill>
                </w14:textFill>
              </w:rPr>
              <w:t>浙江省省级政府采购电子交易项目</w:t>
            </w:r>
          </w:p>
          <w:p>
            <w:pPr>
              <w:jc w:val="center"/>
              <w:rPr>
                <w:color w:val="000000" w:themeColor="text1"/>
                <w:w w:val="66"/>
                <w:sz w:val="80"/>
                <w:szCs w:val="80"/>
                <w14:textFill>
                  <w14:solidFill>
                    <w14:schemeClr w14:val="tx1"/>
                  </w14:solidFill>
                </w14:textFill>
              </w:rPr>
            </w:pPr>
            <w:r>
              <w:rPr>
                <w:rFonts w:hint="eastAsia" w:ascii="隶书" w:hAnsi="华文中宋" w:eastAsia="隶书" w:cs="Arial"/>
                <w:color w:val="000000" w:themeColor="text1"/>
                <w:w w:val="80"/>
                <w:kern w:val="0"/>
                <w:sz w:val="116"/>
                <w:szCs w:val="116"/>
                <w14:textFill>
                  <w14:solidFill>
                    <w14:schemeClr w14:val="tx1"/>
                  </w14:solidFill>
                </w14:textFill>
              </w:rPr>
              <w:t>公开招标采购文件</w:t>
            </w:r>
          </w:p>
        </w:tc>
      </w:tr>
      <w:tr>
        <w:tblPrEx>
          <w:tblCellMar>
            <w:top w:w="0" w:type="dxa"/>
            <w:left w:w="108" w:type="dxa"/>
            <w:bottom w:w="0" w:type="dxa"/>
            <w:right w:w="108" w:type="dxa"/>
          </w:tblCellMar>
        </w:tblPrEx>
        <w:trPr>
          <w:trHeight w:val="4082" w:hRule="atLeast"/>
          <w:jc w:val="center"/>
        </w:trPr>
        <w:tc>
          <w:tcPr>
            <w:tcW w:w="8824" w:type="dxa"/>
            <w:tcBorders>
              <w:bottom w:val="triple" w:color="auto" w:sz="12" w:space="0"/>
            </w:tcBorders>
            <w:vAlign w:val="center"/>
          </w:tcPr>
          <w:p>
            <w:pPr>
              <w:spacing w:line="360" w:lineRule="auto"/>
              <w:ind w:left="-160" w:leftChars="-76" w:right="-162" w:rightChars="-77"/>
              <w:jc w:val="center"/>
              <w:rPr>
                <w:rFonts w:ascii="华文隶书" w:hAnsi="华文中宋" w:eastAsia="华文隶书" w:cs="Arial"/>
                <w:color w:val="000000" w:themeColor="text1"/>
                <w:w w:val="80"/>
                <w:kern w:val="0"/>
                <w:sz w:val="96"/>
                <w:szCs w:val="48"/>
                <w14:textFill>
                  <w14:solidFill>
                    <w14:schemeClr w14:val="tx1"/>
                  </w14:solidFill>
                </w14:textFill>
              </w:rPr>
            </w:pPr>
            <w:r>
              <w:rPr>
                <w:rFonts w:hint="eastAsia"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 descr="LOGO1"/>
                          <pic:cNvPicPr>
                            <a:picLocks noChangeAspect="1" noChangeArrowheads="1"/>
                          </pic:cNvPicPr>
                        </pic:nvPicPr>
                        <pic:blipFill>
                          <a:blip r:embed="rId27" cstate="print"/>
                          <a:srcRect/>
                          <a:stretch>
                            <a:fillRect/>
                          </a:stretch>
                        </pic:blipFill>
                        <pic:spPr>
                          <a:xfrm>
                            <a:off x="0" y="0"/>
                            <a:ext cx="1238250" cy="1238250"/>
                          </a:xfrm>
                          <a:prstGeom prst="rect">
                            <a:avLst/>
                          </a:prstGeom>
                          <a:noFill/>
                          <a:ln w="9525">
                            <a:noFill/>
                            <a:miter lim="800000"/>
                            <a:headEnd/>
                            <a:tailEnd/>
                          </a:ln>
                        </pic:spPr>
                      </pic:pic>
                    </a:graphicData>
                  </a:graphic>
                </wp:inline>
              </w:drawing>
            </w:r>
          </w:p>
          <w:p>
            <w:pPr>
              <w:spacing w:line="360" w:lineRule="auto"/>
              <w:ind w:left="-160" w:leftChars="-76" w:right="-162" w:rightChars="-77"/>
              <w:jc w:val="center"/>
              <w:rPr>
                <w:rFonts w:ascii="华文隶书" w:hAnsi="华文中宋" w:eastAsia="华文隶书" w:cs="Arial"/>
                <w:color w:val="000000" w:themeColor="text1"/>
                <w:w w:val="80"/>
                <w:kern w:val="0"/>
                <w:sz w:val="96"/>
                <w:szCs w:val="48"/>
                <w14:textFill>
                  <w14:solidFill>
                    <w14:schemeClr w14:val="tx1"/>
                  </w14:solidFill>
                </w14:textFill>
              </w:rPr>
            </w:pPr>
            <w:r>
              <w:rPr>
                <w:rFonts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2731770"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2.png"/>
                          <pic:cNvPicPr>
                            <a:picLocks noChangeAspect="1"/>
                          </pic:cNvPicPr>
                        </pic:nvPicPr>
                        <pic:blipFill>
                          <a:blip r:embed="rId28" cstate="print"/>
                          <a:stretch>
                            <a:fillRect/>
                          </a:stretch>
                        </pic:blipFill>
                        <pic:spPr>
                          <a:xfrm>
                            <a:off x="0" y="0"/>
                            <a:ext cx="2733040" cy="733742"/>
                          </a:xfrm>
                          <a:prstGeom prst="rect">
                            <a:avLst/>
                          </a:prstGeom>
                        </pic:spPr>
                      </pic:pic>
                    </a:graphicData>
                  </a:graphic>
                </wp:inline>
              </w:drawing>
            </w:r>
          </w:p>
        </w:tc>
      </w:tr>
    </w:tbl>
    <w:p>
      <w:pPr>
        <w:widowControl/>
        <w:ind w:right="-2"/>
        <w:jc w:val="center"/>
        <w:rPr>
          <w:color w:val="000000" w:themeColor="text1"/>
          <w:sz w:val="24"/>
          <w14:textFill>
            <w14:solidFill>
              <w14:schemeClr w14:val="tx1"/>
            </w14:solidFill>
          </w14:textFill>
        </w:rPr>
      </w:pPr>
    </w:p>
    <w:tbl>
      <w:tblPr>
        <w:tblStyle w:val="58"/>
        <w:tblW w:w="9498" w:type="dxa"/>
        <w:tblInd w:w="-34" w:type="dxa"/>
        <w:tblLayout w:type="fixed"/>
        <w:tblCellMar>
          <w:top w:w="0" w:type="dxa"/>
          <w:left w:w="108" w:type="dxa"/>
          <w:bottom w:w="0" w:type="dxa"/>
          <w:right w:w="108" w:type="dxa"/>
        </w:tblCellMar>
      </w:tblPr>
      <w:tblGrid>
        <w:gridCol w:w="1702"/>
        <w:gridCol w:w="7796"/>
      </w:tblGrid>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项目名称：</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浙江省城市运行安全数字化管理系统（被整合系统）运维项目</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项目编号：</w:t>
            </w:r>
          </w:p>
        </w:tc>
        <w:tc>
          <w:tcPr>
            <w:tcW w:w="7796" w:type="dxa"/>
            <w:vAlign w:val="center"/>
          </w:tcPr>
          <w:p>
            <w:pPr>
              <w:spacing w:line="276" w:lineRule="auto"/>
              <w:ind w:left="-7" w:leftChars="-4" w:hanging="1"/>
              <w:rPr>
                <w:rFonts w:hint="eastAsia" w:ascii="仿宋" w:hAnsi="仿宋" w:eastAsia="仿宋" w:cs="Arial"/>
                <w:bCs/>
                <w:color w:val="000000" w:themeColor="text1"/>
                <w:kern w:val="0"/>
                <w:sz w:val="28"/>
                <w:szCs w:val="30"/>
                <w:lang w:eastAsia="zh-CN"/>
                <w14:textFill>
                  <w14:solidFill>
                    <w14:schemeClr w14:val="tx1"/>
                  </w14:solidFill>
                </w14:textFill>
              </w:rPr>
            </w:pPr>
            <w:r>
              <w:rPr>
                <w:rFonts w:hint="eastAsia" w:ascii="仿宋" w:hAnsi="仿宋" w:eastAsia="仿宋" w:cs="Arial"/>
                <w:bCs/>
                <w:color w:val="000000" w:themeColor="text1"/>
                <w:kern w:val="0"/>
                <w:sz w:val="28"/>
                <w:szCs w:val="30"/>
                <w:lang w:eastAsia="zh-CN"/>
                <w14:textFill>
                  <w14:solidFill>
                    <w14:schemeClr w14:val="tx1"/>
                  </w14:solidFill>
                </w14:textFill>
              </w:rPr>
              <w:t>CTZB-2024080141</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采购方式：</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公开招标</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交易方式：</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政府采购电子交易（政府采购云平台）</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 购 人：</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浙江省住房和城乡建设厅信息宣传中心</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代理机构：</w:t>
            </w:r>
          </w:p>
        </w:tc>
        <w:tc>
          <w:tcPr>
            <w:tcW w:w="7796" w:type="dxa"/>
            <w:vAlign w:val="center"/>
          </w:tcPr>
          <w:p>
            <w:pPr>
              <w:spacing w:line="276" w:lineRule="auto"/>
              <w:ind w:left="-7" w:leftChars="-4" w:hanging="1"/>
              <w:rPr>
                <w:rFonts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浙江省成套招标代理有限公司</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日    期：</w:t>
            </w:r>
          </w:p>
        </w:tc>
        <w:tc>
          <w:tcPr>
            <w:tcW w:w="7796" w:type="dxa"/>
            <w:vAlign w:val="center"/>
          </w:tcPr>
          <w:p>
            <w:pPr>
              <w:spacing w:line="276" w:lineRule="auto"/>
              <w:ind w:left="-7" w:leftChars="-4" w:hanging="1"/>
              <w:rPr>
                <w:rFonts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二○二四年</w:t>
            </w:r>
            <w:r>
              <w:rPr>
                <w:rFonts w:hint="eastAsia" w:ascii="仿宋" w:hAnsi="仿宋" w:eastAsia="仿宋" w:cs="Arial"/>
                <w:color w:val="000000" w:themeColor="text1"/>
                <w:kern w:val="0"/>
                <w:sz w:val="28"/>
                <w:szCs w:val="30"/>
                <w:lang w:val="en-US" w:eastAsia="zh-CN"/>
                <w14:textFill>
                  <w14:solidFill>
                    <w14:schemeClr w14:val="tx1"/>
                  </w14:solidFill>
                </w14:textFill>
              </w:rPr>
              <w:t>八</w:t>
            </w:r>
            <w:r>
              <w:rPr>
                <w:rFonts w:hint="eastAsia" w:ascii="仿宋" w:hAnsi="仿宋" w:eastAsia="仿宋" w:cs="Arial"/>
                <w:color w:val="000000" w:themeColor="text1"/>
                <w:kern w:val="0"/>
                <w:sz w:val="28"/>
                <w:szCs w:val="30"/>
                <w14:textFill>
                  <w14:solidFill>
                    <w14:schemeClr w14:val="tx1"/>
                  </w14:solidFill>
                </w14:textFill>
              </w:rPr>
              <w:t>月</w:t>
            </w:r>
          </w:p>
        </w:tc>
      </w:tr>
    </w:tbl>
    <w:p>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3" w:type="even"/>
          <w:pgSz w:w="11906" w:h="16838"/>
          <w:pgMar w:top="1670" w:right="1418" w:bottom="1440" w:left="1559" w:header="1135" w:footer="992" w:gutter="0"/>
          <w:cols w:space="720" w:num="1"/>
          <w:docGrid w:type="lines" w:linePitch="312" w:charSpace="0"/>
        </w:sectPr>
      </w:pPr>
    </w:p>
    <w:p>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目</w:t>
      </w:r>
      <w:r>
        <w:rPr>
          <w:rFonts w:ascii="华文中宋" w:hAnsi="华文中宋" w:eastAsia="华文中宋"/>
          <w:b/>
          <w:color w:val="000000" w:themeColor="text1"/>
          <w:sz w:val="44"/>
          <w:szCs w:val="44"/>
          <w14:textFill>
            <w14:solidFill>
              <w14:schemeClr w14:val="tx1"/>
            </w14:solidFill>
          </w14:textFill>
        </w:rPr>
        <w:t xml:space="preserve">  </w:t>
      </w:r>
      <w:r>
        <w:rPr>
          <w:rFonts w:hint="eastAsia" w:ascii="华文中宋" w:hAnsi="华文中宋" w:eastAsia="华文中宋"/>
          <w:b/>
          <w:color w:val="000000" w:themeColor="text1"/>
          <w:sz w:val="44"/>
          <w:szCs w:val="44"/>
          <w14:textFill>
            <w14:solidFill>
              <w14:schemeClr w14:val="tx1"/>
            </w14:solidFill>
          </w14:textFill>
        </w:rPr>
        <w:t>录</w:t>
      </w:r>
    </w:p>
    <w:p>
      <w:pPr>
        <w:pStyle w:val="41"/>
        <w:tabs>
          <w:tab w:val="right" w:leader="dot" w:pos="8930"/>
        </w:tabs>
        <w:rPr>
          <w:rFonts w:ascii="仿宋" w:hAnsi="仿宋" w:eastAsia="仿宋" w:cs="仿宋"/>
          <w:sz w:val="24"/>
          <w:szCs w:val="24"/>
        </w:rPr>
      </w:pPr>
      <w:r>
        <w:rPr>
          <w:rFonts w:hint="eastAsia" w:ascii="仿宋" w:hAnsi="仿宋" w:eastAsia="仿宋" w:cs="仿宋"/>
          <w:bCs w:val="0"/>
          <w:caps w:val="0"/>
          <w:color w:val="000000" w:themeColor="text1"/>
          <w:sz w:val="24"/>
          <w:szCs w:val="24"/>
          <w14:textFill>
            <w14:solidFill>
              <w14:schemeClr w14:val="tx1"/>
            </w14:solidFill>
          </w14:textFill>
        </w:rPr>
        <w:fldChar w:fldCharType="begin"/>
      </w:r>
      <w:r>
        <w:rPr>
          <w:rFonts w:hint="eastAsia" w:ascii="仿宋" w:hAnsi="仿宋" w:eastAsia="仿宋" w:cs="仿宋"/>
          <w:bCs w:val="0"/>
          <w:caps w:val="0"/>
          <w:color w:val="000000" w:themeColor="text1"/>
          <w:sz w:val="24"/>
          <w:szCs w:val="24"/>
          <w14:textFill>
            <w14:solidFill>
              <w14:schemeClr w14:val="tx1"/>
            </w14:solidFill>
          </w14:textFill>
        </w:rPr>
        <w:instrText xml:space="preserve"> TOC \o "1-2" \h \z \u </w:instrText>
      </w:r>
      <w:r>
        <w:rPr>
          <w:rFonts w:hint="eastAsia" w:ascii="仿宋" w:hAnsi="仿宋" w:eastAsia="仿宋" w:cs="仿宋"/>
          <w:bCs w:val="0"/>
          <w:caps w:val="0"/>
          <w:color w:val="000000" w:themeColor="text1"/>
          <w:sz w:val="24"/>
          <w:szCs w:val="24"/>
          <w14:textFill>
            <w14:solidFill>
              <w14:schemeClr w14:val="tx1"/>
            </w14:solidFill>
          </w14:textFill>
        </w:rPr>
        <w:fldChar w:fldCharType="separate"/>
      </w:r>
      <w:r>
        <w:fldChar w:fldCharType="begin"/>
      </w:r>
      <w:r>
        <w:instrText xml:space="preserve"> HYPERLINK \l "_Toc12003" </w:instrText>
      </w:r>
      <w:r>
        <w:fldChar w:fldCharType="separate"/>
      </w:r>
      <w:r>
        <w:rPr>
          <w:rFonts w:hint="eastAsia" w:ascii="仿宋" w:hAnsi="仿宋" w:eastAsia="仿宋" w:cs="仿宋"/>
          <w:sz w:val="24"/>
          <w:szCs w:val="24"/>
        </w:rPr>
        <w:t>第一章 公开招标采购公告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_Toc12003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1"/>
        <w:tabs>
          <w:tab w:val="right" w:leader="dot" w:pos="8930"/>
        </w:tabs>
        <w:rPr>
          <w:rFonts w:ascii="仿宋" w:hAnsi="仿宋" w:eastAsia="仿宋" w:cs="仿宋"/>
          <w:sz w:val="24"/>
          <w:szCs w:val="24"/>
        </w:rPr>
      </w:pPr>
      <w:r>
        <w:fldChar w:fldCharType="begin"/>
      </w:r>
      <w:r>
        <w:instrText xml:space="preserve"> HYPERLINK \l "_Toc26912" </w:instrText>
      </w:r>
      <w:r>
        <w:fldChar w:fldCharType="separate"/>
      </w:r>
      <w:r>
        <w:rPr>
          <w:rFonts w:hint="eastAsia" w:ascii="仿宋" w:hAnsi="仿宋" w:eastAsia="仿宋" w:cs="仿宋"/>
          <w:sz w:val="24"/>
          <w:szCs w:val="24"/>
        </w:rPr>
        <w:t>第二章 招标采购需求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_Toc26912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"_Toc20049" </w:instrText>
      </w:r>
      <w:r>
        <w:fldChar w:fldCharType="separate"/>
      </w:r>
      <w:r>
        <w:rPr>
          <w:rFonts w:hint="eastAsia" w:ascii="仿宋" w:hAnsi="仿宋" w:eastAsia="仿宋" w:cs="仿宋"/>
          <w:sz w:val="24"/>
          <w:szCs w:val="24"/>
        </w:rPr>
        <w:t>一、项目概述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_Toc20049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"_Toc7477" </w:instrText>
      </w:r>
      <w:r>
        <w:fldChar w:fldCharType="separate"/>
      </w:r>
      <w:r>
        <w:rPr>
          <w:rFonts w:hint="eastAsia" w:ascii="仿宋" w:hAnsi="仿宋" w:eastAsia="仿宋" w:cs="仿宋"/>
          <w:sz w:val="24"/>
          <w:szCs w:val="24"/>
        </w:rPr>
        <w:t>二、采购内容及要求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_Toc7477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"_Toc18072" </w:instrText>
      </w:r>
      <w:r>
        <w:fldChar w:fldCharType="separate"/>
      </w:r>
      <w:r>
        <w:rPr>
          <w:rFonts w:hint="eastAsia" w:ascii="仿宋" w:hAnsi="仿宋" w:eastAsia="仿宋" w:cs="仿宋"/>
          <w:sz w:val="24"/>
          <w:szCs w:val="24"/>
        </w:rPr>
        <w:t>三、商务要求（合同商务条款主要内容）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_Toc18072 \h </w:instrText>
      </w:r>
      <w:r>
        <w:rPr>
          <w:rFonts w:hint="eastAsia" w:ascii="仿宋" w:hAnsi="仿宋" w:eastAsia="仿宋" w:cs="仿宋"/>
          <w:sz w:val="24"/>
          <w:szCs w:val="24"/>
        </w:rPr>
        <w:fldChar w:fldCharType="separate"/>
      </w:r>
      <w:r>
        <w:rPr>
          <w:rFonts w:hint="eastAsia" w:ascii="仿宋" w:hAnsi="仿宋" w:eastAsia="仿宋" w:cs="仿宋"/>
          <w:sz w:val="24"/>
          <w:szCs w:val="24"/>
        </w:rPr>
        <w:t>- 10 -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"_Toc5105" </w:instrText>
      </w:r>
      <w:r>
        <w:fldChar w:fldCharType="separate"/>
      </w:r>
      <w:r>
        <w:rPr>
          <w:rFonts w:hint="eastAsia" w:ascii="仿宋" w:hAnsi="仿宋" w:eastAsia="仿宋" w:cs="仿宋"/>
          <w:sz w:val="24"/>
          <w:szCs w:val="24"/>
        </w:rPr>
        <w:t>四、特别说明与规定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_Toc5105 \h </w:instrText>
      </w:r>
      <w:r>
        <w:rPr>
          <w:rFonts w:hint="eastAsia" w:ascii="仿宋" w:hAnsi="仿宋" w:eastAsia="仿宋" w:cs="仿宋"/>
          <w:sz w:val="24"/>
          <w:szCs w:val="24"/>
        </w:rPr>
        <w:fldChar w:fldCharType="separate"/>
      </w:r>
      <w:r>
        <w:rPr>
          <w:rFonts w:hint="eastAsia" w:ascii="仿宋" w:hAnsi="仿宋" w:eastAsia="仿宋" w:cs="仿宋"/>
          <w:sz w:val="24"/>
          <w:szCs w:val="24"/>
        </w:rPr>
        <w:t>- 11 -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1"/>
        <w:tabs>
          <w:tab w:val="right" w:leader="dot" w:pos="8930"/>
        </w:tabs>
        <w:rPr>
          <w:rFonts w:ascii="仿宋" w:hAnsi="仿宋" w:eastAsia="仿宋" w:cs="仿宋"/>
          <w:sz w:val="24"/>
          <w:szCs w:val="24"/>
        </w:rPr>
      </w:pPr>
      <w:r>
        <w:fldChar w:fldCharType="begin"/>
      </w:r>
      <w:r>
        <w:instrText xml:space="preserve"> HYPERLINK \l "_Toc27726" </w:instrText>
      </w:r>
      <w:r>
        <w:fldChar w:fldCharType="separate"/>
      </w:r>
      <w:r>
        <w:rPr>
          <w:rFonts w:hint="eastAsia" w:ascii="仿宋" w:hAnsi="仿宋" w:eastAsia="仿宋" w:cs="仿宋"/>
          <w:sz w:val="24"/>
          <w:szCs w:val="24"/>
        </w:rPr>
        <w:t>第三章 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_Toc27726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"_Toc2860" </w:instrText>
      </w:r>
      <w:r>
        <w:fldChar w:fldCharType="separate"/>
      </w:r>
      <w:r>
        <w:rPr>
          <w:rFonts w:hint="eastAsia" w:ascii="仿宋" w:hAnsi="仿宋" w:eastAsia="仿宋" w:cs="仿宋"/>
          <w:sz w:val="24"/>
          <w:szCs w:val="24"/>
        </w:rPr>
        <w:t>投标须知前附表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_Toc2860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"_Toc15135" </w:instrText>
      </w:r>
      <w: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_Toc15135 \h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"_Toc14416" </w:instrText>
      </w:r>
      <w:r>
        <w:fldChar w:fldCharType="separate"/>
      </w:r>
      <w:r>
        <w:rPr>
          <w:rFonts w:hint="eastAsia" w:ascii="仿宋" w:hAnsi="仿宋" w:eastAsia="仿宋" w:cs="仿宋"/>
          <w:sz w:val="24"/>
          <w:szCs w:val="24"/>
        </w:rPr>
        <w:t>二、落实的政府采购政策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_Toc14416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"_Toc16786" </w:instrText>
      </w:r>
      <w:r>
        <w:fldChar w:fldCharType="separate"/>
      </w:r>
      <w:r>
        <w:rPr>
          <w:rFonts w:hint="eastAsia" w:ascii="仿宋" w:hAnsi="仿宋" w:eastAsia="仿宋" w:cs="仿宋"/>
          <w:sz w:val="24"/>
          <w:szCs w:val="24"/>
        </w:rPr>
        <w:t>三、采购文件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_Toc16786 \h </w:instrText>
      </w:r>
      <w:r>
        <w:rPr>
          <w:rFonts w:hint="eastAsia" w:ascii="仿宋" w:hAnsi="仿宋" w:eastAsia="仿宋" w:cs="仿宋"/>
          <w:sz w:val="24"/>
          <w:szCs w:val="24"/>
        </w:rPr>
        <w:fldChar w:fldCharType="separate"/>
      </w:r>
      <w:r>
        <w:rPr>
          <w:rFonts w:hint="eastAsia" w:ascii="仿宋" w:hAnsi="仿宋" w:eastAsia="仿宋" w:cs="仿宋"/>
          <w:sz w:val="24"/>
          <w:szCs w:val="24"/>
        </w:rPr>
        <w:t>- 31 -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"_Toc27518" </w:instrText>
      </w:r>
      <w:r>
        <w:fldChar w:fldCharType="separate"/>
      </w:r>
      <w:r>
        <w:rPr>
          <w:rFonts w:hint="eastAsia" w:ascii="仿宋" w:hAnsi="仿宋" w:eastAsia="仿宋" w:cs="仿宋"/>
          <w:sz w:val="24"/>
          <w:szCs w:val="24"/>
        </w:rPr>
        <w:t>四、投标文件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_Toc27518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"_Toc1040" </w:instrText>
      </w:r>
      <w:r>
        <w:fldChar w:fldCharType="separate"/>
      </w:r>
      <w:r>
        <w:rPr>
          <w:rFonts w:hint="eastAsia" w:ascii="仿宋" w:hAnsi="仿宋" w:eastAsia="仿宋" w:cs="仿宋"/>
          <w:sz w:val="24"/>
          <w:szCs w:val="24"/>
        </w:rPr>
        <w:t>五、投标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_Toc1040 \h </w:instrText>
      </w:r>
      <w:r>
        <w:rPr>
          <w:rFonts w:hint="eastAsia" w:ascii="仿宋" w:hAnsi="仿宋" w:eastAsia="仿宋" w:cs="仿宋"/>
          <w:sz w:val="24"/>
          <w:szCs w:val="24"/>
        </w:rPr>
        <w:fldChar w:fldCharType="separate"/>
      </w:r>
      <w:r>
        <w:rPr>
          <w:rFonts w:hint="eastAsia" w:ascii="仿宋" w:hAnsi="仿宋" w:eastAsia="仿宋" w:cs="仿宋"/>
          <w:sz w:val="24"/>
          <w:szCs w:val="24"/>
        </w:rPr>
        <w:t>- 37 -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"_Toc264" </w:instrText>
      </w:r>
      <w:r>
        <w:fldChar w:fldCharType="separate"/>
      </w:r>
      <w:r>
        <w:rPr>
          <w:rFonts w:hint="eastAsia" w:ascii="仿宋" w:hAnsi="仿宋" w:eastAsia="仿宋" w:cs="仿宋"/>
          <w:sz w:val="24"/>
          <w:szCs w:val="24"/>
        </w:rPr>
        <w:t>六、开标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 \h </w:instrText>
      </w:r>
      <w:r>
        <w:rPr>
          <w:rFonts w:hint="eastAsia" w:ascii="仿宋" w:hAnsi="仿宋" w:eastAsia="仿宋" w:cs="仿宋"/>
          <w:sz w:val="24"/>
          <w:szCs w:val="24"/>
        </w:rPr>
        <w:fldChar w:fldCharType="separate"/>
      </w:r>
      <w:r>
        <w:rPr>
          <w:rFonts w:hint="eastAsia" w:ascii="仿宋" w:hAnsi="仿宋" w:eastAsia="仿宋" w:cs="仿宋"/>
          <w:sz w:val="24"/>
          <w:szCs w:val="24"/>
        </w:rPr>
        <w:t>- 38 -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"_Toc22796" </w:instrText>
      </w:r>
      <w:r>
        <w:fldChar w:fldCharType="separate"/>
      </w:r>
      <w:r>
        <w:rPr>
          <w:rFonts w:hint="eastAsia" w:ascii="仿宋" w:hAnsi="仿宋" w:eastAsia="仿宋" w:cs="仿宋"/>
          <w:sz w:val="24"/>
          <w:szCs w:val="24"/>
        </w:rPr>
        <w:t>七、投标供应商资格审查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_Toc22796 \h </w:instrText>
      </w:r>
      <w:r>
        <w:rPr>
          <w:rFonts w:hint="eastAsia" w:ascii="仿宋" w:hAnsi="仿宋" w:eastAsia="仿宋" w:cs="仿宋"/>
          <w:sz w:val="24"/>
          <w:szCs w:val="24"/>
        </w:rPr>
        <w:fldChar w:fldCharType="separate"/>
      </w:r>
      <w:r>
        <w:rPr>
          <w:rFonts w:hint="eastAsia" w:ascii="仿宋" w:hAnsi="仿宋" w:eastAsia="仿宋" w:cs="仿宋"/>
          <w:sz w:val="24"/>
          <w:szCs w:val="24"/>
        </w:rPr>
        <w:t>- 40 -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"_Toc15210" </w:instrText>
      </w:r>
      <w:r>
        <w:fldChar w:fldCharType="separate"/>
      </w:r>
      <w:r>
        <w:rPr>
          <w:rFonts w:hint="eastAsia" w:ascii="仿宋" w:hAnsi="仿宋" w:eastAsia="仿宋" w:cs="仿宋"/>
          <w:sz w:val="24"/>
          <w:szCs w:val="24"/>
        </w:rPr>
        <w:t>八、评审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_Toc15210 \h </w:instrText>
      </w:r>
      <w:r>
        <w:rPr>
          <w:rFonts w:hint="eastAsia" w:ascii="仿宋" w:hAnsi="仿宋" w:eastAsia="仿宋" w:cs="仿宋"/>
          <w:sz w:val="24"/>
          <w:szCs w:val="24"/>
        </w:rPr>
        <w:fldChar w:fldCharType="separate"/>
      </w:r>
      <w:r>
        <w:rPr>
          <w:rFonts w:hint="eastAsia" w:ascii="仿宋" w:hAnsi="仿宋" w:eastAsia="仿宋" w:cs="仿宋"/>
          <w:sz w:val="24"/>
          <w:szCs w:val="24"/>
        </w:rPr>
        <w:t>- 40 -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"_Toc3964" </w:instrText>
      </w:r>
      <w:r>
        <w:fldChar w:fldCharType="separate"/>
      </w:r>
      <w:r>
        <w:rPr>
          <w:rFonts w:hint="eastAsia" w:ascii="仿宋" w:hAnsi="仿宋" w:eastAsia="仿宋" w:cs="仿宋"/>
          <w:sz w:val="24"/>
          <w:szCs w:val="24"/>
        </w:rPr>
        <w:t>九、采购结果确认与公告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_Toc3964 \h </w:instrText>
      </w:r>
      <w:r>
        <w:rPr>
          <w:rFonts w:hint="eastAsia" w:ascii="仿宋" w:hAnsi="仿宋" w:eastAsia="仿宋" w:cs="仿宋"/>
          <w:sz w:val="24"/>
          <w:szCs w:val="24"/>
        </w:rPr>
        <w:fldChar w:fldCharType="separate"/>
      </w:r>
      <w:r>
        <w:rPr>
          <w:rFonts w:hint="eastAsia" w:ascii="仿宋" w:hAnsi="仿宋" w:eastAsia="仿宋" w:cs="仿宋"/>
          <w:sz w:val="24"/>
          <w:szCs w:val="24"/>
        </w:rPr>
        <w:t>- 42 -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"_Toc12913" </w:instrText>
      </w:r>
      <w:r>
        <w:fldChar w:fldCharType="separate"/>
      </w:r>
      <w:r>
        <w:rPr>
          <w:rFonts w:hint="eastAsia" w:ascii="仿宋" w:hAnsi="仿宋" w:eastAsia="仿宋" w:cs="仿宋"/>
          <w:sz w:val="24"/>
          <w:szCs w:val="24"/>
        </w:rPr>
        <w:t>十、采购代理服务费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_Toc12913 \h </w:instrText>
      </w:r>
      <w:r>
        <w:rPr>
          <w:rFonts w:hint="eastAsia" w:ascii="仿宋" w:hAnsi="仿宋" w:eastAsia="仿宋" w:cs="仿宋"/>
          <w:sz w:val="24"/>
          <w:szCs w:val="24"/>
        </w:rPr>
        <w:fldChar w:fldCharType="separate"/>
      </w:r>
      <w:r>
        <w:rPr>
          <w:rFonts w:hint="eastAsia" w:ascii="仿宋" w:hAnsi="仿宋" w:eastAsia="仿宋" w:cs="仿宋"/>
          <w:sz w:val="24"/>
          <w:szCs w:val="24"/>
        </w:rPr>
        <w:t>- 43 -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"_Toc31234" </w:instrText>
      </w:r>
      <w:r>
        <w:fldChar w:fldCharType="separate"/>
      </w:r>
      <w:r>
        <w:rPr>
          <w:rFonts w:hint="eastAsia" w:ascii="仿宋" w:hAnsi="仿宋" w:eastAsia="仿宋" w:cs="仿宋"/>
          <w:sz w:val="24"/>
          <w:szCs w:val="24"/>
        </w:rPr>
        <w:t>十一、合同签订和履约担保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_Toc31234 \h </w:instrText>
      </w:r>
      <w:r>
        <w:rPr>
          <w:rFonts w:hint="eastAsia" w:ascii="仿宋" w:hAnsi="仿宋" w:eastAsia="仿宋" w:cs="仿宋"/>
          <w:sz w:val="24"/>
          <w:szCs w:val="24"/>
        </w:rPr>
        <w:fldChar w:fldCharType="separate"/>
      </w:r>
      <w:r>
        <w:rPr>
          <w:rFonts w:hint="eastAsia" w:ascii="仿宋" w:hAnsi="仿宋" w:eastAsia="仿宋" w:cs="仿宋"/>
          <w:sz w:val="24"/>
          <w:szCs w:val="24"/>
        </w:rPr>
        <w:t>- 43 -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"_Toc10287" </w:instrText>
      </w:r>
      <w:r>
        <w:fldChar w:fldCharType="separate"/>
      </w:r>
      <w:r>
        <w:rPr>
          <w:rFonts w:hint="eastAsia" w:ascii="仿宋" w:hAnsi="仿宋" w:eastAsia="仿宋" w:cs="仿宋"/>
          <w:sz w:val="24"/>
          <w:szCs w:val="24"/>
        </w:rPr>
        <w:t>十二、其他事项说明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_Toc10287 \h </w:instrText>
      </w:r>
      <w:r>
        <w:rPr>
          <w:rFonts w:hint="eastAsia" w:ascii="仿宋" w:hAnsi="仿宋" w:eastAsia="仿宋" w:cs="仿宋"/>
          <w:sz w:val="24"/>
          <w:szCs w:val="24"/>
        </w:rPr>
        <w:fldChar w:fldCharType="separate"/>
      </w:r>
      <w:r>
        <w:rPr>
          <w:rFonts w:hint="eastAsia" w:ascii="仿宋" w:hAnsi="仿宋" w:eastAsia="仿宋" w:cs="仿宋"/>
          <w:sz w:val="24"/>
          <w:szCs w:val="24"/>
        </w:rPr>
        <w:t>- 44 -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1"/>
        <w:tabs>
          <w:tab w:val="right" w:leader="dot" w:pos="8930"/>
        </w:tabs>
        <w:rPr>
          <w:rFonts w:ascii="仿宋" w:hAnsi="仿宋" w:eastAsia="仿宋" w:cs="仿宋"/>
          <w:sz w:val="24"/>
          <w:szCs w:val="24"/>
        </w:rPr>
      </w:pPr>
      <w:r>
        <w:fldChar w:fldCharType="begin"/>
      </w:r>
      <w:r>
        <w:instrText xml:space="preserve"> HYPERLINK \l "_Toc3190" </w:instrText>
      </w:r>
      <w:r>
        <w:fldChar w:fldCharType="separate"/>
      </w:r>
      <w:r>
        <w:rPr>
          <w:rFonts w:hint="eastAsia" w:ascii="仿宋" w:hAnsi="仿宋" w:eastAsia="仿宋" w:cs="仿宋"/>
          <w:sz w:val="24"/>
          <w:szCs w:val="24"/>
        </w:rPr>
        <w:t>第四章 评审方法和标准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_Toc3190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"_Toc23271" </w:instrText>
      </w:r>
      <w:r>
        <w:fldChar w:fldCharType="separate"/>
      </w:r>
      <w:r>
        <w:rPr>
          <w:rFonts w:hint="eastAsia" w:ascii="仿宋" w:hAnsi="仿宋" w:eastAsia="仿宋" w:cs="仿宋"/>
          <w:sz w:val="24"/>
          <w:szCs w:val="24"/>
        </w:rPr>
        <w:t>一、评审方法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_Toc23271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"_Toc26291" </w:instrText>
      </w:r>
      <w:r>
        <w:fldChar w:fldCharType="separate"/>
      </w:r>
      <w:r>
        <w:rPr>
          <w:rFonts w:hint="eastAsia" w:ascii="仿宋" w:hAnsi="仿宋" w:eastAsia="仿宋" w:cs="仿宋"/>
          <w:sz w:val="24"/>
          <w:szCs w:val="24"/>
        </w:rPr>
        <w:t>二、评审流程及内容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_Toc26291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"_Toc25377" </w:instrText>
      </w:r>
      <w:r>
        <w:fldChar w:fldCharType="separate"/>
      </w:r>
      <w:r>
        <w:rPr>
          <w:rFonts w:hint="eastAsia" w:ascii="仿宋" w:hAnsi="仿宋" w:eastAsia="仿宋" w:cs="仿宋"/>
          <w:sz w:val="24"/>
          <w:szCs w:val="24"/>
        </w:rPr>
        <w:t>三、评分细则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_Toc25377 \h </w:instrText>
      </w:r>
      <w:r>
        <w:rPr>
          <w:rFonts w:hint="eastAsia" w:ascii="仿宋" w:hAnsi="仿宋" w:eastAsia="仿宋" w:cs="仿宋"/>
          <w:sz w:val="24"/>
          <w:szCs w:val="24"/>
        </w:rPr>
        <w:fldChar w:fldCharType="separate"/>
      </w:r>
      <w:r>
        <w:rPr>
          <w:rFonts w:hint="eastAsia" w:ascii="仿宋" w:hAnsi="仿宋" w:eastAsia="仿宋" w:cs="仿宋"/>
          <w:sz w:val="24"/>
          <w:szCs w:val="24"/>
        </w:rPr>
        <w:t>- 51 -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"_Toc16082" </w:instrText>
      </w:r>
      <w:r>
        <w:fldChar w:fldCharType="separate"/>
      </w:r>
      <w:r>
        <w:rPr>
          <w:rFonts w:hint="eastAsia" w:ascii="仿宋" w:hAnsi="仿宋" w:eastAsia="仿宋" w:cs="仿宋"/>
          <w:sz w:val="24"/>
          <w:szCs w:val="24"/>
        </w:rPr>
        <w:t>四、其他评审事项规定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_Toc16082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1"/>
        <w:tabs>
          <w:tab w:val="right" w:leader="dot" w:pos="8930"/>
        </w:tabs>
        <w:rPr>
          <w:rFonts w:ascii="仿宋" w:hAnsi="仿宋" w:eastAsia="仿宋" w:cs="仿宋"/>
          <w:sz w:val="24"/>
          <w:szCs w:val="24"/>
        </w:rPr>
      </w:pPr>
      <w:r>
        <w:fldChar w:fldCharType="begin"/>
      </w:r>
      <w:r>
        <w:instrText xml:space="preserve"> HYPERLINK \l "_Toc26492" </w:instrText>
      </w:r>
      <w:r>
        <w:fldChar w:fldCharType="separate"/>
      </w:r>
      <w:r>
        <w:rPr>
          <w:rFonts w:hint="eastAsia" w:ascii="仿宋" w:hAnsi="仿宋" w:eastAsia="仿宋" w:cs="仿宋"/>
          <w:sz w:val="24"/>
          <w:szCs w:val="24"/>
        </w:rPr>
        <w:t>第五章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_Toc26492 \h </w:instrText>
      </w:r>
      <w:r>
        <w:rPr>
          <w:rFonts w:hint="eastAsia" w:ascii="仿宋" w:hAnsi="仿宋" w:eastAsia="仿宋" w:cs="仿宋"/>
          <w:sz w:val="24"/>
          <w:szCs w:val="24"/>
        </w:rPr>
        <w:fldChar w:fldCharType="separate"/>
      </w:r>
      <w:r>
        <w:rPr>
          <w:rFonts w:hint="eastAsia" w:ascii="仿宋" w:hAnsi="仿宋" w:eastAsia="仿宋" w:cs="仿宋"/>
          <w:sz w:val="24"/>
          <w:szCs w:val="24"/>
        </w:rPr>
        <w:t>- 56 -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1"/>
        <w:tabs>
          <w:tab w:val="right" w:leader="dot" w:pos="8930"/>
        </w:tabs>
        <w:rPr>
          <w:rFonts w:ascii="仿宋" w:hAnsi="仿宋" w:eastAsia="仿宋" w:cs="仿宋"/>
          <w:sz w:val="24"/>
          <w:szCs w:val="24"/>
        </w:rPr>
      </w:pPr>
      <w:r>
        <w:fldChar w:fldCharType="begin"/>
      </w:r>
      <w:r>
        <w:instrText xml:space="preserve"> HYPERLINK \l "_Toc28219" </w:instrText>
      </w:r>
      <w:r>
        <w:fldChar w:fldCharType="separate"/>
      </w:r>
      <w:r>
        <w:rPr>
          <w:rFonts w:hint="eastAsia" w:ascii="仿宋" w:hAnsi="仿宋" w:eastAsia="仿宋" w:cs="仿宋"/>
          <w:sz w:val="24"/>
          <w:szCs w:val="24"/>
        </w:rPr>
        <w:t>第六章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_Toc28219 \h </w:instrText>
      </w:r>
      <w:r>
        <w:rPr>
          <w:rFonts w:hint="eastAsia" w:ascii="仿宋" w:hAnsi="仿宋" w:eastAsia="仿宋" w:cs="仿宋"/>
          <w:sz w:val="24"/>
          <w:szCs w:val="24"/>
        </w:rPr>
        <w:fldChar w:fldCharType="separate"/>
      </w:r>
      <w:r>
        <w:rPr>
          <w:rFonts w:hint="eastAsia" w:ascii="仿宋" w:hAnsi="仿宋" w:eastAsia="仿宋" w:cs="仿宋"/>
          <w:sz w:val="24"/>
          <w:szCs w:val="24"/>
        </w:rPr>
        <w:t>- 61 -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"_Toc31740" </w:instrText>
      </w:r>
      <w:r>
        <w:fldChar w:fldCharType="separate"/>
      </w:r>
      <w:r>
        <w:rPr>
          <w:rFonts w:hint="eastAsia" w:ascii="仿宋" w:hAnsi="仿宋" w:eastAsia="仿宋" w:cs="仿宋"/>
          <w:sz w:val="24"/>
          <w:szCs w:val="24"/>
        </w:rPr>
        <w:t>第一部分 “资格文件”格式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_Toc31740 \h </w:instrText>
      </w:r>
      <w:r>
        <w:rPr>
          <w:rFonts w:hint="eastAsia" w:ascii="仿宋" w:hAnsi="仿宋" w:eastAsia="仿宋" w:cs="仿宋"/>
          <w:sz w:val="24"/>
          <w:szCs w:val="24"/>
        </w:rPr>
        <w:fldChar w:fldCharType="separate"/>
      </w:r>
      <w:r>
        <w:rPr>
          <w:rFonts w:hint="eastAsia" w:ascii="仿宋" w:hAnsi="仿宋" w:eastAsia="仿宋" w:cs="仿宋"/>
          <w:sz w:val="24"/>
          <w:szCs w:val="24"/>
        </w:rPr>
        <w:t>- 62 -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"_Toc16429" </w:instrText>
      </w:r>
      <w:r>
        <w:fldChar w:fldCharType="separate"/>
      </w:r>
      <w:r>
        <w:rPr>
          <w:rFonts w:hint="eastAsia" w:ascii="仿宋" w:hAnsi="仿宋" w:eastAsia="仿宋" w:cs="仿宋"/>
          <w:sz w:val="24"/>
          <w:szCs w:val="24"/>
        </w:rPr>
        <w:t>第二部分 “商务技术文件”格式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_Toc16429 \h </w:instrText>
      </w:r>
      <w:r>
        <w:rPr>
          <w:rFonts w:hint="eastAsia" w:ascii="仿宋" w:hAnsi="仿宋" w:eastAsia="仿宋" w:cs="仿宋"/>
          <w:sz w:val="24"/>
          <w:szCs w:val="24"/>
        </w:rPr>
        <w:fldChar w:fldCharType="separate"/>
      </w:r>
      <w:r>
        <w:rPr>
          <w:rFonts w:hint="eastAsia" w:ascii="仿宋" w:hAnsi="仿宋" w:eastAsia="仿宋" w:cs="仿宋"/>
          <w:sz w:val="24"/>
          <w:szCs w:val="24"/>
        </w:rPr>
        <w:t>- 71 -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8"/>
        <w:tabs>
          <w:tab w:val="right" w:leader="dot" w:pos="8930"/>
          <w:tab w:val="clear" w:pos="8931"/>
        </w:tabs>
        <w:rPr>
          <w:rFonts w:ascii="仿宋" w:hAnsi="仿宋" w:eastAsia="仿宋" w:cs="仿宋"/>
          <w:sz w:val="24"/>
          <w:szCs w:val="24"/>
        </w:rPr>
      </w:pPr>
      <w:r>
        <w:fldChar w:fldCharType="begin"/>
      </w:r>
      <w:r>
        <w:instrText xml:space="preserve"> HYPERLINK \l "_Toc28906" </w:instrText>
      </w:r>
      <w:r>
        <w:fldChar w:fldCharType="separate"/>
      </w:r>
      <w:r>
        <w:rPr>
          <w:rFonts w:hint="eastAsia" w:ascii="仿宋" w:hAnsi="仿宋" w:eastAsia="仿宋" w:cs="仿宋"/>
          <w:sz w:val="24"/>
          <w:szCs w:val="24"/>
        </w:rPr>
        <w:t>第三部分 “报价文件”格式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_Toc28906 \h </w:instrText>
      </w:r>
      <w:r>
        <w:rPr>
          <w:rFonts w:hint="eastAsia" w:ascii="仿宋" w:hAnsi="仿宋" w:eastAsia="仿宋" w:cs="仿宋"/>
          <w:sz w:val="24"/>
          <w:szCs w:val="24"/>
        </w:rPr>
        <w:fldChar w:fldCharType="separate"/>
      </w:r>
      <w:r>
        <w:rPr>
          <w:rFonts w:hint="eastAsia" w:ascii="仿宋" w:hAnsi="仿宋" w:eastAsia="仿宋" w:cs="仿宋"/>
          <w:sz w:val="24"/>
          <w:szCs w:val="24"/>
        </w:rPr>
        <w:t>- 83 -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1"/>
        <w:tabs>
          <w:tab w:val="right" w:leader="dot" w:pos="8930"/>
        </w:tabs>
        <w:rPr>
          <w:rFonts w:ascii="仿宋" w:hAnsi="仿宋" w:eastAsia="仿宋" w:cs="仿宋"/>
          <w:sz w:val="24"/>
          <w:szCs w:val="24"/>
        </w:rPr>
      </w:pPr>
      <w:r>
        <w:fldChar w:fldCharType="begin"/>
      </w:r>
      <w:r>
        <w:instrText xml:space="preserve"> HYPERLINK \l "_Toc21942" </w:instrText>
      </w:r>
      <w:r>
        <w:fldChar w:fldCharType="separate"/>
      </w:r>
      <w:r>
        <w:rPr>
          <w:rFonts w:hint="eastAsia" w:ascii="仿宋" w:hAnsi="仿宋" w:eastAsia="仿宋" w:cs="仿宋"/>
          <w:sz w:val="24"/>
          <w:szCs w:val="24"/>
        </w:rPr>
        <w:t>第七章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_Toc21942 \h </w:instrText>
      </w:r>
      <w:r>
        <w:rPr>
          <w:rFonts w:hint="eastAsia" w:ascii="仿宋" w:hAnsi="仿宋" w:eastAsia="仿宋" w:cs="仿宋"/>
          <w:sz w:val="24"/>
          <w:szCs w:val="24"/>
        </w:rPr>
        <w:fldChar w:fldCharType="separate"/>
      </w:r>
      <w:r>
        <w:rPr>
          <w:rFonts w:hint="eastAsia" w:ascii="仿宋" w:hAnsi="仿宋" w:eastAsia="仿宋" w:cs="仿宋"/>
          <w:sz w:val="24"/>
          <w:szCs w:val="24"/>
        </w:rPr>
        <w:t>- 90 -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tabs>
          <w:tab w:val="right" w:leader="dot" w:pos="8920"/>
        </w:tabs>
        <w:spacing w:line="276" w:lineRule="auto"/>
        <w:ind w:firstLine="422" w:firstLineChars="176"/>
        <w:rPr>
          <w:color w:val="000000" w:themeColor="text1"/>
          <w:kern w:val="0"/>
          <w:sz w:val="24"/>
          <w14:textFill>
            <w14:solidFill>
              <w14:schemeClr w14:val="tx1"/>
            </w14:solidFill>
          </w14:textFill>
        </w:rPr>
      </w:pPr>
      <w:r>
        <w:rPr>
          <w:rFonts w:hint="eastAsia" w:ascii="仿宋" w:hAnsi="仿宋" w:eastAsia="仿宋" w:cs="仿宋"/>
          <w:bCs/>
          <w:caps/>
          <w:color w:val="000000" w:themeColor="text1"/>
          <w:sz w:val="24"/>
          <w14:textFill>
            <w14:solidFill>
              <w14:schemeClr w14:val="tx1"/>
            </w14:solidFill>
          </w14:textFill>
        </w:rPr>
        <w:fldChar w:fldCharType="end"/>
      </w:r>
    </w:p>
    <w:p>
      <w:pPr>
        <w:rPr>
          <w:color w:val="000000" w:themeColor="text1"/>
          <w:kern w:val="0"/>
          <w:sz w:val="24"/>
          <w14:textFill>
            <w14:solidFill>
              <w14:schemeClr w14:val="tx1"/>
            </w14:solidFill>
          </w14:textFill>
        </w:rPr>
        <w:sectPr>
          <w:headerReference r:id="rId6" w:type="first"/>
          <w:footerReference r:id="rId8" w:type="first"/>
          <w:headerReference r:id="rId4" w:type="default"/>
          <w:footerReference r:id="rId7" w:type="default"/>
          <w:headerReference r:id="rId5" w:type="even"/>
          <w:pgSz w:w="11906" w:h="16838"/>
          <w:pgMar w:top="1670" w:right="1416" w:bottom="567" w:left="1560" w:header="709" w:footer="142" w:gutter="0"/>
          <w:cols w:space="720" w:num="1"/>
          <w:docGrid w:type="lines" w:linePitch="312" w:charSpace="0"/>
        </w:sectPr>
      </w:pPr>
    </w:p>
    <w:p>
      <w:pPr>
        <w:pStyle w:val="54"/>
        <w:rPr>
          <w:color w:val="000000" w:themeColor="text1"/>
          <w14:textFill>
            <w14:solidFill>
              <w14:schemeClr w14:val="tx1"/>
            </w14:solidFill>
          </w14:textFill>
        </w:rPr>
      </w:pPr>
      <w:bookmarkStart w:id="0" w:name="_Toc12003"/>
      <w:bookmarkStart w:id="1" w:name="_Toc21235"/>
      <w:bookmarkStart w:id="2" w:name="_Toc1922"/>
      <w:bookmarkStart w:id="3" w:name="_Toc424164130"/>
      <w:bookmarkStart w:id="4" w:name="_Toc440162775"/>
      <w:bookmarkStart w:id="5" w:name="_Toc22768"/>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公开招标采购公告</w:t>
      </w:r>
      <w:bookmarkEnd w:id="0"/>
      <w:bookmarkEnd w:id="1"/>
      <w:bookmarkEnd w:id="2"/>
      <w:bookmarkEnd w:id="3"/>
      <w:bookmarkEnd w:id="4"/>
      <w:bookmarkEnd w:id="5"/>
    </w:p>
    <w:tbl>
      <w:tblPr>
        <w:tblStyle w:val="58"/>
        <w:tblW w:w="9204" w:type="dxa"/>
        <w:tblInd w:w="-4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108" w:type="dxa"/>
          <w:bottom w:w="0" w:type="dxa"/>
          <w:right w:w="108" w:type="dxa"/>
        </w:tblCellMar>
      </w:tblPr>
      <w:tblGrid>
        <w:gridCol w:w="920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108" w:type="dxa"/>
            <w:bottom w:w="0" w:type="dxa"/>
            <w:right w:w="108" w:type="dxa"/>
          </w:tblCellMar>
        </w:tblPrEx>
        <w:tc>
          <w:tcPr>
            <w:tcW w:w="9204" w:type="dxa"/>
          </w:tcPr>
          <w:p>
            <w:pPr>
              <w:spacing w:line="360" w:lineRule="auto"/>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项目概况</w:t>
            </w:r>
          </w:p>
          <w:p>
            <w:pPr>
              <w:spacing w:line="360" w:lineRule="auto"/>
              <w:ind w:firstLine="569" w:firstLineChars="236"/>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u w:val="single"/>
                <w14:textFill>
                  <w14:solidFill>
                    <w14:schemeClr w14:val="tx1"/>
                  </w14:solidFill>
                </w14:textFill>
              </w:rPr>
              <w:t>浙江省城市运行安全数字化管理系统（被整合系统）运维项目</w:t>
            </w:r>
            <w:r>
              <w:rPr>
                <w:rFonts w:hint="eastAsia" w:ascii="仿宋" w:hAnsi="仿宋" w:eastAsia="仿宋" w:cs="Arial"/>
                <w:color w:val="000000" w:themeColor="text1"/>
                <w:sz w:val="24"/>
                <w14:textFill>
                  <w14:solidFill>
                    <w14:schemeClr w14:val="tx1"/>
                  </w14:solidFill>
                </w14:textFill>
              </w:rPr>
              <w:t>招标项目的潜在投标人应在</w:t>
            </w:r>
            <w:r>
              <w:rPr>
                <w:rFonts w:hint="eastAsia" w:ascii="仿宋" w:hAnsi="仿宋" w:eastAsia="仿宋" w:cs="Arial"/>
                <w:b/>
                <w:color w:val="000000" w:themeColor="text1"/>
                <w:sz w:val="24"/>
                <w:u w:val="single"/>
                <w14:textFill>
                  <w14:solidFill>
                    <w14:schemeClr w14:val="tx1"/>
                  </w14:solidFill>
                </w14:textFill>
              </w:rPr>
              <w:t>政采云平台</w:t>
            </w:r>
            <w:r>
              <w:rPr>
                <w:rFonts w:hint="eastAsia" w:ascii="仿宋" w:hAnsi="仿宋" w:eastAsia="仿宋" w:cs="Arial"/>
                <w:b/>
                <w:color w:val="000000" w:themeColor="text1"/>
                <w:sz w:val="24"/>
                <w:u w:val="single"/>
                <w:lang w:val="en-US" w:eastAsia="zh-CN"/>
                <w14:textFill>
                  <w14:solidFill>
                    <w14:schemeClr w14:val="tx1"/>
                  </w14:solidFill>
                </w14:textFill>
              </w:rPr>
              <w:t>线上</w:t>
            </w:r>
            <w:r>
              <w:rPr>
                <w:rFonts w:hint="eastAsia" w:ascii="仿宋" w:hAnsi="仿宋" w:eastAsia="仿宋" w:cs="Arial"/>
                <w:color w:val="000000" w:themeColor="text1"/>
                <w:sz w:val="24"/>
                <w14:textFill>
                  <w14:solidFill>
                    <w14:schemeClr w14:val="tx1"/>
                  </w14:solidFill>
                </w14:textFill>
              </w:rPr>
              <w:t>获取（下载）招标文件，并于</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0日1</w:t>
            </w:r>
            <w:r>
              <w:rPr>
                <w:rFonts w:hint="eastAsia" w:ascii="仿宋" w:hAnsi="仿宋" w:eastAsia="仿宋" w:cs="Arial"/>
                <w:b/>
                <w:color w:val="000000" w:themeColor="text1"/>
                <w:sz w:val="24"/>
                <w:u w:val="single"/>
                <w:lang w:val="en-US" w:eastAsia="zh-CN"/>
                <w14:textFill>
                  <w14:solidFill>
                    <w14:schemeClr w14:val="tx1"/>
                  </w14:solidFill>
                </w14:textFill>
              </w:rPr>
              <w:t>5</w:t>
            </w:r>
            <w:r>
              <w:rPr>
                <w:rFonts w:hint="eastAsia" w:ascii="仿宋" w:hAnsi="仿宋" w:eastAsia="仿宋" w:cs="Arial"/>
                <w:b/>
                <w:color w:val="000000" w:themeColor="text1"/>
                <w:sz w:val="24"/>
                <w:u w:val="single"/>
                <w14:textFill>
                  <w14:solidFill>
                    <w14:schemeClr w14:val="tx1"/>
                  </w14:solidFill>
                </w14:textFill>
              </w:rPr>
              <w:t>:30</w:t>
            </w:r>
            <w:r>
              <w:rPr>
                <w:rFonts w:hint="eastAsia" w:ascii="仿宋" w:hAnsi="仿宋" w:eastAsia="仿宋" w:cs="Arial"/>
                <w:color w:val="000000" w:themeColor="text1"/>
                <w:sz w:val="24"/>
                <w14:textFill>
                  <w14:solidFill>
                    <w14:schemeClr w14:val="tx1"/>
                  </w14:solidFill>
                </w14:textFill>
              </w:rPr>
              <w:t>（北京时间）前递交（上传）投标文件。</w:t>
            </w:r>
          </w:p>
        </w:tc>
      </w:tr>
    </w:tbl>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一、项目基本情况</w:t>
      </w:r>
    </w:p>
    <w:p>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color w:val="000000" w:themeColor="text1"/>
          <w:sz w:val="24"/>
          <w:lang w:eastAsia="zh-CN"/>
          <w14:textFill>
            <w14:solidFill>
              <w14:schemeClr w14:val="tx1"/>
            </w14:solidFill>
          </w14:textFill>
        </w:rPr>
        <w:t>CTZB-2024080141</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项目名称：</w:t>
      </w:r>
      <w:r>
        <w:rPr>
          <w:rFonts w:hint="eastAsia" w:ascii="仿宋" w:hAnsi="仿宋" w:eastAsia="仿宋" w:cs="Arial"/>
          <w:color w:val="000000" w:themeColor="text1"/>
          <w:sz w:val="24"/>
          <w14:textFill>
            <w14:solidFill>
              <w14:schemeClr w14:val="tx1"/>
            </w14:solidFill>
          </w14:textFill>
        </w:rPr>
        <w:t>浙江省城市运行安全数字化管理系统（被整合系统）运维项目</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预算金额（元）：</w:t>
      </w:r>
      <w:r>
        <w:rPr>
          <w:rFonts w:hint="eastAsia" w:ascii="仿宋" w:hAnsi="仿宋" w:eastAsia="仿宋" w:cs="Arial"/>
          <w:color w:val="000000" w:themeColor="text1"/>
          <w:sz w:val="24"/>
          <w14:textFill>
            <w14:solidFill>
              <w14:schemeClr w14:val="tx1"/>
            </w14:solidFill>
          </w14:textFill>
        </w:rPr>
        <w:t>360000</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最高限价（元）：</w:t>
      </w:r>
      <w:r>
        <w:rPr>
          <w:rFonts w:hint="eastAsia" w:ascii="仿宋" w:hAnsi="仿宋" w:eastAsia="仿宋" w:cs="Arial"/>
          <w:color w:val="000000" w:themeColor="text1"/>
          <w:sz w:val="24"/>
          <w14:textFill>
            <w14:solidFill>
              <w14:schemeClr w14:val="tx1"/>
            </w14:solidFill>
          </w14:textFill>
        </w:rPr>
        <w:t>360000</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采购需求：</w:t>
      </w:r>
    </w:p>
    <w:p>
      <w:pPr>
        <w:pStyle w:val="24"/>
        <w:rPr>
          <w:rFonts w:ascii="仿宋" w:hAnsi="仿宋" w:eastAsia="仿宋" w:cs="仿宋"/>
          <w:color w:val="000000"/>
          <w:sz w:val="21"/>
          <w:szCs w:val="21"/>
        </w:rPr>
      </w:pPr>
    </w:p>
    <w:p>
      <w:pPr>
        <w:spacing w:line="360" w:lineRule="auto"/>
        <w:ind w:firstLine="720" w:firstLineChars="300"/>
        <w:rPr>
          <w:rFonts w:ascii="仿宋" w:hAnsi="仿宋" w:eastAsia="仿宋"/>
          <w:sz w:val="24"/>
        </w:rPr>
      </w:pPr>
      <w:r>
        <w:rPr>
          <w:rFonts w:hint="eastAsia" w:ascii="仿宋" w:hAnsi="仿宋" w:eastAsia="仿宋"/>
          <w:sz w:val="24"/>
        </w:rPr>
        <w:t>标项名称: </w:t>
      </w:r>
      <w:r>
        <w:rPr>
          <w:rFonts w:hint="eastAsia" w:ascii="仿宋" w:hAnsi="仿宋" w:eastAsia="仿宋" w:cs="Arial"/>
          <w:color w:val="000000" w:themeColor="text1"/>
          <w:sz w:val="24"/>
          <w14:textFill>
            <w14:solidFill>
              <w14:schemeClr w14:val="tx1"/>
            </w14:solidFill>
          </w14:textFill>
        </w:rPr>
        <w:t>浙江省城市运行安全数字化管理系统（被整合系统）运维项目</w:t>
      </w:r>
    </w:p>
    <w:p>
      <w:pPr>
        <w:spacing w:line="360" w:lineRule="auto"/>
        <w:ind w:firstLine="720" w:firstLineChars="300"/>
        <w:rPr>
          <w:rFonts w:ascii="仿宋" w:hAnsi="仿宋" w:eastAsia="仿宋"/>
          <w:sz w:val="24"/>
        </w:rPr>
      </w:pPr>
      <w:r>
        <w:rPr>
          <w:rFonts w:hint="eastAsia" w:ascii="仿宋" w:hAnsi="仿宋" w:eastAsia="仿宋"/>
          <w:sz w:val="24"/>
        </w:rPr>
        <w:t>数量:1项</w:t>
      </w:r>
    </w:p>
    <w:p>
      <w:pPr>
        <w:spacing w:line="360" w:lineRule="auto"/>
        <w:ind w:firstLine="720" w:firstLineChars="300"/>
        <w:rPr>
          <w:rFonts w:ascii="仿宋" w:hAnsi="仿宋" w:eastAsia="仿宋"/>
          <w:sz w:val="24"/>
        </w:rPr>
      </w:pPr>
      <w:r>
        <w:rPr>
          <w:rFonts w:hint="eastAsia" w:ascii="仿宋" w:hAnsi="仿宋" w:eastAsia="仿宋"/>
          <w:sz w:val="24"/>
        </w:rPr>
        <w:t>预算金额（元）:</w:t>
      </w:r>
      <w:r>
        <w:rPr>
          <w:rFonts w:hint="eastAsia" w:ascii="仿宋" w:hAnsi="仿宋" w:eastAsia="仿宋" w:cs="Arial"/>
          <w:color w:val="000000" w:themeColor="text1"/>
          <w:sz w:val="24"/>
          <w14:textFill>
            <w14:solidFill>
              <w14:schemeClr w14:val="tx1"/>
            </w14:solidFill>
          </w14:textFill>
        </w:rPr>
        <w:t>360000</w:t>
      </w:r>
    </w:p>
    <w:p>
      <w:pPr>
        <w:spacing w:line="360" w:lineRule="auto"/>
        <w:ind w:firstLine="720" w:firstLineChars="300"/>
        <w:rPr>
          <w:rFonts w:ascii="仿宋" w:hAnsi="仿宋" w:eastAsia="仿宋"/>
          <w:sz w:val="24"/>
        </w:rPr>
      </w:pPr>
      <w:r>
        <w:rPr>
          <w:rFonts w:hint="eastAsia" w:ascii="仿宋" w:hAnsi="仿宋" w:eastAsia="仿宋"/>
          <w:sz w:val="24"/>
        </w:rPr>
        <w:t>简要规格描述或项目基本概况介绍、用途</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sz w:val="24"/>
        </w:rPr>
        <w:t>做好系统日常运维保障工作，包括系统功能模块的迭代完善和BUG修复，异常数据的处理，提供技术咨询指导、安全保障和应急响应等。供应商可点击本公告下方“浏览采购文件”查看采购需求。 </w:t>
      </w:r>
    </w:p>
    <w:p>
      <w:pPr>
        <w:spacing w:line="360" w:lineRule="auto"/>
        <w:ind w:firstLine="720" w:firstLineChars="300"/>
        <w:rPr>
          <w:rFonts w:ascii="仿宋" w:hAnsi="仿宋" w:eastAsia="仿宋"/>
          <w:sz w:val="24"/>
        </w:rPr>
      </w:pPr>
      <w:r>
        <w:rPr>
          <w:rFonts w:hint="eastAsia" w:ascii="仿宋" w:hAnsi="仿宋" w:eastAsia="仿宋"/>
          <w:sz w:val="24"/>
        </w:rPr>
        <w:t>备注：/</w:t>
      </w:r>
    </w:p>
    <w:p>
      <w:pPr>
        <w:pStyle w:val="24"/>
        <w:rPr>
          <w:rFonts w:ascii="仿宋" w:hAnsi="仿宋" w:eastAsia="仿宋" w:cs="仿宋"/>
          <w:color w:val="000000"/>
          <w:sz w:val="21"/>
          <w:szCs w:val="21"/>
        </w:rPr>
      </w:pP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sz w:val="24"/>
        </w:rPr>
        <w:t>详见第二章 招标采购需求</w:t>
      </w:r>
    </w:p>
    <w:p>
      <w:pPr>
        <w:spacing w:line="360" w:lineRule="auto"/>
        <w:ind w:firstLine="566" w:firstLineChars="235"/>
        <w:rPr>
          <w:rFonts w:ascii="仿宋" w:hAnsi="仿宋" w:eastAsia="仿宋" w:cs="Arial"/>
          <w:b/>
          <w:i/>
          <w:iCs/>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本项目（是）接受联合体投标</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二、申请人的资格要求</w:t>
      </w:r>
    </w:p>
    <w:p>
      <w:pPr>
        <w:spacing w:line="360" w:lineRule="auto"/>
        <w:ind w:firstLine="566" w:firstLineChars="235"/>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1、满足</w:t>
      </w:r>
      <w:r>
        <w:rPr>
          <w:rFonts w:ascii="仿宋" w:hAnsi="仿宋" w:eastAsia="仿宋" w:cs="Arial"/>
          <w:b/>
          <w:color w:val="000000" w:themeColor="text1"/>
          <w:sz w:val="24"/>
          <w14:textFill>
            <w14:solidFill>
              <w14:schemeClr w14:val="tx1"/>
            </w14:solidFill>
          </w14:textFill>
        </w:rPr>
        <w:t>《中华人民共和国政府采购法》第二十二条</w:t>
      </w:r>
      <w:r>
        <w:rPr>
          <w:rFonts w:hint="eastAsia" w:ascii="仿宋" w:hAnsi="仿宋" w:eastAsia="仿宋" w:cs="Arial"/>
          <w:b/>
          <w:color w:val="000000" w:themeColor="text1"/>
          <w:sz w:val="24"/>
          <w14:textFill>
            <w14:solidFill>
              <w14:schemeClr w14:val="tx1"/>
            </w14:solidFill>
          </w14:textFill>
        </w:rPr>
        <w:t>的规定；未被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566" w:firstLineChars="23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2、落实政府采购政策需满足的资格要求：</w:t>
      </w:r>
      <w:r>
        <w:rPr>
          <w:rFonts w:hint="eastAsia" w:ascii="仿宋" w:hAnsi="仿宋" w:eastAsia="仿宋" w:cs="Arial"/>
          <w:b/>
          <w:bCs/>
          <w:color w:val="000000" w:themeColor="text1"/>
          <w:sz w:val="24"/>
          <w14:textFill>
            <w14:solidFill>
              <w14:schemeClr w14:val="tx1"/>
            </w14:solidFill>
          </w14:textFill>
        </w:rPr>
        <w:t>无</w:t>
      </w:r>
    </w:p>
    <w:p>
      <w:pPr>
        <w:spacing w:line="360" w:lineRule="auto"/>
        <w:ind w:firstLine="566"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3、本项目的特定资格要求：无</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、获取招标文件</w:t>
      </w:r>
    </w:p>
    <w:p>
      <w:pPr>
        <w:spacing w:line="360" w:lineRule="auto"/>
        <w:ind w:firstLine="567"/>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至</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0日</w:t>
      </w:r>
      <w:r>
        <w:rPr>
          <w:rFonts w:hint="eastAsia" w:ascii="仿宋" w:hAnsi="仿宋" w:eastAsia="仿宋" w:cs="Arial"/>
          <w:color w:val="000000" w:themeColor="text1"/>
          <w:sz w:val="24"/>
          <w14:textFill>
            <w14:solidFill>
              <w14:schemeClr w14:val="tx1"/>
            </w14:solidFill>
          </w14:textFill>
        </w:rPr>
        <w:t>，每天上午00:00至12:00，下午12:00至23:59</w:t>
      </w:r>
      <w:r>
        <w:rPr>
          <w:rFonts w:ascii="仿宋" w:hAnsi="仿宋" w:eastAsia="仿宋"/>
          <w:color w:val="000000" w:themeColor="text1"/>
          <w:sz w:val="24"/>
          <w14:textFill>
            <w14:solidFill>
              <w14:schemeClr w14:val="tx1"/>
            </w14:solidFill>
          </w14:textFill>
        </w:rPr>
        <w:t>（北京时间，线上获取法定节假日均可，线下获取文件法定节假日除外）</w:t>
      </w:r>
      <w:r>
        <w:rPr>
          <w:rFonts w:hint="eastAsia" w:ascii="仿宋" w:hAnsi="仿宋" w:eastAsia="仿宋"/>
          <w:color w:val="000000" w:themeColor="text1"/>
          <w:sz w:val="24"/>
          <w14:textFill>
            <w14:solidFill>
              <w14:schemeClr w14:val="tx1"/>
            </w14:solidFill>
          </w14:textFill>
        </w:rPr>
        <w:t>。</w:t>
      </w:r>
    </w:p>
    <w:p>
      <w:pPr>
        <w:spacing w:line="360" w:lineRule="auto"/>
        <w:ind w:firstLine="567"/>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b/>
          <w:color w:val="000000" w:themeColor="text1"/>
          <w:sz w:val="24"/>
          <w:u w:val="single"/>
          <w14:textFill>
            <w14:solidFill>
              <w14:schemeClr w14:val="tx1"/>
            </w14:solidFill>
          </w14:textFill>
        </w:rPr>
        <w:t>政采云平台线上获取</w:t>
      </w:r>
    </w:p>
    <w:p>
      <w:pPr>
        <w:spacing w:line="360" w:lineRule="auto"/>
        <w:ind w:firstLine="567"/>
        <w:rPr>
          <w:rFonts w:ascii="仿宋" w:hAnsi="仿宋" w:eastAsia="仿宋" w:cs="Arial"/>
          <w:bCs/>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方式：</w:t>
      </w:r>
      <w:r>
        <w:rPr>
          <w:rFonts w:hint="eastAsia" w:ascii="仿宋" w:hAnsi="仿宋" w:eastAsia="仿宋" w:cs="Arial"/>
          <w:bCs/>
          <w:color w:val="000000" w:themeColor="text1"/>
          <w:sz w:val="24"/>
          <w14:textFill>
            <w14:solidFill>
              <w14:schemeClr w14:val="tx1"/>
            </w14:solidFill>
          </w14:textFill>
        </w:rPr>
        <w:t>供应商登录政采云平台https://zfcg.czt.zj.gov.cn/在线申请获取采购文件（进入“项目采购”应用，在获取采购文件菜单中选择项目，申请获取采购文件）</w:t>
      </w:r>
    </w:p>
    <w:p>
      <w:pPr>
        <w:spacing w:line="360" w:lineRule="auto"/>
        <w:ind w:firstLine="567"/>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售价（元）：</w:t>
      </w:r>
      <w:r>
        <w:rPr>
          <w:rFonts w:hint="eastAsia" w:ascii="仿宋" w:hAnsi="仿宋" w:eastAsia="仿宋" w:cs="Arial"/>
          <w:bCs/>
          <w:color w:val="000000" w:themeColor="text1"/>
          <w:sz w:val="24"/>
          <w14:textFill>
            <w14:solidFill>
              <w14:schemeClr w14:val="tx1"/>
            </w14:solidFill>
          </w14:textFill>
        </w:rPr>
        <w:t>0</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提交投标文件截止时间、开标时间和地点</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提交投标文件</w:t>
      </w:r>
      <w:r>
        <w:rPr>
          <w:rFonts w:ascii="仿宋" w:hAnsi="仿宋" w:eastAsia="仿宋" w:cs="Arial"/>
          <w:b/>
          <w:color w:val="000000" w:themeColor="text1"/>
          <w:sz w:val="24"/>
          <w14:textFill>
            <w14:solidFill>
              <w14:schemeClr w14:val="tx1"/>
            </w14:solidFill>
          </w14:textFill>
        </w:rPr>
        <w:t>截止时间：</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0日1</w:t>
      </w:r>
      <w:r>
        <w:rPr>
          <w:rFonts w:hint="eastAsia" w:ascii="仿宋" w:hAnsi="仿宋" w:eastAsia="仿宋" w:cs="Arial"/>
          <w:b/>
          <w:color w:val="000000" w:themeColor="text1"/>
          <w:sz w:val="24"/>
          <w:u w:val="single"/>
          <w:lang w:val="en-US" w:eastAsia="zh-CN"/>
          <w14:textFill>
            <w14:solidFill>
              <w14:schemeClr w14:val="tx1"/>
            </w14:solidFill>
          </w14:textFill>
        </w:rPr>
        <w:t>5</w:t>
      </w:r>
      <w:r>
        <w:rPr>
          <w:rFonts w:hint="eastAsia" w:ascii="仿宋" w:hAnsi="仿宋" w:eastAsia="仿宋" w:cs="Arial"/>
          <w:b/>
          <w:color w:val="000000" w:themeColor="text1"/>
          <w:sz w:val="24"/>
          <w:u w:val="single"/>
          <w14:textFill>
            <w14:solidFill>
              <w14:schemeClr w14:val="tx1"/>
            </w14:solidFill>
          </w14:textFill>
        </w:rPr>
        <w:t>:30（北京时间）</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请登录政采云投标客户端投标</w:t>
      </w:r>
    </w:p>
    <w:p>
      <w:pPr>
        <w:spacing w:line="360" w:lineRule="auto"/>
        <w:ind w:firstLine="566" w:firstLineChars="235"/>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开标时间：</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0日1</w:t>
      </w:r>
      <w:r>
        <w:rPr>
          <w:rFonts w:hint="eastAsia" w:ascii="仿宋" w:hAnsi="仿宋" w:eastAsia="仿宋" w:cs="Arial"/>
          <w:b/>
          <w:color w:val="000000" w:themeColor="text1"/>
          <w:sz w:val="24"/>
          <w:u w:val="single"/>
          <w:lang w:val="en-US" w:eastAsia="zh-CN"/>
          <w14:textFill>
            <w14:solidFill>
              <w14:schemeClr w14:val="tx1"/>
            </w14:solidFill>
          </w14:textFill>
        </w:rPr>
        <w:t>5</w:t>
      </w:r>
      <w:r>
        <w:rPr>
          <w:rFonts w:hint="eastAsia" w:ascii="仿宋" w:hAnsi="仿宋" w:eastAsia="仿宋" w:cs="Arial"/>
          <w:b/>
          <w:color w:val="000000" w:themeColor="text1"/>
          <w:sz w:val="24"/>
          <w:u w:val="single"/>
          <w14:textFill>
            <w14:solidFill>
              <w14:schemeClr w14:val="tx1"/>
            </w14:solidFill>
          </w14:textFill>
        </w:rPr>
        <w:t>:30（北京时间）</w:t>
      </w:r>
    </w:p>
    <w:p>
      <w:pPr>
        <w:spacing w:after="240" w:line="360" w:lineRule="auto"/>
        <w:ind w:firstLine="566" w:firstLineChars="235"/>
        <w:rPr>
          <w:rFonts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政府采购云平台（</w:t>
      </w:r>
      <w:r>
        <w:rPr>
          <w:rFonts w:ascii="仿宋" w:hAnsi="仿宋" w:eastAsia="仿宋"/>
          <w:color w:val="000000" w:themeColor="text1"/>
          <w:sz w:val="24"/>
          <w:u w:val="single"/>
          <w14:textFill>
            <w14:solidFill>
              <w14:schemeClr w14:val="tx1"/>
            </w14:solidFill>
          </w14:textFill>
        </w:rPr>
        <w:t>www.zcygov.cn</w:t>
      </w:r>
      <w:r>
        <w:rPr>
          <w:rFonts w:hint="eastAsia" w:ascii="仿宋" w:hAnsi="仿宋" w:eastAsia="仿宋" w:cs="Arial"/>
          <w:color w:val="000000" w:themeColor="text1"/>
          <w:sz w:val="24"/>
          <w14:textFill>
            <w14:solidFill>
              <w14:schemeClr w14:val="tx1"/>
            </w14:solidFill>
          </w14:textFill>
        </w:rPr>
        <w:t>）</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五、公告期限</w:t>
      </w:r>
    </w:p>
    <w:p>
      <w:pPr>
        <w:pStyle w:val="8"/>
        <w:ind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六、其他补充事宜</w:t>
      </w:r>
    </w:p>
    <w:p>
      <w:pPr>
        <w:pStyle w:val="52"/>
        <w:adjustRightInd w:val="0"/>
        <w:snapToGrid w:val="0"/>
        <w:spacing w:before="0" w:beforeAutospacing="0" w:after="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2"/>
        <w:adjustRightInd w:val="0"/>
        <w:snapToGrid w:val="0"/>
        <w:spacing w:before="0" w:beforeAutospacing="0" w:after="0" w:afterAutospacing="0" w:line="360" w:lineRule="auto"/>
        <w:ind w:firstLine="482" w:firstLineChars="200"/>
        <w:rPr>
          <w:b/>
          <w:bCs/>
          <w:color w:val="000000" w:themeColor="text1"/>
          <w14:textFill>
            <w14:solidFill>
              <w14:schemeClr w14:val="tx1"/>
            </w14:solidFill>
          </w14:textFill>
        </w:rPr>
      </w:pPr>
      <w:r>
        <w:rPr>
          <w:rFonts w:hint="eastAsia" w:ascii="仿宋" w:hAnsi="仿宋" w:eastAsia="仿宋" w:cs="仿宋"/>
          <w:b/>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
        <w:ind w:firstLine="566" w:firstLineChars="235"/>
        <w:rPr>
          <w:color w:val="000000" w:themeColor="text1"/>
          <w14:textFill>
            <w14:solidFill>
              <w14:schemeClr w14:val="tx1"/>
            </w14:solidFill>
          </w14:textFill>
        </w:rPr>
      </w:pPr>
      <w:r>
        <w:rPr>
          <w:rFonts w:hint="eastAsia"/>
          <w:b/>
          <w:color w:val="000000" w:themeColor="text1"/>
          <w14:textFill>
            <w14:solidFill>
              <w14:schemeClr w14:val="tx1"/>
            </w14:solidFill>
          </w14:textFill>
        </w:rPr>
        <w:t>3、供应商认为采购文件使自己的权益受到损害的，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或者采购文件公告期限届满之日（公告期限届满后获取采购文件的，以公告期限届满之日为准）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8"/>
        <w:ind w:firstLine="566" w:firstLineChars="235"/>
        <w:rPr>
          <w:rFonts w:cs="Arial"/>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4、其他事项：</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采购项目需要落实的政府采购政策：本项目依法落实政府采购小微企业、监狱企业、残疾人福利性单位价格扣除扶持政策，依法落实促进中小企业发展政策以及节能产品、环境标志产品政府采购实施相关规定。具体详见采购文件第三章投标须知“二、落实的政府采购政策”。</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（2）“关联供应商参加本项目采购活动的限制”的规定见第三章投标须知第1.13款规定。</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（3）未按招标公告规定获取采购文件的潜在供应商不得对采购文件提出质疑，其响应文件将被拒绝，通过本公告下方“游客，浏览采购文件”下载的采购文件仅供浏览，不视作依法获取采购文件；</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r>
        <w:rPr>
          <w:rFonts w:hint="eastAsia" w:ascii="仿宋" w:hAnsi="仿宋" w:eastAsia="仿宋"/>
          <w:color w:val="000000"/>
          <w:sz w:val="24"/>
        </w:rPr>
        <w:t>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邮政快递方式递交备份响应文件1份。备份响应文件的制作、存储、密封详见招标文件第三章；⑨响应文件的解密：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（5）根据《关于规范政府采购供应商资格设定及资格审查的通知（浙财采监【2013】24号）》第六条的规定，</w:t>
      </w:r>
      <w:r>
        <w:rPr>
          <w:rFonts w:ascii="仿宋" w:hAnsi="仿宋" w:eastAsia="仿宋" w:cs="Arial"/>
          <w:color w:val="000000" w:themeColor="text1"/>
          <w:sz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color w:val="000000" w:themeColor="text1"/>
          <w:sz w:val="24"/>
          <w14:textFill>
            <w14:solidFill>
              <w14:schemeClr w14:val="tx1"/>
            </w14:solidFill>
          </w14:textFill>
        </w:rPr>
        <w:t>本次</w:t>
      </w:r>
      <w:r>
        <w:rPr>
          <w:rFonts w:ascii="仿宋" w:hAnsi="仿宋" w:eastAsia="仿宋" w:cs="Arial"/>
          <w:color w:val="000000" w:themeColor="text1"/>
          <w:sz w:val="24"/>
          <w14:textFill>
            <w14:solidFill>
              <w14:schemeClr w14:val="tx1"/>
            </w14:solidFill>
          </w14:textFill>
        </w:rPr>
        <w:t>政府采购活动。</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（6）为支持和促进中小企业发展，相关部门出台了政府采购支持中小企业信用融资政策，供应商可凭中标合同申请贷款，具体可以登录政采云金融服务平台查询（https://jinrong.zcygov.cn/finance-service/#/home）。</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对本次采购提出询问、质疑、投诉，请按以下方式联系</w:t>
      </w:r>
    </w:p>
    <w:p>
      <w:pPr>
        <w:pStyle w:val="8"/>
        <w:ind w:firstLine="566" w:firstLineChars="235"/>
        <w:rPr>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1.采购人信息</w:t>
      </w:r>
    </w:p>
    <w:p>
      <w:pPr>
        <w:pStyle w:val="8"/>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名称：浙江省住房和城乡建设厅信息宣传中心</w:t>
      </w:r>
    </w:p>
    <w:p>
      <w:pPr>
        <w:pStyle w:val="8"/>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地址：杭州市拱墅区密渡桥路51-1号省行政中心2号院</w:t>
      </w:r>
    </w:p>
    <w:p>
      <w:pPr>
        <w:pStyle w:val="8"/>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pPr>
        <w:pStyle w:val="8"/>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项目联系人（询问）：</w:t>
      </w:r>
      <w:r>
        <w:rPr>
          <w:rFonts w:hint="eastAsia"/>
          <w:color w:val="000000" w:themeColor="text1"/>
          <w:lang w:eastAsia="zh-CN"/>
          <w14:textFill>
            <w14:solidFill>
              <w14:schemeClr w14:val="tx1"/>
            </w14:solidFill>
          </w14:textFill>
        </w:rPr>
        <w:t>金女士</w:t>
      </w:r>
    </w:p>
    <w:p>
      <w:pPr>
        <w:pStyle w:val="8"/>
        <w:ind w:left="424" w:leftChars="202" w:firstLine="564" w:firstLineChars="235"/>
        <w:rPr>
          <w:rFonts w:hint="eastAsia" w:eastAsia="仿宋"/>
          <w:lang w:eastAsia="zh-CN"/>
        </w:rPr>
      </w:pPr>
      <w:r>
        <w:rPr>
          <w:rFonts w:hint="eastAsia"/>
        </w:rPr>
        <w:t>项目</w:t>
      </w:r>
      <w:r>
        <w:t>联系</w:t>
      </w:r>
      <w:r>
        <w:rPr>
          <w:rFonts w:hint="eastAsia"/>
        </w:rPr>
        <w:t>方式（询问）</w:t>
      </w:r>
      <w:r>
        <w:t>：</w:t>
      </w:r>
      <w:r>
        <w:rPr>
          <w:rFonts w:hint="eastAsia"/>
          <w:lang w:eastAsia="zh-CN"/>
        </w:rPr>
        <w:t>0571-81050916</w:t>
      </w:r>
    </w:p>
    <w:p>
      <w:pPr>
        <w:pStyle w:val="8"/>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质疑联系人：祝女士</w:t>
      </w:r>
    </w:p>
    <w:p>
      <w:pPr>
        <w:pStyle w:val="8"/>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质疑联系方式：0571-81050855</w:t>
      </w:r>
    </w:p>
    <w:p>
      <w:pPr>
        <w:pStyle w:val="8"/>
        <w:ind w:firstLine="566" w:firstLineChars="235"/>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采购代理机构</w:t>
      </w:r>
      <w:r>
        <w:rPr>
          <w:rFonts w:hint="eastAsia"/>
          <w:b/>
          <w:color w:val="000000" w:themeColor="text1"/>
          <w14:textFill>
            <w14:solidFill>
              <w14:schemeClr w14:val="tx1"/>
            </w14:solidFill>
          </w14:textFill>
        </w:rPr>
        <w:t>信息</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名称：浙江省成套招标代理有限公司</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地址：杭州市文晖路42号现代置业大厦西楼17-18楼</w:t>
      </w:r>
    </w:p>
    <w:p>
      <w:pPr>
        <w:pStyle w:val="8"/>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项目联系人（询问）：张柳霞、谢武剑</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项目联系方式（询问）：0571-85830297</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质疑联系人：冯东东</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质疑联系方式：0571-85331293</w:t>
      </w:r>
    </w:p>
    <w:p>
      <w:pPr>
        <w:pStyle w:val="8"/>
        <w:ind w:firstLine="566" w:firstLineChars="235"/>
        <w:rPr>
          <w:b/>
        </w:rPr>
      </w:pPr>
      <w:r>
        <w:rPr>
          <w:rFonts w:hint="eastAsia"/>
          <w:b/>
        </w:rPr>
        <w:t>3.该项目由采购人处理采购争议。质疑环节，采购人委托采购代理机构处理的，可由采购代理机构答复。对质疑答复不满意的，向采购人内部设置的采购监督机构反映。监督投诉电话：0571-85252453</w:t>
      </w:r>
    </w:p>
    <w:p>
      <w:pPr>
        <w:pStyle w:val="8"/>
        <w:ind w:left="422" w:leftChars="201" w:firstLine="564" w:firstLineChars="235"/>
        <w:rPr>
          <w:color w:val="000000" w:themeColor="text1"/>
          <w14:textFill>
            <w14:solidFill>
              <w14:schemeClr w14:val="tx1"/>
            </w14:solidFill>
          </w14:textFill>
        </w:rPr>
      </w:pP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 政策咨询：何一平、冯华，0571-87058424、87055741</w:t>
      </w:r>
    </w:p>
    <w:p>
      <w:pPr>
        <w:pStyle w:val="8"/>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 预算金额未达100万元的采购项目，由采购人处理采购争议。</w:t>
      </w:r>
    </w:p>
    <w:p>
      <w:pPr>
        <w:pStyle w:val="8"/>
        <w:ind w:left="422" w:leftChars="201" w:firstLine="0" w:firstLineChars="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276225</wp:posOffset>
                </wp:positionH>
                <wp:positionV relativeFrom="paragraph">
                  <wp:posOffset>180975</wp:posOffset>
                </wp:positionV>
                <wp:extent cx="5419725" cy="0"/>
                <wp:effectExtent l="9525" t="5715" r="9525" b="13335"/>
                <wp:wrapNone/>
                <wp:docPr id="27" name="AutoShape 2"/>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prstDash val="dashDot"/>
                          <a:round/>
                        </a:ln>
                      </wps:spPr>
                      <wps:bodyPr/>
                    </wps:wsp>
                  </a:graphicData>
                </a:graphic>
              </wp:anchor>
            </w:drawing>
          </mc:Choice>
          <mc:Fallback>
            <w:pict>
              <v:shape id="AutoShape 2" o:spid="_x0000_s1026" o:spt="32" type="#_x0000_t32" style="position:absolute;left:0pt;margin-left:21.75pt;margin-top:14.25pt;height:0pt;width:426.75pt;z-index:251687936;mso-width-relative:page;mso-height-relative:page;" filled="f" stroked="t" coordsize="21600,21600" o:gfxdata="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Tz+bWAAAACAEAAA8A&#10;AAAAAAAAAQAgAAAAIgAAAGRycy9kb3ducmV2LnhtbFBLAQIUABQAAAAIAIdO4kCWgAQf4AEAAM4D&#10;AAAOAAAAAAAAAAEAIAAAACUBAABkcnMvZTJvRG9jLnhtbFBLBQYAAAAABgAGAFkBAAB3BQAAAAA=&#10;">
                <v:fill on="f" focussize="0,0"/>
                <v:stroke color="#000000" joinstyle="round" dashstyle="dashDot"/>
                <v:imagedata o:title=""/>
                <o:lock v:ext="edit" aspectratio="f"/>
              </v:shape>
            </w:pict>
          </mc:Fallback>
        </mc:AlternateContent>
      </w:r>
    </w:p>
    <w:p>
      <w:pPr>
        <w:pStyle w:val="8"/>
        <w:ind w:firstLine="519" w:firstLineChars="236"/>
        <w:rPr>
          <w:rFonts w:cs="仿宋"/>
          <w:color w:val="000000" w:themeColor="text1"/>
          <w:sz w:val="22"/>
          <w14:textFill>
            <w14:solidFill>
              <w14:schemeClr w14:val="tx1"/>
            </w14:solidFill>
          </w14:textFill>
        </w:rPr>
      </w:pPr>
    </w:p>
    <w:p>
      <w:pPr>
        <w:pStyle w:val="8"/>
        <w:ind w:firstLine="519" w:firstLineChars="236"/>
        <w:rPr>
          <w:rFonts w:cs="仿宋"/>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若对项目采购电子交易系统操作有疑问，可登录政采云（www.zcygov.cn/），点击右侧咨询小采，获取采小蜜智能服务管家帮助，或拨打政采云服务热线400-881-7190获取热线服务帮助。CA问题联系电话（人工）：汇信CA 400-888-4636；天谷CA 400-087-8198。</w:t>
      </w:r>
    </w:p>
    <w:p>
      <w:pPr>
        <w:pStyle w:val="8"/>
        <w:ind w:firstLine="569" w:firstLineChars="236"/>
        <w:rPr>
          <w:rFonts w:ascii="新宋体" w:hAnsi="新宋体" w:eastAsia="新宋体" w:cs="Arial"/>
          <w:b/>
          <w:color w:val="000000" w:themeColor="text1"/>
          <w14:textFill>
            <w14:solidFill>
              <w14:schemeClr w14:val="tx1"/>
            </w14:solidFill>
          </w14:textFill>
        </w:rPr>
      </w:pPr>
    </w:p>
    <w:p>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416" w:bottom="1440" w:left="1560" w:header="709" w:footer="796" w:gutter="0"/>
          <w:pgNumType w:fmt="numberInDash" w:start="1"/>
          <w:cols w:space="720" w:num="1"/>
          <w:docGrid w:type="lines" w:linePitch="312" w:charSpace="0"/>
        </w:sectPr>
      </w:pPr>
    </w:p>
    <w:p>
      <w:pPr>
        <w:pStyle w:val="54"/>
        <w:rPr>
          <w:rFonts w:cs="Arial"/>
          <w:b w:val="0"/>
          <w:color w:val="000000" w:themeColor="text1"/>
          <w14:textFill>
            <w14:solidFill>
              <w14:schemeClr w14:val="tx1"/>
            </w14:solidFill>
          </w14:textFill>
        </w:rPr>
      </w:pPr>
      <w:bookmarkStart w:id="6" w:name="_Toc440162776"/>
      <w:bookmarkStart w:id="7" w:name="_Toc3542"/>
      <w:bookmarkStart w:id="8" w:name="_Toc14183"/>
      <w:bookmarkStart w:id="9" w:name="_Toc424164131"/>
      <w:bookmarkStart w:id="10" w:name="_Toc26912"/>
      <w:bookmarkStart w:id="11" w:name="_Toc23764"/>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招标采购需求</w:t>
      </w:r>
      <w:bookmarkEnd w:id="6"/>
      <w:bookmarkEnd w:id="7"/>
      <w:bookmarkEnd w:id="8"/>
      <w:bookmarkEnd w:id="9"/>
      <w:bookmarkEnd w:id="10"/>
      <w:bookmarkEnd w:id="11"/>
    </w:p>
    <w:p>
      <w:pPr>
        <w:pStyle w:val="3"/>
        <w:rPr>
          <w:color w:val="000000" w:themeColor="text1"/>
          <w14:textFill>
            <w14:solidFill>
              <w14:schemeClr w14:val="tx1"/>
            </w14:solidFill>
          </w14:textFill>
        </w:rPr>
      </w:pPr>
      <w:bookmarkStart w:id="12" w:name="_Toc26789"/>
      <w:bookmarkStart w:id="13" w:name="_Toc20049"/>
      <w:bookmarkStart w:id="14" w:name="_Toc16544"/>
      <w:bookmarkStart w:id="15" w:name="_Toc14134"/>
      <w:r>
        <w:rPr>
          <w:rFonts w:hint="eastAsia"/>
          <w:color w:val="000000" w:themeColor="text1"/>
          <w14:textFill>
            <w14:solidFill>
              <w14:schemeClr w14:val="tx1"/>
            </w14:solidFill>
          </w14:textFill>
        </w:rPr>
        <w:t>一、项目概述</w:t>
      </w:r>
      <w:bookmarkEnd w:id="12"/>
      <w:bookmarkEnd w:id="13"/>
      <w:bookmarkEnd w:id="14"/>
      <w:bookmarkEnd w:id="15"/>
    </w:p>
    <w:p>
      <w:pPr>
        <w:pStyle w:val="5"/>
        <w:ind w:firstLine="150"/>
        <w:rPr>
          <w:color w:val="000000" w:themeColor="text1"/>
          <w14:textFill>
            <w14:solidFill>
              <w14:schemeClr w14:val="tx1"/>
            </w14:solidFill>
          </w14:textFill>
        </w:rPr>
      </w:pPr>
      <w:bookmarkStart w:id="16" w:name="_Toc2493"/>
      <w:bookmarkStart w:id="17" w:name="_Toc11123"/>
      <w:r>
        <w:rPr>
          <w:rFonts w:hint="eastAsia"/>
          <w:color w:val="000000" w:themeColor="text1"/>
          <w14:textFill>
            <w14:solidFill>
              <w14:schemeClr w14:val="tx1"/>
            </w14:solidFill>
          </w14:textFill>
        </w:rPr>
        <w:t>1.1项目背景</w:t>
      </w:r>
    </w:p>
    <w:p>
      <w:pPr>
        <w:spacing w:line="360" w:lineRule="auto"/>
        <w:ind w:firstLine="480" w:firstLineChars="200"/>
        <w:jc w:val="left"/>
        <w:rPr>
          <w:rFonts w:ascii="仿宋" w:hAnsi="仿宋" w:eastAsia="仿宋"/>
          <w:sz w:val="24"/>
        </w:rPr>
      </w:pPr>
      <w:r>
        <w:rPr>
          <w:rFonts w:hint="eastAsia" w:ascii="仿宋" w:hAnsi="仿宋" w:eastAsia="仿宋"/>
          <w:sz w:val="24"/>
        </w:rPr>
        <w:t>浙江省城市运行安全数字化管理系统（被整合系统）运维项目，包含浙江省城市建设综合管理系统和浙江省住房和城乡建设厅防涝防台风险监测预警平台运维工作。</w:t>
      </w:r>
    </w:p>
    <w:p>
      <w:pPr>
        <w:spacing w:line="360" w:lineRule="auto"/>
        <w:ind w:firstLine="480" w:firstLineChars="200"/>
        <w:jc w:val="left"/>
        <w:rPr>
          <w:rFonts w:ascii="仿宋" w:hAnsi="仿宋" w:eastAsia="仿宋"/>
          <w:sz w:val="24"/>
        </w:rPr>
      </w:pPr>
      <w:r>
        <w:rPr>
          <w:rFonts w:hint="eastAsia" w:ascii="仿宋" w:hAnsi="仿宋" w:eastAsia="仿宋"/>
          <w:sz w:val="24"/>
        </w:rPr>
        <w:t>浙江省城市建设综合管理服务系统建设于2020年，2021年项目建设完成后投入使用。系统面向省市县各级城市建设主管部门和市政公用基础设施运营主体单位，搭建了全省城市建设领域协同办公平台和综合监管体系，建成了包括全省供水节水、污水处理、城市排涝、城市供气、道路设施、园林绿化、老旧小区、海绵城市、地下管廊、停车设施、审批备案等的功能。系统构建了城建基础数据、项目数据、地理空间数据等专题数据库，实现了全省城市建设领域数据汇聚、交换、治理服务。</w:t>
      </w:r>
    </w:p>
    <w:p>
      <w:pPr>
        <w:spacing w:line="360" w:lineRule="auto"/>
        <w:ind w:firstLine="480" w:firstLineChars="200"/>
        <w:jc w:val="left"/>
        <w:rPr>
          <w:rFonts w:ascii="仿宋" w:hAnsi="仿宋" w:eastAsia="仿宋"/>
          <w:sz w:val="24"/>
        </w:rPr>
      </w:pPr>
      <w:r>
        <w:rPr>
          <w:rFonts w:hint="eastAsia" w:ascii="仿宋" w:hAnsi="仿宋" w:eastAsia="仿宋"/>
          <w:sz w:val="24"/>
        </w:rPr>
        <w:t>浙江省住房和城乡建设厅防涝防台风险监测预警平台建设于2021年，2022年项目建设完成后投入运行使用，系统全面整合灾前准备、灾前预警、灾中救援和灾后恢复四个阶段内涝专题数据以及动态和静态风险专题数据，实现内涝专题资源的动态汇聚和整合、服务管理和发布、风险分析和预警，为城市的防涝防台工作提供科学决策支撑。</w:t>
      </w:r>
    </w:p>
    <w:p>
      <w:pPr>
        <w:spacing w:line="360" w:lineRule="auto"/>
        <w:ind w:firstLine="480" w:firstLineChars="200"/>
        <w:jc w:val="left"/>
        <w:rPr>
          <w:rFonts w:ascii="仿宋" w:hAnsi="仿宋" w:eastAsia="仿宋"/>
          <w:sz w:val="24"/>
          <w:lang w:val="zh-CN" w:eastAsia="zh-TW"/>
        </w:rPr>
      </w:pPr>
      <w:r>
        <w:rPr>
          <w:rFonts w:hint="eastAsia" w:ascii="仿宋" w:hAnsi="仿宋" w:eastAsia="仿宋"/>
          <w:sz w:val="24"/>
        </w:rPr>
        <w:t>2023年，根据指尖上形式主义要求，将上述系统整合至城市运行安全数字化管理系统，部署于浙江省政务云。项目运维期间需对系统所使用的政务云资源和软件系统本身进行运维。</w:t>
      </w:r>
    </w:p>
    <w:p>
      <w:pPr>
        <w:pStyle w:val="3"/>
        <w:rPr>
          <w:color w:val="000000" w:themeColor="text1"/>
          <w14:textFill>
            <w14:solidFill>
              <w14:schemeClr w14:val="tx1"/>
            </w14:solidFill>
          </w14:textFill>
        </w:rPr>
      </w:pPr>
      <w:bookmarkStart w:id="18" w:name="_Toc7477"/>
      <w:bookmarkStart w:id="19" w:name="_Toc5588"/>
      <w:r>
        <w:rPr>
          <w:rFonts w:hint="eastAsia"/>
          <w:color w:val="000000" w:themeColor="text1"/>
          <w14:textFill>
            <w14:solidFill>
              <w14:schemeClr w14:val="tx1"/>
            </w14:solidFill>
          </w14:textFill>
        </w:rPr>
        <w:t>二、采购内容</w:t>
      </w:r>
      <w:bookmarkEnd w:id="16"/>
      <w:bookmarkEnd w:id="17"/>
      <w:r>
        <w:rPr>
          <w:rFonts w:hint="eastAsia"/>
          <w:color w:val="000000" w:themeColor="text1"/>
          <w14:textFill>
            <w14:solidFill>
              <w14:schemeClr w14:val="tx1"/>
            </w14:solidFill>
          </w14:textFill>
        </w:rPr>
        <w:t>及要求</w:t>
      </w:r>
      <w:bookmarkEnd w:id="18"/>
      <w:bookmarkEnd w:id="19"/>
    </w:p>
    <w:p>
      <w:pPr>
        <w:pStyle w:val="5"/>
        <w:ind w:firstLine="150"/>
      </w:pPr>
      <w:bookmarkStart w:id="20" w:name="_Hlk106377065"/>
      <w:bookmarkStart w:id="21" w:name="_Toc495499390"/>
      <w:bookmarkStart w:id="22" w:name="_Toc455449041"/>
      <w:bookmarkStart w:id="23" w:name="_Toc35391887"/>
      <w:bookmarkStart w:id="24" w:name="_Toc512598323"/>
      <w:bookmarkStart w:id="25" w:name="_Toc440162784"/>
      <w:bookmarkStart w:id="26" w:name="_Toc5823850"/>
      <w:bookmarkStart w:id="27" w:name="_Toc18473"/>
      <w:bookmarkStart w:id="28" w:name="_Toc16961"/>
      <w:r>
        <w:rPr>
          <w:rFonts w:hint="eastAsia"/>
        </w:rPr>
        <w:t>2.1</w:t>
      </w:r>
      <w:r>
        <w:rPr>
          <w:rFonts w:hint="eastAsia"/>
          <w:lang w:val="zh-CN"/>
        </w:rPr>
        <w:t>基础设施及信息资源维护要求</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浙江省城市运行安全数字化管理系统（被整合系统）部署于省政务云，项目运维期间确保服务器操作系统安全，运维内容主要为：系统安全漏洞的修补，安全防护软件的更新，服务器数据的灾备等。</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1</w:t>
      </w:r>
      <w:r>
        <w:rPr>
          <w:rFonts w:hint="eastAsia" w:ascii="仿宋" w:hAnsi="仿宋" w:eastAsia="仿宋"/>
          <w:sz w:val="24"/>
        </w:rPr>
        <w:t>、</w:t>
      </w:r>
      <w:r>
        <w:rPr>
          <w:rFonts w:hint="eastAsia" w:ascii="仿宋" w:hAnsi="仿宋" w:eastAsia="仿宋"/>
          <w:sz w:val="24"/>
          <w:lang w:val="zh-CN"/>
        </w:rPr>
        <w:t>要求保障系统7*24小时正常运行，提供持续、稳定的服务，如若系统出现故障，能快速修复系统，保障服务持续。</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2</w:t>
      </w:r>
      <w:r>
        <w:rPr>
          <w:rFonts w:hint="eastAsia" w:ascii="仿宋" w:hAnsi="仿宋" w:eastAsia="仿宋"/>
          <w:sz w:val="24"/>
        </w:rPr>
        <w:t>、</w:t>
      </w:r>
      <w:r>
        <w:rPr>
          <w:rFonts w:hint="eastAsia" w:ascii="仿宋" w:hAnsi="仿宋" w:eastAsia="仿宋"/>
          <w:sz w:val="24"/>
          <w:lang w:val="zh-CN"/>
        </w:rPr>
        <w:t>及时修复网络安全问题和漏洞，确保系统的安全。</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3</w:t>
      </w:r>
      <w:r>
        <w:rPr>
          <w:rFonts w:hint="eastAsia" w:ascii="仿宋" w:hAnsi="仿宋" w:eastAsia="仿宋"/>
          <w:sz w:val="24"/>
        </w:rPr>
        <w:t>、</w:t>
      </w:r>
      <w:r>
        <w:rPr>
          <w:rFonts w:hint="eastAsia" w:ascii="仿宋" w:hAnsi="仿宋" w:eastAsia="仿宋"/>
          <w:sz w:val="24"/>
          <w:lang w:val="zh-CN"/>
        </w:rPr>
        <w:t>及时做好业务系统数据的灾备，以保障系统业务数据的安全。</w:t>
      </w:r>
    </w:p>
    <w:p>
      <w:pPr>
        <w:pStyle w:val="5"/>
        <w:ind w:firstLine="150"/>
      </w:pPr>
      <w:r>
        <w:rPr>
          <w:rFonts w:hint="eastAsia"/>
        </w:rPr>
        <w:t>2.2</w:t>
      </w:r>
      <w:r>
        <w:rPr>
          <w:rFonts w:hint="eastAsia"/>
          <w:lang w:val="zh-CN"/>
        </w:rPr>
        <w:t>业务系统维护服务要求</w:t>
      </w:r>
    </w:p>
    <w:p>
      <w:pPr>
        <w:spacing w:line="360" w:lineRule="auto"/>
        <w:ind w:firstLine="480" w:firstLineChars="200"/>
        <w:jc w:val="left"/>
        <w:rPr>
          <w:rFonts w:ascii="仿宋" w:hAnsi="仿宋" w:eastAsia="仿宋"/>
          <w:sz w:val="24"/>
          <w:lang w:val="zh-CN"/>
        </w:rPr>
      </w:pPr>
      <w:r>
        <w:rPr>
          <w:rFonts w:hint="eastAsia" w:ascii="仿宋" w:hAnsi="仿宋" w:eastAsia="仿宋"/>
          <w:sz w:val="24"/>
        </w:rPr>
        <w:t>1、</w:t>
      </w:r>
      <w:r>
        <w:rPr>
          <w:rFonts w:hint="eastAsia" w:ascii="仿宋" w:hAnsi="仿宋" w:eastAsia="仿宋"/>
          <w:sz w:val="24"/>
          <w:lang w:val="zh-CN"/>
        </w:rPr>
        <w:t>应用系统数据支持</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lang w:val="zh-CN"/>
        </w:rPr>
        <w:t>1）异常数据处理问题</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协助用户解决在日常使用中遇到的异常数据问题，能及时分析异常数据产生原因，指导用户正确操作应用系统。</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lang w:val="zh-CN"/>
        </w:rPr>
        <w:t>2）系统性能提升</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随着系统业务办理数据量的日益增加，优化系统交互响应能力，提升系统响应时间。</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2、应用系统巡检及故障修复</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定期对本项目的软件系统进行实施系统健康检查，及时发现存在的软件故障、系统性能下降等问题。同时，提交相应的IT系统健康检查报告，巡检报告将评估该IT系统的可用性、安全性、稳定性和性能现状，并就发现的问题或隐患提出解决方案。在项目服务范围内的，将调动相关技术资源，迅速解决问题，恢复系统应用。</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3、应用系统BUG修复</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对于由于系统软件或应用程序过时或存在漏洞，而导致的系统隐患或故障，可以采用分发系统补丁或升级文档等方式解决。我们将根据具体情况，采用网络发送或上门安装等方式。</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4、数据备份服务</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运行维护组将建立相应的文档，对系统的故障情况、故障排除情况进行记录，留档备查。同时，系统维护人员定期将递交维护报告。</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5、应用系统培训指导</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根据采购方需求，提供应用系统培训服务，提供《培训计划》、《培训记录》、《培训反馈》等文档，以便对项目培训的信息进行跟踪。</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6、安全应急服务</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提供充足的技术支持团队和安全应急处置技术能力，在需要参与应急处置时，能够协助完成安全事件的调查、取证，以及信息系统的故障诊断、系统恢复等工作。</w:t>
      </w:r>
    </w:p>
    <w:p>
      <w:pPr>
        <w:spacing w:line="360" w:lineRule="auto"/>
        <w:ind w:firstLine="480" w:firstLineChars="200"/>
        <w:jc w:val="left"/>
        <w:rPr>
          <w:rFonts w:ascii="仿宋" w:hAnsi="仿宋" w:eastAsia="仿宋"/>
          <w:sz w:val="24"/>
        </w:rPr>
      </w:pPr>
      <w:r>
        <w:rPr>
          <w:rFonts w:ascii="仿宋" w:hAnsi="仿宋" w:eastAsia="仿宋"/>
          <w:sz w:val="24"/>
          <w:lang w:val="zh-CN"/>
        </w:rPr>
        <w:t>7</w:t>
      </w:r>
      <w:r>
        <w:rPr>
          <w:rFonts w:hint="eastAsia" w:ascii="仿宋" w:hAnsi="仿宋" w:eastAsia="仿宋"/>
          <w:sz w:val="24"/>
          <w:lang w:val="zh-CN"/>
        </w:rPr>
        <w:t>、</w:t>
      </w:r>
      <w:r>
        <w:rPr>
          <w:rFonts w:hint="eastAsia" w:ascii="仿宋" w:hAnsi="仿宋" w:eastAsia="仿宋"/>
          <w:sz w:val="24"/>
        </w:rPr>
        <w:t>其他运维服务</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rPr>
        <w:t>1</w:t>
      </w:r>
      <w:r>
        <w:rPr>
          <w:rFonts w:ascii="仿宋" w:hAnsi="仿宋" w:eastAsia="仿宋"/>
          <w:sz w:val="24"/>
          <w:lang w:val="zh-CN"/>
        </w:rPr>
        <w:t>）</w:t>
      </w:r>
      <w:r>
        <w:rPr>
          <w:rFonts w:hint="eastAsia" w:ascii="仿宋" w:hAnsi="仿宋" w:eastAsia="仿宋"/>
          <w:sz w:val="24"/>
          <w:lang w:val="zh-CN"/>
        </w:rPr>
        <w:t>电话支持服务，由供应商安排运维专员（A、B岗），提供5*8小时及7*24小时(重大时间节点及对业务的正常运行造成重大影响的问题，如系统崩溃、无法启动、拒绝连接等)远程维护支持，并按省政府统一要求实施必要安全措施；</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rPr>
        <w:t>2</w:t>
      </w:r>
      <w:r>
        <w:rPr>
          <w:rFonts w:ascii="仿宋" w:hAnsi="仿宋" w:eastAsia="仿宋"/>
          <w:sz w:val="24"/>
          <w:lang w:val="zh-CN"/>
        </w:rPr>
        <w:t>）</w:t>
      </w:r>
      <w:r>
        <w:rPr>
          <w:rFonts w:hint="eastAsia" w:ascii="仿宋" w:hAnsi="仿宋" w:eastAsia="仿宋"/>
          <w:sz w:val="24"/>
          <w:lang w:val="zh-CN"/>
        </w:rPr>
        <w:t>现场支持服务，按照采购</w:t>
      </w:r>
      <w:r>
        <w:rPr>
          <w:rFonts w:hint="eastAsia" w:ascii="仿宋" w:hAnsi="仿宋" w:eastAsia="仿宋"/>
          <w:sz w:val="24"/>
        </w:rPr>
        <w:t>人</w:t>
      </w:r>
      <w:r>
        <w:rPr>
          <w:rFonts w:hint="eastAsia" w:ascii="仿宋" w:hAnsi="仿宋" w:eastAsia="仿宋"/>
          <w:sz w:val="24"/>
          <w:lang w:val="zh-CN"/>
        </w:rPr>
        <w:t>需求，提供专业技术人员到现场支持服务，按规定时限安排技术人员赴现场进行服务。</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rPr>
        <w:t>3</w:t>
      </w:r>
      <w:r>
        <w:rPr>
          <w:rFonts w:ascii="仿宋" w:hAnsi="仿宋" w:eastAsia="仿宋"/>
          <w:sz w:val="24"/>
          <w:lang w:val="zh-CN"/>
        </w:rPr>
        <w:t>）</w:t>
      </w:r>
      <w:r>
        <w:rPr>
          <w:rFonts w:hint="eastAsia" w:ascii="仿宋" w:hAnsi="仿宋" w:eastAsia="仿宋"/>
          <w:sz w:val="24"/>
          <w:lang w:val="zh-CN"/>
        </w:rPr>
        <w:t>可靠性服务，对应用系统进行性能方面的分析、评估、调整，以提高系统的整体性能。</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rPr>
        <w:t>4</w:t>
      </w:r>
      <w:r>
        <w:rPr>
          <w:rFonts w:ascii="仿宋" w:hAnsi="仿宋" w:eastAsia="仿宋"/>
          <w:sz w:val="24"/>
          <w:lang w:val="zh-CN"/>
        </w:rPr>
        <w:t>）</w:t>
      </w:r>
      <w:r>
        <w:rPr>
          <w:rFonts w:hint="eastAsia" w:ascii="仿宋" w:hAnsi="仿宋" w:eastAsia="仿宋"/>
          <w:sz w:val="24"/>
          <w:lang w:val="zh-CN"/>
        </w:rPr>
        <w:t>预防性维护，对系统进行全面检查测试，确认设备运行状态，检查系统错误记录，排除隐患，将可能存在的故障隐患提前诊断和处理，保障系统的稳健运转。对用户提出的预防性维护要求应在2小时内做出实质性响应，及时解决系统运行中的问题。</w:t>
      </w:r>
    </w:p>
    <w:p>
      <w:pPr>
        <w:spacing w:line="360" w:lineRule="auto"/>
        <w:ind w:firstLine="480" w:firstLineChars="200"/>
        <w:jc w:val="left"/>
        <w:rPr>
          <w:rFonts w:ascii="仿宋" w:hAnsi="仿宋" w:eastAsia="仿宋"/>
          <w:sz w:val="24"/>
          <w:lang w:val="zh-CN"/>
        </w:rPr>
      </w:pPr>
      <w:r>
        <w:rPr>
          <w:rFonts w:ascii="仿宋" w:hAnsi="仿宋" w:eastAsia="仿宋"/>
          <w:sz w:val="24"/>
          <w:lang w:val="zh-CN"/>
        </w:rPr>
        <w:t>（</w:t>
      </w:r>
      <w:r>
        <w:rPr>
          <w:rFonts w:hint="eastAsia" w:ascii="仿宋" w:hAnsi="仿宋" w:eastAsia="仿宋"/>
          <w:sz w:val="24"/>
        </w:rPr>
        <w:t>5</w:t>
      </w:r>
      <w:r>
        <w:rPr>
          <w:rFonts w:ascii="仿宋" w:hAnsi="仿宋" w:eastAsia="仿宋"/>
          <w:sz w:val="24"/>
          <w:lang w:val="zh-CN"/>
        </w:rPr>
        <w:t>）</w:t>
      </w:r>
      <w:r>
        <w:rPr>
          <w:rFonts w:hint="eastAsia" w:ascii="仿宋" w:hAnsi="仿宋" w:eastAsia="仿宋"/>
          <w:sz w:val="24"/>
          <w:lang w:val="zh-CN"/>
        </w:rPr>
        <w:t>故障性维护，对用户提出的故障性维护要求应在半小时内做出实质性响应，及时解决系统运行中的问题。系统运行过程中如果出现技术故障（如服务中断、数据丢失、主要功能不能正常工作等）或与其他产品发生冲突，供应商应保证提供6小时内解决此类问题的紧急预案方案，以恢复故障，使系统得以正常运行。</w:t>
      </w:r>
    </w:p>
    <w:p>
      <w:pPr>
        <w:pStyle w:val="5"/>
        <w:ind w:firstLine="150"/>
      </w:pPr>
      <w:r>
        <w:rPr>
          <w:rFonts w:hint="eastAsia"/>
        </w:rPr>
        <w:t>2.3其他</w:t>
      </w:r>
    </w:p>
    <w:bookmarkEnd w:id="20"/>
    <w:bookmarkEnd w:id="21"/>
    <w:p>
      <w:pPr>
        <w:spacing w:line="360" w:lineRule="auto"/>
        <w:ind w:firstLine="480" w:firstLineChars="200"/>
        <w:jc w:val="left"/>
        <w:rPr>
          <w:rFonts w:hint="eastAsia" w:ascii="仿宋" w:hAnsi="仿宋" w:eastAsia="仿宋" w:cs="Times New Roman"/>
          <w:sz w:val="24"/>
          <w:highlight w:val="none"/>
          <w:lang w:val="zh-CN"/>
        </w:rPr>
      </w:pPr>
      <w:r>
        <w:rPr>
          <w:rFonts w:hint="eastAsia" w:ascii="仿宋" w:hAnsi="仿宋" w:eastAsia="仿宋" w:cs="Times New Roman"/>
          <w:sz w:val="24"/>
          <w:highlight w:val="none"/>
          <w:lang w:val="en-US" w:eastAsia="zh-CN"/>
        </w:rPr>
        <w:t>1、</w:t>
      </w:r>
      <w:r>
        <w:rPr>
          <w:rFonts w:hint="eastAsia" w:ascii="仿宋" w:hAnsi="仿宋" w:eastAsia="仿宋" w:cs="Times New Roman"/>
          <w:sz w:val="24"/>
          <w:highlight w:val="none"/>
          <w:lang w:val="zh-CN"/>
        </w:rPr>
        <w:t>运维服务期限和空档期维护。本项目预算为2024年度，根据省电子政务项目审核结果，运维服务期为2024年</w:t>
      </w:r>
      <w:r>
        <w:rPr>
          <w:rFonts w:hint="eastAsia" w:ascii="仿宋" w:hAnsi="仿宋" w:eastAsia="仿宋" w:cs="Times New Roman"/>
          <w:sz w:val="24"/>
          <w:highlight w:val="none"/>
          <w:lang w:val="en-US" w:eastAsia="zh-CN"/>
        </w:rPr>
        <w:t>9</w:t>
      </w:r>
      <w:r>
        <w:rPr>
          <w:rFonts w:hint="eastAsia" w:ascii="仿宋" w:hAnsi="仿宋" w:eastAsia="仿宋" w:cs="Times New Roman"/>
          <w:sz w:val="24"/>
          <w:highlight w:val="none"/>
          <w:lang w:val="zh-CN"/>
        </w:rPr>
        <w:t>月</w:t>
      </w:r>
      <w:r>
        <w:rPr>
          <w:rFonts w:hint="eastAsia" w:ascii="仿宋" w:hAnsi="仿宋" w:eastAsia="仿宋" w:cs="Times New Roman"/>
          <w:sz w:val="24"/>
          <w:highlight w:val="none"/>
          <w:lang w:val="en-US" w:eastAsia="zh-CN"/>
        </w:rPr>
        <w:t>11</w:t>
      </w:r>
      <w:r>
        <w:rPr>
          <w:rFonts w:hint="eastAsia" w:ascii="仿宋" w:hAnsi="仿宋" w:eastAsia="仿宋" w:cs="Times New Roman"/>
          <w:sz w:val="24"/>
          <w:highlight w:val="none"/>
          <w:lang w:val="zh-CN"/>
        </w:rPr>
        <w:t>日-2025年</w:t>
      </w:r>
      <w:r>
        <w:rPr>
          <w:rFonts w:hint="eastAsia" w:ascii="仿宋" w:hAnsi="仿宋" w:eastAsia="仿宋" w:cs="Times New Roman"/>
          <w:sz w:val="24"/>
          <w:highlight w:val="none"/>
          <w:lang w:val="en-US" w:eastAsia="zh-CN"/>
        </w:rPr>
        <w:t>9</w:t>
      </w:r>
      <w:r>
        <w:rPr>
          <w:rFonts w:hint="eastAsia" w:ascii="仿宋" w:hAnsi="仿宋" w:eastAsia="仿宋" w:cs="Times New Roman"/>
          <w:sz w:val="24"/>
          <w:highlight w:val="none"/>
          <w:lang w:val="zh-CN"/>
        </w:rPr>
        <w:t>月</w:t>
      </w:r>
      <w:r>
        <w:rPr>
          <w:rFonts w:hint="eastAsia" w:ascii="仿宋" w:hAnsi="仿宋" w:eastAsia="仿宋" w:cs="Times New Roman"/>
          <w:sz w:val="24"/>
          <w:highlight w:val="none"/>
          <w:lang w:val="en-US" w:eastAsia="zh-CN"/>
        </w:rPr>
        <w:t>10</w:t>
      </w:r>
      <w:r>
        <w:rPr>
          <w:rFonts w:hint="eastAsia" w:ascii="仿宋" w:hAnsi="仿宋" w:eastAsia="仿宋" w:cs="Times New Roman"/>
          <w:sz w:val="24"/>
          <w:highlight w:val="none"/>
          <w:lang w:val="zh-CN"/>
        </w:rPr>
        <w:t>日。合同签订之日前的维护由原项目单位按上年合同实施，费用由本项目</w:t>
      </w:r>
      <w:r>
        <w:rPr>
          <w:rFonts w:hint="eastAsia" w:ascii="仿宋" w:hAnsi="仿宋" w:eastAsia="仿宋" w:cs="Times New Roman"/>
          <w:sz w:val="24"/>
          <w:highlight w:val="none"/>
          <w:lang w:val="en-US" w:eastAsia="zh-CN"/>
        </w:rPr>
        <w:t>中标供应商</w:t>
      </w:r>
      <w:r>
        <w:rPr>
          <w:rFonts w:hint="eastAsia" w:ascii="仿宋" w:hAnsi="仿宋" w:eastAsia="仿宋" w:cs="Times New Roman"/>
          <w:sz w:val="24"/>
          <w:highlight w:val="none"/>
          <w:lang w:val="zh-CN"/>
        </w:rPr>
        <w:t>按本年度合同价，按时间比例与原项目单位进行结算，从本</w:t>
      </w:r>
      <w:r>
        <w:rPr>
          <w:rFonts w:hint="eastAsia" w:ascii="仿宋" w:hAnsi="仿宋" w:eastAsia="仿宋" w:cs="Times New Roman"/>
          <w:sz w:val="24"/>
          <w:highlight w:val="none"/>
          <w:lang w:val="en-US" w:eastAsia="zh-CN"/>
        </w:rPr>
        <w:t>项目</w:t>
      </w:r>
      <w:r>
        <w:rPr>
          <w:rFonts w:hint="eastAsia" w:ascii="仿宋" w:hAnsi="仿宋" w:eastAsia="仿宋" w:cs="Times New Roman"/>
          <w:sz w:val="24"/>
          <w:highlight w:val="none"/>
          <w:lang w:val="zh-CN"/>
        </w:rPr>
        <w:t>合同总价中支付。</w:t>
      </w:r>
    </w:p>
    <w:p>
      <w:pPr>
        <w:spacing w:line="360" w:lineRule="auto"/>
        <w:ind w:firstLine="480" w:firstLineChars="200"/>
        <w:jc w:val="left"/>
        <w:rPr>
          <w:rFonts w:hint="eastAsia" w:ascii="仿宋" w:hAnsi="仿宋" w:eastAsia="仿宋" w:cs="Times New Roman"/>
          <w:sz w:val="24"/>
          <w:highlight w:val="none"/>
          <w:lang w:val="zh-CN"/>
        </w:rPr>
      </w:pPr>
      <w:r>
        <w:rPr>
          <w:rFonts w:hint="eastAsia" w:ascii="仿宋" w:hAnsi="仿宋" w:eastAsia="仿宋" w:cs="Times New Roman"/>
          <w:sz w:val="24"/>
          <w:highlight w:val="none"/>
          <w:lang w:val="zh-CN"/>
        </w:rPr>
        <w:t>若因采购人原因，未完成次年招标和合同签订的，由本项目</w:t>
      </w:r>
      <w:r>
        <w:rPr>
          <w:rFonts w:hint="eastAsia" w:ascii="仿宋" w:hAnsi="仿宋" w:eastAsia="仿宋" w:cs="Times New Roman"/>
          <w:sz w:val="24"/>
          <w:highlight w:val="none"/>
          <w:lang w:val="en-US" w:eastAsia="zh-CN"/>
        </w:rPr>
        <w:t>中标供应商</w:t>
      </w:r>
      <w:r>
        <w:rPr>
          <w:rFonts w:hint="eastAsia" w:ascii="仿宋" w:hAnsi="仿宋" w:eastAsia="仿宋" w:cs="Times New Roman"/>
          <w:sz w:val="24"/>
          <w:highlight w:val="none"/>
          <w:lang w:val="zh-CN"/>
        </w:rPr>
        <w:t>维护，产生费用由次年项目</w:t>
      </w:r>
      <w:r>
        <w:rPr>
          <w:rFonts w:hint="eastAsia" w:ascii="仿宋" w:hAnsi="仿宋" w:eastAsia="仿宋" w:cs="Times New Roman"/>
          <w:sz w:val="24"/>
          <w:highlight w:val="none"/>
          <w:lang w:val="en-US" w:eastAsia="zh-CN"/>
        </w:rPr>
        <w:t>中标供应商</w:t>
      </w:r>
      <w:r>
        <w:rPr>
          <w:rFonts w:hint="eastAsia" w:ascii="仿宋" w:hAnsi="仿宋" w:eastAsia="仿宋" w:cs="Times New Roman"/>
          <w:sz w:val="24"/>
          <w:highlight w:val="none"/>
          <w:lang w:val="zh-CN"/>
        </w:rPr>
        <w:t>按本年度合同金额的相应比例支付给本项目供应商。</w:t>
      </w:r>
    </w:p>
    <w:p>
      <w:pPr>
        <w:spacing w:line="360" w:lineRule="auto"/>
        <w:ind w:firstLine="480" w:firstLineChars="200"/>
        <w:jc w:val="left"/>
        <w:rPr>
          <w:rFonts w:ascii="仿宋" w:hAnsi="仿宋" w:eastAsia="仿宋"/>
          <w:sz w:val="24"/>
          <w:lang w:val="zh-CN"/>
        </w:rPr>
      </w:pPr>
      <w:r>
        <w:rPr>
          <w:rFonts w:hint="eastAsia" w:ascii="仿宋" w:hAnsi="仿宋" w:eastAsia="仿宋"/>
          <w:sz w:val="24"/>
        </w:rPr>
        <w:t>2</w:t>
      </w:r>
      <w:r>
        <w:rPr>
          <w:rFonts w:hint="eastAsia" w:ascii="仿宋" w:hAnsi="仿宋" w:eastAsia="仿宋"/>
          <w:sz w:val="24"/>
          <w:lang w:val="zh-CN"/>
        </w:rPr>
        <w:t>、根据省IRS系统规范，合理使用云资源并做好日常使用情况监控，云资源月平均使用情况CPU利用率不得低于15%，内存利用率不得低于35%，存储利用率不得低于40%；所有资源使用率高于80%时应当及时采取措施。</w:t>
      </w:r>
    </w:p>
    <w:p>
      <w:pPr>
        <w:spacing w:line="360" w:lineRule="auto"/>
        <w:ind w:firstLine="480" w:firstLineChars="200"/>
        <w:jc w:val="left"/>
        <w:rPr>
          <w:rFonts w:ascii="仿宋" w:hAnsi="仿宋" w:eastAsia="仿宋"/>
          <w:sz w:val="24"/>
          <w:lang w:val="zh-CN"/>
        </w:rPr>
      </w:pPr>
      <w:r>
        <w:rPr>
          <w:rFonts w:hint="eastAsia" w:ascii="仿宋" w:hAnsi="仿宋" w:eastAsia="仿宋"/>
          <w:sz w:val="24"/>
        </w:rPr>
        <w:t>3</w:t>
      </w:r>
      <w:r>
        <w:rPr>
          <w:rFonts w:hint="eastAsia" w:ascii="仿宋" w:hAnsi="仿宋" w:eastAsia="仿宋"/>
          <w:sz w:val="24"/>
          <w:lang w:val="zh-CN"/>
        </w:rPr>
        <w:t>、供应商应加强堡垒机账户、系统运维账户等管理，坚决杜绝弱口令等问题。</w:t>
      </w:r>
    </w:p>
    <w:p>
      <w:pPr>
        <w:spacing w:line="360" w:lineRule="auto"/>
        <w:ind w:firstLine="480" w:firstLineChars="200"/>
        <w:jc w:val="left"/>
        <w:rPr>
          <w:rFonts w:ascii="仿宋" w:hAnsi="仿宋" w:eastAsia="仿宋"/>
          <w:sz w:val="24"/>
          <w:lang w:val="zh-CN"/>
        </w:rPr>
      </w:pPr>
      <w:r>
        <w:rPr>
          <w:rFonts w:hint="eastAsia" w:ascii="仿宋" w:hAnsi="仿宋" w:eastAsia="仿宋"/>
          <w:sz w:val="24"/>
        </w:rPr>
        <w:t>4</w:t>
      </w:r>
      <w:r>
        <w:rPr>
          <w:rFonts w:hint="eastAsia" w:ascii="仿宋" w:hAnsi="仿宋" w:eastAsia="仿宋"/>
          <w:sz w:val="24"/>
          <w:lang w:val="zh-CN"/>
        </w:rPr>
        <w:t>、项目运维过程中，根据省建设厅网络和信息安全工作要求，落实相关安全责任。网络和数据安全责任相应处罚条款如下：</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（1）供应商应按照国家相关安全规定及《浙江省信息技术服务外包安全管理规范》做好安全管理，提供有关采购清单、涉及产品的证书及服务承接相应能力资格证书；</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rPr>
        <w:t>2</w:t>
      </w:r>
      <w:r>
        <w:rPr>
          <w:rFonts w:hint="eastAsia" w:ascii="仿宋" w:hAnsi="仿宋" w:eastAsia="仿宋"/>
          <w:sz w:val="24"/>
          <w:lang w:val="zh-CN"/>
        </w:rPr>
        <w:t>）供应商在向采购人提供服务期间，因安全隐患或安全事故或运维事故造成采购人被相关网络安全监管部门通报批评的，按以下约定进行处罚：</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●不影响系统正常运行的，采购人可扣除合同总金额的千分之五。</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●影响系统正常运行的，采购人可扣除合同总金额的千分之十。</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●严重影响系统运行的，如造成数据库数据丢失且无法恢复、未经采购人同意下载使用数据等，采购人可扣除合同总金额的千分之十五，并保留进一步追究相关责任的权利。</w:t>
      </w:r>
    </w:p>
    <w:p>
      <w:pPr>
        <w:spacing w:line="360" w:lineRule="auto"/>
        <w:ind w:firstLine="480" w:firstLineChars="200"/>
        <w:jc w:val="left"/>
        <w:rPr>
          <w:color w:val="000000" w:themeColor="text1"/>
          <w14:textFill>
            <w14:solidFill>
              <w14:schemeClr w14:val="tx1"/>
            </w14:solidFill>
          </w14:textFill>
        </w:rPr>
      </w:pPr>
      <w:r>
        <w:rPr>
          <w:rFonts w:hint="eastAsia" w:ascii="仿宋" w:hAnsi="仿宋" w:eastAsia="仿宋"/>
          <w:sz w:val="24"/>
          <w:lang w:val="zh-CN"/>
        </w:rPr>
        <w:t>（</w:t>
      </w:r>
      <w:r>
        <w:rPr>
          <w:rFonts w:hint="eastAsia" w:ascii="仿宋" w:hAnsi="仿宋" w:eastAsia="仿宋"/>
          <w:sz w:val="24"/>
        </w:rPr>
        <w:t>3</w:t>
      </w:r>
      <w:r>
        <w:rPr>
          <w:rFonts w:hint="eastAsia" w:ascii="仿宋" w:hAnsi="仿宋" w:eastAsia="仿宋"/>
          <w:sz w:val="24"/>
          <w:lang w:val="zh-CN"/>
        </w:rPr>
        <w:t>）供应商需签订项目实施保密协议，加强服务人员保密意识管理及培训，提供核心运维人员背景审查材料、保密协议。</w:t>
      </w: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9" w:name="_Toc126"/>
      <w:bookmarkStart w:id="30" w:name="_Toc18072"/>
      <w:r>
        <w:rPr>
          <w:rFonts w:hint="eastAsia"/>
          <w:color w:val="000000" w:themeColor="text1"/>
          <w14:textFill>
            <w14:solidFill>
              <w14:schemeClr w14:val="tx1"/>
            </w14:solidFill>
          </w14:textFill>
        </w:rPr>
        <w:t>三、商务要求</w:t>
      </w:r>
      <w:bookmarkEnd w:id="22"/>
      <w:bookmarkEnd w:id="23"/>
      <w:bookmarkEnd w:id="24"/>
      <w:bookmarkEnd w:id="25"/>
      <w:bookmarkEnd w:id="26"/>
      <w:r>
        <w:rPr>
          <w:rFonts w:hint="eastAsia"/>
          <w:color w:val="000000" w:themeColor="text1"/>
          <w14:textFill>
            <w14:solidFill>
              <w14:schemeClr w14:val="tx1"/>
            </w14:solidFill>
          </w14:textFill>
        </w:rPr>
        <w:t>（合同商务条款主要内容）</w:t>
      </w:r>
      <w:bookmarkEnd w:id="27"/>
      <w:bookmarkEnd w:id="28"/>
      <w:bookmarkEnd w:id="29"/>
      <w:bookmarkEnd w:id="30"/>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bookmarkStart w:id="31" w:name="_Hlk75167374"/>
            <w:r>
              <w:rPr>
                <w:rFonts w:ascii="仿宋" w:hAnsi="仿宋" w:eastAsia="仿宋" w:cs="Arial"/>
                <w:b/>
                <w:color w:val="000000" w:themeColor="text1"/>
                <w:sz w:val="24"/>
                <w14:textFill>
                  <w14:solidFill>
                    <w14:schemeClr w14:val="tx1"/>
                  </w14:solidFill>
                </w14:textFill>
              </w:rPr>
              <w:t>序号</w:t>
            </w:r>
          </w:p>
        </w:tc>
        <w:tc>
          <w:tcPr>
            <w:tcW w:w="1985"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662" w:type="dxa"/>
            <w:shd w:val="clear" w:color="auto" w:fill="DAEEF3"/>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w:t>
            </w:r>
            <w:r>
              <w:rPr>
                <w:rFonts w:ascii="仿宋" w:hAnsi="仿宋" w:eastAsia="仿宋"/>
                <w:b/>
                <w:color w:val="000000" w:themeColor="text1"/>
                <w:sz w:val="24"/>
                <w14:textFill>
                  <w14:solidFill>
                    <w14:schemeClr w14:val="tx1"/>
                  </w14:solidFill>
                </w14:textFill>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p>
        </w:tc>
        <w:tc>
          <w:tcPr>
            <w:tcW w:w="1985"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▲投标报价</w:t>
            </w:r>
          </w:p>
        </w:tc>
        <w:tc>
          <w:tcPr>
            <w:tcW w:w="6662" w:type="dxa"/>
            <w:vAlign w:val="center"/>
          </w:tcPr>
          <w:p>
            <w:pPr>
              <w:spacing w:line="276" w:lineRule="auto"/>
              <w:jc w:val="left"/>
              <w:rPr>
                <w:rFonts w:hint="eastAsia" w:ascii="仿宋" w:hAnsi="仿宋" w:eastAsia="仿宋" w:cs="Arial"/>
                <w:b/>
                <w:sz w:val="24"/>
              </w:rPr>
            </w:pPr>
            <w:r>
              <w:rPr>
                <w:rFonts w:hint="eastAsia" w:ascii="仿宋" w:hAnsi="仿宋" w:eastAsia="仿宋" w:cs="Arial"/>
                <w:b/>
                <w:sz w:val="24"/>
              </w:rPr>
              <w:t>本项目采用总价合同，中标供应商的投标报价是履行合同的最终价格，应包括完成合同履行所涉及的全部费用，以及供应商参与本项目招标采购活动产生的各项费用和履约过程中产生的各种税费、人工费、风险费、管理费、合理利润等。</w:t>
            </w:r>
          </w:p>
          <w:p>
            <w:pPr>
              <w:spacing w:line="276" w:lineRule="auto"/>
              <w:jc w:val="left"/>
              <w:rPr>
                <w:rFonts w:hint="eastAsia" w:ascii="仿宋" w:hAnsi="仿宋" w:eastAsia="仿宋" w:cs="Arial"/>
                <w:b/>
                <w:sz w:val="24"/>
              </w:rPr>
            </w:pPr>
            <w:r>
              <w:rPr>
                <w:rFonts w:hint="eastAsia" w:ascii="仿宋" w:hAnsi="仿宋" w:eastAsia="仿宋" w:cs="Arial"/>
                <w:b/>
                <w:sz w:val="24"/>
              </w:rPr>
              <w:t>备注：以上各类费用均包含在单价（综合单价）中，无需单列。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1985" w:type="dxa"/>
            <w:vAlign w:val="center"/>
          </w:tcPr>
          <w:p>
            <w:pPr>
              <w:spacing w:line="276" w:lineRule="auto"/>
              <w:jc w:val="center"/>
              <w:rPr>
                <w:rFonts w:ascii="仿宋" w:hAnsi="仿宋" w:eastAsia="仿宋" w:cs="Arial"/>
                <w:b/>
                <w:color w:val="FF0000"/>
                <w:sz w:val="24"/>
              </w:rPr>
            </w:pPr>
            <w:r>
              <w:rPr>
                <w:rFonts w:ascii="仿宋" w:hAnsi="仿宋" w:eastAsia="仿宋" w:cs="Arial"/>
                <w:b/>
                <w:sz w:val="24"/>
              </w:rPr>
              <w:t>▲</w:t>
            </w:r>
            <w:r>
              <w:rPr>
                <w:rFonts w:hint="eastAsia" w:ascii="仿宋" w:hAnsi="仿宋" w:eastAsia="仿宋" w:cs="Arial"/>
                <w:b/>
                <w:sz w:val="24"/>
              </w:rPr>
              <w:t>服务（合同）期限</w:t>
            </w:r>
          </w:p>
        </w:tc>
        <w:tc>
          <w:tcPr>
            <w:tcW w:w="6662" w:type="dxa"/>
            <w:vAlign w:val="center"/>
          </w:tcPr>
          <w:p>
            <w:pPr>
              <w:spacing w:line="276" w:lineRule="auto"/>
              <w:jc w:val="left"/>
              <w:rPr>
                <w:rFonts w:hint="eastAsia" w:ascii="仿宋" w:hAnsi="仿宋" w:eastAsia="仿宋" w:cs="Arial"/>
                <w:b/>
                <w:sz w:val="24"/>
              </w:rPr>
            </w:pPr>
            <w:r>
              <w:rPr>
                <w:rFonts w:hint="eastAsia" w:ascii="仿宋" w:hAnsi="仿宋" w:eastAsia="仿宋" w:cs="Arial"/>
                <w:b/>
                <w:sz w:val="24"/>
              </w:rPr>
              <w:t>2024年</w:t>
            </w:r>
            <w:r>
              <w:rPr>
                <w:rFonts w:hint="eastAsia" w:ascii="仿宋" w:hAnsi="仿宋" w:eastAsia="仿宋" w:cs="Arial"/>
                <w:b/>
                <w:sz w:val="24"/>
                <w:lang w:val="en-US" w:eastAsia="zh-CN"/>
              </w:rPr>
              <w:t>9</w:t>
            </w:r>
            <w:r>
              <w:rPr>
                <w:rFonts w:hint="eastAsia" w:ascii="仿宋" w:hAnsi="仿宋" w:eastAsia="仿宋" w:cs="Arial"/>
                <w:b/>
                <w:sz w:val="24"/>
              </w:rPr>
              <w:t>月</w:t>
            </w:r>
            <w:r>
              <w:rPr>
                <w:rFonts w:hint="eastAsia" w:ascii="仿宋" w:hAnsi="仿宋" w:eastAsia="仿宋" w:cs="Arial"/>
                <w:b/>
                <w:sz w:val="24"/>
                <w:lang w:val="en-US" w:eastAsia="zh-CN"/>
              </w:rPr>
              <w:t>11</w:t>
            </w:r>
            <w:r>
              <w:rPr>
                <w:rFonts w:hint="eastAsia" w:ascii="仿宋" w:hAnsi="仿宋" w:eastAsia="仿宋" w:cs="Arial"/>
                <w:b/>
                <w:sz w:val="24"/>
              </w:rPr>
              <w:t>日-2025年</w:t>
            </w:r>
            <w:r>
              <w:rPr>
                <w:rFonts w:hint="eastAsia" w:ascii="仿宋" w:hAnsi="仿宋" w:eastAsia="仿宋" w:cs="Arial"/>
                <w:b/>
                <w:sz w:val="24"/>
                <w:lang w:val="en-US" w:eastAsia="zh-CN"/>
              </w:rPr>
              <w:t>9</w:t>
            </w:r>
            <w:r>
              <w:rPr>
                <w:rFonts w:hint="eastAsia" w:ascii="仿宋" w:hAnsi="仿宋" w:eastAsia="仿宋" w:cs="Arial"/>
                <w:b/>
                <w:sz w:val="24"/>
              </w:rPr>
              <w:t>月</w:t>
            </w:r>
            <w:r>
              <w:rPr>
                <w:rFonts w:hint="eastAsia" w:ascii="仿宋" w:hAnsi="仿宋" w:eastAsia="仿宋" w:cs="Arial"/>
                <w:b/>
                <w:sz w:val="24"/>
                <w:lang w:val="en-US" w:eastAsia="zh-CN"/>
              </w:rPr>
              <w:t>10</w:t>
            </w:r>
            <w:r>
              <w:rPr>
                <w:rFonts w:hint="eastAsia" w:ascii="仿宋" w:hAnsi="仿宋" w:eastAsia="仿宋" w:cs="Arial"/>
                <w:b/>
                <w:sz w:val="24"/>
              </w:rPr>
              <w:t>日</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985"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实施地点</w:t>
            </w:r>
          </w:p>
        </w:tc>
        <w:tc>
          <w:tcPr>
            <w:tcW w:w="6662" w:type="dxa"/>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985"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质量标准</w:t>
            </w:r>
          </w:p>
        </w:tc>
        <w:tc>
          <w:tcPr>
            <w:tcW w:w="6662" w:type="dxa"/>
            <w:vAlign w:val="center"/>
          </w:tcPr>
          <w:p>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符合采购文件要求、投标承诺以及国家、行业有关技术规范和标准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985"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w:t>
            </w:r>
            <w:r>
              <w:rPr>
                <w:rFonts w:ascii="仿宋" w:hAnsi="仿宋" w:eastAsia="仿宋" w:cs="Arial"/>
                <w:color w:val="000000" w:themeColor="text1"/>
                <w:sz w:val="24"/>
                <w14:textFill>
                  <w14:solidFill>
                    <w14:schemeClr w14:val="tx1"/>
                  </w14:solidFill>
                </w14:textFill>
              </w:rPr>
              <w:t>验收</w:t>
            </w:r>
          </w:p>
        </w:tc>
        <w:tc>
          <w:tcPr>
            <w:tcW w:w="6662" w:type="dxa"/>
            <w:vAlign w:val="center"/>
          </w:tcPr>
          <w:p>
            <w:pPr>
              <w:spacing w:line="276" w:lineRule="auto"/>
              <w:jc w:val="left"/>
              <w:rPr>
                <w:rFonts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5.1本项目合同验收由采购人组织实施，验收过程中，中标供应商应派专业的技术人员协助采购人进行验收；</w:t>
            </w:r>
          </w:p>
          <w:p>
            <w:pPr>
              <w:spacing w:line="276" w:lineRule="auto"/>
              <w:jc w:val="left"/>
              <w:rPr>
                <w:rFonts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5.2验收合格标准：符合采购文件约定的服务质量要求、完成合同全部约定。</w:t>
            </w:r>
          </w:p>
          <w:p>
            <w:pPr>
              <w:spacing w:line="276" w:lineRule="auto"/>
              <w:jc w:val="left"/>
            </w:pPr>
            <w:r>
              <w:rPr>
                <w:rFonts w:hint="eastAsia" w:ascii="仿宋" w:hAnsi="仿宋" w:eastAsia="仿宋" w:cs="Arial"/>
                <w:b/>
                <w:bCs/>
                <w:color w:val="000000" w:themeColor="text1"/>
                <w:sz w:val="24"/>
                <w14:textFill>
                  <w14:solidFill>
                    <w14:schemeClr w14:val="tx1"/>
                  </w14:solidFill>
                </w14:textFill>
              </w:rPr>
              <w:t>5.3验收过程中发生的第三方检测验收费用（商检、质检等）由中标供应商承担。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1985" w:type="dxa"/>
            <w:vAlign w:val="center"/>
          </w:tcPr>
          <w:p>
            <w:pPr>
              <w:spacing w:line="276" w:lineRule="auto"/>
              <w:jc w:val="center"/>
              <w:rPr>
                <w:rFonts w:ascii="仿宋" w:hAnsi="仿宋" w:eastAsia="仿宋" w:cs="Arial"/>
                <w:sz w:val="24"/>
              </w:rPr>
            </w:pPr>
            <w:r>
              <w:rPr>
                <w:rFonts w:hint="eastAsia" w:ascii="仿宋" w:hAnsi="仿宋" w:eastAsia="仿宋" w:cs="Arial"/>
                <w:sz w:val="24"/>
              </w:rPr>
              <w:t>履约保证金</w:t>
            </w:r>
          </w:p>
        </w:tc>
        <w:tc>
          <w:tcPr>
            <w:tcW w:w="6662" w:type="dxa"/>
            <w:vAlign w:val="center"/>
          </w:tcPr>
          <w:p>
            <w:pPr>
              <w:spacing w:line="276" w:lineRule="auto"/>
              <w:jc w:val="left"/>
              <w:rPr>
                <w:rFonts w:ascii="仿宋" w:hAnsi="仿宋" w:eastAsia="仿宋"/>
                <w:sz w:val="24"/>
              </w:rPr>
            </w:pPr>
            <w:r>
              <w:rPr>
                <w:rFonts w:hint="eastAsia" w:ascii="仿宋" w:hAnsi="仿宋" w:eastAsia="仿宋"/>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1985"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付款方式</w:t>
            </w:r>
            <w:r>
              <w:rPr>
                <w:rFonts w:hint="eastAsia" w:ascii="仿宋" w:hAnsi="仿宋" w:eastAsia="仿宋" w:cs="Arial"/>
                <w:color w:val="000000" w:themeColor="text1"/>
                <w:sz w:val="24"/>
                <w14:textFill>
                  <w14:solidFill>
                    <w14:schemeClr w14:val="tx1"/>
                  </w14:solidFill>
                </w14:textFill>
              </w:rPr>
              <w:t>和支付条件</w:t>
            </w:r>
          </w:p>
        </w:tc>
        <w:tc>
          <w:tcPr>
            <w:tcW w:w="6662" w:type="dxa"/>
            <w:vAlign w:val="center"/>
          </w:tcPr>
          <w:p>
            <w:pPr>
              <w:spacing w:line="276" w:lineRule="auto"/>
              <w:jc w:val="left"/>
              <w:rPr>
                <w:rFonts w:ascii="仿宋" w:hAnsi="仿宋" w:eastAsia="仿宋" w:cs="Arial"/>
                <w:sz w:val="24"/>
              </w:rPr>
            </w:pPr>
            <w:r>
              <w:rPr>
                <w:rFonts w:hint="eastAsia" w:ascii="仿宋" w:hAnsi="仿宋" w:eastAsia="仿宋" w:cs="Arial"/>
                <w:sz w:val="24"/>
              </w:rPr>
              <w:t>7</w:t>
            </w:r>
            <w:r>
              <w:rPr>
                <w:rFonts w:ascii="仿宋" w:hAnsi="仿宋" w:eastAsia="仿宋" w:cs="Arial"/>
                <w:sz w:val="24"/>
              </w:rPr>
              <w:t>.1</w:t>
            </w:r>
            <w:r>
              <w:rPr>
                <w:rFonts w:hint="eastAsia" w:ascii="仿宋" w:hAnsi="仿宋" w:eastAsia="仿宋" w:cs="Arial"/>
                <w:sz w:val="24"/>
              </w:rPr>
              <w:t>合同签订后，中标供应商办结投标所有手续、具备履约条件后7个工作日内，甲方向乙方支付合同金额</w:t>
            </w:r>
            <w:r>
              <w:rPr>
                <w:rFonts w:hint="eastAsia" w:ascii="仿宋" w:hAnsi="仿宋" w:eastAsia="仿宋" w:cs="Arial"/>
                <w:b w:val="0"/>
                <w:bCs w:val="0"/>
                <w:color w:val="auto"/>
                <w:sz w:val="24"/>
              </w:rPr>
              <w:t>的</w:t>
            </w:r>
            <w:r>
              <w:rPr>
                <w:rFonts w:hint="eastAsia" w:ascii="仿宋" w:hAnsi="仿宋" w:eastAsia="仿宋"/>
                <w:b w:val="0"/>
                <w:bCs w:val="0"/>
                <w:color w:val="auto"/>
                <w:sz w:val="24"/>
              </w:rPr>
              <w:t>50%作为</w:t>
            </w:r>
            <w:r>
              <w:rPr>
                <w:rFonts w:hint="eastAsia" w:ascii="仿宋" w:hAnsi="仿宋" w:eastAsia="仿宋" w:cs="Arial"/>
                <w:sz w:val="24"/>
              </w:rPr>
              <w:t>合同预付款；</w:t>
            </w:r>
          </w:p>
          <w:p>
            <w:pPr>
              <w:spacing w:line="276" w:lineRule="auto"/>
              <w:jc w:val="left"/>
              <w:rPr>
                <w:rFonts w:ascii="仿宋" w:hAnsi="仿宋" w:eastAsia="仿宋" w:cs="Arial"/>
                <w:sz w:val="24"/>
              </w:rPr>
            </w:pPr>
            <w:r>
              <w:rPr>
                <w:rFonts w:hint="eastAsia" w:ascii="仿宋" w:hAnsi="仿宋" w:eastAsia="仿宋" w:cs="Arial"/>
                <w:sz w:val="24"/>
              </w:rPr>
              <w:t>7</w:t>
            </w:r>
            <w:r>
              <w:rPr>
                <w:rFonts w:ascii="仿宋" w:hAnsi="仿宋" w:eastAsia="仿宋" w:cs="Arial"/>
                <w:sz w:val="24"/>
              </w:rPr>
              <w:t>.</w:t>
            </w:r>
            <w:r>
              <w:rPr>
                <w:rFonts w:hint="eastAsia" w:ascii="仿宋" w:hAnsi="仿宋" w:eastAsia="仿宋" w:cs="Arial"/>
                <w:sz w:val="24"/>
                <w:lang w:val="en-US" w:eastAsia="zh-CN"/>
              </w:rPr>
              <w:t>2</w:t>
            </w:r>
            <w:r>
              <w:rPr>
                <w:rFonts w:hint="eastAsia" w:ascii="仿宋" w:hAnsi="仿宋" w:eastAsia="仿宋"/>
                <w:sz w:val="24"/>
              </w:rPr>
              <w:t>运维期结束且验收合格后，</w:t>
            </w:r>
            <w:r>
              <w:rPr>
                <w:rFonts w:hint="eastAsia" w:ascii="仿宋" w:hAnsi="仿宋" w:eastAsia="仿宋" w:cs="Arial"/>
                <w:sz w:val="24"/>
              </w:rPr>
              <w:t>甲方向乙方一次性付清剩余合同款项。</w:t>
            </w:r>
          </w:p>
          <w:p>
            <w:pPr>
              <w:spacing w:line="276" w:lineRule="auto"/>
              <w:jc w:val="left"/>
            </w:pPr>
            <w:r>
              <w:rPr>
                <w:rFonts w:hint="eastAsia" w:ascii="仿宋" w:hAnsi="仿宋" w:eastAsia="仿宋" w:cs="Arial"/>
                <w:sz w:val="24"/>
              </w:rPr>
              <w:t>备注：具体按采购人本年度预算情况调整，具体付款方式以合同签订为准。</w:t>
            </w:r>
          </w:p>
        </w:tc>
      </w:tr>
      <w:bookmarkEnd w:id="31"/>
    </w:tbl>
    <w:p>
      <w:pPr>
        <w:pStyle w:val="3"/>
        <w:rPr>
          <w:color w:val="000000" w:themeColor="text1"/>
          <w14:textFill>
            <w14:solidFill>
              <w14:schemeClr w14:val="tx1"/>
            </w14:solidFill>
          </w14:textFill>
        </w:rPr>
        <w:sectPr>
          <w:headerReference r:id="rId15" w:type="default"/>
          <w:pgSz w:w="11906" w:h="16838"/>
          <w:pgMar w:top="1701" w:right="1276" w:bottom="1440" w:left="1559" w:header="709" w:footer="754" w:gutter="0"/>
          <w:pgNumType w:fmt="numberInDash"/>
          <w:cols w:space="720" w:num="1"/>
          <w:docGrid w:linePitch="312" w:charSpace="0"/>
        </w:sectPr>
      </w:pPr>
      <w:bookmarkStart w:id="32" w:name="_Toc37949628"/>
      <w:bookmarkStart w:id="33" w:name="_Toc27190"/>
      <w:bookmarkStart w:id="34" w:name="_Toc17678"/>
      <w:bookmarkStart w:id="35" w:name="_Toc46838038"/>
    </w:p>
    <w:p>
      <w:pPr>
        <w:pStyle w:val="3"/>
        <w:rPr>
          <w:color w:val="000000" w:themeColor="text1"/>
          <w14:textFill>
            <w14:solidFill>
              <w14:schemeClr w14:val="tx1"/>
            </w14:solidFill>
          </w14:textFill>
        </w:rPr>
      </w:pPr>
      <w:bookmarkStart w:id="36" w:name="_Toc2831"/>
      <w:bookmarkStart w:id="37" w:name="_Toc5105"/>
      <w:r>
        <w:rPr>
          <w:rFonts w:hint="eastAsia"/>
          <w:color w:val="000000" w:themeColor="text1"/>
          <w14:textFill>
            <w14:solidFill>
              <w14:schemeClr w14:val="tx1"/>
            </w14:solidFill>
          </w14:textFill>
        </w:rPr>
        <w:t>四、特别说明与规定</w:t>
      </w:r>
      <w:bookmarkEnd w:id="32"/>
      <w:bookmarkEnd w:id="33"/>
      <w:bookmarkEnd w:id="34"/>
      <w:bookmarkEnd w:id="35"/>
      <w:bookmarkEnd w:id="36"/>
      <w:bookmarkEnd w:id="37"/>
    </w:p>
    <w:p>
      <w:pPr>
        <w:spacing w:line="360" w:lineRule="auto"/>
        <w:ind w:firstLine="424" w:firstLineChars="176"/>
        <w:rPr>
          <w:rFonts w:ascii="Times New Roman" w:hAnsi="Times New Roman"/>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本部分内容均为采购人基本要求，如投标供应商无法响应，须在《关于对采购文件中有关条款的拒绝声明》中详细说明，未说明的，视为认可并接受所有条款。</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4.1本项目单独一个标项，标项是最小投标单位，投标供应商必须对标项内的所有内容发起投标响应。</w:t>
      </w:r>
      <w:r>
        <w:rPr>
          <w:rFonts w:hint="eastAsia" w:ascii="仿宋" w:hAnsi="仿宋" w:eastAsia="仿宋"/>
          <w:b/>
          <w:color w:val="000000" w:themeColor="text1"/>
          <w:sz w:val="24"/>
          <w:u w:val="single"/>
          <w14:textFill>
            <w14:solidFill>
              <w14:schemeClr w14:val="tx1"/>
            </w14:solidFill>
          </w14:textFill>
        </w:rPr>
        <w:t>▲投标供应商在投标时出现遗漏的内容视为“已包含在投标总价内”，投标供应商如不接受将作无效标处理</w:t>
      </w:r>
      <w:r>
        <w:rPr>
          <w:rFonts w:hint="eastAsia" w:ascii="仿宋" w:hAnsi="仿宋" w:eastAsia="仿宋"/>
          <w:b/>
          <w:color w:val="000000" w:themeColor="text1"/>
          <w:sz w:val="24"/>
          <w14:textFill>
            <w14:solidFill>
              <w14:schemeClr w14:val="tx1"/>
            </w14:solidFill>
          </w14:textFill>
        </w:rPr>
        <w:t>。采购人不接受投标供应商给予的任何“赠品”或者“0元”或者与采购无关的其他商品、服务。</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4.2投标供应商须对采购中涉及到的专利负责，并保证不伤害采购人的利益。在法律范围内，所有文字、商标和技术侵权造成的相关费用，采购人概不负责。</w:t>
      </w:r>
    </w:p>
    <w:p>
      <w:pPr>
        <w:pStyle w:val="24"/>
      </w:pPr>
    </w:p>
    <w:p>
      <w:pPr>
        <w:pStyle w:val="8"/>
        <w:rPr>
          <w:color w:val="000000" w:themeColor="text1"/>
          <w14:textFill>
            <w14:solidFill>
              <w14:schemeClr w14:val="tx1"/>
            </w14:solidFill>
          </w14:textFill>
        </w:rPr>
      </w:pPr>
    </w:p>
    <w:p>
      <w:pPr>
        <w:widowControl/>
        <w:spacing w:line="360" w:lineRule="auto"/>
        <w:ind w:firstLine="403" w:firstLineChars="192"/>
        <w:jc w:val="left"/>
        <w:rPr>
          <w:color w:val="000000" w:themeColor="text1"/>
          <w14:textFill>
            <w14:solidFill>
              <w14:schemeClr w14:val="tx1"/>
            </w14:solidFill>
          </w14:textFill>
        </w:rPr>
        <w:sectPr>
          <w:pgSz w:w="11906" w:h="16838"/>
          <w:pgMar w:top="1701" w:right="1276" w:bottom="1440" w:left="1559" w:header="709" w:footer="754" w:gutter="0"/>
          <w:pgNumType w:fmt="numberInDash"/>
          <w:cols w:space="720" w:num="1"/>
          <w:docGrid w:linePitch="312" w:charSpace="0"/>
        </w:sectPr>
      </w:pPr>
    </w:p>
    <w:p>
      <w:pPr>
        <w:pStyle w:val="54"/>
        <w:rPr>
          <w:color w:val="000000" w:themeColor="text1"/>
          <w14:textFill>
            <w14:solidFill>
              <w14:schemeClr w14:val="tx1"/>
            </w14:solidFill>
          </w14:textFill>
        </w:rPr>
      </w:pPr>
      <w:bookmarkStart w:id="38" w:name="_Toc440162785"/>
      <w:bookmarkStart w:id="39" w:name="_Toc6244"/>
      <w:bookmarkStart w:id="40" w:name="_Toc21910"/>
      <w:bookmarkStart w:id="41" w:name="_Toc27726"/>
      <w:bookmarkStart w:id="42" w:name="_Toc424164153"/>
      <w:bookmarkStart w:id="43" w:name="_Toc26662"/>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投标须知</w:t>
      </w:r>
      <w:bookmarkEnd w:id="38"/>
      <w:bookmarkEnd w:id="39"/>
      <w:bookmarkEnd w:id="40"/>
      <w:bookmarkEnd w:id="41"/>
      <w:bookmarkEnd w:id="42"/>
      <w:bookmarkEnd w:id="43"/>
    </w:p>
    <w:p>
      <w:pPr>
        <w:pStyle w:val="43"/>
        <w:ind w:firstLine="372"/>
        <w:rPr>
          <w:color w:val="000000" w:themeColor="text1"/>
          <w14:textFill>
            <w14:solidFill>
              <w14:schemeClr w14:val="tx1"/>
            </w14:solidFill>
          </w14:textFill>
        </w:rPr>
      </w:pPr>
      <w:bookmarkStart w:id="44" w:name="_Toc1326"/>
      <w:bookmarkStart w:id="45" w:name="_Toc6692"/>
      <w:bookmarkStart w:id="46" w:name="_Toc16199"/>
      <w:bookmarkStart w:id="47" w:name="_Toc2860"/>
      <w:r>
        <w:rPr>
          <w:rFonts w:hint="eastAsia"/>
          <w:color w:val="000000" w:themeColor="text1"/>
          <w14:textFill>
            <w14:solidFill>
              <w14:schemeClr w14:val="tx1"/>
            </w14:solidFill>
          </w14:textFill>
        </w:rPr>
        <w:t>投标须知前附表</w:t>
      </w:r>
      <w:bookmarkEnd w:id="44"/>
      <w:bookmarkEnd w:id="45"/>
      <w:bookmarkEnd w:id="46"/>
      <w:bookmarkEnd w:id="47"/>
    </w:p>
    <w:tbl>
      <w:tblPr>
        <w:tblStyle w:val="58"/>
        <w:tblW w:w="9800" w:type="dxa"/>
        <w:tblInd w:w="-43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93"/>
        <w:gridCol w:w="2672"/>
        <w:gridCol w:w="603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567" w:hRule="atLeast"/>
          <w:tblHeader/>
        </w:trPr>
        <w:tc>
          <w:tcPr>
            <w:tcW w:w="1093"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672"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035"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项目名称</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浙江省城市运行安全数字化管理系统（被整合系统）运维项目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项目编号</w:t>
            </w:r>
          </w:p>
        </w:tc>
        <w:tc>
          <w:tcPr>
            <w:tcW w:w="6035" w:type="dxa"/>
            <w:vAlign w:val="center"/>
          </w:tcPr>
          <w:p>
            <w:pPr>
              <w:spacing w:line="276" w:lineRule="auto"/>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CTZB-2024080141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采购内容</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见《第二章 招标采购需求》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1.2.4</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采购预算</w:t>
            </w:r>
            <w:r>
              <w:rPr>
                <w:rFonts w:hint="eastAsia" w:ascii="仿宋" w:hAnsi="仿宋" w:eastAsia="仿宋" w:cs="Arial"/>
                <w:color w:val="000000" w:themeColor="text1"/>
                <w:sz w:val="24"/>
                <w14:textFill>
                  <w14:solidFill>
                    <w14:schemeClr w14:val="tx1"/>
                  </w14:solidFill>
                </w14:textFill>
              </w:rPr>
              <w:t>、最高限价</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1.2.5</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采购资金落实情况</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1.2.6</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项目类型</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sz w:val="24"/>
              </w:rPr>
              <w:t>C服务类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1.2.7</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采购标的所属行业</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软件和信息技术服务业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1.2.8</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采购人</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hint="eastAsia" w:ascii="仿宋" w:hAnsi="仿宋" w:eastAsia="仿宋" w:cs="Arial"/>
                <w:b/>
                <w:color w:val="000000" w:themeColor="text1"/>
                <w:sz w:val="24"/>
                <w14:textFill>
                  <w14:solidFill>
                    <w14:schemeClr w14:val="tx1"/>
                  </w14:solidFill>
                </w14:textFill>
              </w:rPr>
              <w:t>浙江省住房和城乡建设厅信息宣传中心</w:t>
            </w:r>
          </w:p>
          <w:p>
            <w:pPr>
              <w:spacing w:line="276" w:lineRule="auto"/>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金女士</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0571-81050916</w:t>
            </w:r>
            <w:r>
              <w:rPr>
                <w:rFonts w:hint="eastAsia" w:ascii="仿宋" w:hAnsi="仿宋" w:eastAsia="仿宋" w:cs="Arial"/>
                <w:color w:val="000000" w:themeColor="text1"/>
                <w:sz w:val="24"/>
                <w14:textFill>
                  <w14:solidFill>
                    <w14:schemeClr w14:val="tx1"/>
                  </w14:solidFill>
                </w14:textFill>
              </w:rPr>
              <w:t xml:space="preserve"> </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hint="eastAsia" w:ascii="仿宋" w:hAnsi="仿宋" w:eastAsia="仿宋" w:cs="Arial"/>
                <w:color w:val="000000" w:themeColor="text1"/>
                <w:sz w:val="24"/>
                <w14:textFill>
                  <w14:solidFill>
                    <w14:schemeClr w14:val="tx1"/>
                  </w14:solidFill>
                </w14:textFill>
              </w:rPr>
              <w:t>杭州市拱墅区密渡桥路51-1号省行政中心2号院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1.2.9</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使用单位（需求单位）</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同采购人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1.2.10</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采购代理机构</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ascii="仿宋" w:hAnsi="仿宋" w:eastAsia="仿宋" w:cs="Arial"/>
                <w:b/>
                <w:color w:val="000000" w:themeColor="text1"/>
                <w:sz w:val="24"/>
                <w14:textFill>
                  <w14:solidFill>
                    <w14:schemeClr w14:val="tx1"/>
                  </w14:solidFill>
                </w14:textFill>
              </w:rPr>
              <w:t>浙江省成套招标代理有限公司</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：张柳霞</w:t>
            </w:r>
            <w:r>
              <w:rPr>
                <w:rFonts w:hint="eastAsia" w:ascii="仿宋" w:hAnsi="仿宋" w:eastAsia="仿宋" w:cs="Arial"/>
                <w:color w:val="000000" w:themeColor="text1"/>
                <w:sz w:val="24"/>
                <w14:textFill>
                  <w14:solidFill>
                    <w14:schemeClr w14:val="tx1"/>
                  </w14:solidFill>
                </w14:textFill>
              </w:rPr>
              <w:t>、谢武剑</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：0571-85830297</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邮 箱：87631191@zjsct.cn</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w:t>
            </w:r>
            <w:r>
              <w:rPr>
                <w:rFonts w:hint="eastAsia" w:ascii="仿宋" w:hAnsi="仿宋" w:eastAsia="仿宋" w:cs="Arial"/>
                <w:color w:val="000000" w:themeColor="text1"/>
                <w:sz w:val="24"/>
                <w14:textFill>
                  <w14:solidFill>
                    <w14:schemeClr w14:val="tx1"/>
                  </w14:solidFill>
                </w14:textFill>
              </w:rPr>
              <w:t xml:space="preserve"> </w:t>
            </w:r>
            <w:r>
              <w:rPr>
                <w:rFonts w:ascii="仿宋" w:hAnsi="仿宋" w:eastAsia="仿宋" w:cs="Arial"/>
                <w:color w:val="000000" w:themeColor="text1"/>
                <w:sz w:val="24"/>
                <w14:textFill>
                  <w14:solidFill>
                    <w14:schemeClr w14:val="tx1"/>
                  </w14:solidFill>
                </w14:textFill>
              </w:rPr>
              <w:t>址：杭州市文晖路42号现代置业大厦西楼17</w:t>
            </w:r>
            <w:r>
              <w:rPr>
                <w:rFonts w:hint="eastAsia" w:ascii="仿宋" w:hAnsi="仿宋" w:eastAsia="仿宋" w:cs="Arial"/>
                <w:color w:val="000000" w:themeColor="text1"/>
                <w:sz w:val="24"/>
                <w14:textFill>
                  <w14:solidFill>
                    <w14:schemeClr w14:val="tx1"/>
                  </w14:solidFill>
                </w14:textFill>
              </w:rPr>
              <w:t>-18</w:t>
            </w:r>
            <w:r>
              <w:rPr>
                <w:rFonts w:ascii="仿宋" w:hAnsi="仿宋" w:eastAsia="仿宋" w:cs="Arial"/>
                <w:color w:val="000000" w:themeColor="text1"/>
                <w:sz w:val="24"/>
                <w14:textFill>
                  <w14:solidFill>
                    <w14:schemeClr w14:val="tx1"/>
                  </w14:solidFill>
                </w14:textFill>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交易方式</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电子交易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电子交易平台</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采购方式</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公开招标</w:t>
            </w:r>
            <w:r>
              <w:rPr>
                <w:rFonts w:hint="eastAsia" w:ascii="仿宋" w:hAnsi="仿宋" w:eastAsia="仿宋" w:cs="Arial"/>
                <w:color w:val="000000" w:themeColor="text1"/>
                <w:sz w:val="24"/>
                <w14:textFill>
                  <w14:solidFill>
                    <w14:schemeClr w14:val="tx1"/>
                  </w14:solidFill>
                </w14:textFill>
              </w:rPr>
              <w:t>（指采购人依法</w:t>
            </w:r>
            <w:r>
              <w:rPr>
                <w:rFonts w:ascii="仿宋" w:hAnsi="仿宋" w:eastAsia="仿宋" w:cs="Arial"/>
                <w:color w:val="000000" w:themeColor="text1"/>
                <w:sz w:val="24"/>
                <w14:textFill>
                  <w14:solidFill>
                    <w14:schemeClr w14:val="tx1"/>
                  </w14:solidFill>
                </w14:textFill>
              </w:rPr>
              <w:t>以招标公告的方式邀请</w:t>
            </w:r>
            <w:r>
              <w:rPr>
                <w:rFonts w:hint="eastAsia" w:ascii="仿宋" w:hAnsi="仿宋" w:eastAsia="仿宋" w:cs="Arial"/>
                <w:color w:val="000000" w:themeColor="text1"/>
                <w:sz w:val="24"/>
                <w14:textFill>
                  <w14:solidFill>
                    <w14:schemeClr w14:val="tx1"/>
                  </w14:solidFill>
                </w14:textFill>
              </w:rPr>
              <w:t>非</w:t>
            </w:r>
            <w:r>
              <w:rPr>
                <w:rFonts w:ascii="仿宋" w:hAnsi="仿宋" w:eastAsia="仿宋" w:cs="Arial"/>
                <w:color w:val="000000" w:themeColor="text1"/>
                <w:sz w:val="24"/>
                <w14:textFill>
                  <w14:solidFill>
                    <w14:schemeClr w14:val="tx1"/>
                  </w14:solidFill>
                </w14:textFill>
              </w:rPr>
              <w:t>特定的供应商参加投标</w:t>
            </w:r>
            <w:r>
              <w:rPr>
                <w:rFonts w:hint="eastAsia" w:ascii="仿宋" w:hAnsi="仿宋" w:eastAsia="仿宋" w:cs="Arial"/>
                <w:color w:val="000000" w:themeColor="text1"/>
                <w:sz w:val="24"/>
                <w14:textFill>
                  <w14:solidFill>
                    <w14:schemeClr w14:val="tx1"/>
                  </w14:solidFill>
                </w14:textFill>
              </w:rPr>
              <w:t>的采购方式）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申请人的资格要求</w:t>
            </w:r>
          </w:p>
          <w:p>
            <w:pPr>
              <w:spacing w:line="276" w:lineRule="auto"/>
              <w:jc w:val="center"/>
              <w:rPr>
                <w:rFonts w:ascii="仿宋" w:hAnsi="仿宋" w:eastAsia="仿宋" w:cs="Arial"/>
                <w:color w:val="000000" w:themeColor="text1"/>
                <w:w w:val="80"/>
                <w:sz w:val="24"/>
                <w14:textFill>
                  <w14:solidFill>
                    <w14:schemeClr w14:val="tx1"/>
                  </w14:solidFill>
                </w14:textFill>
              </w:rPr>
            </w:pPr>
            <w:r>
              <w:rPr>
                <w:rFonts w:hint="eastAsia" w:ascii="仿宋" w:hAnsi="仿宋" w:eastAsia="仿宋" w:cs="Arial"/>
                <w:color w:val="000000" w:themeColor="text1"/>
                <w:w w:val="80"/>
                <w:sz w:val="24"/>
                <w14:textFill>
                  <w14:solidFill>
                    <w14:schemeClr w14:val="tx1"/>
                  </w14:solidFill>
                </w14:textFill>
              </w:rPr>
              <w:t>（合格投标供应商资格要求）</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1.7.1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联合体投标</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2.4</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进口产品投标</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不接受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1.10.1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统一现场勘查</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90"/>
                <w:sz w:val="24"/>
                <w14:textFill>
                  <w14:solidFill>
                    <w14:schemeClr w14:val="tx1"/>
                  </w14:solidFill>
                </w14:textFill>
              </w:rPr>
              <w:t>不组织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答疑会时间、地点</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不召开</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1.12.5</w:t>
            </w:r>
          </w:p>
        </w:tc>
        <w:tc>
          <w:tcPr>
            <w:tcW w:w="2672"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核心产品内容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（非单一产品适用）</w:t>
            </w:r>
          </w:p>
        </w:tc>
        <w:tc>
          <w:tcPr>
            <w:tcW w:w="6035"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1.14.1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w:t>
            </w:r>
          </w:p>
        </w:tc>
        <w:tc>
          <w:tcPr>
            <w:tcW w:w="6035" w:type="dxa"/>
            <w:vAlign w:val="center"/>
          </w:tcPr>
          <w:p>
            <w:pPr>
              <w:spacing w:line="276" w:lineRule="auto"/>
              <w:rPr>
                <w:rFonts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本项目允许分包。</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分包内容要求：</w:t>
            </w:r>
            <w:r>
              <w:rPr>
                <w:rFonts w:hint="eastAsia" w:ascii="仿宋" w:hAnsi="仿宋" w:eastAsia="仿宋" w:cs="Arial"/>
                <w:color w:val="000000" w:themeColor="text1"/>
                <w:sz w:val="24"/>
                <w:u w:val="single"/>
                <w14:textFill>
                  <w14:solidFill>
                    <w14:schemeClr w14:val="tx1"/>
                  </w14:solidFill>
                </w14:textFill>
              </w:rPr>
              <w:t>服务过程中涉及物资的运输、安装工作</w:t>
            </w:r>
          </w:p>
          <w:p>
            <w:pPr>
              <w:spacing w:line="276" w:lineRule="auto"/>
            </w:pPr>
            <w:r>
              <w:rPr>
                <w:rFonts w:hint="eastAsia" w:ascii="仿宋" w:hAnsi="仿宋" w:eastAsia="仿宋" w:cs="Arial"/>
                <w:color w:val="000000" w:themeColor="text1"/>
                <w:sz w:val="24"/>
                <w14:textFill>
                  <w14:solidFill>
                    <w14:schemeClr w14:val="tx1"/>
                  </w14:solidFill>
                </w14:textFill>
              </w:rPr>
              <w:t>备注：供应商根据招标文件的规定和项目的实际情况，应当在投标文件中提供分包意向协议，载明分包承担主体，不得再次分包。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是否专门面向</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中小企业采购</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2.1.4</w:t>
            </w:r>
          </w:p>
        </w:tc>
        <w:tc>
          <w:tcPr>
            <w:tcW w:w="2672"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是否落实小、微企业</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价格扣除扶持政策</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是</w:t>
            </w:r>
            <w:r>
              <w:rPr>
                <w:rFonts w:hint="eastAsia" w:ascii="仿宋" w:hAnsi="仿宋" w:eastAsia="仿宋" w:cs="Arial"/>
                <w:color w:val="000000" w:themeColor="text1"/>
                <w:sz w:val="24"/>
                <w14:textFill>
                  <w14:solidFill>
                    <w14:schemeClr w14:val="tx1"/>
                  </w14:solidFill>
                </w14:textFill>
              </w:rPr>
              <w:t>（详见本章第2.1.4款相关规定）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2.2.1</w:t>
            </w:r>
          </w:p>
        </w:tc>
        <w:tc>
          <w:tcPr>
            <w:tcW w:w="2672" w:type="dxa"/>
            <w:vAlign w:val="center"/>
          </w:tcPr>
          <w:p>
            <w:pPr>
              <w:spacing w:line="276" w:lineRule="auto"/>
              <w:jc w:val="center"/>
              <w:rPr>
                <w:rFonts w:ascii="仿宋" w:hAnsi="仿宋" w:eastAsia="仿宋" w:cs="Arial"/>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是否落实节能、环保产品政府采购实施相关规定</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sz w:val="24"/>
              </w:rPr>
              <w:t>服务类项目不适用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w:t>
            </w:r>
          </w:p>
        </w:tc>
        <w:tc>
          <w:tcPr>
            <w:tcW w:w="2672"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采购文件</w:t>
            </w:r>
            <w:r>
              <w:rPr>
                <w:rFonts w:hint="eastAsia" w:ascii="仿宋" w:hAnsi="仿宋" w:eastAsia="仿宋" w:cs="Arial"/>
                <w:color w:val="000000" w:themeColor="text1"/>
                <w:sz w:val="24"/>
                <w14:textFill>
                  <w14:solidFill>
                    <w14:schemeClr w14:val="tx1"/>
                  </w14:solidFill>
                </w14:textFill>
              </w:rPr>
              <w:t>提</w:t>
            </w:r>
            <w:r>
              <w:rPr>
                <w:rFonts w:ascii="仿宋" w:hAnsi="仿宋" w:eastAsia="仿宋" w:cs="Arial"/>
                <w:color w:val="000000" w:themeColor="text1"/>
                <w:sz w:val="24"/>
                <w14:textFill>
                  <w14:solidFill>
                    <w14:schemeClr w14:val="tx1"/>
                  </w14:solidFill>
                </w14:textFill>
              </w:rPr>
              <w:t>疑截止时间</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20</w:t>
            </w:r>
            <w:r>
              <w:rPr>
                <w:rFonts w:hint="eastAsia" w:ascii="仿宋" w:hAnsi="仿宋" w:eastAsia="仿宋" w:cs="Arial"/>
                <w:b/>
                <w:color w:val="000000" w:themeColor="text1"/>
                <w:sz w:val="24"/>
                <w:u w:val="single"/>
                <w14:textFill>
                  <w14:solidFill>
                    <w14:schemeClr w14:val="tx1"/>
                  </w14:solidFill>
                </w14:textFill>
              </w:rPr>
              <w:t>24-08-</w:t>
            </w:r>
            <w:r>
              <w:rPr>
                <w:rFonts w:hint="eastAsia" w:ascii="仿宋" w:hAnsi="仿宋" w:eastAsia="仿宋" w:cs="Arial"/>
                <w:b/>
                <w:color w:val="000000" w:themeColor="text1"/>
                <w:sz w:val="24"/>
                <w:u w:val="single"/>
                <w:lang w:val="en-US" w:eastAsia="zh-CN"/>
                <w14:textFill>
                  <w14:solidFill>
                    <w14:schemeClr w14:val="tx1"/>
                  </w14:solidFill>
                </w14:textFill>
              </w:rPr>
              <w:t>19</w:t>
            </w:r>
            <w:r>
              <w:rPr>
                <w:rFonts w:hint="eastAsia" w:ascii="仿宋" w:hAnsi="仿宋" w:eastAsia="仿宋" w:cs="Arial"/>
                <w:b/>
                <w:color w:val="000000" w:themeColor="text1"/>
                <w:sz w:val="24"/>
                <w:u w:val="single"/>
                <w14:textFill>
                  <w14:solidFill>
                    <w14:schemeClr w14:val="tx1"/>
                  </w14:solidFill>
                </w14:textFill>
              </w:rPr>
              <w:t>，</w:t>
            </w:r>
            <w:r>
              <w:rPr>
                <w:rFonts w:ascii="仿宋" w:hAnsi="仿宋" w:eastAsia="仿宋" w:cs="Arial"/>
                <w:b/>
                <w:color w:val="000000" w:themeColor="text1"/>
                <w:sz w:val="24"/>
                <w:u w:val="single"/>
                <w14:textFill>
                  <w14:solidFill>
                    <w14:schemeClr w14:val="tx1"/>
                  </w14:solidFill>
                </w14:textFill>
              </w:rPr>
              <w:t>1</w:t>
            </w:r>
            <w:r>
              <w:rPr>
                <w:rFonts w:hint="eastAsia" w:ascii="仿宋" w:hAnsi="仿宋" w:eastAsia="仿宋" w:cs="Arial"/>
                <w:b/>
                <w:color w:val="000000" w:themeColor="text1"/>
                <w:sz w:val="24"/>
                <w:u w:val="single"/>
                <w:lang w:val="en-US" w:eastAsia="zh-CN"/>
                <w14:textFill>
                  <w14:solidFill>
                    <w14:schemeClr w14:val="tx1"/>
                  </w14:solidFill>
                </w14:textFill>
              </w:rPr>
              <w:t>0</w:t>
            </w:r>
            <w:r>
              <w:rPr>
                <w:rFonts w:hint="eastAsia" w:ascii="仿宋" w:hAnsi="仿宋" w:eastAsia="仿宋" w:cs="Arial"/>
                <w:b/>
                <w:color w:val="000000" w:themeColor="text1"/>
                <w:sz w:val="24"/>
                <w:u w:val="single"/>
                <w14:textFill>
                  <w14:solidFill>
                    <w14:schemeClr w14:val="tx1"/>
                  </w14:solidFill>
                </w14:textFill>
              </w:rPr>
              <w:t>:00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投标文件的形式</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电子加密的投标文件</w:t>
            </w:r>
            <w:r>
              <w:rPr>
                <w:rFonts w:hint="eastAsia" w:ascii="仿宋" w:hAnsi="仿宋" w:eastAsia="仿宋" w:cs="Arial"/>
                <w:color w:val="000000" w:themeColor="text1"/>
                <w:sz w:val="24"/>
                <w14:textFill>
                  <w14:solidFill>
                    <w14:schemeClr w14:val="tx1"/>
                  </w14:solidFill>
                </w14:textFill>
              </w:rPr>
              <w:t>（是指通过“政采云电子交易客户端”完成投标文件编制后生成并加密的数据电文形式的投标文件，</w:t>
            </w:r>
            <w:r>
              <w:rPr>
                <w:rFonts w:hint="eastAsia" w:ascii="仿宋" w:hAnsi="仿宋" w:eastAsia="仿宋" w:cs="Arial"/>
                <w:b/>
                <w:color w:val="000000" w:themeColor="text1"/>
                <w:sz w:val="24"/>
                <w14:textFill>
                  <w14:solidFill>
                    <w14:schemeClr w14:val="tx1"/>
                  </w14:solidFill>
                </w14:textFill>
              </w:rPr>
              <w:t>文件格式“.jmbs”</w:t>
            </w:r>
            <w:r>
              <w:rPr>
                <w:rFonts w:hint="eastAsia" w:ascii="仿宋" w:hAnsi="仿宋" w:eastAsia="仿宋" w:cs="Arial"/>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4.2.1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投标文件的组成</w:t>
            </w:r>
          </w:p>
        </w:tc>
        <w:tc>
          <w:tcPr>
            <w:tcW w:w="6035" w:type="dxa"/>
            <w:vAlign w:val="center"/>
          </w:tcPr>
          <w:p>
            <w:pPr>
              <w:spacing w:line="276" w:lineRule="auto"/>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资格文件、</w:t>
            </w:r>
            <w:r>
              <w:rPr>
                <w:rFonts w:ascii="仿宋" w:hAnsi="仿宋" w:eastAsia="仿宋" w:cs="Arial"/>
                <w:b/>
                <w:color w:val="000000" w:themeColor="text1"/>
                <w:sz w:val="24"/>
                <w14:textFill>
                  <w14:solidFill>
                    <w14:schemeClr w14:val="tx1"/>
                  </w14:solidFill>
                </w14:textFill>
              </w:rPr>
              <w:t>商务技术文件</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报价文件</w:t>
            </w:r>
            <w:r>
              <w:rPr>
                <w:rFonts w:hint="eastAsia" w:ascii="仿宋" w:hAnsi="仿宋" w:eastAsia="仿宋" w:cs="Arial"/>
                <w:color w:val="000000" w:themeColor="text1"/>
                <w:sz w:val="24"/>
                <w14:textFill>
                  <w14:solidFill>
                    <w14:schemeClr w14:val="tx1"/>
                  </w14:solidFill>
                </w14:textFill>
              </w:rPr>
              <w:t>（具体内容要求见本章4.2.2投标文件内容组成表）。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4.3.1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投标文件的编制</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r>
              <w:rPr>
                <w:rFonts w:hint="eastAsia" w:ascii="仿宋" w:hAnsi="仿宋" w:eastAsia="仿宋" w:cs="Arial"/>
                <w:color w:val="000000" w:themeColor="text1"/>
                <w:sz w:val="24"/>
                <w14:textFill>
                  <w14:solidFill>
                    <w14:schemeClr w14:val="tx1"/>
                  </w14:solidFill>
                </w14:textFill>
              </w:rPr>
              <w:t>）实行电子交易（在线投标响应）。</w:t>
            </w:r>
            <w:r>
              <w:rPr>
                <w:rFonts w:hint="eastAsia" w:ascii="仿宋" w:hAnsi="仿宋" w:eastAsia="仿宋" w:cs="Arial"/>
                <w:b/>
                <w:color w:val="000000" w:themeColor="text1"/>
                <w:sz w:val="24"/>
                <w:u w:val="single"/>
                <w14:textFill>
                  <w14:solidFill>
                    <w14:schemeClr w14:val="tx1"/>
                  </w14:solidFill>
                </w14:textFill>
              </w:rPr>
              <w:t>供应商参加本项目电子交易应当安装“政采云电子交易客户端”，并按照本采购文件和“政府采购云平台”的要求编制并加密投标文件。供应商未按规定加密的投标文件，“政府采购云平台”将予以拒收并提示</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4.4.1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投标文件的签章形式</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电子签章</w:t>
            </w:r>
            <w:r>
              <w:rPr>
                <w:rFonts w:hint="eastAsia" w:ascii="仿宋" w:hAnsi="仿宋" w:eastAsia="仿宋" w:cs="Arial"/>
                <w:color w:val="000000" w:themeColor="text1"/>
                <w:sz w:val="24"/>
                <w14:textFill>
                  <w14:solidFill>
                    <w14:schemeClr w14:val="tx1"/>
                  </w14:solidFill>
                </w14:textFill>
              </w:rPr>
              <w:t>。按《第三章投标须知》和《第六章投标文件格式》标注的要求进行盖章、签署（电子签章）。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合同形式</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总价合同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4.5.3</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投标报价</w:t>
            </w:r>
            <w:r>
              <w:rPr>
                <w:rFonts w:hint="eastAsia" w:ascii="仿宋" w:hAnsi="仿宋" w:eastAsia="仿宋" w:cs="Arial"/>
                <w:color w:val="000000" w:themeColor="text1"/>
                <w:sz w:val="24"/>
                <w14:textFill>
                  <w14:solidFill>
                    <w14:schemeClr w14:val="tx1"/>
                  </w14:solidFill>
                </w14:textFill>
              </w:rPr>
              <w:t>涵盖范围</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见《第二章 招标采购需求》“商务要求（合同商务条款主要内容）”，</w:t>
            </w:r>
            <w:r>
              <w:rPr>
                <w:rFonts w:hint="eastAsia" w:ascii="仿宋" w:hAnsi="仿宋" w:eastAsia="仿宋" w:cs="Arial"/>
                <w:b/>
                <w:color w:val="000000" w:themeColor="text1"/>
                <w:sz w:val="24"/>
                <w:u w:val="single"/>
                <w14:textFill>
                  <w14:solidFill>
                    <w14:schemeClr w14:val="tx1"/>
                  </w14:solidFill>
                </w14:textFill>
              </w:rPr>
              <w:t>投标供应商的投标报价涵盖范围不符合规定的，投标无效</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4.6.1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投标文件有效期</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自</w:t>
            </w:r>
            <w:r>
              <w:rPr>
                <w:rFonts w:hint="eastAsia" w:ascii="仿宋" w:hAnsi="仿宋" w:eastAsia="仿宋" w:cs="Arial"/>
                <w:b/>
                <w:color w:val="000000" w:themeColor="text1"/>
                <w:sz w:val="24"/>
                <w:u w:val="single"/>
                <w14:textFill>
                  <w14:solidFill>
                    <w14:schemeClr w14:val="tx1"/>
                  </w14:solidFill>
                </w14:textFill>
              </w:rPr>
              <w:t>投标</w:t>
            </w:r>
            <w:r>
              <w:rPr>
                <w:rFonts w:ascii="仿宋" w:hAnsi="仿宋" w:eastAsia="仿宋" w:cs="Arial"/>
                <w:b/>
                <w:color w:val="000000" w:themeColor="text1"/>
                <w:sz w:val="24"/>
                <w:u w:val="single"/>
                <w14:textFill>
                  <w14:solidFill>
                    <w14:schemeClr w14:val="tx1"/>
                  </w14:solidFill>
                </w14:textFill>
              </w:rPr>
              <w:t>截止之日起120天</w:t>
            </w:r>
            <w:r>
              <w:rPr>
                <w:rFonts w:hint="eastAsia" w:ascii="仿宋" w:hAnsi="仿宋" w:eastAsia="仿宋" w:cs="Arial"/>
                <w:b/>
                <w:color w:val="000000" w:themeColor="text1"/>
                <w:sz w:val="24"/>
                <w:u w:val="single"/>
                <w14:textFill>
                  <w14:solidFill>
                    <w14:schemeClr w14:val="tx1"/>
                  </w14:solidFill>
                </w14:textFill>
              </w:rPr>
              <w:t>内保持有效，否则投标无效</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备份投标文件的约定</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供应商在“政府采购云平台”完成电子加密“投标文件”的在线传输递交后，还可以在投标截止时间前通过邮寄等方式送达以介质存储的数据电文形式的“备份投标文件”。</w:t>
            </w:r>
            <w:r>
              <w:rPr>
                <w:rFonts w:hint="eastAsia" w:ascii="仿宋" w:hAnsi="仿宋" w:eastAsia="仿宋" w:cs="Arial"/>
                <w:b/>
                <w:color w:val="000000" w:themeColor="text1"/>
                <w:sz w:val="24"/>
                <w:u w:val="single"/>
                <w14:textFill>
                  <w14:solidFill>
                    <w14:schemeClr w14:val="tx1"/>
                  </w14:solidFill>
                </w14:textFill>
              </w:rPr>
              <w:t>“备份投标文件”由供应商自愿提交，不作强制性要求，但供应商仅递交了“备份投标文件”的，投标无效</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备份投标文件的编制</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供应商提交的备份投标文件应当是通过“政采云电子交易客户端”完成投标文件编制后，与电子加密“投标文件”同时生成的数据电文形式的未加密的备份投标文件，文件格式“.bfbs”。</w:t>
            </w:r>
            <w:r>
              <w:rPr>
                <w:rFonts w:hint="eastAsia" w:ascii="仿宋" w:hAnsi="仿宋" w:eastAsia="仿宋" w:cs="Arial"/>
                <w:b/>
                <w:color w:val="000000" w:themeColor="text1"/>
                <w:sz w:val="24"/>
                <w:u w:val="single"/>
                <w14:textFill>
                  <w14:solidFill>
                    <w14:schemeClr w14:val="tx1"/>
                  </w14:solidFill>
                </w14:textFill>
              </w:rPr>
              <w:t>以其他方式编制的“备份投标文件”视为无效“备份投标文件”</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4.7.3</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备份投标文件的存储、份数、密封包装、标识、递交接收</w:t>
            </w:r>
          </w:p>
        </w:tc>
        <w:tc>
          <w:tcPr>
            <w:tcW w:w="6035"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（1）备份投标文件的存储：</w:t>
            </w:r>
            <w:r>
              <w:rPr>
                <w:rFonts w:hint="eastAsia" w:ascii="仿宋" w:hAnsi="仿宋" w:eastAsia="仿宋"/>
                <w:color w:val="000000" w:themeColor="text1"/>
                <w:sz w:val="24"/>
                <w:u w:val="single"/>
                <w14:textFill>
                  <w14:solidFill>
                    <w14:schemeClr w14:val="tx1"/>
                  </w14:solidFill>
                </w14:textFill>
              </w:rPr>
              <w:t>以U盘或光盘介质存储</w:t>
            </w:r>
            <w:r>
              <w:rPr>
                <w:rFonts w:hint="eastAsia" w:ascii="仿宋" w:hAnsi="仿宋" w:eastAsia="仿宋"/>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（2）备份投标文件的份数：</w:t>
            </w:r>
            <w:r>
              <w:rPr>
                <w:rFonts w:hint="eastAsia" w:ascii="仿宋" w:hAnsi="仿宋" w:eastAsia="仿宋"/>
                <w:color w:val="000000" w:themeColor="text1"/>
                <w:sz w:val="24"/>
                <w:u w:val="single"/>
                <w14:textFill>
                  <w14:solidFill>
                    <w14:schemeClr w14:val="tx1"/>
                  </w14:solidFill>
                </w14:textFill>
              </w:rPr>
              <w:t>1份</w:t>
            </w:r>
            <w:r>
              <w:rPr>
                <w:rFonts w:hint="eastAsia" w:ascii="仿宋" w:hAnsi="仿宋" w:eastAsia="仿宋"/>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（3）备份投标文件的密封包装、标识：</w:t>
            </w:r>
            <w:r>
              <w:rPr>
                <w:rFonts w:hint="eastAsia" w:ascii="仿宋" w:hAnsi="仿宋" w:eastAsia="仿宋"/>
                <w:color w:val="000000" w:themeColor="text1"/>
                <w:sz w:val="24"/>
                <w14:textFill>
                  <w14:solidFill>
                    <w14:schemeClr w14:val="tx1"/>
                  </w14:solidFill>
                </w14:textFill>
              </w:rPr>
              <w:t>“备份投标文件”应当密封包装并在外包装上标注投标项目名称、投标单位名称并加盖公章。</w:t>
            </w:r>
            <w:r>
              <w:rPr>
                <w:rFonts w:hint="eastAsia" w:ascii="仿宋" w:hAnsi="仿宋" w:eastAsia="仿宋"/>
                <w:b/>
                <w:color w:val="000000" w:themeColor="text1"/>
                <w:sz w:val="24"/>
                <w:u w:val="single"/>
                <w14:textFill>
                  <w14:solidFill>
                    <w14:schemeClr w14:val="tx1"/>
                  </w14:solidFill>
                </w14:textFill>
              </w:rPr>
              <w:t>“备份投标文件”没有密封包装或标识或盖章的视为未递交</w:t>
            </w:r>
            <w:r>
              <w:rPr>
                <w:rFonts w:hint="eastAsia" w:ascii="仿宋" w:hAnsi="仿宋" w:eastAsia="仿宋"/>
                <w:b/>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（4）备份投标文件的递交与接收：</w:t>
            </w:r>
            <w:r>
              <w:rPr>
                <w:rFonts w:hint="eastAsia" w:ascii="仿宋" w:hAnsi="仿宋" w:eastAsia="仿宋"/>
                <w:b/>
                <w:color w:val="000000" w:themeColor="text1"/>
                <w:sz w:val="24"/>
                <w:u w:val="single"/>
                <w14:textFill>
                  <w14:solidFill>
                    <w14:schemeClr w14:val="tx1"/>
                  </w14:solidFill>
                </w14:textFill>
              </w:rPr>
              <w:t>投标截止时间前以邮寄等方式送达至采购代理机构</w:t>
            </w:r>
            <w:r>
              <w:rPr>
                <w:rFonts w:hint="eastAsia" w:ascii="仿宋" w:hAnsi="仿宋" w:eastAsia="仿宋"/>
                <w:color w:val="000000" w:themeColor="text1"/>
                <w:sz w:val="24"/>
                <w:u w:val="single"/>
                <w14:textFill>
                  <w14:solidFill>
                    <w14:schemeClr w14:val="tx1"/>
                  </w14:solidFill>
                </w14:textFill>
              </w:rPr>
              <w:t>（地址：杭州市文晖路42号现代置业大厦西楼1801室，接收人：张柳霞，电话：0571-85830297）</w:t>
            </w:r>
            <w:r>
              <w:rPr>
                <w:rFonts w:hint="eastAsia" w:ascii="仿宋" w:hAnsi="仿宋" w:eastAsia="仿宋"/>
                <w:color w:val="000000" w:themeColor="text1"/>
                <w:sz w:val="24"/>
                <w14:textFill>
                  <w14:solidFill>
                    <w14:schemeClr w14:val="tx1"/>
                  </w14:solidFill>
                </w14:textFill>
              </w:rPr>
              <w:t>，送达时间以采购代理机构工作人员实际签收时间为准，</w:t>
            </w:r>
            <w:r>
              <w:rPr>
                <w:rFonts w:hint="eastAsia" w:ascii="仿宋" w:hAnsi="仿宋" w:eastAsia="仿宋"/>
                <w:b/>
                <w:color w:val="000000" w:themeColor="text1"/>
                <w:sz w:val="24"/>
                <w:u w:val="single"/>
                <w14:textFill>
                  <w14:solidFill>
                    <w14:schemeClr w14:val="tx1"/>
                  </w14:solidFill>
                </w14:textFill>
              </w:rPr>
              <w:t>“备份投标文件”逾期送达的视为未递交</w:t>
            </w:r>
            <w:r>
              <w:rPr>
                <w:rFonts w:hint="eastAsia" w:ascii="仿宋" w:hAnsi="仿宋" w:eastAsia="仿宋"/>
                <w:color w:val="000000" w:themeColor="text1"/>
                <w:sz w:val="24"/>
                <w14:textFill>
                  <w14:solidFill>
                    <w14:schemeClr w14:val="tx1"/>
                  </w14:solidFill>
                </w14:textFill>
              </w:rPr>
              <w:t>。采用邮寄方式送达的，建议供应商提前办理。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4.8.1</w:t>
            </w:r>
          </w:p>
        </w:tc>
        <w:tc>
          <w:tcPr>
            <w:tcW w:w="2672"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投标样品</w:t>
            </w:r>
          </w:p>
        </w:tc>
        <w:tc>
          <w:tcPr>
            <w:tcW w:w="6035"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无需样品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4.9.1</w:t>
            </w:r>
          </w:p>
        </w:tc>
        <w:tc>
          <w:tcPr>
            <w:tcW w:w="2672"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方案讲解（系统演示）</w:t>
            </w:r>
          </w:p>
        </w:tc>
        <w:tc>
          <w:tcPr>
            <w:tcW w:w="6035"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 xml:space="preserve">  </w:t>
            </w:r>
            <w:r>
              <w:rPr>
                <w:rFonts w:ascii="仿宋" w:hAnsi="仿宋" w:eastAsia="仿宋" w:cs="Arial"/>
                <w:b/>
                <w:color w:val="000000" w:themeColor="text1"/>
                <w:kern w:val="0"/>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不组织。</w:t>
            </w:r>
          </w:p>
          <w:p>
            <w:pPr>
              <w:spacing w:line="276" w:lineRule="auto"/>
              <w:rPr>
                <w:rFonts w:ascii="仿宋" w:hAnsi="仿宋" w:eastAsia="仿宋" w:cs="Arial"/>
                <w:bCs/>
                <w:color w:val="000000"/>
                <w:kern w:val="0"/>
                <w:sz w:val="24"/>
              </w:rPr>
            </w:pPr>
            <w:r>
              <w:rPr>
                <w:rFonts w:hint="eastAsia" w:ascii="仿宋" w:hAnsi="仿宋" w:cs="MS Mincho"/>
                <w:bCs/>
                <w:color w:val="000000" w:themeColor="text1"/>
                <w:sz w:val="24"/>
                <w14:textFill>
                  <w14:solidFill>
                    <w14:schemeClr w14:val="tx1"/>
                  </w14:solidFill>
                </w14:textFill>
              </w:rPr>
              <w:t>□</w:t>
            </w:r>
            <w:r>
              <w:rPr>
                <w:rFonts w:hint="eastAsia" w:ascii="仿宋" w:hAnsi="仿宋" w:eastAsia="仿宋"/>
                <w:bCs/>
                <w:color w:val="000000" w:themeColor="text1"/>
                <w:kern w:val="0"/>
                <w:sz w:val="24"/>
                <w14:textFill>
                  <w14:solidFill>
                    <w14:schemeClr w14:val="tx1"/>
                  </w14:solidFill>
                </w14:textFill>
              </w:rPr>
              <w:t>【</w:t>
            </w:r>
            <w:r>
              <w:rPr>
                <w:rFonts w:ascii="仿宋" w:hAnsi="仿宋" w:eastAsia="仿宋"/>
                <w:bCs/>
                <w:color w:val="000000" w:themeColor="text1"/>
                <w:kern w:val="0"/>
                <w:sz w:val="24"/>
                <w14:textFill>
                  <w14:solidFill>
                    <w14:schemeClr w14:val="tx1"/>
                  </w14:solidFill>
                </w14:textFill>
              </w:rPr>
              <w:t>B组织</w:t>
            </w:r>
            <w:r>
              <w:rPr>
                <w:rFonts w:hint="eastAsia" w:ascii="仿宋" w:hAnsi="仿宋" w:eastAsia="仿宋"/>
                <w:bCs/>
                <w:color w:val="000000" w:themeColor="text1"/>
                <w:kern w:val="0"/>
                <w:sz w:val="24"/>
                <w14:textFill>
                  <w14:solidFill>
                    <w14:schemeClr w14:val="tx1"/>
                  </w14:solidFill>
                </w14:textFill>
              </w:rPr>
              <w:t>】，具体规定如下：</w:t>
            </w:r>
          </w:p>
          <w:p>
            <w:pPr>
              <w:snapToGrid w:val="0"/>
              <w:spacing w:line="276" w:lineRule="auto"/>
              <w:ind w:firstLine="314" w:firstLineChars="131"/>
              <w:rPr>
                <w:rFonts w:ascii="仿宋" w:hAnsi="仿宋" w:eastAsia="仿宋"/>
                <w:bCs/>
                <w:kern w:val="0"/>
                <w:sz w:val="24"/>
              </w:rPr>
            </w:pPr>
            <w:r>
              <w:rPr>
                <w:rFonts w:hint="eastAsia" w:ascii="仿宋" w:hAnsi="仿宋" w:eastAsia="仿宋"/>
                <w:bCs/>
                <w:i/>
                <w:kern w:val="0"/>
                <w:sz w:val="24"/>
                <w:u w:val="single"/>
              </w:rPr>
              <w:t>本项目要求投标人提交自行录制的可播放的音视频文件对投标产品的部分功能进行演示和讲解（演示内容见评分办法），音视频演示文件时长不得超过15分钟，并使用U盘存储。音视频演示文件应当于投标截止时间前密封送达</w:t>
            </w:r>
            <w:r>
              <w:rPr>
                <w:rFonts w:ascii="仿宋" w:hAnsi="仿宋" w:eastAsia="仿宋"/>
                <w:bCs/>
                <w:i/>
                <w:sz w:val="24"/>
                <w:szCs w:val="20"/>
                <w:u w:val="single"/>
              </w:rPr>
              <w:t>杭州市拱墅区文晖路42号现代置业大厦西楼</w:t>
            </w:r>
            <w:r>
              <w:rPr>
                <w:rFonts w:hint="eastAsia" w:ascii="仿宋" w:hAnsi="仿宋" w:eastAsia="仿宋"/>
                <w:bCs/>
                <w:i/>
                <w:sz w:val="24"/>
                <w:szCs w:val="20"/>
                <w:u w:val="single"/>
              </w:rPr>
              <w:t>1801室，逾期送达的不予接收</w:t>
            </w:r>
            <w:r>
              <w:rPr>
                <w:rFonts w:hint="eastAsia" w:ascii="仿宋" w:hAnsi="仿宋" w:eastAsia="仿宋"/>
                <w:bCs/>
                <w:sz w:val="24"/>
                <w:szCs w:val="20"/>
              </w:rPr>
              <w:t>。投标人未按规定进行演示的，相关评分作零分处理。</w:t>
            </w:r>
          </w:p>
          <w:p>
            <w:pPr>
              <w:snapToGrid w:val="0"/>
              <w:spacing w:line="276" w:lineRule="auto"/>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投标截止时间</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5.2.1</w:t>
            </w:r>
          </w:p>
        </w:tc>
        <w:tc>
          <w:tcPr>
            <w:tcW w:w="2672"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投标地点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（投标文件递交地点）</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5.3.1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投标文件的传输递交</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供应商应当在投标截止时间前完成投标文件的传输递交。投标截止时间前未完成传输的，视为撤回投标文件；投标截止时间以后递交的投标文件，“政府采购云平台”将予以拒收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（2）投标文件成功传输递交后，供应商可自行打印投标文件接收回执。</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（3）投标截止时间前，除供应商补充、修改或者撤回投标文件外，任何单位和个人不得解密或提取投标文件。</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w:t>
            </w:r>
            <w:r>
              <w:rPr>
                <w:rFonts w:hint="eastAsia" w:ascii="仿宋" w:hAnsi="仿宋" w:eastAsia="仿宋"/>
                <w:b/>
                <w:color w:val="000000" w:themeColor="text1"/>
                <w:sz w:val="24"/>
                <w:u w:val="single"/>
                <w14:textFill>
                  <w14:solidFill>
                    <w14:schemeClr w14:val="tx1"/>
                  </w14:solidFill>
                </w14:textFill>
              </w:rPr>
              <w:t>供应商传输递交的“投标文件”应是通过“政采云电子交易客户端”，并按采购文件和“政府采购云平台”要求编制并加密的电子加密投标文件</w:t>
            </w:r>
            <w:r>
              <w:rPr>
                <w:rFonts w:hint="eastAsia" w:ascii="仿宋" w:hAnsi="仿宋" w:eastAsia="仿宋"/>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开标时间</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同投标截止时间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开标地点</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开标</w:t>
            </w:r>
            <w:r>
              <w:rPr>
                <w:rFonts w:hint="eastAsia" w:ascii="仿宋" w:hAnsi="仿宋" w:eastAsia="仿宋" w:cs="Arial"/>
                <w:color w:val="000000" w:themeColor="text1"/>
                <w:sz w:val="24"/>
                <w14:textFill>
                  <w14:solidFill>
                    <w14:schemeClr w14:val="tx1"/>
                  </w14:solidFill>
                </w14:textFill>
              </w:rPr>
              <w:t>邀请</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本项目采用电子交易，采购组织机构将按照采购文件规定的开标时间通过“政府采购云平台，网址：</w:t>
            </w:r>
            <w:r>
              <w:fldChar w:fldCharType="begin"/>
            </w:r>
            <w:r>
              <w:instrText xml:space="preserve"> HYPERLINK "http://www.zcygov.cn" </w:instrText>
            </w:r>
            <w:r>
              <w:fldChar w:fldCharType="separate"/>
            </w:r>
            <w:r>
              <w:rPr>
                <w:rFonts w:ascii="仿宋" w:hAnsi="仿宋" w:eastAsia="仿宋"/>
                <w:b/>
                <w:color w:val="000000" w:themeColor="text1"/>
                <w:kern w:val="0"/>
                <w:sz w:val="24"/>
                <w14:textFill>
                  <w14:solidFill>
                    <w14:schemeClr w14:val="tx1"/>
                  </w14:solidFill>
                </w14:textFill>
              </w:rPr>
              <w:t>www.zcygov.cn</w:t>
            </w:r>
            <w:r>
              <w:rPr>
                <w:rFonts w:ascii="仿宋" w:hAnsi="仿宋" w:eastAsia="仿宋"/>
                <w:b/>
                <w:color w:val="000000" w:themeColor="text1"/>
                <w:kern w:val="0"/>
                <w:sz w:val="24"/>
                <w14:textFill>
                  <w14:solidFill>
                    <w14:schemeClr w14:val="tx1"/>
                  </w14:solidFill>
                </w14:textFill>
              </w:rPr>
              <w:fldChar w:fldCharType="end"/>
            </w:r>
            <w:r>
              <w:rPr>
                <w:rFonts w:hint="eastAsia" w:ascii="仿宋" w:hAnsi="仿宋" w:eastAsia="仿宋" w:cs="Arial"/>
                <w:b/>
                <w:color w:val="000000" w:themeColor="text1"/>
                <w:kern w:val="0"/>
                <w:sz w:val="24"/>
                <w14:textFill>
                  <w14:solidFill>
                    <w14:schemeClr w14:val="tx1"/>
                  </w14:solidFill>
                </w14:textFill>
              </w:rPr>
              <w:t>”组织开标、开启投标文件，所有供应商均应当准时在线参加。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6.2.3</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投标文件开启顺序</w:t>
            </w:r>
          </w:p>
        </w:tc>
        <w:tc>
          <w:tcPr>
            <w:tcW w:w="6035" w:type="dxa"/>
            <w:vAlign w:val="center"/>
          </w:tcPr>
          <w:p>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①资格文件-②商务技术文件-③报价文件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6.3.1（1）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开标后，采购代理机构在“政府采购云平台”发出投标文件【开始解密】通知，投标供应商应当登录“</w:t>
            </w: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b/>
                <w:color w:val="000000" w:themeColor="text1"/>
                <w:kern w:val="0"/>
                <w:sz w:val="24"/>
                <w14:textFill>
                  <w14:solidFill>
                    <w14:schemeClr w14:val="tx1"/>
                  </w14:solidFill>
                </w14:textFill>
              </w:rPr>
              <w:t>”并在规定的“在线解密时间期限（</w:t>
            </w:r>
            <w:r>
              <w:rPr>
                <w:rFonts w:hint="eastAsia" w:ascii="仿宋" w:hAnsi="仿宋" w:eastAsia="仿宋" w:cs="Arial"/>
                <w:b/>
                <w:color w:val="000000" w:themeColor="text1"/>
                <w:kern w:val="0"/>
                <w:sz w:val="24"/>
                <w:u w:val="single"/>
                <w14:textFill>
                  <w14:solidFill>
                    <w14:schemeClr w14:val="tx1"/>
                  </w14:solidFill>
                </w14:textFill>
              </w:rPr>
              <w:t>30</w:t>
            </w:r>
            <w:r>
              <w:rPr>
                <w:rFonts w:hint="eastAsia" w:ascii="仿宋" w:hAnsi="仿宋" w:eastAsia="仿宋" w:cs="Arial"/>
                <w:b/>
                <w:color w:val="000000" w:themeColor="text1"/>
                <w:kern w:val="0"/>
                <w:sz w:val="24"/>
                <w14:textFill>
                  <w14:solidFill>
                    <w14:schemeClr w14:val="tx1"/>
                  </w14:solidFill>
                </w14:textFill>
              </w:rPr>
              <w:t>分钟）”内自行完成投标文件的解密。</w:t>
            </w:r>
          </w:p>
          <w:p>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r>
              <w:rPr>
                <w:rFonts w:hint="eastAsia" w:ascii="仿宋" w:hAnsi="仿宋" w:eastAsia="仿宋"/>
                <w:color w:val="000000" w:themeColor="text1"/>
                <w:sz w:val="24"/>
                <w14:textFill>
                  <w14:solidFill>
                    <w14:schemeClr w14:val="tx1"/>
                  </w14:solidFill>
                </w14:textFill>
              </w:rPr>
              <w:t>投标截止时间前，除供应商补充、修改或者撤回投标文件外，任何单位和个人不得解密或提取投标文件。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6.3.1（2）</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异常情况处理办法</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供应商传输递交至“政府采购云平台”的电子加密“投标文件”无法按时解密时，按以下规定处理：</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未按规定递交合格的《备份投标文件》的或递交的《备份投标文件》无法成功上传的，视为投标文件撤回</w:t>
            </w:r>
            <w:r>
              <w:rPr>
                <w:rFonts w:hint="eastAsia" w:ascii="仿宋" w:hAnsi="仿宋" w:eastAsia="仿宋" w:cs="Arial"/>
                <w:b/>
                <w:color w:val="000000" w:themeColor="text1"/>
                <w:sz w:val="24"/>
                <w14:textFill>
                  <w14:solidFill>
                    <w14:schemeClr w14:val="tx1"/>
                  </w14:solidFill>
                </w14:textFill>
              </w:rPr>
              <w:t>。</w:t>
            </w:r>
          </w:p>
          <w:p>
            <w:pPr>
              <w:spacing w:line="276"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（3）《备份投标文件》上传成功后视为投标文件解密成功，供应商可以继续进入后续评审。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6.3.1（4）</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《政府采购活动现场确认声明书》</w:t>
            </w:r>
            <w:r>
              <w:rPr>
                <w:rFonts w:hint="eastAsia" w:ascii="仿宋" w:hAnsi="仿宋" w:eastAsia="仿宋" w:cs="Arial"/>
                <w:b/>
                <w:bCs/>
                <w:color w:val="000000" w:themeColor="text1"/>
                <w:kern w:val="0"/>
                <w:sz w:val="24"/>
                <w14:textFill>
                  <w14:solidFill>
                    <w14:schemeClr w14:val="tx1"/>
                  </w14:solidFill>
                </w14:textFill>
              </w:rPr>
              <w:t>的签署和提交</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供应商应当在投标文件解密结束后30分钟内，完成《政府采购活动现场确认声明书》的签署（盖章或签字，格式见第七章），并按照要求提交至政采云平台或采购组织机构指定邮箱（87631191@zjsct.cn）。</w:t>
            </w:r>
            <w:r>
              <w:rPr>
                <w:rFonts w:hint="eastAsia" w:ascii="仿宋" w:hAnsi="仿宋" w:eastAsia="仿宋"/>
                <w:b/>
                <w:color w:val="000000" w:themeColor="text1"/>
                <w:sz w:val="24"/>
                <w:u w:val="single"/>
                <w14:textFill>
                  <w14:solidFill>
                    <w14:schemeClr w14:val="tx1"/>
                  </w14:solidFill>
                </w14:textFill>
              </w:rPr>
              <w:t>未按规定提交有效的《政府采购活动现场确认声明书》的投标无效</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7.4</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w:t>
            </w:r>
            <w:r>
              <w:rPr>
                <w:rFonts w:hint="eastAsia" w:ascii="仿宋" w:hAnsi="仿宋" w:eastAsia="仿宋" w:cs="Arial"/>
                <w:color w:val="000000" w:themeColor="text1"/>
                <w:sz w:val="24"/>
                <w14:textFill>
                  <w14:solidFill>
                    <w14:schemeClr w14:val="tx1"/>
                  </w14:solidFill>
                </w14:textFill>
              </w:rPr>
              <w:t>信息</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查询、存档与使用</w:t>
            </w:r>
          </w:p>
        </w:tc>
        <w:tc>
          <w:tcPr>
            <w:tcW w:w="6035" w:type="dxa"/>
            <w:vAlign w:val="center"/>
          </w:tcPr>
          <w:p>
            <w:pPr>
              <w:spacing w:line="276" w:lineRule="auto"/>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（1）根据《</w:t>
            </w:r>
            <w:r>
              <w:rPr>
                <w:rFonts w:ascii="仿宋" w:hAnsi="仿宋" w:eastAsia="仿宋" w:cs="Arial"/>
                <w:color w:val="000000" w:themeColor="text1"/>
                <w:sz w:val="24"/>
                <w14:textFill>
                  <w14:solidFill>
                    <w14:schemeClr w14:val="tx1"/>
                  </w14:solidFill>
                </w14:textFill>
              </w:rPr>
              <w:t>财政部关于在政府采购活动中查询及使用信用记录</w:t>
            </w:r>
            <w:r>
              <w:rPr>
                <w:rFonts w:hint="eastAsia" w:ascii="仿宋" w:hAnsi="仿宋" w:eastAsia="仿宋" w:cs="Arial"/>
                <w:color w:val="000000" w:themeColor="text1"/>
                <w:sz w:val="24"/>
                <w14:textFill>
                  <w14:solidFill>
                    <w14:schemeClr w14:val="tx1"/>
                  </w14:solidFill>
                </w14:textFill>
              </w:rPr>
              <w:t>的通知》（</w:t>
            </w:r>
            <w:r>
              <w:rPr>
                <w:rFonts w:ascii="仿宋" w:hAnsi="仿宋" w:eastAsia="仿宋" w:cs="Arial"/>
                <w:color w:val="000000" w:themeColor="text1"/>
                <w:sz w:val="24"/>
                <w14:textFill>
                  <w14:solidFill>
                    <w14:schemeClr w14:val="tx1"/>
                  </w14:solidFill>
                </w14:textFill>
              </w:rPr>
              <w:t>财库〔2016〕125号</w:t>
            </w:r>
            <w:r>
              <w:rPr>
                <w:rFonts w:hint="eastAsia" w:ascii="仿宋" w:hAnsi="仿宋" w:eastAsia="仿宋" w:cs="Arial"/>
                <w:color w:val="000000" w:themeColor="text1"/>
                <w:sz w:val="24"/>
                <w14:textFill>
                  <w14:solidFill>
                    <w14:schemeClr w14:val="tx1"/>
                  </w14:solidFill>
                </w14:textFill>
              </w:rPr>
              <w:t>）相关规定，采购组织机构将统一通过</w:t>
            </w:r>
            <w:r>
              <w:rPr>
                <w:rFonts w:ascii="仿宋" w:hAnsi="仿宋" w:eastAsia="仿宋" w:cs="Arial"/>
                <w:color w:val="000000" w:themeColor="text1"/>
                <w:sz w:val="24"/>
                <w14:textFill>
                  <w14:solidFill>
                    <w14:schemeClr w14:val="tx1"/>
                  </w14:solidFill>
                </w14:textFill>
              </w:rPr>
              <w:t>“信用中国”网站（www.creditchina.gov.cn）、中国政府采购网（www.ccgp.gov.cn）等渠道查询</w:t>
            </w: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信用记录</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对供应商信用记录进行甄别</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凡是</w:t>
            </w:r>
            <w:r>
              <w:rPr>
                <w:rFonts w:ascii="仿宋" w:hAnsi="仿宋" w:eastAsia="仿宋" w:cs="Arial"/>
                <w:b/>
                <w:color w:val="000000" w:themeColor="text1"/>
                <w:sz w:val="24"/>
                <w:u w:val="single"/>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themeColor="text1"/>
                <w:sz w:val="24"/>
                <w:u w:val="single"/>
                <w14:textFill>
                  <w14:solidFill>
                    <w14:schemeClr w14:val="tx1"/>
                  </w14:solidFill>
                </w14:textFill>
              </w:rPr>
              <w:t>一律拒绝其参加本次政府采购活动</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查询工作在资格审查时由采购组织机构统一进行，查询结果打印后留存备案</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以联合体形式参加采购活动的，应当对所有联合体成员进行信用记录查询，联合体成员存在不良信用记录的，视同联合体存在不良信用记录。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8.7.1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评审</w:t>
            </w:r>
            <w:r>
              <w:rPr>
                <w:rFonts w:hint="eastAsia" w:ascii="仿宋" w:hAnsi="仿宋" w:eastAsia="仿宋" w:cs="Arial"/>
                <w:color w:val="000000" w:themeColor="text1"/>
                <w:sz w:val="24"/>
                <w14:textFill>
                  <w14:solidFill>
                    <w14:schemeClr w14:val="tx1"/>
                  </w14:solidFill>
                </w14:textFill>
              </w:rPr>
              <w:t>方法和标准</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综合评分法</w:t>
            </w:r>
            <w:r>
              <w:rPr>
                <w:rFonts w:ascii="仿宋" w:hAnsi="仿宋" w:eastAsia="仿宋" w:cs="Arial"/>
                <w:color w:val="000000" w:themeColor="text1"/>
                <w:sz w:val="24"/>
                <w14:textFill>
                  <w14:solidFill>
                    <w14:schemeClr w14:val="tx1"/>
                  </w14:solidFill>
                </w14:textFill>
              </w:rPr>
              <w:t>，详见采购文件《第四章 评审方法和标准》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9.1.1</w:t>
            </w:r>
          </w:p>
        </w:tc>
        <w:tc>
          <w:tcPr>
            <w:tcW w:w="2672"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确定中标供应商</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采购结果确认</w:t>
            </w:r>
            <w:r>
              <w:rPr>
                <w:rFonts w:hint="eastAsia" w:ascii="仿宋" w:hAnsi="仿宋" w:eastAsia="仿宋" w:cs="Arial"/>
                <w:color w:val="000000" w:themeColor="text1"/>
                <w:kern w:val="0"/>
                <w:sz w:val="24"/>
                <w14:textFill>
                  <w14:solidFill>
                    <w14:schemeClr w14:val="tx1"/>
                  </w14:solidFill>
                </w14:textFill>
              </w:rPr>
              <w:t>）</w:t>
            </w:r>
          </w:p>
        </w:tc>
        <w:tc>
          <w:tcPr>
            <w:tcW w:w="6035" w:type="dxa"/>
            <w:vAlign w:val="center"/>
          </w:tcPr>
          <w:p>
            <w:pPr>
              <w:spacing w:line="276" w:lineRule="auto"/>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本项目由</w:t>
            </w:r>
            <w:r>
              <w:rPr>
                <w:rFonts w:hint="eastAsia" w:ascii="仿宋" w:hAnsi="仿宋" w:eastAsia="仿宋" w:cs="Arial"/>
                <w:b/>
                <w:color w:val="000000" w:themeColor="text1"/>
                <w:kern w:val="0"/>
                <w:sz w:val="24"/>
                <w14:textFill>
                  <w14:solidFill>
                    <w14:schemeClr w14:val="tx1"/>
                  </w14:solidFill>
                </w14:textFill>
              </w:rPr>
              <w:t>采购</w:t>
            </w:r>
            <w:r>
              <w:rPr>
                <w:rFonts w:ascii="仿宋" w:hAnsi="仿宋" w:eastAsia="仿宋" w:cs="Arial"/>
                <w:b/>
                <w:color w:val="000000" w:themeColor="text1"/>
                <w:kern w:val="0"/>
                <w:sz w:val="24"/>
                <w14:textFill>
                  <w14:solidFill>
                    <w14:schemeClr w14:val="tx1"/>
                  </w14:solidFill>
                </w14:textFill>
              </w:rPr>
              <w:t>人根据评标委员会提交的《评审报告》</w:t>
            </w:r>
            <w:r>
              <w:rPr>
                <w:rFonts w:hint="eastAsia" w:ascii="仿宋" w:hAnsi="仿宋" w:eastAsia="仿宋" w:cs="Arial"/>
                <w:b/>
                <w:color w:val="000000" w:themeColor="text1"/>
                <w:kern w:val="0"/>
                <w:sz w:val="24"/>
                <w14:textFill>
                  <w14:solidFill>
                    <w14:schemeClr w14:val="tx1"/>
                  </w14:solidFill>
                </w14:textFill>
              </w:rPr>
              <w:t>，通过“政府采购云平台”</w:t>
            </w:r>
            <w:r>
              <w:rPr>
                <w:rFonts w:ascii="仿宋" w:hAnsi="仿宋" w:eastAsia="仿宋" w:cs="Arial"/>
                <w:b/>
                <w:color w:val="000000" w:themeColor="text1"/>
                <w:kern w:val="0"/>
                <w:sz w:val="24"/>
                <w14:textFill>
                  <w14:solidFill>
                    <w14:schemeClr w14:val="tx1"/>
                  </w14:solidFill>
                </w14:textFill>
              </w:rPr>
              <w:t>依法</w:t>
            </w:r>
            <w:r>
              <w:rPr>
                <w:rFonts w:hint="eastAsia" w:ascii="仿宋" w:hAnsi="仿宋" w:eastAsia="仿宋" w:cs="Arial"/>
                <w:b/>
                <w:color w:val="000000" w:themeColor="text1"/>
                <w:kern w:val="0"/>
                <w:sz w:val="24"/>
                <w14:textFill>
                  <w14:solidFill>
                    <w14:schemeClr w14:val="tx1"/>
                  </w14:solidFill>
                </w14:textFill>
              </w:rPr>
              <w:t>确认采购结果、</w:t>
            </w:r>
            <w:r>
              <w:rPr>
                <w:rFonts w:ascii="仿宋" w:hAnsi="仿宋" w:eastAsia="仿宋" w:cs="Arial"/>
                <w:b/>
                <w:color w:val="000000" w:themeColor="text1"/>
                <w:kern w:val="0"/>
                <w:sz w:val="24"/>
                <w14:textFill>
                  <w14:solidFill>
                    <w14:schemeClr w14:val="tx1"/>
                  </w14:solidFill>
                </w14:textFill>
              </w:rPr>
              <w:t>确定中标供应商。</w:t>
            </w:r>
            <w:r>
              <w:rPr>
                <w:rFonts w:hint="eastAsia" w:ascii="仿宋" w:hAnsi="仿宋" w:eastAsia="仿宋" w:cs="Arial"/>
                <w:color w:val="000000" w:themeColor="text1"/>
                <w:kern w:val="0"/>
                <w:sz w:val="24"/>
                <w14:textFill>
                  <w14:solidFill>
                    <w14:schemeClr w14:val="tx1"/>
                  </w14:solidFill>
                </w14:textFill>
              </w:rPr>
              <w:t>具体流程见本章第9.1.1款规定。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9.2.1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结果公告及《中标通知书》签发</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采购结果经采购人确认后2个工作日内，采购代理机构将在“浙江政府采购网”公告采购结果，同时向中标</w:t>
            </w:r>
            <w:r>
              <w:rPr>
                <w:rFonts w:hint="eastAsia" w:ascii="仿宋" w:hAnsi="仿宋" w:eastAsia="仿宋" w:cs="Arial"/>
                <w:color w:val="000000" w:themeColor="text1"/>
                <w:sz w:val="24"/>
                <w14:textFill>
                  <w14:solidFill>
                    <w14:schemeClr w14:val="tx1"/>
                  </w14:solidFill>
                </w14:textFill>
              </w:rPr>
              <w:t>供应商发出</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中标公告期限为1个工作日。</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备注：如采购人需要，中标供应商应提交装订成册的纸质版《投标文件》。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672"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采购代理服务费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收取标准或金额</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采购代理服务费金额：</w:t>
            </w:r>
            <w:r>
              <w:rPr>
                <w:rFonts w:hint="eastAsia" w:ascii="仿宋" w:hAnsi="仿宋" w:eastAsia="仿宋" w:cs="Arial"/>
                <w:b/>
                <w:color w:val="000000" w:themeColor="text1"/>
                <w:sz w:val="24"/>
                <w:u w:val="single"/>
                <w:lang w:val="en-US" w:eastAsia="zh-CN"/>
                <w14:textFill>
                  <w14:solidFill>
                    <w14:schemeClr w14:val="tx1"/>
                  </w14:solidFill>
                </w14:textFill>
              </w:rPr>
              <w:t>54</w:t>
            </w:r>
            <w:r>
              <w:rPr>
                <w:rFonts w:hint="eastAsia" w:ascii="仿宋" w:hAnsi="仿宋" w:eastAsia="仿宋" w:cs="Arial"/>
                <w:b/>
                <w:color w:val="000000" w:themeColor="text1"/>
                <w:sz w:val="24"/>
                <w:u w:val="single"/>
                <w14:textFill>
                  <w14:solidFill>
                    <w14:schemeClr w14:val="tx1"/>
                  </w14:solidFill>
                </w14:textFill>
              </w:rPr>
              <w:t>00</w:t>
            </w:r>
            <w:r>
              <w:rPr>
                <w:rFonts w:hint="eastAsia" w:ascii="仿宋" w:hAnsi="仿宋" w:eastAsia="仿宋" w:cs="Arial"/>
                <w:b/>
                <w:color w:val="000000" w:themeColor="text1"/>
                <w:sz w:val="24"/>
                <w14:textFill>
                  <w14:solidFill>
                    <w14:schemeClr w14:val="tx1"/>
                  </w14:solidFill>
                </w14:textFill>
              </w:rPr>
              <w:t>元。收取账户：</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户  名：浙江省成套招标代理有限公司</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帐  号：7331 6101 8260 0126 385</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开户行：中信银行杭州西湖支行</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采购代理服务费缴纳凭证将作为采购人合同付款和验收的前提条件，中标供应商未按采购文件规定和投标承诺缴纳采购代理服务费的，合同款不予支付、合同验收不予通过。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合同签订</w:t>
            </w:r>
            <w:r>
              <w:rPr>
                <w:rFonts w:hint="eastAsia" w:ascii="仿宋" w:hAnsi="仿宋" w:eastAsia="仿宋" w:cs="Arial"/>
                <w:color w:val="000000" w:themeColor="text1"/>
                <w:sz w:val="24"/>
                <w14:textFill>
                  <w14:solidFill>
                    <w14:schemeClr w14:val="tx1"/>
                  </w14:solidFill>
                </w14:textFill>
              </w:rPr>
              <w:t>时间期限</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发出后</w:t>
            </w:r>
            <w:r>
              <w:rPr>
                <w:rFonts w:hint="eastAsia" w:ascii="仿宋" w:hAnsi="仿宋" w:eastAsia="仿宋" w:cs="Arial"/>
                <w:color w:val="000000" w:themeColor="text1"/>
                <w:sz w:val="24"/>
                <w14:textFill>
                  <w14:solidFill>
                    <w14:schemeClr w14:val="tx1"/>
                  </w14:solidFill>
                </w14:textFill>
              </w:rPr>
              <w:t>30</w:t>
            </w:r>
            <w:r>
              <w:rPr>
                <w:rFonts w:ascii="仿宋" w:hAnsi="仿宋" w:eastAsia="仿宋" w:cs="Arial"/>
                <w:color w:val="000000" w:themeColor="text1"/>
                <w:sz w:val="24"/>
                <w14:textFill>
                  <w14:solidFill>
                    <w14:schemeClr w14:val="tx1"/>
                  </w14:solidFill>
                </w14:textFill>
              </w:rPr>
              <w:t>天内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履约保证金</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金额、形式、有效期</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履约保证金金额：</w:t>
            </w:r>
            <w:r>
              <w:rPr>
                <w:rFonts w:hint="eastAsia" w:ascii="仿宋" w:hAnsi="仿宋" w:eastAsia="仿宋" w:cs="Arial"/>
                <w:b/>
                <w:sz w:val="24"/>
                <w:u w:val="single"/>
              </w:rPr>
              <w:t>无</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履约保证金缴纳形式：支票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汇票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电汇/保函等非现金形式</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履约保证金接收人：采购人</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履约保证金有效期限：合同履行完毕前有效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中小企业信用融资</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fldChar w:fldCharType="begin"/>
            </w:r>
            <w:r>
              <w:instrText xml:space="preserve"> HYPERLINK "http://zfcg.czt.zj.gov.cn/" </w:instrText>
            </w:r>
            <w:r>
              <w:fldChar w:fldCharType="separate"/>
            </w:r>
            <w:r>
              <w:rPr>
                <w:rFonts w:hint="eastAsia" w:ascii="仿宋" w:hAnsi="仿宋" w:eastAsia="仿宋" w:cs="Arial"/>
                <w:color w:val="000000"/>
                <w:sz w:val="24"/>
              </w:rPr>
              <w:t>http://zfcg.czt.zj.gov.cn/</w:t>
            </w:r>
            <w:r>
              <w:rPr>
                <w:rFonts w:hint="eastAsia" w:ascii="仿宋" w:hAnsi="仿宋" w:eastAsia="仿宋" w:cs="Arial"/>
                <w:color w:val="000000"/>
                <w:sz w:val="24"/>
              </w:rPr>
              <w:fldChar w:fldCharType="end"/>
            </w:r>
            <w:r>
              <w:rPr>
                <w:rFonts w:hint="eastAsia" w:ascii="仿宋" w:hAnsi="仿宋" w:eastAsia="仿宋" w:cs="Arial"/>
                <w:color w:val="000000"/>
                <w:sz w:val="24"/>
              </w:rPr>
              <w:t>）中小企业信用融资栏目了解相关信息。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035"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供应商应仔细对照投标须知条款阅读本表，如本表与须知内容就同一事项规定不一致的，以本表规定为准</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ascii="仿宋" w:hAnsi="仿宋" w:eastAsia="仿宋" w:cs="Arial"/>
                <w:b/>
                <w:color w:val="000000" w:themeColor="text1"/>
                <w:sz w:val="24"/>
                <w:u w:val="single"/>
                <w14:textFill>
                  <w14:solidFill>
                    <w14:schemeClr w14:val="tx1"/>
                  </w14:solidFill>
                </w14:textFill>
              </w:rPr>
              <w:t>供应商在编制投标文件时</w:t>
            </w:r>
            <w:r>
              <w:rPr>
                <w:rFonts w:hint="eastAsia" w:ascii="仿宋" w:hAnsi="仿宋" w:eastAsia="仿宋" w:cs="Arial"/>
                <w:b/>
                <w:color w:val="000000" w:themeColor="text1"/>
                <w:sz w:val="24"/>
                <w:u w:val="single"/>
                <w14:textFill>
                  <w14:solidFill>
                    <w14:schemeClr w14:val="tx1"/>
                  </w14:solidFill>
                </w14:textFill>
              </w:rPr>
              <w:t>应当</w:t>
            </w:r>
            <w:r>
              <w:rPr>
                <w:rFonts w:ascii="仿宋" w:hAnsi="仿宋" w:eastAsia="仿宋" w:cs="Arial"/>
                <w:b/>
                <w:color w:val="000000" w:themeColor="text1"/>
                <w:sz w:val="24"/>
                <w:u w:val="single"/>
                <w14:textFill>
                  <w14:solidFill>
                    <w14:schemeClr w14:val="tx1"/>
                  </w14:solidFill>
                </w14:textFill>
              </w:rPr>
              <w:t>作出符合客观事实的真实响应，</w:t>
            </w:r>
            <w:r>
              <w:rPr>
                <w:rFonts w:hint="eastAsia" w:ascii="仿宋" w:hAnsi="仿宋" w:eastAsia="仿宋" w:cs="Arial"/>
                <w:b/>
                <w:color w:val="000000" w:themeColor="text1"/>
                <w:sz w:val="24"/>
                <w:u w:val="single"/>
                <w14:textFill>
                  <w14:solidFill>
                    <w14:schemeClr w14:val="tx1"/>
                  </w14:solidFill>
                </w14:textFill>
              </w:rPr>
              <w:t>采购人不接受</w:t>
            </w:r>
            <w:r>
              <w:rPr>
                <w:rFonts w:ascii="仿宋" w:hAnsi="仿宋" w:eastAsia="仿宋" w:cs="Arial"/>
                <w:b/>
                <w:color w:val="000000" w:themeColor="text1"/>
                <w:sz w:val="24"/>
                <w:u w:val="single"/>
                <w14:textFill>
                  <w14:solidFill>
                    <w14:schemeClr w14:val="tx1"/>
                  </w14:solidFill>
                </w14:textFill>
              </w:rPr>
              <w:t>任何</w:t>
            </w:r>
            <w:r>
              <w:rPr>
                <w:rFonts w:hint="eastAsia" w:ascii="仿宋" w:hAnsi="仿宋" w:eastAsia="仿宋" w:cs="Arial"/>
                <w:b/>
                <w:color w:val="000000" w:themeColor="text1"/>
                <w:sz w:val="24"/>
                <w:u w:val="single"/>
                <w14:textFill>
                  <w14:solidFill>
                    <w14:schemeClr w14:val="tx1"/>
                  </w14:solidFill>
                </w14:textFill>
              </w:rPr>
              <w:t>不符客观事实</w:t>
            </w:r>
            <w:r>
              <w:rPr>
                <w:rFonts w:ascii="仿宋" w:hAnsi="仿宋" w:eastAsia="仿宋" w:cs="Arial"/>
                <w:b/>
                <w:color w:val="000000" w:themeColor="text1"/>
                <w:sz w:val="24"/>
                <w:u w:val="single"/>
                <w14:textFill>
                  <w14:solidFill>
                    <w14:schemeClr w14:val="tx1"/>
                  </w14:solidFill>
                </w14:textFill>
              </w:rPr>
              <w:t>的“响应”或者“应标”</w:t>
            </w:r>
            <w:r>
              <w:rPr>
                <w:rFonts w:hint="eastAsia" w:ascii="仿宋" w:hAnsi="仿宋" w:eastAsia="仿宋" w:cs="Arial"/>
                <w:b/>
                <w:color w:val="000000" w:themeColor="text1"/>
                <w:sz w:val="24"/>
                <w:u w:val="single"/>
                <w14:textFill>
                  <w14:solidFill>
                    <w14:schemeClr w14:val="tx1"/>
                  </w14:solidFill>
                </w14:textFill>
              </w:rPr>
              <w:t>，情节严重的可视为</w:t>
            </w:r>
            <w:r>
              <w:rPr>
                <w:rFonts w:ascii="仿宋" w:hAnsi="仿宋" w:eastAsia="仿宋" w:cs="Arial"/>
                <w:b/>
                <w:color w:val="000000" w:themeColor="text1"/>
                <w:sz w:val="24"/>
                <w:u w:val="single"/>
                <w14:textFill>
                  <w14:solidFill>
                    <w14:schemeClr w14:val="tx1"/>
                  </w14:solidFill>
                </w14:textFill>
              </w:rPr>
              <w:t>“提供虚假材料”行为，并</w:t>
            </w:r>
            <w:r>
              <w:rPr>
                <w:rFonts w:hint="eastAsia" w:ascii="仿宋" w:hAnsi="仿宋" w:eastAsia="仿宋" w:cs="Arial"/>
                <w:b/>
                <w:color w:val="000000" w:themeColor="text1"/>
                <w:sz w:val="24"/>
                <w:u w:val="single"/>
                <w14:textFill>
                  <w14:solidFill>
                    <w14:schemeClr w14:val="tx1"/>
                  </w14:solidFill>
                </w14:textFill>
              </w:rPr>
              <w:t>参</w:t>
            </w:r>
            <w:r>
              <w:rPr>
                <w:rFonts w:ascii="仿宋" w:hAnsi="仿宋" w:eastAsia="仿宋" w:cs="Arial"/>
                <w:b/>
                <w:color w:val="000000" w:themeColor="text1"/>
                <w:sz w:val="24"/>
                <w:u w:val="single"/>
                <w14:textFill>
                  <w14:solidFill>
                    <w14:schemeClr w14:val="tx1"/>
                  </w14:solidFill>
                </w14:textFill>
              </w:rPr>
              <w:t>照“提供虚假材料”进行处理</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采购文件中</w:t>
            </w:r>
            <w:r>
              <w:rPr>
                <w:rFonts w:ascii="仿宋" w:hAnsi="仿宋" w:eastAsia="仿宋" w:cs="Arial"/>
                <w:b/>
                <w:color w:val="000000" w:themeColor="text1"/>
                <w:sz w:val="24"/>
                <w:u w:val="single"/>
                <w14:textFill>
                  <w14:solidFill>
                    <w14:schemeClr w14:val="tx1"/>
                  </w14:solidFill>
                </w14:textFill>
              </w:rPr>
              <w:t>标注“▲”的</w:t>
            </w:r>
            <w:r>
              <w:rPr>
                <w:rFonts w:hint="eastAsia" w:ascii="仿宋" w:hAnsi="仿宋" w:eastAsia="仿宋" w:cs="Arial"/>
                <w:b/>
                <w:color w:val="000000" w:themeColor="text1"/>
                <w:sz w:val="24"/>
                <w:u w:val="single"/>
                <w14:textFill>
                  <w14:solidFill>
                    <w14:schemeClr w14:val="tx1"/>
                  </w14:solidFill>
                </w14:textFill>
              </w:rPr>
              <w:t>技术或商务</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均</w:t>
            </w:r>
            <w:r>
              <w:rPr>
                <w:rFonts w:ascii="仿宋" w:hAnsi="仿宋" w:eastAsia="仿宋" w:cs="Arial"/>
                <w:b/>
                <w:color w:val="000000" w:themeColor="text1"/>
                <w:sz w:val="24"/>
                <w:u w:val="single"/>
                <w14:textFill>
                  <w14:solidFill>
                    <w14:schemeClr w14:val="tx1"/>
                  </w14:solidFill>
                </w14:textFill>
              </w:rPr>
              <w:t>为实质性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不满足</w:t>
            </w:r>
            <w:r>
              <w:rPr>
                <w:rFonts w:ascii="仿宋" w:hAnsi="仿宋" w:eastAsia="仿宋" w:cs="Arial"/>
                <w:b/>
                <w:color w:val="000000" w:themeColor="text1"/>
                <w:sz w:val="24"/>
                <w:u w:val="single"/>
                <w14:textFill>
                  <w14:solidFill>
                    <w14:schemeClr w14:val="tx1"/>
                  </w14:solidFill>
                </w14:textFill>
              </w:rPr>
              <w:t>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的</w:t>
            </w:r>
            <w:r>
              <w:rPr>
                <w:rFonts w:ascii="仿宋" w:hAnsi="仿宋" w:eastAsia="仿宋" w:cs="Arial"/>
                <w:b/>
                <w:color w:val="000000" w:themeColor="text1"/>
                <w:sz w:val="24"/>
                <w:u w:val="single"/>
                <w14:textFill>
                  <w14:solidFill>
                    <w14:schemeClr w14:val="tx1"/>
                  </w14:solidFill>
                </w14:textFill>
              </w:rPr>
              <w:t>投标无效</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（4）采购文件中所有</w:t>
            </w:r>
            <w:r>
              <w:rPr>
                <w:rFonts w:ascii="仿宋" w:hAnsi="仿宋" w:eastAsia="仿宋" w:cs="Arial"/>
                <w:color w:val="000000" w:themeColor="text1"/>
                <w:sz w:val="24"/>
                <w14:textFill>
                  <w14:solidFill>
                    <w14:schemeClr w14:val="tx1"/>
                  </w14:solidFill>
                </w14:textFill>
              </w:rPr>
              <w:t>加粗及加下划线的条款着重提请各供应商注意，请各供应商认真查看采购文件中的每一个条款及要求，因误读、漏读、错读采购文件内容而造成的一切后果，由供应商自行承担，采购组织机构概不负责</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（5）本项目仅提供电子版采购文件（不收取采购文件工本费），公告的电子版</w:t>
            </w:r>
            <w:r>
              <w:rPr>
                <w:rFonts w:ascii="仿宋" w:hAnsi="仿宋" w:eastAsia="仿宋" w:cs="Arial"/>
                <w:color w:val="000000" w:themeColor="text1"/>
                <w:sz w:val="24"/>
                <w14:textFill>
                  <w14:solidFill>
                    <w14:schemeClr w14:val="tx1"/>
                  </w14:solidFill>
                </w14:textFill>
              </w:rPr>
              <w:t>采购文件与</w:t>
            </w:r>
            <w:r>
              <w:rPr>
                <w:rFonts w:hint="eastAsia" w:ascii="仿宋" w:hAnsi="仿宋" w:eastAsia="仿宋" w:cs="Arial"/>
                <w:color w:val="000000" w:themeColor="text1"/>
                <w:sz w:val="24"/>
                <w14:textFill>
                  <w14:solidFill>
                    <w14:schemeClr w14:val="tx1"/>
                  </w14:solidFill>
                </w14:textFill>
              </w:rPr>
              <w:t>签章的</w:t>
            </w:r>
            <w:r>
              <w:rPr>
                <w:rFonts w:ascii="仿宋" w:hAnsi="仿宋" w:eastAsia="仿宋" w:cs="Arial"/>
                <w:color w:val="000000" w:themeColor="text1"/>
                <w:sz w:val="24"/>
                <w14:textFill>
                  <w14:solidFill>
                    <w14:schemeClr w14:val="tx1"/>
                  </w14:solidFill>
                </w14:textFill>
              </w:rPr>
              <w:t>纸质版</w:t>
            </w: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具有同等效力</w:t>
            </w:r>
            <w:r>
              <w:rPr>
                <w:rFonts w:hint="eastAsia" w:ascii="仿宋" w:hAnsi="仿宋" w:eastAsia="仿宋" w:cs="Arial"/>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12.3.1</w:t>
            </w:r>
          </w:p>
        </w:tc>
        <w:tc>
          <w:tcPr>
            <w:tcW w:w="2672"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解释</w:t>
            </w:r>
            <w:r>
              <w:rPr>
                <w:rFonts w:hint="eastAsia" w:ascii="仿宋" w:hAnsi="仿宋" w:eastAsia="仿宋" w:cs="Arial"/>
                <w:color w:val="000000" w:themeColor="text1"/>
                <w:sz w:val="24"/>
                <w14:textFill>
                  <w14:solidFill>
                    <w14:schemeClr w14:val="tx1"/>
                  </w14:solidFill>
                </w14:textFill>
              </w:rPr>
              <w:t>权</w:t>
            </w:r>
          </w:p>
        </w:tc>
        <w:tc>
          <w:tcPr>
            <w:tcW w:w="6035"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本文件</w:t>
            </w:r>
            <w:r>
              <w:rPr>
                <w:rFonts w:ascii="仿宋" w:hAnsi="仿宋" w:eastAsia="仿宋" w:cs="Arial"/>
                <w:b/>
                <w:color w:val="000000" w:themeColor="text1"/>
                <w:sz w:val="24"/>
                <w14:textFill>
                  <w14:solidFill>
                    <w14:schemeClr w14:val="tx1"/>
                  </w14:solidFill>
                </w14:textFill>
              </w:rPr>
              <w:t>的解释权属于</w:t>
            </w:r>
            <w:r>
              <w:rPr>
                <w:rFonts w:hint="eastAsia" w:ascii="仿宋" w:hAnsi="仿宋" w:eastAsia="仿宋" w:cs="Arial"/>
                <w:b/>
                <w:color w:val="000000" w:themeColor="text1"/>
                <w:sz w:val="24"/>
                <w14:textFill>
                  <w14:solidFill>
                    <w14:schemeClr w14:val="tx1"/>
                  </w14:solidFill>
                </w14:textFill>
              </w:rPr>
              <w:t>浙江省成套招标代理有限公司</w:t>
            </w:r>
            <w:r>
              <w:rPr>
                <w:rFonts w:ascii="仿宋" w:hAnsi="仿宋" w:eastAsia="仿宋" w:cs="Arial"/>
                <w:b/>
                <w:color w:val="000000" w:themeColor="text1"/>
                <w:sz w:val="24"/>
                <w14:textFill>
                  <w14:solidFill>
                    <w14:schemeClr w14:val="tx1"/>
                  </w14:solidFill>
                </w14:textFill>
              </w:rPr>
              <w:t>所有。</w:t>
            </w:r>
          </w:p>
        </w:tc>
      </w:tr>
    </w:tbl>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48" w:name="_Toc424164154"/>
      <w:r>
        <w:rPr>
          <w:color w:val="000000" w:themeColor="text1"/>
          <w14:textFill>
            <w14:solidFill>
              <w14:schemeClr w14:val="tx1"/>
            </w14:solidFill>
          </w14:textFill>
        </w:rPr>
        <w:br w:type="page"/>
      </w:r>
      <w:bookmarkStart w:id="49" w:name="_Toc15135"/>
      <w:bookmarkStart w:id="50" w:name="_Toc20762"/>
      <w:bookmarkStart w:id="51" w:name="_Toc23944"/>
      <w:bookmarkStart w:id="52" w:name="_Toc440162786"/>
      <w:bookmarkStart w:id="53" w:name="_Toc13496"/>
      <w:r>
        <w:rPr>
          <w:rFonts w:hint="eastAsia"/>
          <w:color w:val="000000" w:themeColor="text1"/>
          <w14:textFill>
            <w14:solidFill>
              <w14:schemeClr w14:val="tx1"/>
            </w14:solidFill>
          </w14:textFill>
        </w:rPr>
        <w:t>一、总则</w:t>
      </w:r>
      <w:bookmarkEnd w:id="48"/>
      <w:bookmarkEnd w:id="49"/>
      <w:bookmarkEnd w:id="50"/>
      <w:bookmarkEnd w:id="51"/>
      <w:bookmarkEnd w:id="52"/>
      <w:bookmarkEnd w:id="53"/>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 实施依据及适用范围</w:t>
      </w:r>
    </w:p>
    <w:p>
      <w:pPr>
        <w:pStyle w:val="8"/>
        <w:ind w:firstLine="426"/>
        <w:rPr>
          <w:color w:val="000000" w:themeColor="text1"/>
          <w14:textFill>
            <w14:solidFill>
              <w14:schemeClr w14:val="tx1"/>
            </w14:solidFill>
          </w14:textFill>
        </w:rPr>
      </w:pPr>
      <w:r>
        <w:rPr>
          <w:b/>
          <w:color w:val="000000" w:themeColor="text1"/>
          <w:kern w:val="0"/>
          <w14:textFill>
            <w14:solidFill>
              <w14:schemeClr w14:val="tx1"/>
            </w14:solidFill>
          </w14:textFill>
        </w:rPr>
        <w:t>1.1</w:t>
      </w:r>
      <w:r>
        <w:rPr>
          <w:rFonts w:hint="eastAsia"/>
          <w:b/>
          <w:color w:val="000000" w:themeColor="text1"/>
          <w:kern w:val="0"/>
          <w14:textFill>
            <w14:solidFill>
              <w14:schemeClr w14:val="tx1"/>
            </w14:solidFill>
          </w14:textFill>
        </w:rPr>
        <w:t>.1实施依据：</w:t>
      </w:r>
      <w:r>
        <w:rPr>
          <w:color w:val="000000" w:themeColor="text1"/>
          <w:kern w:val="0"/>
          <w14:textFill>
            <w14:solidFill>
              <w14:schemeClr w14:val="tx1"/>
            </w14:solidFill>
          </w14:textFill>
        </w:rPr>
        <w:t>本次</w:t>
      </w:r>
      <w:r>
        <w:rPr>
          <w:rFonts w:hint="eastAsia"/>
          <w:color w:val="000000" w:themeColor="text1"/>
          <w:kern w:val="0"/>
          <w14:textFill>
            <w14:solidFill>
              <w14:schemeClr w14:val="tx1"/>
            </w14:solidFill>
          </w14:textFill>
        </w:rPr>
        <w:t>采购工作</w:t>
      </w:r>
      <w:r>
        <w:rPr>
          <w:color w:val="000000" w:themeColor="text1"/>
          <w:kern w:val="0"/>
          <w14:textFill>
            <w14:solidFill>
              <w14:schemeClr w14:val="tx1"/>
            </w14:solidFill>
          </w14:textFill>
        </w:rPr>
        <w:t>按照《中华人民共和国政府采购法》</w:t>
      </w:r>
      <w:r>
        <w:rPr>
          <w:rFonts w:hint="eastAsia"/>
          <w:color w:val="000000" w:themeColor="text1"/>
          <w:kern w:val="0"/>
          <w14:textFill>
            <w14:solidFill>
              <w14:schemeClr w14:val="tx1"/>
            </w14:solidFill>
          </w14:textFill>
        </w:rPr>
        <w:t>、《中华人民共和国政府采购法实施条例》、《政府采购货物和服务招标投标管理办法》、《浙江省政府采购项目电子交易管理暂行办法》</w:t>
      </w:r>
      <w:r>
        <w:rPr>
          <w:color w:val="000000" w:themeColor="text1"/>
          <w:kern w:val="0"/>
          <w14:textFill>
            <w14:solidFill>
              <w14:schemeClr w14:val="tx1"/>
            </w14:solidFill>
          </w14:textFill>
        </w:rPr>
        <w:t>等</w:t>
      </w:r>
      <w:r>
        <w:rPr>
          <w:rFonts w:hint="eastAsia"/>
          <w:color w:val="000000" w:themeColor="text1"/>
          <w:kern w:val="0"/>
          <w14:textFill>
            <w14:solidFill>
              <w14:schemeClr w14:val="tx1"/>
            </w14:solidFill>
          </w14:textFill>
        </w:rPr>
        <w:t>政府采购</w:t>
      </w:r>
      <w:r>
        <w:rPr>
          <w:color w:val="000000" w:themeColor="text1"/>
          <w:kern w:val="0"/>
          <w14:textFill>
            <w14:solidFill>
              <w14:schemeClr w14:val="tx1"/>
            </w14:solidFill>
          </w14:textFill>
        </w:rPr>
        <w:t>有关法律、法规、规章、文件的规定组织和实施</w:t>
      </w:r>
      <w:r>
        <w:rPr>
          <w:rFonts w:hint="eastAsia"/>
          <w:color w:val="000000" w:themeColor="text1"/>
          <w:kern w:val="0"/>
          <w14:textFill>
            <w14:solidFill>
              <w14:schemeClr w14:val="tx1"/>
            </w14:solidFill>
          </w14:textFill>
        </w:rPr>
        <w:t>。</w:t>
      </w:r>
    </w:p>
    <w:p>
      <w:pPr>
        <w:pStyle w:val="8"/>
        <w:spacing w:after="240"/>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1.2</w:t>
      </w:r>
      <w:r>
        <w:rPr>
          <w:rFonts w:hint="eastAsia"/>
          <w:b/>
          <w:color w:val="000000" w:themeColor="text1"/>
          <w:kern w:val="0"/>
          <w14:textFill>
            <w14:solidFill>
              <w14:schemeClr w14:val="tx1"/>
            </w14:solidFill>
          </w14:textFill>
        </w:rPr>
        <w:t>适用范围：</w:t>
      </w:r>
      <w:r>
        <w:rPr>
          <w:color w:val="000000" w:themeColor="text1"/>
          <w:kern w:val="0"/>
          <w14:textFill>
            <w14:solidFill>
              <w14:schemeClr w14:val="tx1"/>
            </w14:solidFill>
          </w14:textFill>
        </w:rPr>
        <w:t>本采购文件适用于</w:t>
      </w:r>
      <w:r>
        <w:rPr>
          <w:rFonts w:hint="eastAsia"/>
          <w:b/>
          <w:color w:val="000000" w:themeColor="text1"/>
          <w:kern w:val="0"/>
          <w:u w:val="single"/>
          <w14:textFill>
            <w14:solidFill>
              <w14:schemeClr w14:val="tx1"/>
            </w14:solidFill>
          </w14:textFill>
        </w:rPr>
        <w:t>浙江省城市运行安全数字化管理系统（被整合系统）运维项目（项目编号：</w:t>
      </w:r>
      <w:r>
        <w:rPr>
          <w:rFonts w:hint="eastAsia"/>
          <w:b/>
          <w:color w:val="000000" w:themeColor="text1"/>
          <w:kern w:val="0"/>
          <w:u w:val="single"/>
          <w:lang w:eastAsia="zh-CN"/>
          <w14:textFill>
            <w14:solidFill>
              <w14:schemeClr w14:val="tx1"/>
            </w14:solidFill>
          </w14:textFill>
        </w:rPr>
        <w:t>CTZB-2024080141</w:t>
      </w:r>
      <w:r>
        <w:rPr>
          <w:rFonts w:hint="eastAsia"/>
          <w:b/>
          <w:color w:val="000000" w:themeColor="text1"/>
          <w:kern w:val="0"/>
          <w:u w:val="single"/>
          <w14:textFill>
            <w14:solidFill>
              <w14:schemeClr w14:val="tx1"/>
            </w14:solidFill>
          </w14:textFill>
        </w:rPr>
        <w:t>）</w:t>
      </w:r>
      <w:r>
        <w:rPr>
          <w:color w:val="000000" w:themeColor="text1"/>
          <w:kern w:val="0"/>
          <w14:textFill>
            <w14:solidFill>
              <w14:schemeClr w14:val="tx1"/>
            </w14:solidFill>
          </w14:textFill>
        </w:rPr>
        <w:t>的招标、</w:t>
      </w:r>
      <w:r>
        <w:rPr>
          <w:rFonts w:hint="eastAsia"/>
          <w:color w:val="000000" w:themeColor="text1"/>
          <w:kern w:val="0"/>
          <w14:textFill>
            <w14:solidFill>
              <w14:schemeClr w14:val="tx1"/>
            </w14:solidFill>
          </w14:textFill>
        </w:rPr>
        <w:t>投标、</w:t>
      </w:r>
      <w:r>
        <w:rPr>
          <w:color w:val="000000" w:themeColor="text1"/>
          <w:kern w:val="0"/>
          <w14:textFill>
            <w14:solidFill>
              <w14:schemeClr w14:val="tx1"/>
            </w14:solidFill>
          </w14:textFill>
        </w:rPr>
        <w:t>评标、定标、验收、合同履约、付款等（法律、法规另有规定的，从其规定）。</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 项目基本信息</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1.2.1项目名称：</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1.2.2项目编号：</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1.2.3采购内容：</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1.2.4采购预算、最高限价：</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1.2.5资金落实情况：</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1.2.6项目类型：</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1.2.7</w:t>
      </w:r>
      <w:r>
        <w:rPr>
          <w:rFonts w:hint="eastAsia" w:ascii="仿宋" w:hAnsi="仿宋" w:eastAsia="仿宋" w:cs="Arial"/>
          <w:b/>
          <w:color w:val="000000" w:themeColor="text1"/>
          <w:sz w:val="24"/>
          <w14:textFill>
            <w14:solidFill>
              <w14:schemeClr w14:val="tx1"/>
            </w14:solidFill>
          </w14:textFill>
        </w:rPr>
        <w:t>采购标的所属行业</w:t>
      </w:r>
      <w:r>
        <w:rPr>
          <w:rFonts w:hint="eastAsia" w:ascii="仿宋" w:hAnsi="仿宋" w:eastAsia="仿宋"/>
          <w:b/>
          <w:color w:val="000000" w:themeColor="text1"/>
          <w:kern w:val="0"/>
          <w:sz w:val="24"/>
          <w:szCs w:val="20"/>
          <w14:textFill>
            <w14:solidFill>
              <w14:schemeClr w14:val="tx1"/>
            </w14:solidFill>
          </w14:textFill>
        </w:rPr>
        <w:t>：</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1.2.8采购人：</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1.2.9使用单位（需求单位）：</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1.2.10采购代理机构：</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1.2.11交易方式：</w:t>
      </w:r>
      <w:r>
        <w:rPr>
          <w:rFonts w:hint="eastAsia" w:ascii="仿宋" w:hAnsi="仿宋" w:eastAsia="仿宋"/>
          <w:color w:val="000000" w:themeColor="text1"/>
          <w:kern w:val="0"/>
          <w:sz w:val="24"/>
          <w:szCs w:val="20"/>
          <w14:textFill>
            <w14:solidFill>
              <w14:schemeClr w14:val="tx1"/>
            </w14:solidFill>
          </w14:textFill>
        </w:rPr>
        <w:t>见《投标须知前附表》</w:t>
      </w:r>
    </w:p>
    <w:p>
      <w:pPr>
        <w:pStyle w:val="8"/>
        <w:spacing w:after="240"/>
        <w:ind w:firstLine="426"/>
        <w:rPr>
          <w:rFonts w:cs="Arial"/>
          <w:color w:val="000000" w:themeColor="text1"/>
          <w:kern w:val="0"/>
          <w14:textFill>
            <w14:solidFill>
              <w14:schemeClr w14:val="tx1"/>
            </w14:solidFill>
          </w14:textFill>
        </w:rPr>
      </w:pPr>
      <w:r>
        <w:rPr>
          <w:rFonts w:hint="eastAsia"/>
          <w:b/>
          <w:color w:val="000000" w:themeColor="text1"/>
          <w:szCs w:val="24"/>
          <w14:textFill>
            <w14:solidFill>
              <w14:schemeClr w14:val="tx1"/>
            </w14:solidFill>
          </w14:textFill>
        </w:rPr>
        <w:t>1.2.12电子交易平台：</w:t>
      </w:r>
      <w:r>
        <w:rPr>
          <w:rFonts w:hint="eastAsia"/>
          <w:color w:val="000000" w:themeColor="text1"/>
          <w:kern w:val="0"/>
          <w:szCs w:val="24"/>
          <w14:textFill>
            <w14:solidFill>
              <w14:schemeClr w14:val="tx1"/>
            </w14:solidFill>
          </w14:textFill>
        </w:rPr>
        <w:t>见《投标须知前附表》</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1.3 采购</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和采购组织类型</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采购方式：</w:t>
      </w:r>
      <w:r>
        <w:rPr>
          <w:rFonts w:hint="eastAsia"/>
          <w:color w:val="000000" w:themeColor="text1"/>
          <w:kern w:val="0"/>
          <w14:textFill>
            <w14:solidFill>
              <w14:schemeClr w14:val="tx1"/>
            </w14:solidFill>
          </w14:textFill>
        </w:rPr>
        <w:t>见《投标须知前附表》</w:t>
      </w:r>
    </w:p>
    <w:p>
      <w:pPr>
        <w:pStyle w:val="8"/>
        <w:spacing w:after="240"/>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1.3.2采购组织类型：</w:t>
      </w:r>
      <w:r>
        <w:rPr>
          <w:rFonts w:cs="Arial"/>
          <w:color w:val="000000" w:themeColor="text1"/>
          <w14:textFill>
            <w14:solidFill>
              <w14:schemeClr w14:val="tx1"/>
            </w14:solidFill>
          </w14:textFill>
        </w:rPr>
        <w:t>分散采购-分散委托中介</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1.4 申请人的资格要求</w:t>
      </w:r>
    </w:p>
    <w:p>
      <w:pPr>
        <w:pStyle w:val="8"/>
        <w:spacing w:after="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1.4.1申请人的资格要求（合格投标供应商的资格要求）：</w:t>
      </w:r>
      <w:r>
        <w:rPr>
          <w:rFonts w:hint="eastAsia"/>
          <w:color w:val="000000" w:themeColor="text1"/>
          <w:kern w:val="0"/>
          <w14:textFill>
            <w14:solidFill>
              <w14:schemeClr w14:val="tx1"/>
            </w14:solidFill>
          </w14:textFill>
        </w:rPr>
        <w:t>见《投标须知前附表》。</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定义</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1.5</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采购人</w:t>
      </w:r>
      <w:r>
        <w:rPr>
          <w:rFonts w:hint="eastAsia"/>
          <w:b/>
          <w:color w:val="000000" w:themeColor="text1"/>
          <w:kern w:val="0"/>
          <w14:textFill>
            <w14:solidFill>
              <w14:schemeClr w14:val="tx1"/>
            </w14:solidFill>
          </w14:textFill>
        </w:rPr>
        <w:t>”：</w:t>
      </w:r>
      <w:r>
        <w:rPr>
          <w:color w:val="000000" w:themeColor="text1"/>
          <w14:textFill>
            <w14:solidFill>
              <w14:schemeClr w14:val="tx1"/>
            </w14:solidFill>
          </w14:textFill>
        </w:rPr>
        <w:t>是</w:t>
      </w:r>
      <w:r>
        <w:rPr>
          <w:color w:val="000000" w:themeColor="text1"/>
          <w:kern w:val="0"/>
          <w14:textFill>
            <w14:solidFill>
              <w14:schemeClr w14:val="tx1"/>
            </w14:solidFill>
          </w14:textFill>
        </w:rPr>
        <w:t>指依法进行政府采购的国家机关、事业单位、团体组织</w:t>
      </w:r>
      <w:r>
        <w:rPr>
          <w:rFonts w:hint="eastAsia"/>
          <w:color w:val="000000" w:themeColor="text1"/>
          <w:kern w:val="0"/>
          <w14:textFill>
            <w14:solidFill>
              <w14:schemeClr w14:val="tx1"/>
            </w14:solidFill>
          </w14:textFill>
        </w:rPr>
        <w:t>，即政府采购</w:t>
      </w:r>
      <w:r>
        <w:rPr>
          <w:color w:val="000000" w:themeColor="text1"/>
          <w:kern w:val="0"/>
          <w14:textFill>
            <w14:solidFill>
              <w14:schemeClr w14:val="tx1"/>
            </w14:solidFill>
          </w14:textFill>
        </w:rPr>
        <w:t>合同</w:t>
      </w:r>
      <w:r>
        <w:rPr>
          <w:rFonts w:hint="eastAsia"/>
          <w:color w:val="000000" w:themeColor="text1"/>
          <w:kern w:val="0"/>
          <w14:textFill>
            <w14:solidFill>
              <w14:schemeClr w14:val="tx1"/>
            </w14:solidFill>
          </w14:textFill>
        </w:rPr>
        <w:t>中</w:t>
      </w:r>
      <w:r>
        <w:rPr>
          <w:color w:val="000000" w:themeColor="text1"/>
          <w:kern w:val="0"/>
          <w14:textFill>
            <w14:solidFill>
              <w14:schemeClr w14:val="tx1"/>
            </w14:solidFill>
          </w14:textFill>
        </w:rPr>
        <w:t>的</w:t>
      </w:r>
      <w:r>
        <w:rPr>
          <w:rFonts w:hint="eastAsia"/>
          <w:color w:val="000000" w:themeColor="text1"/>
          <w:kern w:val="0"/>
          <w14:textFill>
            <w14:solidFill>
              <w14:schemeClr w14:val="tx1"/>
            </w14:solidFill>
          </w14:textFill>
        </w:rPr>
        <w:t>“甲方”</w:t>
      </w:r>
      <w:r>
        <w:rPr>
          <w:rFonts w:hint="eastAsia"/>
          <w:b/>
          <w:color w:val="000000" w:themeColor="text1"/>
          <w:kern w:val="0"/>
          <w14:textFill>
            <w14:solidFill>
              <w14:schemeClr w14:val="tx1"/>
            </w14:solidFill>
          </w14:textFill>
        </w:rPr>
        <w:t>（本项目的采购人是指“</w:t>
      </w:r>
      <w:r>
        <w:rPr>
          <w:rFonts w:hint="eastAsia"/>
          <w:b/>
          <w:color w:val="000000" w:themeColor="text1"/>
          <w:u w:val="single"/>
          <w14:textFill>
            <w14:solidFill>
              <w14:schemeClr w14:val="tx1"/>
            </w14:solidFill>
          </w14:textFill>
        </w:rPr>
        <w:t>浙江省住房和城乡建设厅信息宣传中心</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1.5.2“采购代理机构/招标代理机构”：</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hint="eastAsia" w:cs="Arial"/>
          <w:color w:val="000000" w:themeColor="text1"/>
          <w:kern w:val="0"/>
          <w14:textFill>
            <w14:solidFill>
              <w14:schemeClr w14:val="tx1"/>
            </w14:solidFill>
          </w14:textFill>
        </w:rPr>
        <w:t>指受采购人委托，在委托的范围内办理采购事宜的机构</w:t>
      </w:r>
      <w:r>
        <w:rPr>
          <w:rFonts w:hint="eastAsia" w:cs="Arial"/>
          <w:b/>
          <w:color w:val="000000" w:themeColor="text1"/>
          <w:kern w:val="0"/>
          <w14:textFill>
            <w14:solidFill>
              <w14:schemeClr w14:val="tx1"/>
            </w14:solidFill>
          </w14:textFill>
        </w:rPr>
        <w:t>（本项目的采购代理机构是指“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pPr>
        <w:pStyle w:val="8"/>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3“采购组织机构”：</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采购人或受采购人委托组织本次采购活动的机构（</w:t>
      </w:r>
      <w:r>
        <w:rPr>
          <w:rFonts w:hint="eastAsia" w:cs="Arial"/>
          <w:b/>
          <w:color w:val="000000" w:themeColor="text1"/>
          <w:kern w:val="0"/>
          <w14:textFill>
            <w14:solidFill>
              <w14:schemeClr w14:val="tx1"/>
            </w14:solidFill>
          </w14:textFill>
        </w:rPr>
        <w:t>本项目的采购组织机构是指“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4“</w:t>
      </w:r>
      <w:r>
        <w:rPr>
          <w:rFonts w:cs="Arial"/>
          <w:b/>
          <w:color w:val="000000" w:themeColor="text1"/>
          <w:kern w:val="0"/>
          <w14:textFill>
            <w14:solidFill>
              <w14:schemeClr w14:val="tx1"/>
            </w14:solidFill>
          </w14:textFill>
        </w:rPr>
        <w:t>投标供应商</w:t>
      </w:r>
      <w:r>
        <w:rPr>
          <w:rFonts w:hint="eastAsia" w:cs="Arial"/>
          <w:b/>
          <w:color w:val="000000" w:themeColor="text1"/>
          <w:kern w:val="0"/>
          <w14:textFill>
            <w14:solidFill>
              <w14:schemeClr w14:val="tx1"/>
            </w14:solidFill>
          </w14:textFill>
        </w:rPr>
        <w:t>/供应商/投标单位”：</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响应招标、参加投标竞争的法人、其他组织或者自然人。</w:t>
      </w:r>
    </w:p>
    <w:p>
      <w:pPr>
        <w:pStyle w:val="8"/>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5“</w:t>
      </w:r>
      <w:r>
        <w:rPr>
          <w:rFonts w:cs="Arial"/>
          <w:b/>
          <w:color w:val="000000" w:themeColor="text1"/>
          <w:kern w:val="0"/>
          <w14:textFill>
            <w14:solidFill>
              <w14:schemeClr w14:val="tx1"/>
            </w14:solidFill>
          </w14:textFill>
        </w:rPr>
        <w:t>投标供应商代表</w:t>
      </w:r>
      <w:r>
        <w:rPr>
          <w:rFonts w:hint="eastAsia" w:cs="Arial"/>
          <w:b/>
          <w:color w:val="000000" w:themeColor="text1"/>
          <w:kern w:val="0"/>
          <w14:textFill>
            <w14:solidFill>
              <w14:schemeClr w14:val="tx1"/>
            </w14:solidFill>
          </w14:textFill>
        </w:rPr>
        <w:t>/供应商代表/投标单位代表”：</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是指参加本项目投标活动的投标供应商</w:t>
      </w:r>
      <w:r>
        <w:rPr>
          <w:rFonts w:hint="eastAsia" w:cs="Arial"/>
          <w:color w:val="000000" w:themeColor="text1"/>
          <w14:textFill>
            <w14:solidFill>
              <w14:schemeClr w14:val="tx1"/>
            </w14:solidFill>
          </w14:textFill>
        </w:rPr>
        <w:t>的</w:t>
      </w:r>
      <w:r>
        <w:rPr>
          <w:rFonts w:cs="Arial"/>
          <w:color w:val="000000" w:themeColor="text1"/>
          <w14:textFill>
            <w14:solidFill>
              <w14:schemeClr w14:val="tx1"/>
            </w14:solidFill>
          </w14:textFill>
        </w:rPr>
        <w:t>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人或法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人授权代表</w:t>
      </w:r>
      <w:r>
        <w:rPr>
          <w:rFonts w:hint="eastAsia" w:cs="Arial"/>
          <w:color w:val="000000" w:themeColor="text1"/>
          <w14:textFill>
            <w14:solidFill>
              <w14:schemeClr w14:val="tx1"/>
            </w14:solidFill>
          </w14:textFill>
        </w:rPr>
        <w:t>。</w:t>
      </w:r>
    </w:p>
    <w:p>
      <w:pPr>
        <w:pStyle w:val="8"/>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1.5.6“</w:t>
      </w:r>
      <w:r>
        <w:rPr>
          <w:rFonts w:hint="eastAsia" w:cs="Arial"/>
          <w:b/>
          <w:color w:val="000000" w:themeColor="text1"/>
          <w14:textFill>
            <w14:solidFill>
              <w14:schemeClr w14:val="tx1"/>
            </w14:solidFill>
          </w14:textFill>
        </w:rPr>
        <w:t>投标联合体</w:t>
      </w:r>
      <w:r>
        <w:rPr>
          <w:rFonts w:hint="eastAsia" w:cs="Arial"/>
          <w:b/>
          <w:color w:val="000000" w:themeColor="text1"/>
          <w:kern w:val="0"/>
          <w14:textFill>
            <w14:solidFill>
              <w14:schemeClr w14:val="tx1"/>
            </w14:solidFill>
          </w14:textFill>
        </w:rPr>
        <w:t>”</w:t>
      </w:r>
      <w:r>
        <w:rPr>
          <w:rFonts w:hint="eastAsia" w:cs="Arial"/>
          <w:b/>
          <w:color w:val="000000" w:themeColor="text1"/>
          <w14:textFill>
            <w14:solidFill>
              <w14:schemeClr w14:val="tx1"/>
            </w14:solidFill>
          </w14:textFill>
        </w:rPr>
        <w:t>：</w:t>
      </w:r>
      <w:r>
        <w:rPr>
          <w:rFonts w:cs="Arial"/>
          <w:color w:val="000000" w:themeColor="text1"/>
          <w14:textFill>
            <w14:solidFill>
              <w14:schemeClr w14:val="tx1"/>
            </w14:solidFill>
          </w14:textFill>
        </w:rPr>
        <w:t>是指两个</w:t>
      </w:r>
      <w:r>
        <w:rPr>
          <w:rFonts w:hint="eastAsia" w:cs="Arial"/>
          <w:color w:val="000000" w:themeColor="text1"/>
          <w14:textFill>
            <w14:solidFill>
              <w14:schemeClr w14:val="tx1"/>
            </w14:solidFill>
          </w14:textFill>
        </w:rPr>
        <w:t>或</w:t>
      </w:r>
      <w:r>
        <w:rPr>
          <w:rFonts w:cs="Arial"/>
          <w:color w:val="000000" w:themeColor="text1"/>
          <w14:textFill>
            <w14:solidFill>
              <w14:schemeClr w14:val="tx1"/>
            </w14:solidFill>
          </w14:textFill>
        </w:rPr>
        <w:t>以上供应商组成联合体，以一个投标供应商的身份参加投标</w:t>
      </w:r>
      <w:r>
        <w:rPr>
          <w:rFonts w:hint="eastAsia" w:cs="Arial"/>
          <w:color w:val="000000" w:themeColor="text1"/>
          <w14:textFill>
            <w14:solidFill>
              <w14:schemeClr w14:val="tx1"/>
            </w14:solidFill>
          </w14:textFill>
        </w:rPr>
        <w:t>。</w:t>
      </w:r>
    </w:p>
    <w:p>
      <w:pPr>
        <w:pStyle w:val="8"/>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1.5.7“中标供应商/中标人/中标供应商”：</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经评标委员会推荐并经采购人确认的中标成交单位，</w:t>
      </w:r>
      <w:r>
        <w:rPr>
          <w:rFonts w:hint="eastAsia" w:cs="Arial"/>
          <w:b/>
          <w:color w:val="000000" w:themeColor="text1"/>
          <w:kern w:val="0"/>
          <w14:textFill>
            <w14:solidFill>
              <w14:schemeClr w14:val="tx1"/>
            </w14:solidFill>
          </w14:textFill>
        </w:rPr>
        <w:t>即政府采购</w:t>
      </w:r>
      <w:r>
        <w:rPr>
          <w:rFonts w:cs="Arial"/>
          <w:b/>
          <w:color w:val="000000" w:themeColor="text1"/>
          <w:kern w:val="0"/>
          <w14:textFill>
            <w14:solidFill>
              <w14:schemeClr w14:val="tx1"/>
            </w14:solidFill>
          </w14:textFill>
        </w:rPr>
        <w:t>合同</w:t>
      </w:r>
      <w:r>
        <w:rPr>
          <w:rFonts w:hint="eastAsia" w:cs="Arial"/>
          <w:b/>
          <w:color w:val="000000" w:themeColor="text1"/>
          <w:kern w:val="0"/>
          <w14:textFill>
            <w14:solidFill>
              <w14:schemeClr w14:val="tx1"/>
            </w14:solidFill>
          </w14:textFill>
        </w:rPr>
        <w:t>中</w:t>
      </w:r>
      <w:r>
        <w:rPr>
          <w:rFonts w:cs="Arial"/>
          <w:b/>
          <w:color w:val="000000" w:themeColor="text1"/>
          <w:kern w:val="0"/>
          <w14:textFill>
            <w14:solidFill>
              <w14:schemeClr w14:val="tx1"/>
            </w14:solidFill>
          </w14:textFill>
        </w:rPr>
        <w:t>的</w:t>
      </w:r>
      <w:r>
        <w:rPr>
          <w:rFonts w:hint="eastAsia" w:cs="Arial"/>
          <w:b/>
          <w:color w:val="000000" w:themeColor="text1"/>
          <w:kern w:val="0"/>
          <w14:textFill>
            <w14:solidFill>
              <w14:schemeClr w14:val="tx1"/>
            </w14:solidFill>
          </w14:textFill>
        </w:rPr>
        <w:t>“乙方”</w:t>
      </w:r>
      <w:r>
        <w:rPr>
          <w:rFonts w:hint="eastAsia" w:cs="Arial"/>
          <w:color w:val="000000" w:themeColor="text1"/>
          <w:kern w:val="0"/>
          <w14:textFill>
            <w14:solidFill>
              <w14:schemeClr w14:val="tx1"/>
            </w14:solidFill>
          </w14:textFill>
        </w:rPr>
        <w:t>。</w:t>
      </w:r>
    </w:p>
    <w:p>
      <w:pPr>
        <w:pStyle w:val="8"/>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1.5.8“</w:t>
      </w:r>
      <w:r>
        <w:rPr>
          <w:rFonts w:cs="Arial"/>
          <w:b/>
          <w:color w:val="000000" w:themeColor="text1"/>
          <w:kern w:val="0"/>
          <w14:textFill>
            <w14:solidFill>
              <w14:schemeClr w14:val="tx1"/>
            </w14:solidFill>
          </w14:textFill>
        </w:rPr>
        <w:t>同级政府采购监督管理部门</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是指“</w:t>
      </w:r>
      <w:r>
        <w:rPr>
          <w:rFonts w:hint="eastAsia" w:cs="Arial"/>
          <w:b/>
          <w:color w:val="000000" w:themeColor="text1"/>
          <w:kern w:val="0"/>
          <w:u w:val="single"/>
          <w14:textFill>
            <w14:solidFill>
              <w14:schemeClr w14:val="tx1"/>
            </w14:solidFill>
          </w14:textFill>
        </w:rPr>
        <w:t>浙江省财政厅政府采购监管处</w:t>
      </w:r>
      <w:r>
        <w:rPr>
          <w:rFonts w:hint="eastAsia" w:cs="Arial"/>
          <w:b/>
          <w:color w:val="000000" w:themeColor="text1"/>
          <w:kern w:val="0"/>
          <w14:textFill>
            <w14:solidFill>
              <w14:schemeClr w14:val="tx1"/>
            </w14:solidFill>
          </w14:textFill>
        </w:rPr>
        <w:t>”。</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1.5.9“</w:t>
      </w:r>
      <w:r>
        <w:rPr>
          <w:rFonts w:cs="Arial"/>
          <w:b/>
          <w:color w:val="000000" w:themeColor="text1"/>
          <w:kern w:val="0"/>
          <w14:textFill>
            <w14:solidFill>
              <w14:schemeClr w14:val="tx1"/>
            </w14:solidFill>
          </w14:textFill>
        </w:rPr>
        <w:t>中小企业（含中型、小型、微型）</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是指在中华人民共和国境内依法设立，依据国务院批准的中小企业划分标准（</w:t>
      </w:r>
      <w:r>
        <w:rPr>
          <w:rFonts w:cs="Arial"/>
          <w:color w:val="000000" w:themeColor="text1"/>
          <w:kern w:val="0"/>
          <w14:textFill>
            <w14:solidFill>
              <w14:schemeClr w14:val="tx1"/>
            </w14:solidFill>
          </w14:textFill>
        </w:rPr>
        <w:t>工信部联企业[2011]300号</w:t>
      </w:r>
      <w:r>
        <w:rPr>
          <w:rFonts w:hint="eastAsia" w:cs="Arial"/>
          <w:color w:val="000000" w:themeColor="text1"/>
          <w:kern w:val="0"/>
          <w14:textFill>
            <w14:solidFill>
              <w14:schemeClr w14:val="tx1"/>
            </w14:solidFill>
          </w14:textFill>
        </w:rPr>
        <w:t>）确定的中型企业、小型企业和微型企业（与大企业的负责人为同一人，或者与大企业存在直接控股、管理关系的除外）。</w:t>
      </w:r>
      <w:r>
        <w:rPr>
          <w:rFonts w:hint="eastAsia" w:cs="Arial"/>
          <w:b/>
          <w:color w:val="000000" w:themeColor="text1"/>
          <w:kern w:val="0"/>
          <w14:textFill>
            <w14:solidFill>
              <w14:schemeClr w14:val="tx1"/>
            </w14:solidFill>
          </w14:textFill>
        </w:rPr>
        <w:t>符合中小企业划分标准（</w:t>
      </w:r>
      <w:r>
        <w:rPr>
          <w:rFonts w:cs="Arial"/>
          <w:b/>
          <w:color w:val="000000" w:themeColor="text1"/>
          <w:kern w:val="0"/>
          <w14:textFill>
            <w14:solidFill>
              <w14:schemeClr w14:val="tx1"/>
            </w14:solidFill>
          </w14:textFill>
        </w:rPr>
        <w:t>工信部联企业[2011]300号</w:t>
      </w:r>
      <w:r>
        <w:rPr>
          <w:rFonts w:hint="eastAsia" w:cs="Arial"/>
          <w:b/>
          <w:color w:val="000000" w:themeColor="text1"/>
          <w:kern w:val="0"/>
          <w14:textFill>
            <w14:solidFill>
              <w14:schemeClr w14:val="tx1"/>
            </w14:solidFill>
          </w14:textFill>
        </w:rPr>
        <w:t>）的个体工商户在政府采购活动中视同中小企业。</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1.5.10“</w:t>
      </w:r>
      <w:r>
        <w:rPr>
          <w:rFonts w:cs="Arial"/>
          <w:b/>
          <w:color w:val="000000" w:themeColor="text1"/>
          <w:kern w:val="0"/>
          <w14:textFill>
            <w14:solidFill>
              <w14:schemeClr w14:val="tx1"/>
            </w14:solidFill>
          </w14:textFill>
        </w:rPr>
        <w:t>监狱企业</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在政府采购活动中，监狱企业视同小型、微型企业</w:t>
      </w:r>
      <w:r>
        <w:rPr>
          <w:rFonts w:hint="eastAsia" w:cs="Arial"/>
          <w:b/>
          <w:color w:val="000000" w:themeColor="text1"/>
          <w:kern w:val="0"/>
          <w14:textFill>
            <w14:solidFill>
              <w14:schemeClr w14:val="tx1"/>
            </w14:solidFill>
          </w14:textFill>
        </w:rPr>
        <w:t>。</w:t>
      </w:r>
    </w:p>
    <w:p>
      <w:pPr>
        <w:pStyle w:val="8"/>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1.5.11“</w:t>
      </w:r>
      <w:r>
        <w:rPr>
          <w:rFonts w:cs="Arial"/>
          <w:b/>
          <w:color w:val="000000" w:themeColor="text1"/>
          <w:kern w:val="0"/>
          <w14:textFill>
            <w14:solidFill>
              <w14:schemeClr w14:val="tx1"/>
            </w14:solidFill>
          </w14:textFill>
        </w:rPr>
        <w:t>残疾人福利性单位</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是指符合《财政部 民政部 中国残疾人联合会关于促进残疾人就业政府采购政策的通知》（财库〔2017〕141号）的规定单位</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在政府采购活动中，残疾人福利性单位视同小型、微型企业</w:t>
      </w:r>
      <w:r>
        <w:rPr>
          <w:rFonts w:hint="eastAsia" w:cs="Arial"/>
          <w:b/>
          <w:color w:val="000000" w:themeColor="text1"/>
          <w:kern w:val="0"/>
          <w14:textFill>
            <w14:solidFill>
              <w14:schemeClr w14:val="tx1"/>
            </w14:solidFill>
          </w14:textFill>
        </w:rPr>
        <w:t>。</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12“</w:t>
      </w:r>
      <w:r>
        <w:rPr>
          <w:rFonts w:cs="Arial"/>
          <w:b/>
          <w:color w:val="000000" w:themeColor="text1"/>
          <w:kern w:val="0"/>
          <w14:textFill>
            <w14:solidFill>
              <w14:schemeClr w14:val="tx1"/>
            </w14:solidFill>
          </w14:textFill>
        </w:rPr>
        <w:t>项目</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是指投标供应商按采购文件规定向采购人提供的</w:t>
      </w:r>
      <w:r>
        <w:rPr>
          <w:rFonts w:hint="eastAsia" w:cs="Arial"/>
          <w:color w:val="000000" w:themeColor="text1"/>
          <w:kern w:val="0"/>
          <w14:textFill>
            <w14:solidFill>
              <w14:schemeClr w14:val="tx1"/>
            </w14:solidFill>
          </w14:textFill>
        </w:rPr>
        <w:t>货物或</w:t>
      </w:r>
      <w:r>
        <w:rPr>
          <w:rFonts w:cs="Arial"/>
          <w:color w:val="000000" w:themeColor="text1"/>
          <w:kern w:val="0"/>
          <w14:textFill>
            <w14:solidFill>
              <w14:schemeClr w14:val="tx1"/>
            </w14:solidFill>
          </w14:textFill>
        </w:rPr>
        <w:t>服务</w:t>
      </w:r>
      <w:r>
        <w:rPr>
          <w:rFonts w:hint="eastAsia" w:cs="Arial"/>
          <w:color w:val="000000" w:themeColor="text1"/>
          <w:kern w:val="0"/>
          <w14:textFill>
            <w14:solidFill>
              <w14:schemeClr w14:val="tx1"/>
            </w14:solidFill>
          </w14:textFill>
        </w:rPr>
        <w:t>或工程。</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13“</w:t>
      </w:r>
      <w:r>
        <w:rPr>
          <w:rFonts w:cs="Arial"/>
          <w:b/>
          <w:color w:val="000000" w:themeColor="text1"/>
          <w:kern w:val="0"/>
          <w14:textFill>
            <w14:solidFill>
              <w14:schemeClr w14:val="tx1"/>
            </w14:solidFill>
          </w14:textFill>
        </w:rPr>
        <w:t>书面形式</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是指加盖有单位公章的信函、传真、电子扫描件等</w:t>
      </w:r>
      <w:r>
        <w:rPr>
          <w:rFonts w:hint="eastAsia" w:cs="Arial"/>
          <w:color w:val="000000" w:themeColor="text1"/>
          <w:kern w:val="0"/>
          <w14:textFill>
            <w14:solidFill>
              <w14:schemeClr w14:val="tx1"/>
            </w14:solidFill>
          </w14:textFill>
        </w:rPr>
        <w:t>。</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1.5.14“个人有效身份证明”：</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有效的居民身份证、临时居民身份证、护照、驾驶证等，有期限规定的证件在有效期内方为有效。</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1.5.15“制造商”：</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拥有投标产品自主知识产权的单位。</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1.5.16“采购文件/招标文件/公开招标采购文件”：</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本文件。</w:t>
      </w:r>
    </w:p>
    <w:p>
      <w:pPr>
        <w:pStyle w:val="8"/>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1.5.17“进口产品”：</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通过中国海关报关验放进入中国境内且产自关境外的产品。</w:t>
      </w:r>
    </w:p>
    <w:p>
      <w:pPr>
        <w:pStyle w:val="8"/>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1.5.18“实质性条款（或要求）”：</w:t>
      </w:r>
      <w:r>
        <w:rPr>
          <w:rFonts w:cs="Arial"/>
          <w:b/>
          <w:color w:val="000000" w:themeColor="text1"/>
          <w:kern w:val="0"/>
          <w:u w:val="single"/>
          <w14:textFill>
            <w14:solidFill>
              <w14:schemeClr w14:val="tx1"/>
            </w14:solidFill>
          </w14:textFill>
        </w:rPr>
        <w:t>是指</w:t>
      </w:r>
      <w:r>
        <w:rPr>
          <w:rFonts w:hint="eastAsia" w:cs="Arial"/>
          <w:b/>
          <w:color w:val="000000" w:themeColor="text1"/>
          <w:kern w:val="0"/>
          <w:u w:val="single"/>
          <w14:textFill>
            <w14:solidFill>
              <w14:schemeClr w14:val="tx1"/>
            </w14:solidFill>
          </w14:textFill>
        </w:rPr>
        <w:t>本文件《第二章 招标采购需求》中标注“▲”号的技术或商务条款（或要求），供应商投标时应对所有“实质性条款（或要求）”作出实质性响应，且不得出现负偏离，否则投标无效</w:t>
      </w:r>
      <w:r>
        <w:rPr>
          <w:rFonts w:hint="eastAsia" w:cs="Arial"/>
          <w:b/>
          <w:color w:val="000000" w:themeColor="text1"/>
          <w:kern w:val="0"/>
          <w14:textFill>
            <w14:solidFill>
              <w14:schemeClr w14:val="tx1"/>
            </w14:solidFill>
          </w14:textFill>
        </w:rPr>
        <w:t>。</w:t>
      </w:r>
    </w:p>
    <w:p>
      <w:pPr>
        <w:pStyle w:val="8"/>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1.5.19“</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pPr>
        <w:pStyle w:val="8"/>
        <w:spacing w:after="240"/>
        <w:ind w:firstLine="426"/>
        <w:rPr>
          <w:rFonts w:cs="Arial"/>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1.5.20“</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是指投标文件对采购文件的非实质性内容存在不完全响应或不响应。</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 </w:t>
      </w:r>
      <w:r>
        <w:rPr>
          <w:color w:val="000000" w:themeColor="text1"/>
          <w14:textFill>
            <w14:solidFill>
              <w14:schemeClr w14:val="tx1"/>
            </w14:solidFill>
          </w14:textFill>
        </w:rPr>
        <w:t>投标委托</w:t>
      </w:r>
    </w:p>
    <w:p>
      <w:pPr>
        <w:pStyle w:val="8"/>
        <w:ind w:firstLine="426"/>
        <w:rPr>
          <w:b/>
          <w:color w:val="000000" w:themeColor="text1"/>
          <w:kern w:val="0"/>
          <w:u w:val="single"/>
          <w14:textFill>
            <w14:solidFill>
              <w14:schemeClr w14:val="tx1"/>
            </w14:solidFill>
          </w14:textFill>
        </w:rPr>
      </w:pPr>
      <w:r>
        <w:rPr>
          <w:rFonts w:hint="eastAsia"/>
          <w:b/>
          <w:color w:val="000000" w:themeColor="text1"/>
          <w:kern w:val="0"/>
          <w14:textFill>
            <w14:solidFill>
              <w14:schemeClr w14:val="tx1"/>
            </w14:solidFill>
          </w14:textFill>
        </w:rPr>
        <w:t>1.6.1</w:t>
      </w:r>
      <w:r>
        <w:rPr>
          <w:b/>
          <w:color w:val="000000" w:themeColor="text1"/>
          <w:kern w:val="0"/>
          <w:u w:val="single"/>
          <w14:textFill>
            <w14:solidFill>
              <w14:schemeClr w14:val="tx1"/>
            </w14:solidFill>
          </w14:textFill>
        </w:rPr>
        <w:t>投标供应商</w:t>
      </w:r>
      <w:r>
        <w:rPr>
          <w:rFonts w:hint="eastAsia"/>
          <w:b/>
          <w:color w:val="000000" w:themeColor="text1"/>
          <w:kern w:val="0"/>
          <w:u w:val="single"/>
          <w14:textFill>
            <w14:solidFill>
              <w14:schemeClr w14:val="tx1"/>
            </w14:solidFill>
          </w14:textFill>
        </w:rPr>
        <w:t>授权其单位正式职工全权代表其处理与本次投标有关的事项、签署相关文件的，应当出具完整、有效</w:t>
      </w:r>
      <w:r>
        <w:rPr>
          <w:b/>
          <w:color w:val="000000" w:themeColor="text1"/>
          <w:kern w:val="0"/>
          <w:u w:val="single"/>
          <w14:textFill>
            <w14:solidFill>
              <w14:schemeClr w14:val="tx1"/>
            </w14:solidFill>
          </w14:textFill>
        </w:rPr>
        <w:t>的</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后附证明材料，格式见第六章投标文件格式</w:t>
      </w:r>
      <w:r>
        <w:rPr>
          <w:b/>
          <w:color w:val="000000" w:themeColor="text1"/>
          <w:kern w:val="0"/>
          <w:u w:val="single"/>
          <w14:textFill>
            <w14:solidFill>
              <w14:schemeClr w14:val="tx1"/>
            </w14:solidFill>
          </w14:textFill>
        </w:rPr>
        <w:t>）</w:t>
      </w:r>
      <w:r>
        <w:rPr>
          <w:rFonts w:hint="eastAsia"/>
          <w:b/>
          <w:color w:val="000000" w:themeColor="text1"/>
          <w:kern w:val="0"/>
          <w14:textFill>
            <w14:solidFill>
              <w14:schemeClr w14:val="tx1"/>
            </w14:solidFill>
          </w14:textFill>
        </w:rPr>
        <w:t>；</w:t>
      </w:r>
    </w:p>
    <w:p>
      <w:pPr>
        <w:pStyle w:val="8"/>
        <w:spacing w:after="240"/>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1.6.2</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rFonts w:hint="eastAsia"/>
          <w:b/>
          <w:color w:val="000000" w:themeColor="text1"/>
          <w:u w:val="single"/>
          <w14:textFill>
            <w14:solidFill>
              <w14:schemeClr w14:val="tx1"/>
            </w14:solidFill>
          </w14:textFill>
        </w:rPr>
        <w:t>应当按照采购文件提供的格式填写，同时加盖</w:t>
      </w:r>
      <w:r>
        <w:rPr>
          <w:b/>
          <w:color w:val="000000" w:themeColor="text1"/>
          <w:kern w:val="0"/>
          <w:u w:val="single"/>
          <w14:textFill>
            <w14:solidFill>
              <w14:schemeClr w14:val="tx1"/>
            </w14:solidFill>
          </w14:textFill>
        </w:rPr>
        <w:t>投标供应商</w:t>
      </w:r>
      <w:r>
        <w:rPr>
          <w:rFonts w:hint="eastAsia"/>
          <w:b/>
          <w:color w:val="000000" w:themeColor="text1"/>
          <w:u w:val="single"/>
          <w14:textFill>
            <w14:solidFill>
              <w14:schemeClr w14:val="tx1"/>
            </w14:solidFill>
          </w14:textFill>
        </w:rPr>
        <w:t>公章、标明授权有效时限并提供相关证明材料，否则视为无效授权（等同未提供）</w:t>
      </w:r>
      <w:r>
        <w:rPr>
          <w:rFonts w:hint="eastAsia"/>
          <w:b/>
          <w:color w:val="000000" w:themeColor="text1"/>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1.7 </w:t>
      </w:r>
      <w:r>
        <w:rPr>
          <w:color w:val="000000" w:themeColor="text1"/>
          <w14:textFill>
            <w14:solidFill>
              <w14:schemeClr w14:val="tx1"/>
            </w14:solidFill>
          </w14:textFill>
        </w:rPr>
        <w:t>联合体投标</w:t>
      </w:r>
    </w:p>
    <w:p>
      <w:pPr>
        <w:pStyle w:val="8"/>
        <w:ind w:firstLine="422" w:firstLineChars="175"/>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1.7.1是否接受联合体投标：</w:t>
      </w:r>
      <w:r>
        <w:rPr>
          <w:rFonts w:hint="eastAsia"/>
          <w:b/>
          <w:i/>
          <w:color w:val="000000"/>
          <w:kern w:val="0"/>
          <w:szCs w:val="24"/>
          <w:u w:val="single"/>
        </w:rPr>
        <w:t>见《公开招标采购公告》</w:t>
      </w:r>
      <w:r>
        <w:rPr>
          <w:rFonts w:hint="eastAsia"/>
          <w:b/>
          <w:color w:val="000000" w:themeColor="text1"/>
          <w:kern w:val="0"/>
          <w14:textFill>
            <w14:solidFill>
              <w14:schemeClr w14:val="tx1"/>
            </w14:solidFill>
          </w14:textFill>
        </w:rPr>
        <w:t>。</w:t>
      </w:r>
    </w:p>
    <w:p>
      <w:pPr>
        <w:pStyle w:val="8"/>
        <w:ind w:firstLine="422" w:firstLineChars="175"/>
        <w:rPr>
          <w:b/>
          <w:color w:val="000000"/>
          <w:kern w:val="0"/>
        </w:rPr>
      </w:pPr>
      <w:r>
        <w:rPr>
          <w:rFonts w:hint="eastAsia"/>
          <w:b/>
          <w:color w:val="000000"/>
          <w:kern w:val="0"/>
        </w:rPr>
        <w:t>1.7.2</w:t>
      </w:r>
      <w:r>
        <w:rPr>
          <w:b/>
          <w:color w:val="000000"/>
          <w:kern w:val="0"/>
        </w:rPr>
        <w:t>接受联合体投标的，</w:t>
      </w:r>
      <w:r>
        <w:rPr>
          <w:rFonts w:hint="eastAsia"/>
          <w:b/>
          <w:color w:val="000000"/>
          <w:kern w:val="0"/>
        </w:rPr>
        <w:t>组成联合体的各方</w:t>
      </w:r>
      <w:r>
        <w:rPr>
          <w:b/>
          <w:color w:val="000000"/>
          <w:kern w:val="0"/>
        </w:rPr>
        <w:t>应遵守以下规定：</w:t>
      </w:r>
    </w:p>
    <w:p>
      <w:pPr>
        <w:pStyle w:val="8"/>
        <w:ind w:firstLine="420" w:firstLineChars="175"/>
        <w:rPr>
          <w:b/>
          <w:color w:val="000000"/>
          <w:kern w:val="0"/>
        </w:rPr>
      </w:pPr>
      <w:r>
        <w:rPr>
          <w:rFonts w:hint="eastAsia"/>
          <w:color w:val="000000"/>
          <w:kern w:val="0"/>
        </w:rPr>
        <w:t>（1）</w:t>
      </w:r>
      <w:r>
        <w:rPr>
          <w:color w:val="000000"/>
          <w:kern w:val="0"/>
        </w:rPr>
        <w:t>两个以上的自然人、法人或者其他组织可以组成一个联合体，以一个供应商的身份共同参加政府采购</w:t>
      </w:r>
      <w:r>
        <w:rPr>
          <w:rFonts w:hint="eastAsia"/>
          <w:color w:val="000000"/>
          <w:kern w:val="0"/>
        </w:rPr>
        <w:t>。</w:t>
      </w:r>
      <w:r>
        <w:rPr>
          <w:rFonts w:hint="eastAsia"/>
          <w:b/>
          <w:color w:val="000000"/>
          <w:kern w:val="0"/>
        </w:rPr>
        <w:t>以联合体形式参加政府采购的，参加联合体的各方均应当符合公开招标采购公告中有关“申请人的资格要求”的第1条规定的基本资格</w:t>
      </w:r>
      <w:r>
        <w:rPr>
          <w:rFonts w:hint="eastAsia"/>
          <w:color w:val="000000" w:themeColor="text1"/>
          <w:kern w:val="0"/>
          <w14:textFill>
            <w14:solidFill>
              <w14:schemeClr w14:val="tx1"/>
            </w14:solidFill>
          </w14:textFill>
        </w:rPr>
        <w:t>（投标时各方均应提供资格证明材料），</w:t>
      </w:r>
      <w:r>
        <w:rPr>
          <w:rFonts w:hint="eastAsia"/>
          <w:b/>
          <w:color w:val="000000"/>
          <w:kern w:val="0"/>
        </w:rPr>
        <w:t>并应当在投标文件中向采购人提交《联合协议》，载明联合体各方承担的工作和义务。</w:t>
      </w:r>
      <w:r>
        <w:rPr>
          <w:rFonts w:hint="eastAsia"/>
          <w:b/>
          <w:color w:val="000000"/>
          <w:kern w:val="0"/>
          <w:u w:val="single"/>
        </w:rPr>
        <w:t>未提交有效的《联合协议》的联合体无效</w:t>
      </w:r>
      <w:r>
        <w:rPr>
          <w:rFonts w:hint="eastAsia"/>
          <w:b/>
          <w:color w:val="000000"/>
          <w:kern w:val="0"/>
        </w:rPr>
        <w:t>；</w:t>
      </w:r>
    </w:p>
    <w:p>
      <w:pPr>
        <w:pStyle w:val="8"/>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r>
        <w:rPr>
          <w:color w:val="000000" w:themeColor="text1"/>
          <w:kern w:val="0"/>
          <w14:textFill>
            <w14:solidFill>
              <w14:schemeClr w14:val="tx1"/>
            </w14:solidFill>
          </w14:textFill>
        </w:rPr>
        <w:t>联合体各方</w:t>
      </w:r>
      <w:r>
        <w:rPr>
          <w:rFonts w:hint="eastAsia"/>
          <w:color w:val="000000" w:themeColor="text1"/>
          <w:kern w:val="0"/>
          <w14:textFill>
            <w14:solidFill>
              <w14:schemeClr w14:val="tx1"/>
            </w14:solidFill>
          </w14:textFill>
        </w:rPr>
        <w:t>应当</w:t>
      </w:r>
      <w:r>
        <w:rPr>
          <w:color w:val="000000" w:themeColor="text1"/>
          <w:kern w:val="0"/>
          <w14:textFill>
            <w14:solidFill>
              <w14:schemeClr w14:val="tx1"/>
            </w14:solidFill>
          </w14:textFill>
        </w:rPr>
        <w:t>共同与采购人签订采购合同，就采购合同约定的事项对采购人承担连带责任</w:t>
      </w:r>
      <w:r>
        <w:rPr>
          <w:rFonts w:hint="eastAsia"/>
          <w:color w:val="000000" w:themeColor="text1"/>
          <w:kern w:val="0"/>
          <w14:textFill>
            <w14:solidFill>
              <w14:schemeClr w14:val="tx1"/>
            </w14:solidFill>
          </w14:textFill>
        </w:rPr>
        <w:t>；</w:t>
      </w:r>
    </w:p>
    <w:p>
      <w:pPr>
        <w:pStyle w:val="8"/>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kern w:val="0"/>
          <w14:textFill>
            <w14:solidFill>
              <w14:schemeClr w14:val="tx1"/>
            </w14:solidFill>
          </w14:textFill>
        </w:rPr>
        <w:t>；以联合体形式参加政府采购活动的，联合体各方不得再单独参加或者与其他供应商另外组成联合体参加同一合同项下的政府采购活动；</w:t>
      </w:r>
      <w:r>
        <w:rPr>
          <w:color w:val="000000"/>
          <w:szCs w:val="28"/>
        </w:rPr>
        <w:t>以联合体形式参加政府采购活动，联合体各方均为中小企业的，联合体视同中小企业。其中，联合体各方均为小微企业的，联合体视同小微企业。</w:t>
      </w:r>
    </w:p>
    <w:p>
      <w:pPr>
        <w:pStyle w:val="8"/>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pPr>
        <w:pStyle w:val="8"/>
        <w:ind w:firstLine="420" w:firstLineChars="175"/>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（5）联合体形式参加政府采购的，履约保证金、采购代理服务费可由牵头人（主办方）一方缴纳，也可以由联合体各方按联合投标协议书约定共同缴纳。</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 </w:t>
      </w:r>
      <w:r>
        <w:rPr>
          <w:color w:val="000000" w:themeColor="text1"/>
          <w14:textFill>
            <w14:solidFill>
              <w14:schemeClr w14:val="tx1"/>
            </w14:solidFill>
          </w14:textFill>
        </w:rPr>
        <w:t>投标费用</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1.8.1</w:t>
      </w:r>
      <w:r>
        <w:rPr>
          <w:color w:val="000000" w:themeColor="text1"/>
          <w:kern w:val="0"/>
          <w14:textFill>
            <w14:solidFill>
              <w14:schemeClr w14:val="tx1"/>
            </w14:solidFill>
          </w14:textFill>
        </w:rPr>
        <w:t>不论投标结果如何，投标供应商均应自行承担所有与投标有关的全部费用</w:t>
      </w:r>
      <w:r>
        <w:rPr>
          <w:rFonts w:hint="eastAsia"/>
          <w:color w:val="000000" w:themeColor="text1"/>
          <w:kern w:val="0"/>
          <w14:textFill>
            <w14:solidFill>
              <w14:schemeClr w14:val="tx1"/>
            </w14:solidFill>
          </w14:textFill>
        </w:rPr>
        <w:t>，采购组织机构概不负责。</w:t>
      </w:r>
    </w:p>
    <w:p>
      <w:pPr>
        <w:pStyle w:val="8"/>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1.8.2</w:t>
      </w:r>
      <w:r>
        <w:rPr>
          <w:color w:val="000000" w:themeColor="text1"/>
          <w:kern w:val="0"/>
          <w14:textFill>
            <w14:solidFill>
              <w14:schemeClr w14:val="tx1"/>
            </w14:solidFill>
          </w14:textFill>
        </w:rPr>
        <w:t>合同实施过程中，</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须与采购人积极配合。</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自行承担本次采购活动中所发生的全部费用。</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 </w:t>
      </w:r>
      <w:r>
        <w:rPr>
          <w:color w:val="000000" w:themeColor="text1"/>
          <w14:textFill>
            <w14:solidFill>
              <w14:schemeClr w14:val="tx1"/>
            </w14:solidFill>
          </w14:textFill>
        </w:rPr>
        <w:t>语言</w:t>
      </w:r>
      <w:r>
        <w:rPr>
          <w:rFonts w:hint="eastAsia"/>
          <w:color w:val="000000" w:themeColor="text1"/>
          <w14:textFill>
            <w14:solidFill>
              <w14:schemeClr w14:val="tx1"/>
            </w14:solidFill>
          </w14:textFill>
        </w:rPr>
        <w:t>文字</w:t>
      </w:r>
      <w:r>
        <w:rPr>
          <w:color w:val="000000" w:themeColor="text1"/>
          <w14:textFill>
            <w14:solidFill>
              <w14:schemeClr w14:val="tx1"/>
            </w14:solidFill>
          </w14:textFill>
        </w:rPr>
        <w:t>及计量</w:t>
      </w:r>
      <w:r>
        <w:rPr>
          <w:rFonts w:hint="eastAsia"/>
          <w:color w:val="000000" w:themeColor="text1"/>
          <w14:textFill>
            <w14:solidFill>
              <w14:schemeClr w14:val="tx1"/>
            </w14:solidFill>
          </w14:textFill>
        </w:rPr>
        <w:t>单位</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语言文字：</w:t>
      </w:r>
      <w:r>
        <w:rPr>
          <w:rFonts w:hint="eastAsia"/>
          <w:color w:val="000000" w:themeColor="text1"/>
          <w:kern w:val="0"/>
          <w14:textFill>
            <w14:solidFill>
              <w14:schemeClr w14:val="tx1"/>
            </w14:solidFill>
          </w14:textFill>
        </w:rPr>
        <w:t>除专业术语、</w:t>
      </w:r>
      <w:r>
        <w:rPr>
          <w:color w:val="000000" w:themeColor="text1"/>
          <w:kern w:val="0"/>
          <w14:textFill>
            <w14:solidFill>
              <w14:schemeClr w14:val="tx1"/>
            </w14:solidFill>
          </w14:textFill>
        </w:rPr>
        <w:t>签名、盖章、名称等特殊情形外</w:t>
      </w:r>
      <w:r>
        <w:rPr>
          <w:rFonts w:hint="eastAsia"/>
          <w:color w:val="000000" w:themeColor="text1"/>
          <w:kern w:val="0"/>
          <w14:textFill>
            <w14:solidFill>
              <w14:schemeClr w14:val="tx1"/>
            </w14:solidFill>
          </w14:textFill>
        </w:rPr>
        <w:t>，与本次采购工作有关的所有材料、来往函电语言均应使用中文</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专业术语、名称应附有中文注释。</w:t>
      </w:r>
      <w:r>
        <w:rPr>
          <w:rFonts w:hint="eastAsia"/>
          <w:b/>
          <w:color w:val="000000" w:themeColor="text1"/>
          <w:kern w:val="0"/>
          <w14:textFill>
            <w14:solidFill>
              <w14:schemeClr w14:val="tx1"/>
            </w14:solidFill>
          </w14:textFill>
        </w:rPr>
        <w:t>仅</w:t>
      </w:r>
      <w:r>
        <w:rPr>
          <w:b/>
          <w:color w:val="000000" w:themeColor="text1"/>
          <w:kern w:val="0"/>
          <w14:textFill>
            <w14:solidFill>
              <w14:schemeClr w14:val="tx1"/>
            </w14:solidFill>
          </w14:textFill>
        </w:rPr>
        <w:t>以中文以外的文字表述的</w:t>
      </w:r>
      <w:r>
        <w:rPr>
          <w:rFonts w:hint="eastAsia"/>
          <w:b/>
          <w:color w:val="000000" w:themeColor="text1"/>
          <w:kern w:val="0"/>
          <w14:textFill>
            <w14:solidFill>
              <w14:schemeClr w14:val="tx1"/>
            </w14:solidFill>
          </w14:textFill>
        </w:rPr>
        <w:t>材料</w:t>
      </w:r>
      <w:r>
        <w:rPr>
          <w:b/>
          <w:color w:val="000000" w:themeColor="text1"/>
          <w:kern w:val="0"/>
          <w14:textFill>
            <w14:solidFill>
              <w14:schemeClr w14:val="tx1"/>
            </w14:solidFill>
          </w14:textFill>
        </w:rPr>
        <w:t>视同未提供</w:t>
      </w:r>
      <w:r>
        <w:rPr>
          <w:rFonts w:hint="eastAsia"/>
          <w:b/>
          <w:color w:val="000000" w:themeColor="text1"/>
          <w:kern w:val="0"/>
          <w14:textFill>
            <w14:solidFill>
              <w14:schemeClr w14:val="tx1"/>
            </w14:solidFill>
          </w14:textFill>
        </w:rPr>
        <w:t>。</w:t>
      </w:r>
    </w:p>
    <w:p>
      <w:pPr>
        <w:pStyle w:val="8"/>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.2计量单位</w:t>
      </w:r>
      <w:r>
        <w:rPr>
          <w:rFonts w:hint="eastAsia"/>
          <w:b/>
          <w:color w:val="000000" w:themeColor="text1"/>
          <w:kern w:val="0"/>
          <w14:textFill>
            <w14:solidFill>
              <w14:schemeClr w14:val="tx1"/>
            </w14:solidFill>
          </w14:textFill>
        </w:rPr>
        <w:t>：</w:t>
      </w:r>
      <w:r>
        <w:rPr>
          <w:color w:val="000000" w:themeColor="text1"/>
          <w:kern w:val="0"/>
          <w14:textFill>
            <w14:solidFill>
              <w14:schemeClr w14:val="tx1"/>
            </w14:solidFill>
          </w14:textFill>
        </w:rPr>
        <w:t>采购文件已有明确规定的，使用采购文件规定的计量单位；</w:t>
      </w:r>
      <w:r>
        <w:rPr>
          <w:b/>
          <w:color w:val="000000" w:themeColor="text1"/>
          <w:kern w:val="0"/>
          <w14:textFill>
            <w14:solidFill>
              <w14:schemeClr w14:val="tx1"/>
            </w14:solidFill>
          </w14:textFill>
        </w:rPr>
        <w:t>采购文件没有规定的，应采用中华人民共和国法定计量单位，否则视同未响应。</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1.10 现场勘查</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1.10.1现场勘查时间、地点、联系人：</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1.10.2《投标须知前附表》</w:t>
      </w:r>
      <w:r>
        <w:rPr>
          <w:color w:val="000000" w:themeColor="text1"/>
          <w:kern w:val="0"/>
          <w14:textFill>
            <w14:solidFill>
              <w14:schemeClr w14:val="tx1"/>
            </w14:solidFill>
          </w14:textFill>
        </w:rPr>
        <w:t>规定组织</w:t>
      </w:r>
      <w:r>
        <w:rPr>
          <w:rFonts w:hint="eastAsia"/>
          <w:color w:val="000000" w:themeColor="text1"/>
          <w:kern w:val="0"/>
          <w14:textFill>
            <w14:solidFill>
              <w14:schemeClr w14:val="tx1"/>
            </w14:solidFill>
          </w14:textFill>
        </w:rPr>
        <w:t>统一现场勘查</w:t>
      </w:r>
      <w:r>
        <w:rPr>
          <w:color w:val="000000" w:themeColor="text1"/>
          <w:kern w:val="0"/>
          <w14:textFill>
            <w14:solidFill>
              <w14:schemeClr w14:val="tx1"/>
            </w14:solidFill>
          </w14:textFill>
        </w:rPr>
        <w:t>的，采购人</w:t>
      </w:r>
      <w:r>
        <w:rPr>
          <w:rFonts w:hint="eastAsia"/>
          <w:color w:val="000000" w:themeColor="text1"/>
          <w:kern w:val="0"/>
          <w14:textFill>
            <w14:solidFill>
              <w14:schemeClr w14:val="tx1"/>
            </w14:solidFill>
          </w14:textFill>
        </w:rPr>
        <w:t>将按《投标须知前附表》规定的时间、地点统一组织供应商进行现场勘查，此外其他任何时间</w:t>
      </w:r>
      <w:r>
        <w:rPr>
          <w:color w:val="000000" w:themeColor="text1"/>
          <w:kern w:val="0"/>
          <w14:textFill>
            <w14:solidFill>
              <w14:schemeClr w14:val="tx1"/>
            </w14:solidFill>
          </w14:textFill>
        </w:rPr>
        <w:t>采购人</w:t>
      </w:r>
      <w:r>
        <w:rPr>
          <w:rFonts w:hint="eastAsia"/>
          <w:color w:val="000000" w:themeColor="text1"/>
          <w:kern w:val="0"/>
          <w14:textFill>
            <w14:solidFill>
              <w14:schemeClr w14:val="tx1"/>
            </w14:solidFill>
          </w14:textFill>
        </w:rPr>
        <w:t>不再组织供应商进行现场勘查工作（特殊情形除外）。</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1.10.3供应商应自行前往规定的地点参加现场勘查，因参加现场勘查而</w:t>
      </w:r>
      <w:r>
        <w:rPr>
          <w:color w:val="000000" w:themeColor="text1"/>
          <w:kern w:val="0"/>
          <w14:textFill>
            <w14:solidFill>
              <w14:schemeClr w14:val="tx1"/>
            </w14:solidFill>
          </w14:textFill>
        </w:rPr>
        <w:t>发生的</w:t>
      </w:r>
      <w:r>
        <w:rPr>
          <w:rFonts w:hint="eastAsia"/>
          <w:color w:val="000000" w:themeColor="text1"/>
          <w:kern w:val="0"/>
          <w14:textFill>
            <w14:solidFill>
              <w14:schemeClr w14:val="tx1"/>
            </w14:solidFill>
          </w14:textFill>
        </w:rPr>
        <w:t>所有</w:t>
      </w:r>
      <w:r>
        <w:rPr>
          <w:color w:val="000000" w:themeColor="text1"/>
          <w:kern w:val="0"/>
          <w14:textFill>
            <w14:solidFill>
              <w14:schemeClr w14:val="tx1"/>
            </w14:solidFill>
          </w14:textFill>
        </w:rPr>
        <w:t>费用</w:t>
      </w:r>
      <w:r>
        <w:rPr>
          <w:rFonts w:hint="eastAsia"/>
          <w:color w:val="000000" w:themeColor="text1"/>
          <w:kern w:val="0"/>
          <w14:textFill>
            <w14:solidFill>
              <w14:schemeClr w14:val="tx1"/>
            </w14:solidFill>
          </w14:textFill>
        </w:rPr>
        <w:t>由供应商自行承担。</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1.10.4现场勘查过程中，供应商应注意勘查安全，</w:t>
      </w:r>
      <w:r>
        <w:rPr>
          <w:color w:val="000000" w:themeColor="text1"/>
          <w:kern w:val="0"/>
          <w14:textFill>
            <w14:solidFill>
              <w14:schemeClr w14:val="tx1"/>
            </w14:solidFill>
          </w14:textFill>
        </w:rPr>
        <w:t>除采购人的原因外，</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在踏勘现场中所发生的人员伤亡和财产损失</w:t>
      </w:r>
      <w:r>
        <w:rPr>
          <w:rFonts w:hint="eastAsia"/>
          <w:color w:val="000000" w:themeColor="text1"/>
          <w:kern w:val="0"/>
          <w14:textFill>
            <w14:solidFill>
              <w14:schemeClr w14:val="tx1"/>
            </w14:solidFill>
          </w14:textFill>
        </w:rPr>
        <w:t>由供应商自行承担。</w:t>
      </w:r>
    </w:p>
    <w:p>
      <w:pPr>
        <w:pStyle w:val="8"/>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1.10.5</w:t>
      </w:r>
      <w:r>
        <w:rPr>
          <w:color w:val="000000" w:themeColor="text1"/>
          <w:kern w:val="0"/>
          <w14:textFill>
            <w14:solidFill>
              <w14:schemeClr w14:val="tx1"/>
            </w14:solidFill>
          </w14:textFill>
        </w:rPr>
        <w:t>采购人在现场</w:t>
      </w:r>
      <w:r>
        <w:rPr>
          <w:rFonts w:hint="eastAsia"/>
          <w:color w:val="000000" w:themeColor="text1"/>
          <w:kern w:val="0"/>
          <w14:textFill>
            <w14:solidFill>
              <w14:schemeClr w14:val="tx1"/>
            </w14:solidFill>
          </w14:textFill>
        </w:rPr>
        <w:t>勘查</w:t>
      </w:r>
      <w:r>
        <w:rPr>
          <w:color w:val="000000" w:themeColor="text1"/>
          <w:kern w:val="0"/>
          <w14:textFill>
            <w14:solidFill>
              <w14:schemeClr w14:val="tx1"/>
            </w14:solidFill>
          </w14:textFill>
        </w:rPr>
        <w:t>中介绍的场地和相关的周边环境情况，</w:t>
      </w:r>
      <w:r>
        <w:rPr>
          <w:rFonts w:hint="eastAsia"/>
          <w:color w:val="000000" w:themeColor="text1"/>
          <w:kern w:val="0"/>
          <w14:textFill>
            <w14:solidFill>
              <w14:schemeClr w14:val="tx1"/>
            </w14:solidFill>
          </w14:textFill>
        </w:rPr>
        <w:t>仅</w:t>
      </w:r>
      <w:r>
        <w:rPr>
          <w:color w:val="000000" w:themeColor="text1"/>
          <w:kern w:val="0"/>
          <w14:textFill>
            <w14:solidFill>
              <w14:schemeClr w14:val="tx1"/>
            </w14:solidFill>
          </w14:textFill>
        </w:rPr>
        <w:t>供</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在编制投标文件时参考，采购人不对</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据此作出的判断和决策负责。</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1.11 标前答疑会</w:t>
      </w:r>
    </w:p>
    <w:p>
      <w:pPr>
        <w:pStyle w:val="8"/>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1.11.1标前答疑会时间、地点：</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前附表规定召开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答疑会的，采购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《投标须知前附表》</w:t>
      </w:r>
      <w:r>
        <w:rPr>
          <w:color w:val="000000" w:themeColor="text1"/>
          <w14:textFill>
            <w14:solidFill>
              <w14:schemeClr w14:val="tx1"/>
            </w14:solidFill>
          </w14:textFill>
        </w:rPr>
        <w:t>规定的时间和地点召开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答疑会，澄清</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提出的问题</w:t>
      </w:r>
      <w:r>
        <w:rPr>
          <w:rFonts w:hint="eastAsia"/>
          <w:color w:val="000000" w:themeColor="text1"/>
          <w14:textFill>
            <w14:solidFill>
              <w14:schemeClr w14:val="tx1"/>
            </w14:solidFill>
          </w14:textFill>
        </w:rPr>
        <w:t>。</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w:t>
      </w:r>
      <w:r>
        <w:rPr>
          <w:color w:val="000000" w:themeColor="text1"/>
          <w14:textFill>
            <w14:solidFill>
              <w14:schemeClr w14:val="tx1"/>
            </w14:solidFill>
          </w14:textFill>
        </w:rPr>
        <w:t>应在答疑会时间的</w:t>
      </w:r>
      <w:r>
        <w:rPr>
          <w:rFonts w:hint="eastAsia"/>
          <w:color w:val="000000" w:themeColor="text1"/>
          <w14:textFill>
            <w14:solidFill>
              <w14:schemeClr w14:val="tx1"/>
            </w14:solidFill>
          </w14:textFill>
        </w:rPr>
        <w:t>2日前</w:t>
      </w:r>
      <w:r>
        <w:rPr>
          <w:color w:val="000000" w:themeColor="text1"/>
          <w14:textFill>
            <w14:solidFill>
              <w14:schemeClr w14:val="tx1"/>
            </w14:solidFill>
          </w14:textFill>
        </w:rPr>
        <w:t>，以书面形式将</w:t>
      </w:r>
      <w:r>
        <w:rPr>
          <w:rFonts w:hint="eastAsia"/>
          <w:color w:val="000000" w:themeColor="text1"/>
          <w14:textFill>
            <w14:solidFill>
              <w14:schemeClr w14:val="tx1"/>
            </w14:solidFill>
          </w14:textFill>
        </w:rPr>
        <w:t>需要</w:t>
      </w:r>
      <w:r>
        <w:rPr>
          <w:color w:val="000000" w:themeColor="text1"/>
          <w14:textFill>
            <w14:solidFill>
              <w14:schemeClr w14:val="tx1"/>
            </w14:solidFill>
          </w14:textFill>
        </w:rPr>
        <w:t>提出的问题送达采购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，以便采购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在会议期间澄清</w:t>
      </w:r>
      <w:r>
        <w:rPr>
          <w:rFonts w:hint="eastAsia"/>
          <w:color w:val="000000" w:themeColor="text1"/>
          <w14:textFill>
            <w14:solidFill>
              <w14:schemeClr w14:val="tx1"/>
            </w14:solidFill>
          </w14:textFill>
        </w:rPr>
        <w:t>。</w:t>
      </w:r>
    </w:p>
    <w:p>
      <w:pPr>
        <w:pStyle w:val="8"/>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4不召开标前答疑会或标前</w:t>
      </w:r>
      <w:r>
        <w:rPr>
          <w:color w:val="000000" w:themeColor="text1"/>
          <w14:textFill>
            <w14:solidFill>
              <w14:schemeClr w14:val="tx1"/>
            </w14:solidFill>
          </w14:textFill>
        </w:rPr>
        <w:t>答疑会</w:t>
      </w:r>
      <w:r>
        <w:rPr>
          <w:rFonts w:hint="eastAsia"/>
          <w:color w:val="000000" w:themeColor="text1"/>
          <w14:textFill>
            <w14:solidFill>
              <w14:schemeClr w14:val="tx1"/>
            </w14:solidFill>
          </w14:textFill>
        </w:rPr>
        <w:t>完成后的其他时间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组织机构将</w:t>
      </w:r>
      <w:r>
        <w:rPr>
          <w:color w:val="000000" w:themeColor="text1"/>
          <w14:textFill>
            <w14:solidFill>
              <w14:schemeClr w14:val="tx1"/>
            </w14:solidFill>
          </w14:textFill>
        </w:rPr>
        <w:t>按本章</w:t>
      </w:r>
      <w:r>
        <w:rPr>
          <w:rFonts w:hint="eastAsia"/>
          <w:color w:val="000000" w:themeColor="text1"/>
          <w14:textFill>
            <w14:solidFill>
              <w14:schemeClr w14:val="tx1"/>
            </w14:solidFill>
          </w14:textFill>
        </w:rPr>
        <w:t>第3.2款“采购文件的提疑”、第3.3款“采购文件的澄清、修改（更正）”相关</w:t>
      </w:r>
      <w:r>
        <w:rPr>
          <w:color w:val="000000" w:themeColor="text1"/>
          <w14:textFill>
            <w14:solidFill>
              <w14:schemeClr w14:val="tx1"/>
            </w14:solidFill>
          </w14:textFill>
        </w:rPr>
        <w:t>规定对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所提问题进行澄清答复</w:t>
      </w:r>
      <w:r>
        <w:rPr>
          <w:rFonts w:hint="eastAsia"/>
          <w:color w:val="000000" w:themeColor="text1"/>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pPr>
        <w:pStyle w:val="8"/>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本采购文件所称</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，是指存在关联关系的企业；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关联关系</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的界定适用《中华人民共和国公司法》</w:t>
      </w:r>
      <w:r>
        <w:rPr>
          <w:rFonts w:hint="eastAsia"/>
          <w:b/>
          <w:color w:val="000000" w:themeColor="text1"/>
          <w:kern w:val="0"/>
          <w14:textFill>
            <w14:solidFill>
              <w14:schemeClr w14:val="tx1"/>
            </w14:solidFill>
          </w14:textFill>
        </w:rPr>
        <w:t>相关</w:t>
      </w:r>
      <w:r>
        <w:rPr>
          <w:b/>
          <w:color w:val="000000" w:themeColor="text1"/>
          <w:kern w:val="0"/>
          <w14:textFill>
            <w14:solidFill>
              <w14:schemeClr w14:val="tx1"/>
            </w14:solidFill>
          </w14:textFill>
        </w:rPr>
        <w:t>规定。</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r>
        <w:rPr>
          <w:rFonts w:hint="eastAsia"/>
          <w:b/>
          <w:color w:val="000000" w:themeColor="text1"/>
          <w:kern w:val="0"/>
          <w14:textFill>
            <w14:solidFill>
              <w14:schemeClr w14:val="tx1"/>
            </w14:solidFill>
          </w14:textFill>
        </w:rPr>
        <w:t>。</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1.12.2</w:t>
      </w:r>
      <w:r>
        <w:rPr>
          <w:rFonts w:hint="eastAsia"/>
          <w:b/>
          <w:color w:val="000000" w:themeColor="text1"/>
          <w:kern w:val="0"/>
          <w:u w:val="single"/>
          <w14:textFill>
            <w14:solidFill>
              <w14:schemeClr w14:val="tx1"/>
            </w14:solidFill>
          </w14:textFill>
        </w:rPr>
        <w:t>存在以下利害关系的不同供应商，不得同时参加同一合同项下的政府采购活动，否则相关供应商的投标均作无效处理</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（1）法定代表人或负责人或实际控制人是夫妻关系；</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（2）法定代表人或负责人或实际控制人是直系血亲关系；</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（3）法定代表人或负责人或实际控制人存在三代以内旁系血亲关系；</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（4）法定代表人或负责人或实际控制人存在近姻亲关系；</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（5）法定代表人或负责人或实际控制人存在股份控制或实际控制关系；</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（6）存在共同直接或间接投资设立子公司、联营企业和合营企业情况；</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（7）存在分级代理或代销关系、同一生产制造商关系、管理关系、重要业务（占主营业务收入50%以上）或重要财务往来关系（如融资）等其他实质性控制关系。</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1.12.3</w:t>
      </w:r>
      <w:r>
        <w:rPr>
          <w:rFonts w:hint="eastAsia"/>
          <w:b/>
          <w:color w:val="000000" w:themeColor="text1"/>
          <w:kern w:val="0"/>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除单一来源采购项目外，为采购项目提供整体设计、规范编制或者项目管理、监理、检测等服务的供应商，不得再参加该采购项目的其他采购活动，否则相关供应商的投标均作无效处理</w:t>
      </w:r>
      <w:r>
        <w:rPr>
          <w:rFonts w:hint="eastAsia"/>
          <w:b/>
          <w:color w:val="000000" w:themeColor="text1"/>
          <w:kern w:val="0"/>
          <w14:textFill>
            <w14:solidFill>
              <w14:schemeClr w14:val="tx1"/>
            </w14:solidFill>
          </w14:textFill>
        </w:rPr>
        <w:t>。</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rFonts w:hint="eastAsia"/>
          <w:b/>
          <w:color w:val="000000" w:themeColor="text1"/>
          <w:kern w:val="0"/>
          <w:u w:val="single"/>
          <w14:textFill>
            <w14:solidFill>
              <w14:schemeClr w14:val="tx1"/>
            </w14:solidFill>
          </w14:textFill>
        </w:rPr>
        <w:t>（综合评分法、单一产品采购项目适用）提供相同品牌产品且通过资格审查、符合性审查的不同投标供应商参加同一合同项下投标的，按一家投标供应商计算</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评审后综合得分最高的同品牌投标供应商获得中标供应商推荐资格</w:t>
      </w:r>
      <w:r>
        <w:rPr>
          <w:rFonts w:hint="eastAsia"/>
          <w:b/>
          <w:color w:val="000000" w:themeColor="text1"/>
          <w:kern w:val="0"/>
          <w14:textFill>
            <w14:solidFill>
              <w14:schemeClr w14:val="tx1"/>
            </w14:solidFill>
          </w14:textFill>
        </w:rPr>
        <w:t>；综合得分相同时，投标报价最低的投标供应商获得中标供应商推荐资格；综合得分和投标报价均相同时，商务技术分最高的投标供应商获得中标供应商推荐资格；综合得分、投标报价、商务技术分</w:t>
      </w:r>
      <w:r>
        <w:rPr>
          <w:b/>
          <w:color w:val="000000" w:themeColor="text1"/>
          <w:kern w:val="0"/>
          <w14:textFill>
            <w14:solidFill>
              <w14:schemeClr w14:val="tx1"/>
            </w14:solidFill>
          </w14:textFill>
        </w:rPr>
        <w:t>均相同时，由评标委员会</w:t>
      </w:r>
      <w:r>
        <w:rPr>
          <w:rFonts w:hint="eastAsia"/>
          <w:b/>
          <w:color w:val="000000" w:themeColor="text1"/>
          <w:kern w:val="0"/>
          <w14:textFill>
            <w14:solidFill>
              <w14:schemeClr w14:val="tx1"/>
            </w14:solidFill>
          </w14:textFill>
        </w:rPr>
        <w:t>按少数服从多数的原则，</w:t>
      </w:r>
      <w:r>
        <w:rPr>
          <w:b/>
          <w:color w:val="000000" w:themeColor="text1"/>
          <w:kern w:val="0"/>
          <w14:textFill>
            <w14:solidFill>
              <w14:schemeClr w14:val="tx1"/>
            </w14:solidFill>
          </w14:textFill>
        </w:rPr>
        <w:t>集体决定</w:t>
      </w:r>
      <w:r>
        <w:rPr>
          <w:rFonts w:hint="eastAsia"/>
          <w:b/>
          <w:color w:val="000000" w:themeColor="text1"/>
          <w:kern w:val="0"/>
          <w14:textFill>
            <w14:solidFill>
              <w14:schemeClr w14:val="tx1"/>
            </w14:solidFill>
          </w14:textFill>
        </w:rPr>
        <w:t>；其他同品牌投标供应商不作为中标候选供应商。</w:t>
      </w:r>
    </w:p>
    <w:p>
      <w:pPr>
        <w:pStyle w:val="8"/>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rFonts w:hint="eastAsia"/>
          <w:b/>
          <w:color w:val="000000" w:themeColor="text1"/>
          <w:kern w:val="0"/>
          <w:u w:val="single"/>
          <w14:textFill>
            <w14:solidFill>
              <w14:schemeClr w14:val="tx1"/>
            </w14:solidFill>
          </w14:textFill>
        </w:rPr>
        <w:t>（综合评分法、非单一产品采购项目适用）通过资格审查、符合性审查的不同投标供应商参加同一合同项下投标时，提供的核心产品品牌均相同的，按照第1.12.4款处理</w:t>
      </w:r>
      <w:r>
        <w:rPr>
          <w:rFonts w:hint="eastAsia"/>
          <w:b/>
          <w:color w:val="000000" w:themeColor="text1"/>
          <w:kern w:val="0"/>
          <w14:textFill>
            <w14:solidFill>
              <w14:schemeClr w14:val="tx1"/>
            </w14:solidFill>
          </w14:textFill>
        </w:rPr>
        <w:t>；本项目核心产品内容见《投标须知前附表》。</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1.13 特殊供应商参加采购活动的规定</w:t>
      </w:r>
    </w:p>
    <w:p>
      <w:pPr>
        <w:pStyle w:val="8"/>
        <w:spacing w:after="240"/>
        <w:ind w:firstLine="426"/>
        <w:rPr>
          <w:rFonts w:ascii="Calibri" w:hAnsi="Calibri"/>
          <w:b/>
          <w:color w:val="000000" w:themeColor="text1"/>
          <w14:textFill>
            <w14:solidFill>
              <w14:schemeClr w14:val="tx1"/>
            </w14:solidFill>
          </w14:textFill>
        </w:rPr>
      </w:pPr>
      <w:r>
        <w:rPr>
          <w:rFonts w:hint="eastAsia" w:cs="Arial"/>
          <w:b/>
          <w:color w:val="000000" w:themeColor="text1"/>
          <w14:textFill>
            <w14:solidFill>
              <w14:schemeClr w14:val="tx1"/>
            </w14:solidFill>
          </w14:textFill>
        </w:rPr>
        <w:t>根据《关于规范政府采购供应商资格设定及资格审查的通知（浙财采监【2013】24号）》第六条的规定，</w:t>
      </w:r>
      <w:r>
        <w:rPr>
          <w:b/>
          <w:color w:val="000000" w:themeColor="text1"/>
          <w:kern w:val="0"/>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b/>
          <w:color w:val="000000" w:themeColor="text1"/>
          <w:kern w:val="0"/>
          <w14:textFill>
            <w14:solidFill>
              <w14:schemeClr w14:val="tx1"/>
            </w14:solidFill>
          </w14:textFill>
        </w:rPr>
        <w:t>本次</w:t>
      </w:r>
      <w:r>
        <w:rPr>
          <w:b/>
          <w:color w:val="000000" w:themeColor="text1"/>
          <w:kern w:val="0"/>
          <w14:textFill>
            <w14:solidFill>
              <w14:schemeClr w14:val="tx1"/>
            </w14:solidFill>
          </w14:textFill>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b/>
          <w:color w:val="000000" w:themeColor="text1"/>
          <w:kern w:val="0"/>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 </w:t>
      </w:r>
      <w:r>
        <w:rPr>
          <w:color w:val="000000" w:themeColor="text1"/>
          <w14:textFill>
            <w14:solidFill>
              <w14:schemeClr w14:val="tx1"/>
            </w14:solidFill>
          </w14:textFill>
        </w:rPr>
        <w:t>分包</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1.14.1是否允许分包：</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1.14.2</w:t>
      </w:r>
      <w:r>
        <w:rPr>
          <w:rFonts w:hint="eastAsia"/>
          <w:color w:val="000000" w:themeColor="text1"/>
          <w:kern w:val="0"/>
          <w:szCs w:val="24"/>
          <w14:textFill>
            <w14:solidFill>
              <w14:schemeClr w14:val="tx1"/>
            </w14:solidFill>
          </w14:textFill>
        </w:rPr>
        <w:t>《投标须知前附表》中声明允许分包的，投标供应商可以根据采购文件的规定和采购项目的实际情况进行分包。</w:t>
      </w:r>
      <w:r>
        <w:rPr>
          <w:rFonts w:hint="eastAsia"/>
          <w:b/>
          <w:color w:val="000000" w:themeColor="text1"/>
          <w:kern w:val="0"/>
          <w:szCs w:val="24"/>
          <w:u w:val="single"/>
          <w14:textFill>
            <w14:solidFill>
              <w14:schemeClr w14:val="tx1"/>
            </w14:solidFill>
          </w14:textFill>
        </w:rPr>
        <w:t>投标供应商根据采购文件的规定和采购项目的实际情况，拟在中标后将中标项目的非主体、非关键性工作分包的，应当在投标文件中载明分包承担主体，分包承担主体应当具备相应资质条件且不得再次分包</w:t>
      </w:r>
      <w:r>
        <w:rPr>
          <w:rFonts w:hint="eastAsia"/>
          <w:b/>
          <w:color w:val="000000" w:themeColor="text1"/>
          <w:kern w:val="0"/>
          <w:szCs w:val="24"/>
          <w14:textFill>
            <w14:solidFill>
              <w14:schemeClr w14:val="tx1"/>
            </w14:solidFill>
          </w14:textFill>
        </w:rPr>
        <w:t>。</w:t>
      </w:r>
      <w:r>
        <w:rPr>
          <w:color w:val="000000" w:themeColor="text1"/>
          <w:kern w:val="0"/>
          <w:szCs w:val="24"/>
          <w14:textFill>
            <w14:solidFill>
              <w14:schemeClr w14:val="tx1"/>
            </w14:solidFill>
          </w14:textFill>
        </w:rPr>
        <w:t>政府采购合同分包履行的，中标、成交供应商就采购项目和分包项目向采购人负责，分包供应商</w:t>
      </w:r>
      <w:r>
        <w:rPr>
          <w:rFonts w:hint="eastAsia"/>
          <w:color w:val="000000" w:themeColor="text1"/>
          <w:kern w:val="0"/>
          <w14:textFill>
            <w14:solidFill>
              <w14:schemeClr w14:val="tx1"/>
            </w14:solidFill>
          </w14:textFill>
        </w:rPr>
        <w:t>就分包项目承担责任。</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1.14.3中小企业享受扶持政策获得政府采购合同的，小微企业不得将合同分包给大中型企业，中型企业不得将合同分包给大型企业。</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1.15 供应商询问、</w:t>
      </w:r>
      <w:r>
        <w:rPr>
          <w:color w:val="000000" w:themeColor="text1"/>
          <w14:textFill>
            <w14:solidFill>
              <w14:schemeClr w14:val="tx1"/>
            </w14:solidFill>
          </w14:textFill>
        </w:rPr>
        <w:t>质疑和投诉</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1.15.1询问：</w:t>
      </w:r>
      <w:r>
        <w:rPr>
          <w:rFonts w:hint="eastAsia"/>
          <w:color w:val="000000" w:themeColor="text1"/>
          <w:kern w:val="0"/>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2质疑：</w:t>
      </w:r>
      <w:r>
        <w:rPr>
          <w:color w:val="000000" w:themeColor="text1"/>
          <w:kern w:val="0"/>
          <w14:textFill>
            <w14:solidFill>
              <w14:schemeClr w14:val="tx1"/>
            </w14:solidFill>
          </w14:textFill>
        </w:rPr>
        <w:t>供应商认为</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过程和</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结果使自己的合法权益受到损害的，应当在知道或者应知其权益受到损害之日起七个工作日内，以书面形式一次性向采购人、采购代理机构提出质疑。</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上述所指“供应商应知其权益受到损害之日”，是指</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kern w:val="0"/>
          <w14:textFill>
            <w14:solidFill>
              <w14:schemeClr w14:val="tx1"/>
            </w14:solidFill>
          </w14:textFill>
        </w:rPr>
        <w:t>提出质疑的，</w:t>
      </w:r>
      <w:r>
        <w:rPr>
          <w:rFonts w:hint="eastAsia"/>
          <w:color w:val="000000" w:themeColor="text1"/>
          <w14:textFill>
            <w14:solidFill>
              <w14:schemeClr w14:val="tx1"/>
            </w14:solidFill>
          </w14:textFill>
        </w:rPr>
        <w:t>为获取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公告期限届满后获取采购文件的，以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公告期限届满之日为准）</w:t>
      </w:r>
      <w:r>
        <w:rPr>
          <w:rFonts w:hint="eastAsia"/>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（2）对采购过程提出质疑的，为各采购程序环节结束之日；</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（3）对中标或者成交结果提出质疑的，为中标或者成交结果公告期限届满之日。</w:t>
      </w:r>
    </w:p>
    <w:p>
      <w:pPr>
        <w:pStyle w:val="8"/>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.2</w:t>
      </w:r>
      <w:r>
        <w:rPr>
          <w:b/>
          <w:color w:val="000000" w:themeColor="text1"/>
          <w:szCs w:val="28"/>
          <w14:textFill>
            <w14:solidFill>
              <w14:schemeClr w14:val="tx1"/>
            </w14:solidFill>
          </w14:textFill>
        </w:rPr>
        <w:t>供应商提出质疑应当提交质疑函和必要的证明材料。</w:t>
      </w:r>
      <w:r>
        <w:rPr>
          <w:color w:val="000000" w:themeColor="text1"/>
          <w:szCs w:val="28"/>
          <w14:textFill>
            <w14:solidFill>
              <w14:schemeClr w14:val="tx1"/>
            </w14:solidFill>
          </w14:textFill>
        </w:rPr>
        <w:t>质疑函应当包括下列内容：</w:t>
      </w:r>
    </w:p>
    <w:p>
      <w:pPr>
        <w:pStyle w:val="8"/>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）供应商的姓名或者名称、地址、邮编、联系人及联系电话；</w:t>
      </w:r>
    </w:p>
    <w:p>
      <w:pPr>
        <w:pStyle w:val="8"/>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）质疑项目的名称、编号；</w:t>
      </w:r>
    </w:p>
    <w:p>
      <w:pPr>
        <w:pStyle w:val="8"/>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）具体、明确的质疑事项和与质疑事项相关的请求；</w:t>
      </w:r>
    </w:p>
    <w:p>
      <w:pPr>
        <w:pStyle w:val="8"/>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）事实依据；</w:t>
      </w:r>
    </w:p>
    <w:p>
      <w:pPr>
        <w:pStyle w:val="8"/>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5</w:t>
      </w:r>
      <w:r>
        <w:rPr>
          <w:color w:val="000000" w:themeColor="text1"/>
          <w:szCs w:val="28"/>
          <w14:textFill>
            <w14:solidFill>
              <w14:schemeClr w14:val="tx1"/>
            </w14:solidFill>
          </w14:textFill>
        </w:rPr>
        <w:t>）必要的法律依据；</w:t>
      </w:r>
    </w:p>
    <w:p>
      <w:pPr>
        <w:pStyle w:val="8"/>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6</w:t>
      </w:r>
      <w:r>
        <w:rPr>
          <w:color w:val="000000" w:themeColor="text1"/>
          <w:szCs w:val="28"/>
          <w14:textFill>
            <w14:solidFill>
              <w14:schemeClr w14:val="tx1"/>
            </w14:solidFill>
          </w14:textFill>
        </w:rPr>
        <w:t>）提出质疑的日期。</w:t>
      </w:r>
    </w:p>
    <w:p>
      <w:pPr>
        <w:pStyle w:val="8"/>
        <w:ind w:firstLine="426"/>
        <w:rPr>
          <w:b/>
          <w:color w:val="000000" w:themeColor="text1"/>
          <w:kern w:val="0"/>
          <w14:textFill>
            <w14:solidFill>
              <w14:schemeClr w14:val="tx1"/>
            </w14:solidFill>
          </w14:textFill>
        </w:rPr>
      </w:pPr>
      <w:r>
        <w:rPr>
          <w:b/>
          <w:color w:val="000000" w:themeColor="text1"/>
          <w:szCs w:val="28"/>
          <w:u w:val="single"/>
          <w14:textFill>
            <w14:solidFill>
              <w14:schemeClr w14:val="tx1"/>
            </w14:solidFill>
          </w14:textFill>
        </w:rPr>
        <w:t>供应商为自然人的，应当由本人签字</w:t>
      </w:r>
      <w:r>
        <w:rPr>
          <w:rFonts w:hint="eastAsia"/>
          <w:b/>
          <w:color w:val="000000" w:themeColor="text1"/>
          <w:szCs w:val="28"/>
          <w:u w:val="single"/>
          <w14:textFill>
            <w14:solidFill>
              <w14:schemeClr w14:val="tx1"/>
            </w14:solidFill>
          </w14:textFill>
        </w:rPr>
        <w:t>并附上身份证明</w:t>
      </w:r>
      <w:r>
        <w:rPr>
          <w:b/>
          <w:color w:val="000000" w:themeColor="text1"/>
          <w:szCs w:val="28"/>
          <w:u w:val="single"/>
          <w14:textFill>
            <w14:solidFill>
              <w14:schemeClr w14:val="tx1"/>
            </w14:solidFill>
          </w14:textFill>
        </w:rPr>
        <w:t>；供应商为法人或者其他组织的，应当由法定代表人或者其授权代表签字或者盖章，并加盖公章</w:t>
      </w:r>
      <w:r>
        <w:rPr>
          <w:b/>
          <w:color w:val="000000" w:themeColor="text1"/>
          <w:szCs w:val="28"/>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供应商认可采购</w:t>
      </w:r>
      <w:r>
        <w:rPr>
          <w:rFonts w:hint="eastAsia"/>
          <w:color w:val="000000" w:themeColor="text1"/>
          <w:kern w:val="0"/>
          <w14:textFill>
            <w14:solidFill>
              <w14:schemeClr w14:val="tx1"/>
            </w14:solidFill>
          </w14:textFill>
        </w:rPr>
        <w:t>组织机构</w:t>
      </w:r>
      <w:r>
        <w:rPr>
          <w:color w:val="000000" w:themeColor="text1"/>
          <w:kern w:val="0"/>
          <w14:textFill>
            <w14:solidFill>
              <w14:schemeClr w14:val="tx1"/>
            </w14:solidFill>
          </w14:textFill>
        </w:rPr>
        <w:t>在质疑答复程序中启用的调查和</w:t>
      </w:r>
      <w:r>
        <w:rPr>
          <w:rFonts w:hint="eastAsia"/>
          <w:color w:val="000000" w:themeColor="text1"/>
          <w:kern w:val="0"/>
          <w14:textFill>
            <w14:solidFill>
              <w14:schemeClr w14:val="tx1"/>
            </w14:solidFill>
          </w14:textFill>
        </w:rPr>
        <w:t>重新评审</w:t>
      </w:r>
      <w:r>
        <w:rPr>
          <w:color w:val="000000" w:themeColor="text1"/>
          <w:kern w:val="0"/>
          <w14:textFill>
            <w14:solidFill>
              <w14:schemeClr w14:val="tx1"/>
            </w14:solidFill>
          </w14:textFill>
        </w:rPr>
        <w:t>等程序，在该程序操作过程未明显违反法律禁止性规定时，不得再提出异议</w:t>
      </w:r>
      <w:r>
        <w:rPr>
          <w:rFonts w:hint="eastAsia"/>
          <w:color w:val="000000" w:themeColor="text1"/>
          <w:kern w:val="0"/>
          <w14:textFill>
            <w14:solidFill>
              <w14:schemeClr w14:val="tx1"/>
            </w14:solidFill>
          </w14:textFill>
        </w:rPr>
        <w:t>。</w:t>
      </w:r>
    </w:p>
    <w:p>
      <w:pPr>
        <w:pStyle w:val="8"/>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2.4</w:t>
      </w:r>
      <w:r>
        <w:rPr>
          <w:color w:val="000000" w:themeColor="text1"/>
          <w:kern w:val="0"/>
          <w14:textFill>
            <w14:solidFill>
              <w14:schemeClr w14:val="tx1"/>
            </w14:solidFill>
          </w14:textFill>
        </w:rPr>
        <w:t>质疑、投诉应当采用书面形式</w:t>
      </w:r>
      <w:r>
        <w:rPr>
          <w:rFonts w:hint="eastAsia"/>
          <w:color w:val="000000" w:themeColor="text1"/>
          <w:kern w:val="0"/>
          <w14:textFill>
            <w14:solidFill>
              <w14:schemeClr w14:val="tx1"/>
            </w14:solidFill>
          </w14:textFill>
        </w:rPr>
        <w:t>（原件一式三份），经法定代表人或其授权代表签署后</w:t>
      </w:r>
      <w:r>
        <w:rPr>
          <w:color w:val="000000" w:themeColor="text1"/>
          <w:kern w:val="0"/>
          <w14:textFill>
            <w14:solidFill>
              <w14:schemeClr w14:val="tx1"/>
            </w14:solidFill>
          </w14:textFill>
        </w:rPr>
        <w:t>加盖单位公章，质疑书、投诉书均应明确阐述采购文件、招标过程和中标结果中使自己合法权益受到损害的实质性内容，</w:t>
      </w:r>
      <w:r>
        <w:rPr>
          <w:rFonts w:hint="eastAsia"/>
          <w:color w:val="000000" w:themeColor="text1"/>
          <w:kern w:val="0"/>
          <w14:textFill>
            <w14:solidFill>
              <w14:schemeClr w14:val="tx1"/>
            </w14:solidFill>
          </w14:textFill>
        </w:rPr>
        <w:t>供应商提出的质疑、投诉应当有明确的诉求（即通过质疑所要达到的具体目标）和必要的证明材料（</w:t>
      </w:r>
      <w:r>
        <w:rPr>
          <w:rFonts w:hint="eastAsia"/>
          <w:color w:val="000000" w:themeColor="text1"/>
          <w:kern w:val="0"/>
          <w:u w:val="single"/>
          <w14:textFill>
            <w14:solidFill>
              <w14:schemeClr w14:val="tx1"/>
            </w14:solidFill>
          </w14:textFill>
        </w:rPr>
        <w:t>即通过合法手段获得的能够证明供应商的诉求成立的必要材料</w:t>
      </w:r>
      <w:r>
        <w:rPr>
          <w:rFonts w:hint="eastAsia"/>
          <w:color w:val="000000" w:themeColor="text1"/>
          <w:kern w:val="0"/>
          <w14:textFill>
            <w14:solidFill>
              <w14:schemeClr w14:val="tx1"/>
            </w14:solidFill>
          </w14:textFill>
        </w:rPr>
        <w:t>）。</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1.15.3投诉：</w:t>
      </w:r>
      <w:r>
        <w:rPr>
          <w:color w:val="000000" w:themeColor="text1"/>
          <w:kern w:val="0"/>
          <w14:textFill>
            <w14:solidFill>
              <w14:schemeClr w14:val="tx1"/>
            </w14:solidFill>
          </w14:textFill>
        </w:rPr>
        <w:t>供应商对</w:t>
      </w:r>
      <w:r>
        <w:rPr>
          <w:rFonts w:hint="eastAsia"/>
          <w:color w:val="000000" w:themeColor="text1"/>
          <w:kern w:val="0"/>
          <w14:textFill>
            <w14:solidFill>
              <w14:schemeClr w14:val="tx1"/>
            </w14:solidFill>
          </w14:textFill>
        </w:rPr>
        <w:t>采购人、采购代理机构</w:t>
      </w:r>
      <w:r>
        <w:rPr>
          <w:color w:val="000000" w:themeColor="text1"/>
          <w:kern w:val="0"/>
          <w14:textFill>
            <w14:solidFill>
              <w14:schemeClr w14:val="tx1"/>
            </w14:solidFill>
          </w14:textFill>
        </w:rPr>
        <w:t>的质疑答复不满意或者</w:t>
      </w:r>
      <w:r>
        <w:rPr>
          <w:rFonts w:hint="eastAsia"/>
          <w:color w:val="000000" w:themeColor="text1"/>
          <w:kern w:val="0"/>
          <w14:textFill>
            <w14:solidFill>
              <w14:schemeClr w14:val="tx1"/>
            </w14:solidFill>
          </w14:textFill>
        </w:rPr>
        <w:t>采购人、采购代理机构未在规定时间内作出答复的，可以在答复期满后十五个工作日内向同级采购监管部门投诉。</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1.15.4以联合体形式参加政府采购活动的，其投诉应当由组成联合体的所有供应商共同提出</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1.16 其他</w:t>
      </w:r>
      <w:r>
        <w:rPr>
          <w:color w:val="000000" w:themeColor="text1"/>
          <w14:textFill>
            <w14:solidFill>
              <w14:schemeClr w14:val="tx1"/>
            </w14:solidFill>
          </w14:textFill>
        </w:rPr>
        <w:t>说明</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.2投标供应商投标所使用的资格、信誉、荣誉、投标供应商业绩与企业认证必须为本法人所拥有。投标供应商投标所使用的项目实施人员可以为其控股公司的工作人员。在组织资格性审查</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商务或技术评审时，属于投标供应商母公司（总机构）或者同一</w:t>
      </w:r>
      <w:r>
        <w:rPr>
          <w:rFonts w:hint="eastAsia"/>
          <w:color w:val="000000" w:themeColor="text1"/>
          <w:kern w:val="0"/>
          <w14:textFill>
            <w14:solidFill>
              <w14:schemeClr w14:val="tx1"/>
            </w14:solidFill>
          </w14:textFill>
        </w:rPr>
        <w:t>母公司</w:t>
      </w:r>
      <w:r>
        <w:rPr>
          <w:color w:val="000000" w:themeColor="text1"/>
          <w:kern w:val="0"/>
          <w14:textFill>
            <w14:solidFill>
              <w14:schemeClr w14:val="tx1"/>
            </w14:solidFill>
          </w14:textFill>
        </w:rPr>
        <w:t>下属的其他子公司（同一总机构下属的其他分支机构）的人员、业绩、荣誉、知识产权、项目案例等，</w:t>
      </w:r>
      <w:r>
        <w:rPr>
          <w:rFonts w:hint="eastAsia"/>
          <w:color w:val="000000" w:themeColor="text1"/>
          <w:kern w:val="0"/>
          <w14:textFill>
            <w14:solidFill>
              <w14:schemeClr w14:val="tx1"/>
            </w14:solidFill>
          </w14:textFill>
        </w:rPr>
        <w:t>不得</w:t>
      </w:r>
      <w:r>
        <w:rPr>
          <w:color w:val="000000" w:themeColor="text1"/>
          <w:kern w:val="0"/>
          <w14:textFill>
            <w14:solidFill>
              <w14:schemeClr w14:val="tx1"/>
            </w14:solidFill>
          </w14:textFill>
        </w:rPr>
        <w:t>作为该投标供应商的资信文件予以确认或审查通过</w:t>
      </w:r>
      <w:r>
        <w:rPr>
          <w:rFonts w:hint="eastAsia"/>
          <w:color w:val="000000" w:themeColor="text1"/>
          <w:kern w:val="0"/>
          <w14:textFill>
            <w14:solidFill>
              <w14:schemeClr w14:val="tx1"/>
            </w14:solidFill>
          </w14:textFill>
        </w:rPr>
        <w:t>。</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w:t>
      </w:r>
      <w:r>
        <w:rPr>
          <w:b/>
          <w:color w:val="000000" w:themeColor="text1"/>
          <w:kern w:val="0"/>
          <w:u w:val="single"/>
          <w14:textFill>
            <w14:solidFill>
              <w14:schemeClr w14:val="tx1"/>
            </w14:solidFill>
          </w14:textFill>
        </w:rPr>
        <w:t>投标供应商在投标活动中提供任何虚假材料或从事其他违法活动的，其投标无效，并报监管部门查处；中标后发现的，</w:t>
      </w:r>
      <w:r>
        <w:rPr>
          <w:rFonts w:hint="eastAsia"/>
          <w:b/>
          <w:color w:val="000000" w:themeColor="text1"/>
          <w:kern w:val="0"/>
          <w:u w:val="single"/>
          <w14:textFill>
            <w14:solidFill>
              <w14:schemeClr w14:val="tx1"/>
            </w14:solidFill>
          </w14:textFill>
        </w:rPr>
        <w:t>中标无效，并</w:t>
      </w:r>
      <w:r>
        <w:rPr>
          <w:b/>
          <w:color w:val="000000" w:themeColor="text1"/>
          <w:kern w:val="0"/>
          <w:u w:val="single"/>
          <w14:textFill>
            <w14:solidFill>
              <w14:schemeClr w14:val="tx1"/>
            </w14:solidFill>
          </w14:textFill>
        </w:rPr>
        <w:t>须依照</w:t>
      </w:r>
      <w:r>
        <w:rPr>
          <w:rFonts w:hint="eastAsia"/>
          <w:b/>
          <w:color w:val="000000" w:themeColor="text1"/>
          <w:kern w:val="0"/>
          <w:u w:val="single"/>
          <w14:textFill>
            <w14:solidFill>
              <w14:schemeClr w14:val="tx1"/>
            </w14:solidFill>
          </w14:textFill>
        </w:rPr>
        <w:t>相关</w:t>
      </w:r>
      <w:r>
        <w:rPr>
          <w:b/>
          <w:color w:val="000000" w:themeColor="text1"/>
          <w:kern w:val="0"/>
          <w:u w:val="single"/>
          <w14:textFill>
            <w14:solidFill>
              <w14:schemeClr w14:val="tx1"/>
            </w14:solidFill>
          </w14:textFill>
        </w:rPr>
        <w:t>规定双倍赔偿给采购人。且民事赔偿并不免除违法投标供应商的行政与刑事责任</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4</w:t>
      </w:r>
      <w:r>
        <w:rPr>
          <w:color w:val="000000" w:themeColor="text1"/>
          <w:kern w:val="0"/>
          <w14:textFill>
            <w14:solidFill>
              <w14:schemeClr w14:val="tx1"/>
            </w14:solidFill>
          </w14:textFill>
        </w:rPr>
        <w:t>投标供应商应仔细阅读采购文件的所有内容，按照采购文件的要求提交《投标文件》。</w:t>
      </w:r>
      <w:r>
        <w:rPr>
          <w:b/>
          <w:color w:val="000000" w:themeColor="text1"/>
          <w:kern w:val="0"/>
          <w:u w:val="single"/>
          <w14:textFill>
            <w14:solidFill>
              <w14:schemeClr w14:val="tx1"/>
            </w14:solidFill>
          </w14:textFill>
        </w:rPr>
        <w:t>《投标文件》应对采购文件的要求作出实质性响应，并对所提供的全部资料的真实性承担法律责任</w:t>
      </w:r>
      <w:r>
        <w:rPr>
          <w:rFonts w:hint="eastAsia"/>
          <w:b/>
          <w:color w:val="000000" w:themeColor="text1"/>
          <w:kern w:val="0"/>
          <w14:textFill>
            <w14:solidFill>
              <w14:schemeClr w14:val="tx1"/>
            </w14:solidFill>
          </w14:textFill>
        </w:rPr>
        <w:t>。</w:t>
      </w:r>
    </w:p>
    <w:p>
      <w:pPr>
        <w:pStyle w:val="8"/>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1.16.5采购文件所涉及的产品品牌或型号为建议性要求或档次选择要求或为代替部分技术指标描述，投标供应商可以自行选择其他品牌型号的产品参加投标，但所投产品应当具有相等或更优于采购文件要求的指标、性能、档次，否则，评标委员会将对其作出不利的评审。</w:t>
      </w:r>
    </w:p>
    <w:p>
      <w:pPr>
        <w:pStyle w:val="3"/>
        <w:rPr>
          <w:color w:val="000000" w:themeColor="text1"/>
          <w14:textFill>
            <w14:solidFill>
              <w14:schemeClr w14:val="tx1"/>
            </w14:solidFill>
          </w14:textFill>
        </w:rPr>
      </w:pPr>
      <w:bookmarkStart w:id="54" w:name="_Toc1151"/>
      <w:bookmarkStart w:id="55" w:name="_Toc10554"/>
      <w:bookmarkStart w:id="56" w:name="_Toc14416"/>
      <w:bookmarkStart w:id="57" w:name="_Toc30578"/>
      <w:r>
        <w:rPr>
          <w:rFonts w:hint="eastAsia"/>
          <w:color w:val="000000" w:themeColor="text1"/>
          <w14:textFill>
            <w14:solidFill>
              <w14:schemeClr w14:val="tx1"/>
            </w14:solidFill>
          </w14:textFill>
        </w:rPr>
        <w:t>二、落实的政府采购政策</w:t>
      </w:r>
      <w:bookmarkEnd w:id="54"/>
      <w:bookmarkEnd w:id="55"/>
      <w:bookmarkEnd w:id="56"/>
      <w:bookmarkEnd w:id="57"/>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支持中小企业发展</w:t>
      </w:r>
    </w:p>
    <w:p>
      <w:pPr>
        <w:spacing w:line="360" w:lineRule="auto"/>
        <w:ind w:firstLine="426" w:firstLineChars="177"/>
        <w:rPr>
          <w:rFonts w:ascii="仿宋" w:hAnsi="仿宋" w:eastAsia="仿宋"/>
          <w:color w:val="000000"/>
          <w:sz w:val="24"/>
        </w:rPr>
      </w:pPr>
      <w:r>
        <w:rPr>
          <w:rFonts w:hint="eastAsia" w:ascii="仿宋" w:hAnsi="仿宋" w:eastAsia="仿宋"/>
          <w:b/>
          <w:bCs/>
          <w:color w:val="000000"/>
          <w:sz w:val="24"/>
        </w:rPr>
        <w:t>2.1.1是否专门面向中小企业采购：</w:t>
      </w:r>
      <w:r>
        <w:rPr>
          <w:rFonts w:hint="eastAsia" w:ascii="仿宋" w:hAnsi="仿宋" w:eastAsia="仿宋"/>
          <w:color w:val="000000"/>
          <w:sz w:val="24"/>
          <w:u w:val="single"/>
        </w:rPr>
        <w:t>见《投标须知前附表》</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2.1.2中小企业，系指在中华人民共和国境内依法设立，依据国务院批准的中小企业划分标准确定的中型企业、小型企业和微型企业，但与大企业的负责人为同一人，或者与大企业存在直接控股、管理关系的除外。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符合中小企业划分标准的个体工商户，在政府采购活动中视同中小企业。</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3在政府采购活动中，投标供应商提供的货物、工程或者服务符合下列情形的，享受中小企业扶持政策：</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在货物采购项目中，货物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由中小企业制造，即货物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由中小企业生产且使用该中小企业商号或者注册商标；</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在工程采购项目中，工程</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由中小企业承建，即工程施工单位为</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中小企业；</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在服务采购项目中，服务</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由中小企业承接，即提供服务的人员</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为中小企业依照《中华人民共和国劳动合同法》订立劳动合同的从业人员。</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在货物采购项目中，投标供应商提供的货物既有中小企业制造货物，也有大型企业制造货物的，不享受中小企业扶持政策。</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以联合体形式参加政府采购活动，联合体各方均为中小企业的，联合体视同中小企业。其中，联合体各方均为小微企业的，联合体视同小微企业。</w:t>
      </w:r>
    </w:p>
    <w:p>
      <w:pPr>
        <w:spacing w:line="360" w:lineRule="auto"/>
        <w:ind w:firstLine="426" w:firstLineChars="177"/>
        <w:rPr>
          <w:rFonts w:ascii="仿宋" w:hAnsi="仿宋" w:eastAsia="仿宋"/>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4对于未预留份额专门面向中小企业的政府采购货物或服务项目，以及预留份额政府采购货物或服务项目中的非预留部分标项，对小型和微型企业的投标报价给予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w:t>
      </w:r>
      <w:r>
        <w:rPr>
          <w:rFonts w:hint="eastAsia" w:ascii="仿宋" w:hAnsi="仿宋" w:eastAsia="仿宋"/>
          <w:b/>
          <w:sz w:val="24"/>
          <w:u w:val="single"/>
        </w:rPr>
        <w:t>1</w:t>
      </w:r>
      <w:r>
        <w:rPr>
          <w:rFonts w:ascii="仿宋" w:hAnsi="仿宋" w:eastAsia="仿宋"/>
          <w:b/>
          <w:sz w:val="24"/>
          <w:u w:val="single"/>
        </w:rPr>
        <w:t>0%</w:t>
      </w:r>
      <w:r>
        <w:rPr>
          <w:rFonts w:hint="eastAsia" w:ascii="仿宋" w:hAnsi="仿宋" w:eastAsia="仿宋"/>
          <w:b/>
          <w:sz w:val="24"/>
        </w:rPr>
        <w:t>】</w:t>
      </w:r>
      <w:r>
        <w:rPr>
          <w:rFonts w:ascii="仿宋" w:hAnsi="仿宋" w:eastAsia="仿宋"/>
          <w:b/>
          <w:sz w:val="24"/>
        </w:rPr>
        <w:t>的扣除，用扣除后的价格参与评审。</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w:t>
      </w:r>
      <w:r>
        <w:rPr>
          <w:rFonts w:ascii="仿宋" w:hAnsi="仿宋" w:eastAsia="仿宋"/>
          <w:b/>
          <w:sz w:val="24"/>
        </w:rPr>
        <w:t>对于联合协议或者分包意向协议约定小微企业的合同份额占到合同总金额</w:t>
      </w:r>
      <w:r>
        <w:rPr>
          <w:rFonts w:hint="eastAsia" w:ascii="仿宋" w:hAnsi="仿宋" w:eastAsia="仿宋"/>
          <w:b/>
          <w:sz w:val="24"/>
        </w:rPr>
        <w:t>【</w:t>
      </w:r>
      <w:r>
        <w:rPr>
          <w:rFonts w:ascii="仿宋" w:hAnsi="仿宋" w:eastAsia="仿宋"/>
          <w:b/>
          <w:sz w:val="24"/>
          <w:u w:val="single"/>
        </w:rPr>
        <w:t>30%</w:t>
      </w:r>
      <w:r>
        <w:rPr>
          <w:rFonts w:hint="eastAsia" w:ascii="仿宋" w:hAnsi="仿宋" w:eastAsia="仿宋"/>
          <w:b/>
          <w:sz w:val="24"/>
        </w:rPr>
        <w:t>】</w:t>
      </w:r>
      <w:r>
        <w:rPr>
          <w:rFonts w:ascii="仿宋" w:hAnsi="仿宋" w:eastAsia="仿宋"/>
          <w:b/>
          <w:sz w:val="24"/>
        </w:rPr>
        <w:t>以上的，对联合体或者大中型企业的报价给予</w:t>
      </w:r>
      <w:r>
        <w:rPr>
          <w:rFonts w:hint="eastAsia" w:ascii="仿宋" w:hAnsi="仿宋" w:eastAsia="仿宋"/>
          <w:b/>
          <w:sz w:val="24"/>
        </w:rPr>
        <w:t>【</w:t>
      </w:r>
      <w:r>
        <w:rPr>
          <w:rFonts w:hint="eastAsia" w:ascii="仿宋" w:hAnsi="仿宋" w:eastAsia="仿宋"/>
          <w:b/>
          <w:sz w:val="24"/>
          <w:u w:val="single"/>
        </w:rPr>
        <w:t>4</w:t>
      </w:r>
      <w:r>
        <w:rPr>
          <w:rFonts w:ascii="仿宋" w:hAnsi="仿宋" w:eastAsia="仿宋"/>
          <w:b/>
          <w:sz w:val="24"/>
          <w:u w:val="single"/>
        </w:rPr>
        <w:t>%</w:t>
      </w:r>
      <w:r>
        <w:rPr>
          <w:rFonts w:hint="eastAsia" w:ascii="仿宋" w:hAnsi="仿宋" w:eastAsia="仿宋"/>
          <w:b/>
          <w:sz w:val="24"/>
        </w:rPr>
        <w:t>】</w:t>
      </w:r>
      <w:r>
        <w:rPr>
          <w:rFonts w:ascii="仿宋" w:hAnsi="仿宋" w:eastAsia="仿宋"/>
          <w:b/>
          <w:sz w:val="24"/>
        </w:rPr>
        <w:t>的扣</w:t>
      </w:r>
      <w:r>
        <w:rPr>
          <w:rFonts w:ascii="仿宋" w:hAnsi="仿宋" w:eastAsia="仿宋"/>
          <w:b/>
          <w:color w:val="000000"/>
          <w:sz w:val="24"/>
        </w:rPr>
        <w:t>除，用扣除后的价格参加评审。</w:t>
      </w:r>
      <w:r>
        <w:rPr>
          <w:rFonts w:ascii="仿宋" w:hAnsi="仿宋" w:eastAsia="仿宋"/>
          <w:color w:val="000000"/>
          <w:sz w:val="24"/>
        </w:rPr>
        <w:t>组成联合体或者接受分包的小微企业与联合体内其他企业、分包企业之间存在直接控股、管理关系的，不享受价格扣除优惠政策。</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5</w:t>
      </w:r>
      <w:r>
        <w:rPr>
          <w:rFonts w:ascii="仿宋" w:hAnsi="仿宋" w:eastAsia="仿宋"/>
          <w:color w:val="000000"/>
          <w:sz w:val="24"/>
        </w:rPr>
        <w:t>符合《关于促进残疾人就业政府采购政策的通知》（财库〔2017〕141号）规定的条件并提供《残疾人福利性单位声明函》（</w:t>
      </w:r>
      <w:r>
        <w:rPr>
          <w:rFonts w:hint="eastAsia" w:ascii="仿宋" w:hAnsi="仿宋" w:eastAsia="仿宋"/>
          <w:color w:val="000000"/>
          <w:sz w:val="24"/>
        </w:rPr>
        <w:t>第七章</w:t>
      </w:r>
      <w:r>
        <w:rPr>
          <w:rFonts w:ascii="仿宋" w:hAnsi="仿宋" w:eastAsia="仿宋"/>
          <w:color w:val="000000"/>
          <w:sz w:val="24"/>
        </w:rPr>
        <w:t>附件</w:t>
      </w:r>
      <w:r>
        <w:rPr>
          <w:rFonts w:hint="eastAsia" w:ascii="仿宋" w:hAnsi="仿宋" w:eastAsia="仿宋"/>
          <w:color w:val="000000"/>
          <w:sz w:val="24"/>
        </w:rPr>
        <w:t>4</w:t>
      </w:r>
      <w:r>
        <w:rPr>
          <w:rFonts w:ascii="仿宋" w:hAnsi="仿宋" w:eastAsia="仿宋"/>
          <w:color w:val="000000"/>
          <w:sz w:val="24"/>
        </w:rPr>
        <w:t>）的残疾人福利性单位视同小型、微型企业；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6</w:t>
      </w:r>
      <w:r>
        <w:rPr>
          <w:rFonts w:ascii="仿宋" w:hAnsi="仿宋" w:eastAsia="仿宋"/>
          <w:color w:val="000000"/>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7可享受中小企业扶持政策的投标供应商应按照采购文件格式要求提供《中小企业声明函》，投标供应商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olor w:val="C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8</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2.2 支持绿色发展</w:t>
      </w:r>
    </w:p>
    <w:p>
      <w:pPr>
        <w:spacing w:line="360" w:lineRule="auto"/>
        <w:ind w:firstLine="424" w:firstLineChars="177"/>
        <w:rPr>
          <w:rFonts w:ascii="仿宋" w:hAnsi="仿宋" w:eastAsia="仿宋"/>
          <w:b/>
          <w:sz w:val="24"/>
        </w:rPr>
      </w:pPr>
      <w:r>
        <w:rPr>
          <w:rFonts w:hint="eastAsia" w:ascii="仿宋" w:hAnsi="仿宋" w:eastAsia="仿宋"/>
          <w:sz w:val="24"/>
        </w:rPr>
        <w:t>2</w:t>
      </w:r>
      <w:r>
        <w:rPr>
          <w:rFonts w:ascii="仿宋" w:hAnsi="仿宋" w:eastAsia="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采购文件要求提供相关产品认证证书。</w:t>
      </w:r>
      <w:r>
        <w:rPr>
          <w:rFonts w:hint="eastAsia" w:ascii="仿宋" w:hAnsi="仿宋" w:eastAsia="仿宋"/>
          <w:b/>
          <w:sz w:val="24"/>
          <w:u w:val="single"/>
        </w:rPr>
        <w:t>采购人拟采购的产品属于政府强制采购的节能产品品目清单范围的，投标供应商未按采购文件要求提供国家确定的认证机构出具的、处于有效期之内的节能产品认证证书的，投标无效</w:t>
      </w:r>
      <w:r>
        <w:rPr>
          <w:rFonts w:hint="eastAsia" w:ascii="仿宋" w:hAnsi="仿宋" w:eastAsia="仿宋"/>
          <w:b/>
          <w:sz w:val="24"/>
        </w:rPr>
        <w:t>。</w:t>
      </w:r>
    </w:p>
    <w:p>
      <w:pPr>
        <w:spacing w:line="360" w:lineRule="auto"/>
        <w:jc w:val="center"/>
        <w:rPr>
          <w:rFonts w:ascii="仿宋" w:hAnsi="仿宋" w:eastAsia="仿宋"/>
          <w:b/>
          <w:sz w:val="24"/>
        </w:rPr>
      </w:pPr>
      <w:r>
        <w:rPr>
          <w:rFonts w:hint="eastAsia" w:ascii="仿宋" w:hAnsi="仿宋" w:eastAsia="仿宋"/>
          <w:b/>
          <w:color w:val="000000"/>
          <w:sz w:val="24"/>
        </w:rPr>
        <w:t>附:《节能产品政府采购品目清单（强制采购部分）》（如遇调整，按最新清单执行）</w:t>
      </w:r>
    </w:p>
    <w:tbl>
      <w:tblPr>
        <w:tblStyle w:val="58"/>
        <w:tblW w:w="0" w:type="auto"/>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93"/>
        <w:gridCol w:w="609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993" w:type="dxa"/>
            <w:shd w:val="clear" w:color="auto" w:fill="DAEEF3"/>
            <w:vAlign w:val="center"/>
          </w:tcPr>
          <w:p>
            <w:pPr>
              <w:adjustRightInd w:val="0"/>
              <w:snapToGrid w:val="0"/>
              <w:spacing w:line="276" w:lineRule="auto"/>
              <w:jc w:val="center"/>
              <w:rPr>
                <w:rFonts w:ascii="仿宋" w:hAnsi="仿宋" w:eastAsia="仿宋"/>
                <w:b/>
                <w:color w:val="000000" w:themeColor="text1"/>
                <w:w w:val="80"/>
                <w:sz w:val="24"/>
                <w14:textFill>
                  <w14:solidFill>
                    <w14:schemeClr w14:val="tx1"/>
                  </w14:solidFill>
                </w14:textFill>
              </w:rPr>
            </w:pPr>
            <w:r>
              <w:rPr>
                <w:rFonts w:hint="eastAsia" w:ascii="仿宋" w:hAnsi="仿宋" w:eastAsia="仿宋"/>
                <w:b/>
                <w:color w:val="000000" w:themeColor="text1"/>
                <w:w w:val="80"/>
                <w:sz w:val="24"/>
                <w14:textFill>
                  <w14:solidFill>
                    <w14:schemeClr w14:val="tx1"/>
                  </w14:solidFill>
                </w14:textFill>
              </w:rPr>
              <w:t>品目清单序号</w:t>
            </w:r>
          </w:p>
        </w:tc>
        <w:tc>
          <w:tcPr>
            <w:tcW w:w="8788" w:type="dxa"/>
            <w:gridSpan w:val="2"/>
            <w:shd w:val="clear" w:color="auto" w:fill="DAEEF3"/>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产品名称（以</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w w:val="90"/>
                <w:sz w:val="24"/>
              </w:rPr>
              <w:t>☆</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p>
        </w:tc>
        <w:tc>
          <w:tcPr>
            <w:tcW w:w="2693"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A020101计算机设备</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A02010104台式计算机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A02010105便携式计算机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A02010107平板式微型计算机</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w:t>
            </w:r>
          </w:p>
        </w:tc>
        <w:tc>
          <w:tcPr>
            <w:tcW w:w="2693"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A020106输入输出设备</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A0201060102激光打印机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A0201060104针式打印机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A0201060401液晶显示器</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w:t>
            </w:r>
          </w:p>
        </w:tc>
        <w:tc>
          <w:tcPr>
            <w:tcW w:w="2693"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A020523制冷空调设备</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A02052301制冷压缩机：</w:t>
            </w:r>
            <w:r>
              <w:rPr>
                <w:rFonts w:hint="eastAsia" w:ascii="仿宋" w:hAnsi="仿宋" w:eastAsia="仿宋"/>
                <w:color w:val="000000" w:themeColor="text1"/>
                <w:sz w:val="24"/>
                <w14:textFill>
                  <w14:solidFill>
                    <w14:schemeClr w14:val="tx1"/>
                  </w14:solidFill>
                </w14:textFill>
              </w:rPr>
              <w:t>冷水机组、水源热泵机组、溴化锂吸收式冷水机组；</w:t>
            </w:r>
          </w:p>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A02052305空调机组:</w:t>
            </w:r>
            <w:r>
              <w:rPr>
                <w:rFonts w:hint="eastAsia" w:ascii="仿宋" w:hAnsi="仿宋" w:eastAsia="仿宋"/>
                <w:color w:val="000000" w:themeColor="text1"/>
                <w:sz w:val="24"/>
                <w14:textFill>
                  <w14:solidFill>
                    <w14:schemeClr w14:val="tx1"/>
                  </w14:solidFill>
                </w14:textFill>
              </w:rPr>
              <w:t>多联式空调（热泵）机组(制冷量&gt;14000W)）、单元式空气调节机(制冷量&gt;14000W)；</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A02052309专用制冷、空调设备：</w:t>
            </w:r>
            <w:r>
              <w:rPr>
                <w:rFonts w:hint="eastAsia" w:ascii="仿宋" w:hAnsi="仿宋" w:eastAsia="仿宋"/>
                <w:color w:val="000000" w:themeColor="text1"/>
                <w:sz w:val="24"/>
                <w14:textFill>
                  <w14:solidFill>
                    <w14:schemeClr w14:val="tx1"/>
                  </w14:solidFill>
                </w14:textFill>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A020609镇流器</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管型荧光灯镇流器</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A020618生活用电器</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A0206180203空调机：</w:t>
            </w:r>
            <w:r>
              <w:rPr>
                <w:rFonts w:hint="eastAsia" w:ascii="仿宋" w:hAnsi="仿宋" w:eastAsia="仿宋"/>
                <w:color w:val="000000" w:themeColor="text1"/>
                <w:sz w:val="24"/>
                <w14:textFill>
                  <w14:solidFill>
                    <w14:schemeClr w14:val="tx1"/>
                  </w14:solidFill>
                </w14:textFill>
              </w:rPr>
              <w:t>房间空气调节器、多联式空调（热泵）机组（制冷量≤14000W）、单元式空气调节机(制冷量≤14000W)）；</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A02061808热水器：</w:t>
            </w: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电热水器</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A020619照明设备</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普通照明用双端荧光灯</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A020910电视设备</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A020911视频设备</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A060805便器</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16</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A060806 水嘴</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水嘴。</w:t>
            </w:r>
          </w:p>
        </w:tc>
      </w:tr>
    </w:tbl>
    <w:p>
      <w:pPr>
        <w:spacing w:line="360" w:lineRule="auto"/>
        <w:ind w:firstLine="424" w:firstLineChars="177"/>
        <w:rPr>
          <w:rFonts w:ascii="仿宋" w:hAnsi="仿宋" w:eastAsia="仿宋"/>
          <w:sz w:val="24"/>
        </w:rPr>
      </w:pPr>
      <w:bookmarkStart w:id="58" w:name="_Toc26995"/>
      <w:bookmarkStart w:id="59" w:name="_Toc424164155"/>
      <w:bookmarkStart w:id="60" w:name="_Toc440162787"/>
      <w:r>
        <w:rPr>
          <w:rFonts w:hint="eastAsia" w:ascii="仿宋" w:hAnsi="仿宋" w:eastAsia="仿宋"/>
          <w:sz w:val="24"/>
        </w:rPr>
        <w:t>2</w:t>
      </w:r>
      <w:r>
        <w:rPr>
          <w:rFonts w:ascii="仿宋" w:hAnsi="仿宋" w:eastAsia="仿宋"/>
          <w:sz w:val="24"/>
        </w:rPr>
        <w:t>.2.2</w:t>
      </w:r>
      <w:r>
        <w:rPr>
          <w:rFonts w:hint="eastAsia" w:ascii="仿宋" w:hAnsi="仿宋" w:eastAsia="仿宋"/>
          <w:sz w:val="24"/>
        </w:rPr>
        <w:t>修缮、装修类项目采购建材的，采购人应将绿色建筑和绿色建材性能、指标等作为实质性条件纳入采购文件和合同。</w:t>
      </w:r>
    </w:p>
    <w:p>
      <w:pPr>
        <w:pStyle w:val="8"/>
        <w:spacing w:after="240"/>
        <w:rPr>
          <w:rFonts w:ascii="Calibri" w:hAnsi="Calibri" w:eastAsia="宋体"/>
        </w:rPr>
      </w:pPr>
      <w:r>
        <w:rPr>
          <w:rFonts w:hint="eastAsia"/>
        </w:rPr>
        <w:t>2</w:t>
      </w:r>
      <w:r>
        <w:t>.2.3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5"/>
        <w:ind w:firstLine="150"/>
      </w:pPr>
      <w:r>
        <w:rPr>
          <w:rFonts w:hint="eastAsia"/>
        </w:rPr>
        <w:t>2.3 进口产品采购管理</w:t>
      </w:r>
    </w:p>
    <w:p>
      <w:pPr>
        <w:pStyle w:val="8"/>
        <w:ind w:firstLine="426"/>
        <w:rPr>
          <w:b/>
          <w:color w:val="000000"/>
          <w:kern w:val="0"/>
        </w:rPr>
      </w:pPr>
      <w:r>
        <w:rPr>
          <w:rFonts w:hint="eastAsia"/>
          <w:b/>
          <w:color w:val="000000"/>
          <w:kern w:val="0"/>
        </w:rPr>
        <w:t>2.3.1是否允许采购进口产品：</w:t>
      </w:r>
      <w:r>
        <w:rPr>
          <w:rFonts w:hint="eastAsia"/>
          <w:b/>
          <w:i/>
          <w:color w:val="000000"/>
          <w:kern w:val="0"/>
          <w:szCs w:val="24"/>
          <w:u w:val="single"/>
        </w:rPr>
        <w:t>见《投标须知前附表》</w:t>
      </w:r>
      <w:r>
        <w:rPr>
          <w:rFonts w:hint="eastAsia"/>
          <w:b/>
          <w:color w:val="000000"/>
          <w:kern w:val="0"/>
        </w:rPr>
        <w:t>。</w:t>
      </w:r>
    </w:p>
    <w:p>
      <w:pPr>
        <w:pStyle w:val="8"/>
        <w:spacing w:after="240"/>
        <w:ind w:firstLine="426"/>
        <w:rPr>
          <w:b/>
          <w:color w:val="000000"/>
          <w:kern w:val="0"/>
        </w:rPr>
      </w:pPr>
      <w:r>
        <w:rPr>
          <w:rFonts w:hint="eastAsia"/>
          <w:b/>
          <w:color w:val="000000"/>
          <w:kern w:val="0"/>
        </w:rPr>
        <w:t>2.3.2《投标须知前附表》已明确说明允许采购进口产品的，允许进口产品参加投标</w:t>
      </w:r>
      <w:r>
        <w:rPr>
          <w:rFonts w:hint="eastAsia"/>
          <w:color w:val="000000"/>
          <w:kern w:val="0"/>
        </w:rPr>
        <w:t>（但如果因信息不对称等原因，仍有满足需求的国内产品要求参与采购竞争的，采购人、采购代理机构不会对其加以限制，仍将按照公平竞争原则实施采购）,</w:t>
      </w:r>
      <w:r>
        <w:rPr>
          <w:rFonts w:hint="eastAsia"/>
          <w:b/>
          <w:color w:val="000000"/>
          <w:kern w:val="0"/>
        </w:rPr>
        <w:t>没有明确说明允许采购进口产品的，一律拒绝进口产品参加投标。</w:t>
      </w:r>
    </w:p>
    <w:p>
      <w:pPr>
        <w:pStyle w:val="5"/>
        <w:ind w:firstLine="150"/>
      </w:pPr>
      <w:r>
        <w:rPr>
          <w:rFonts w:hint="eastAsia"/>
        </w:rPr>
        <w:t>2.4 支持创新发展</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.4.1采购人优先采购被认定</w:t>
      </w:r>
      <w:r>
        <w:rPr>
          <w:rFonts w:hint="eastAsia" w:ascii="仿宋" w:hAnsi="仿宋" w:eastAsia="仿宋"/>
          <w:sz w:val="24"/>
        </w:rPr>
        <w:t>为首台套产品和“制造精品”的自主创新产品。</w:t>
      </w:r>
    </w:p>
    <w:p>
      <w:pPr>
        <w:spacing w:after="240" w:line="360" w:lineRule="auto"/>
        <w:ind w:firstLine="480" w:firstLineChars="200"/>
        <w:rPr>
          <w:rFonts w:ascii="仿宋" w:hAnsi="仿宋" w:eastAsia="仿宋"/>
          <w:b/>
          <w:sz w:val="24"/>
        </w:rPr>
      </w:pPr>
      <w:r>
        <w:rPr>
          <w:rFonts w:hint="eastAsia" w:ascii="仿宋" w:hAnsi="仿宋" w:eastAsia="仿宋"/>
          <w:sz w:val="24"/>
        </w:rPr>
        <w:t>2</w:t>
      </w:r>
      <w:r>
        <w:rPr>
          <w:rFonts w:ascii="仿宋" w:hAnsi="仿宋" w:eastAsia="仿宋"/>
          <w:sz w:val="24"/>
        </w:rPr>
        <w:t>.4.2首台套产品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中小企业信用融资</w:t>
      </w:r>
    </w:p>
    <w:p>
      <w:pPr>
        <w:spacing w:after="240" w:line="360" w:lineRule="auto"/>
        <w:ind w:firstLine="424" w:firstLineChars="177"/>
        <w:rPr>
          <w:color w:val="000000" w:themeColor="text1"/>
          <w:kern w:val="0"/>
          <w14:textFill>
            <w14:solidFill>
              <w14:schemeClr w14:val="tx1"/>
            </w14:solidFill>
          </w14:textFill>
        </w:rPr>
      </w:pPr>
      <w:r>
        <w:rPr>
          <w:rFonts w:ascii="仿宋" w:hAnsi="仿宋" w:eastAsia="仿宋"/>
          <w:color w:val="000000" w:themeColor="text1"/>
          <w:sz w:val="24"/>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000000" w:themeColor="text1"/>
          <w:sz w:val="24"/>
          <w14:textFill>
            <w14:solidFill>
              <w14:schemeClr w14:val="tx1"/>
            </w14:solidFill>
          </w14:textFill>
        </w:rPr>
        <w:t>登录</w:t>
      </w:r>
      <w:r>
        <w:rPr>
          <w:rFonts w:ascii="仿宋" w:hAnsi="仿宋" w:eastAsia="仿宋"/>
          <w:color w:val="000000" w:themeColor="text1"/>
          <w:sz w:val="24"/>
          <w14:textFill>
            <w14:solidFill>
              <w14:schemeClr w14:val="tx1"/>
            </w14:solidFill>
          </w14:textFill>
        </w:rPr>
        <w:t>杭州市政府采购网“中小企业信用融资”模块，查看信用融资政策文件及各相关银行服务方案。</w:t>
      </w:r>
    </w:p>
    <w:p>
      <w:pPr>
        <w:pStyle w:val="3"/>
        <w:rPr>
          <w:color w:val="000000" w:themeColor="text1"/>
          <w14:textFill>
            <w14:solidFill>
              <w14:schemeClr w14:val="tx1"/>
            </w14:solidFill>
          </w14:textFill>
        </w:rPr>
      </w:pPr>
      <w:bookmarkStart w:id="61" w:name="_Toc25110"/>
      <w:bookmarkStart w:id="62" w:name="_Toc16786"/>
      <w:bookmarkStart w:id="63" w:name="_Toc25669"/>
      <w:r>
        <w:rPr>
          <w:rFonts w:hint="eastAsia"/>
          <w:color w:val="000000" w:themeColor="text1"/>
          <w14:textFill>
            <w14:solidFill>
              <w14:schemeClr w14:val="tx1"/>
            </w14:solidFill>
          </w14:textFill>
        </w:rPr>
        <w:t>三、采购文件</w:t>
      </w:r>
      <w:bookmarkEnd w:id="58"/>
      <w:bookmarkEnd w:id="59"/>
      <w:bookmarkEnd w:id="60"/>
      <w:bookmarkEnd w:id="61"/>
      <w:bookmarkEnd w:id="62"/>
      <w:bookmarkEnd w:id="63"/>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组成</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第一章 </w:t>
      </w:r>
      <w:r>
        <w:rPr>
          <w:color w:val="000000" w:themeColor="text1"/>
          <w:kern w:val="0"/>
          <w14:textFill>
            <w14:solidFill>
              <w14:schemeClr w14:val="tx1"/>
            </w14:solidFill>
          </w14:textFill>
        </w:rPr>
        <w:t>公开招标采购公告</w:t>
      </w:r>
      <w:r>
        <w:rPr>
          <w:rFonts w:hint="eastAsia"/>
          <w:color w:val="000000" w:themeColor="text1"/>
          <w:kern w:val="0"/>
          <w14:textFill>
            <w14:solidFill>
              <w14:schemeClr w14:val="tx1"/>
            </w14:solidFill>
          </w14:textFill>
        </w:rPr>
        <w:t>；</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第二章 </w:t>
      </w:r>
      <w:r>
        <w:rPr>
          <w:color w:val="000000" w:themeColor="text1"/>
          <w:kern w:val="0"/>
          <w14:textFill>
            <w14:solidFill>
              <w14:schemeClr w14:val="tx1"/>
            </w14:solidFill>
          </w14:textFill>
        </w:rPr>
        <w:t>招标</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需求</w:t>
      </w:r>
      <w:r>
        <w:rPr>
          <w:rFonts w:hint="eastAsia"/>
          <w:color w:val="000000" w:themeColor="text1"/>
          <w:kern w:val="0"/>
          <w14:textFill>
            <w14:solidFill>
              <w14:schemeClr w14:val="tx1"/>
            </w14:solidFill>
          </w14:textFill>
        </w:rPr>
        <w:t>；</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第三章 </w:t>
      </w:r>
      <w:r>
        <w:rPr>
          <w:color w:val="000000" w:themeColor="text1"/>
          <w:kern w:val="0"/>
          <w14:textFill>
            <w14:solidFill>
              <w14:schemeClr w14:val="tx1"/>
            </w14:solidFill>
          </w14:textFill>
        </w:rPr>
        <w:t>投标须知</w:t>
      </w:r>
      <w:r>
        <w:rPr>
          <w:rFonts w:hint="eastAsia"/>
          <w:color w:val="000000" w:themeColor="text1"/>
          <w:kern w:val="0"/>
          <w14:textFill>
            <w14:solidFill>
              <w14:schemeClr w14:val="tx1"/>
            </w14:solidFill>
          </w14:textFill>
        </w:rPr>
        <w:t>；</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第四章 </w:t>
      </w:r>
      <w:r>
        <w:rPr>
          <w:color w:val="000000" w:themeColor="text1"/>
          <w:kern w:val="0"/>
          <w14:textFill>
            <w14:solidFill>
              <w14:schemeClr w14:val="tx1"/>
            </w14:solidFill>
          </w14:textFill>
        </w:rPr>
        <w:t>评审方法和标准</w:t>
      </w:r>
      <w:r>
        <w:rPr>
          <w:rFonts w:hint="eastAsia"/>
          <w:color w:val="000000" w:themeColor="text1"/>
          <w:kern w:val="0"/>
          <w14:textFill>
            <w14:solidFill>
              <w14:schemeClr w14:val="tx1"/>
            </w14:solidFill>
          </w14:textFill>
        </w:rPr>
        <w:t>；</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第五章 </w:t>
      </w:r>
      <w:r>
        <w:rPr>
          <w:color w:val="000000" w:themeColor="text1"/>
          <w:kern w:val="0"/>
          <w14:textFill>
            <w14:solidFill>
              <w14:schemeClr w14:val="tx1"/>
            </w14:solidFill>
          </w14:textFill>
        </w:rPr>
        <w:t>合同主要条款</w:t>
      </w:r>
      <w:r>
        <w:rPr>
          <w:rFonts w:hint="eastAsia"/>
          <w:color w:val="000000" w:themeColor="text1"/>
          <w:kern w:val="0"/>
          <w14:textFill>
            <w14:solidFill>
              <w14:schemeClr w14:val="tx1"/>
            </w14:solidFill>
          </w14:textFill>
        </w:rPr>
        <w:t>；</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第六章 </w:t>
      </w:r>
      <w:r>
        <w:rPr>
          <w:color w:val="000000" w:themeColor="text1"/>
          <w:kern w:val="0"/>
          <w14:textFill>
            <w14:solidFill>
              <w14:schemeClr w14:val="tx1"/>
            </w14:solidFill>
          </w14:textFill>
        </w:rPr>
        <w:t>投标文件</w:t>
      </w:r>
      <w:r>
        <w:rPr>
          <w:rFonts w:hint="eastAsia"/>
          <w:color w:val="000000" w:themeColor="text1"/>
          <w:kern w:val="0"/>
          <w14:textFill>
            <w14:solidFill>
              <w14:schemeClr w14:val="tx1"/>
            </w14:solidFill>
          </w14:textFill>
        </w:rPr>
        <w:t>的</w:t>
      </w:r>
      <w:r>
        <w:rPr>
          <w:color w:val="000000" w:themeColor="text1"/>
          <w:kern w:val="0"/>
          <w14:textFill>
            <w14:solidFill>
              <w14:schemeClr w14:val="tx1"/>
            </w14:solidFill>
          </w14:textFill>
        </w:rPr>
        <w:t>格式</w:t>
      </w:r>
      <w:r>
        <w:rPr>
          <w:rFonts w:hint="eastAsia"/>
          <w:color w:val="000000" w:themeColor="text1"/>
          <w:kern w:val="0"/>
          <w14:textFill>
            <w14:solidFill>
              <w14:schemeClr w14:val="tx1"/>
            </w14:solidFill>
          </w14:textFill>
        </w:rPr>
        <w:t>；</w:t>
      </w:r>
    </w:p>
    <w:p>
      <w:pPr>
        <w:pStyle w:val="8"/>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第七章 附件（如有）；</w:t>
      </w:r>
    </w:p>
    <w:p>
      <w:pPr>
        <w:pStyle w:val="8"/>
        <w:spacing w:after="240"/>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采购文件的澄清、修改文件（如有，另册）。</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提疑</w:t>
      </w:r>
    </w:p>
    <w:p>
      <w:pPr>
        <w:pStyle w:val="8"/>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3.2.1采购文件提疑截止时间：</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pPr>
        <w:pStyle w:val="8"/>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u w:val="single"/>
          <w14:textFill>
            <w14:solidFill>
              <w14:schemeClr w14:val="tx1"/>
            </w14:solidFill>
          </w14:textFill>
        </w:rPr>
        <w:t>供应商应认真阅读</w:t>
      </w:r>
      <w:r>
        <w:rPr>
          <w:rFonts w:hint="eastAsia"/>
          <w:b/>
          <w:color w:val="000000" w:themeColor="text1"/>
          <w:kern w:val="0"/>
          <w:u w:val="single"/>
          <w14:textFill>
            <w14:solidFill>
              <w14:schemeClr w14:val="tx1"/>
            </w14:solidFill>
          </w14:textFill>
        </w:rPr>
        <w:t>通过“政府采购云平台”登记后获取的</w:t>
      </w:r>
      <w:r>
        <w:rPr>
          <w:b/>
          <w:color w:val="000000" w:themeColor="text1"/>
          <w:kern w:val="0"/>
          <w:u w:val="single"/>
          <w14:textFill>
            <w14:solidFill>
              <w14:schemeClr w14:val="tx1"/>
            </w14:solidFill>
          </w14:textFill>
        </w:rPr>
        <w:t>采购文件，</w:t>
      </w:r>
      <w:r>
        <w:rPr>
          <w:rFonts w:hint="eastAsia"/>
          <w:b/>
          <w:color w:val="000000" w:themeColor="text1"/>
          <w:kern w:val="0"/>
          <w:u w:val="single"/>
          <w14:textFill>
            <w14:solidFill>
              <w14:schemeClr w14:val="tx1"/>
            </w14:solidFill>
          </w14:textFill>
        </w:rPr>
        <w:t>如</w:t>
      </w:r>
      <w:r>
        <w:rPr>
          <w:b/>
          <w:color w:val="000000" w:themeColor="text1"/>
          <w:kern w:val="0"/>
          <w:u w:val="single"/>
          <w14:textFill>
            <w14:solidFill>
              <w14:schemeClr w14:val="tx1"/>
            </w14:solidFill>
          </w14:textFill>
        </w:rPr>
        <w:t>发现</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中有</w:t>
      </w:r>
      <w:r>
        <w:rPr>
          <w:rFonts w:hint="eastAsia"/>
          <w:b/>
          <w:color w:val="000000" w:themeColor="text1"/>
          <w:kern w:val="0"/>
          <w:u w:val="single"/>
          <w14:textFill>
            <w14:solidFill>
              <w14:schemeClr w14:val="tx1"/>
            </w14:solidFill>
          </w14:textFill>
        </w:rPr>
        <w:t>前后不一致或不清楚或有误的内容</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应在“采购文件提疑截止时间”</w:t>
      </w:r>
      <w:r>
        <w:rPr>
          <w:b/>
          <w:color w:val="000000" w:themeColor="text1"/>
          <w:kern w:val="0"/>
          <w:u w:val="single"/>
          <w14:textFill>
            <w14:solidFill>
              <w14:schemeClr w14:val="tx1"/>
            </w14:solidFill>
          </w14:textFill>
        </w:rPr>
        <w:t>前</w:t>
      </w:r>
      <w:r>
        <w:rPr>
          <w:rFonts w:hint="eastAsia"/>
          <w:b/>
          <w:color w:val="000000" w:themeColor="text1"/>
          <w:kern w:val="0"/>
          <w:u w:val="single"/>
          <w14:textFill>
            <w14:solidFill>
              <w14:schemeClr w14:val="tx1"/>
            </w14:solidFill>
          </w14:textFill>
        </w:rPr>
        <w:t>一次性</w:t>
      </w:r>
      <w:r>
        <w:rPr>
          <w:b/>
          <w:color w:val="000000" w:themeColor="text1"/>
          <w:kern w:val="0"/>
          <w:u w:val="single"/>
          <w14:textFill>
            <w14:solidFill>
              <w14:schemeClr w14:val="tx1"/>
            </w14:solidFill>
          </w14:textFill>
        </w:rPr>
        <w:t>以书面形式向</w:t>
      </w:r>
      <w:r>
        <w:rPr>
          <w:rFonts w:hint="eastAsia"/>
          <w:b/>
          <w:color w:val="000000" w:themeColor="text1"/>
          <w:kern w:val="0"/>
          <w:u w:val="single"/>
          <w14:textFill>
            <w14:solidFill>
              <w14:schemeClr w14:val="tx1"/>
            </w14:solidFill>
          </w14:textFill>
        </w:rPr>
        <w:t>采购组织机构提出，否则造成的一切后果由供应商自行承担</w:t>
      </w:r>
      <w:r>
        <w:rPr>
          <w:rFonts w:hint="eastAsia"/>
          <w:b/>
          <w:color w:val="000000" w:themeColor="text1"/>
          <w:kern w:val="0"/>
          <w14:textFill>
            <w14:solidFill>
              <w14:schemeClr w14:val="tx1"/>
            </w14:solidFill>
          </w14:textFill>
        </w:rPr>
        <w:t>。</w:t>
      </w:r>
    </w:p>
    <w:p>
      <w:pPr>
        <w:pStyle w:val="8"/>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3.2</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3采购组织机构将在收到供应商递交的《疑问函》后三个工作日内以书面形式</w:t>
      </w:r>
      <w:r>
        <w:rPr>
          <w:color w:val="000000" w:themeColor="text1"/>
          <w:kern w:val="0"/>
          <w14:textFill>
            <w14:solidFill>
              <w14:schemeClr w14:val="tx1"/>
            </w14:solidFill>
          </w14:textFill>
        </w:rPr>
        <w:t>答复供应商</w:t>
      </w:r>
      <w:r>
        <w:rPr>
          <w:rFonts w:hint="eastAsia"/>
          <w:color w:val="000000" w:themeColor="text1"/>
          <w:kern w:val="0"/>
          <w14:textFill>
            <w14:solidFill>
              <w14:schemeClr w14:val="tx1"/>
            </w14:solidFill>
          </w14:textFill>
        </w:rPr>
        <w:t>提出</w:t>
      </w:r>
      <w:r>
        <w:rPr>
          <w:color w:val="000000" w:themeColor="text1"/>
          <w:kern w:val="0"/>
          <w14:textFill>
            <w14:solidFill>
              <w14:schemeClr w14:val="tx1"/>
            </w14:solidFill>
          </w14:textFill>
        </w:rPr>
        <w:t>的问题，并将不包含问题来源的答复通知所有</w:t>
      </w:r>
      <w:r>
        <w:rPr>
          <w:rFonts w:hint="eastAsia"/>
          <w:color w:val="000000" w:themeColor="text1"/>
          <w:kern w:val="0"/>
          <w14:textFill>
            <w14:solidFill>
              <w14:schemeClr w14:val="tx1"/>
            </w14:solidFill>
          </w14:textFill>
        </w:rPr>
        <w:t>已登记获取</w:t>
      </w:r>
      <w:r>
        <w:rPr>
          <w:color w:val="000000" w:themeColor="text1"/>
          <w:kern w:val="0"/>
          <w14:textFill>
            <w14:solidFill>
              <w14:schemeClr w14:val="tx1"/>
            </w14:solidFill>
          </w14:textFill>
        </w:rPr>
        <w:t>采购文件的</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3.3 采购文件的澄清、修改（更正）</w:t>
      </w:r>
    </w:p>
    <w:p>
      <w:pPr>
        <w:pStyle w:val="8"/>
        <w:ind w:firstLine="424" w:firstLineChars="17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3.3.1采购人或者采购代理机构</w:t>
      </w:r>
      <w:r>
        <w:rPr>
          <w:b/>
          <w:color w:val="000000" w:themeColor="text1"/>
          <w:kern w:val="0"/>
          <w14:textFill>
            <w14:solidFill>
              <w14:schemeClr w14:val="tx1"/>
            </w14:solidFill>
          </w14:textFill>
        </w:rPr>
        <w:t>可以</w:t>
      </w:r>
      <w:r>
        <w:rPr>
          <w:rFonts w:hint="eastAsia"/>
          <w:b/>
          <w:color w:val="000000" w:themeColor="text1"/>
          <w:kern w:val="0"/>
          <w14:textFill>
            <w14:solidFill>
              <w14:schemeClr w14:val="tx1"/>
            </w14:solidFill>
          </w14:textFill>
        </w:rPr>
        <w:t>对已发出的采购文件进行必要的澄清或者修改，澄清或修改将在原公告发布媒体上发布澄清或更正公告</w:t>
      </w:r>
      <w:r>
        <w:rPr>
          <w:b/>
          <w:color w:val="000000" w:themeColor="text1"/>
          <w:kern w:val="0"/>
          <w14:textFill>
            <w14:solidFill>
              <w14:schemeClr w14:val="tx1"/>
            </w14:solidFill>
          </w14:textFill>
        </w:rPr>
        <w:t>，并以</w:t>
      </w:r>
      <w:r>
        <w:rPr>
          <w:rFonts w:hint="eastAsia"/>
          <w:b/>
          <w:color w:val="000000" w:themeColor="text1"/>
          <w:kern w:val="0"/>
          <w14:textFill>
            <w14:solidFill>
              <w14:schemeClr w14:val="tx1"/>
            </w14:solidFill>
          </w14:textFill>
        </w:rPr>
        <w:t>传真或邮件（原文扫描件）或网上公告等形式告知所有已登记获取采购文件的供应商。</w:t>
      </w:r>
    </w:p>
    <w:p>
      <w:pPr>
        <w:pStyle w:val="8"/>
        <w:ind w:firstLine="424" w:firstLineChars="17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3.3.2采购文件的澄清或者修改内容为采购文件的组成部分，对所有参加本次采购活动的供应商均有约束力；</w:t>
      </w:r>
      <w:r>
        <w:rPr>
          <w:color w:val="000000" w:themeColor="text1"/>
          <w:kern w:val="0"/>
          <w14:textFill>
            <w14:solidFill>
              <w14:schemeClr w14:val="tx1"/>
            </w14:solidFill>
          </w14:textFill>
        </w:rPr>
        <w:t>当</w:t>
      </w:r>
      <w:r>
        <w:rPr>
          <w:rFonts w:hint="eastAsia"/>
          <w:color w:val="000000" w:themeColor="text1"/>
          <w:kern w:val="0"/>
          <w14:textFill>
            <w14:solidFill>
              <w14:schemeClr w14:val="tx1"/>
            </w14:solidFill>
          </w14:textFill>
        </w:rPr>
        <w:t>原</w:t>
      </w:r>
      <w:r>
        <w:rPr>
          <w:color w:val="000000" w:themeColor="text1"/>
          <w:kern w:val="0"/>
          <w14:textFill>
            <w14:solidFill>
              <w14:schemeClr w14:val="tx1"/>
            </w14:solidFill>
          </w14:textFill>
        </w:rPr>
        <w:t>采购文件</w:t>
      </w:r>
      <w:r>
        <w:rPr>
          <w:rFonts w:hint="eastAsia"/>
          <w:color w:val="000000" w:themeColor="text1"/>
          <w:kern w:val="0"/>
          <w14:textFill>
            <w14:solidFill>
              <w14:schemeClr w14:val="tx1"/>
            </w14:solidFill>
          </w14:textFill>
        </w:rPr>
        <w:t>与澄清、修改的内容</w:t>
      </w:r>
      <w:r>
        <w:rPr>
          <w:color w:val="000000" w:themeColor="text1"/>
          <w:kern w:val="0"/>
          <w14:textFill>
            <w14:solidFill>
              <w14:schemeClr w14:val="tx1"/>
            </w14:solidFill>
          </w14:textFill>
        </w:rPr>
        <w:t>就同一</w:t>
      </w:r>
      <w:r>
        <w:rPr>
          <w:rFonts w:hint="eastAsia"/>
          <w:color w:val="000000" w:themeColor="text1"/>
          <w:kern w:val="0"/>
          <w14:textFill>
            <w14:solidFill>
              <w14:schemeClr w14:val="tx1"/>
            </w14:solidFill>
          </w14:textFill>
        </w:rPr>
        <w:t>事项</w:t>
      </w:r>
      <w:r>
        <w:rPr>
          <w:color w:val="000000" w:themeColor="text1"/>
          <w:kern w:val="0"/>
          <w14:textFill>
            <w14:solidFill>
              <w14:schemeClr w14:val="tx1"/>
            </w14:solidFill>
          </w14:textFill>
        </w:rPr>
        <w:t>的表述不一致时，以最后发出的文件为准</w:t>
      </w:r>
      <w:r>
        <w:rPr>
          <w:rFonts w:hint="eastAsia"/>
          <w:color w:val="000000" w:themeColor="text1"/>
          <w:kern w:val="0"/>
          <w14:textFill>
            <w14:solidFill>
              <w14:schemeClr w14:val="tx1"/>
            </w14:solidFill>
          </w14:textFill>
        </w:rPr>
        <w:t>。</w:t>
      </w:r>
    </w:p>
    <w:p>
      <w:pPr>
        <w:pStyle w:val="8"/>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3.3.3采购文件的澄清、修改的内容影响到供应商投标文件编制的，采购人或采购代理机构将按相关规定顺延投标截止时间及开标时间，使之满足政府采购相关规定。</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3.3.4供应商收到采购组织机构发出的澄清、修改（更正）</w:t>
      </w:r>
      <w:r>
        <w:rPr>
          <w:rFonts w:ascii="仿宋" w:hAnsi="仿宋" w:eastAsia="仿宋" w:cs="Arial"/>
          <w:b/>
          <w:color w:val="000000" w:themeColor="text1"/>
          <w:kern w:val="0"/>
          <w:sz w:val="24"/>
          <w:szCs w:val="22"/>
          <w14:textFill>
            <w14:solidFill>
              <w14:schemeClr w14:val="tx1"/>
            </w14:solidFill>
          </w14:textFill>
        </w:rPr>
        <w:t>文件</w:t>
      </w:r>
      <w:r>
        <w:rPr>
          <w:rFonts w:hint="eastAsia" w:ascii="仿宋" w:hAnsi="仿宋" w:eastAsia="仿宋" w:cs="Arial"/>
          <w:b/>
          <w:color w:val="000000" w:themeColor="text1"/>
          <w:kern w:val="0"/>
          <w:sz w:val="24"/>
          <w:szCs w:val="22"/>
          <w14:textFill>
            <w14:solidFill>
              <w14:schemeClr w14:val="tx1"/>
            </w14:solidFill>
          </w14:textFill>
        </w:rPr>
        <w:t>后，应在24小时内向采购组织机构提交的书面回执。</w:t>
      </w:r>
    </w:p>
    <w:p>
      <w:pPr>
        <w:pStyle w:val="8"/>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3.3.5供应商对收到的澄清、修改（更正）</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内容有疑问的，应当同时在书面回执中加注说明并与采购人或采购代理机构确认，疑问内容应加盖单位公章、写明日期。</w:t>
      </w:r>
    </w:p>
    <w:p>
      <w:pPr>
        <w:pStyle w:val="8"/>
        <w:spacing w:after="240"/>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3.3.6任何口头形式的答复、说明均不属于采购文件的组成部分。</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3.4 采购文件的质疑</w:t>
      </w:r>
    </w:p>
    <w:p>
      <w:pPr>
        <w:pStyle w:val="8"/>
        <w:ind w:firstLine="426"/>
        <w:rPr>
          <w:color w:val="000000" w:themeColor="text1"/>
          <w:kern w:val="0"/>
          <w:szCs w:val="22"/>
          <w14:textFill>
            <w14:solidFill>
              <w14:schemeClr w14:val="tx1"/>
            </w14:solidFill>
          </w14:textFill>
        </w:rPr>
      </w:pPr>
      <w:r>
        <w:rPr>
          <w:b/>
          <w:color w:val="000000" w:themeColor="text1"/>
          <w:kern w:val="0"/>
          <w:u w:val="single"/>
          <w14:textFill>
            <w14:solidFill>
              <w14:schemeClr w14:val="tx1"/>
            </w14:solidFill>
          </w14:textFill>
        </w:rPr>
        <w:t>供应商认为</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使自己的合法权益受到损害的，应当</w:t>
      </w:r>
      <w:r>
        <w:rPr>
          <w:rFonts w:hint="eastAsia"/>
          <w:b/>
          <w:color w:val="000000" w:themeColor="text1"/>
          <w:kern w:val="0"/>
          <w:u w:val="single"/>
          <w14:textFill>
            <w14:solidFill>
              <w14:schemeClr w14:val="tx1"/>
            </w14:solidFill>
          </w14:textFill>
        </w:rPr>
        <w:t>按照本章第1.16.2款规定</w:t>
      </w:r>
      <w:r>
        <w:rPr>
          <w:b/>
          <w:color w:val="000000" w:themeColor="text1"/>
          <w:kern w:val="0"/>
          <w:u w:val="single"/>
          <w14:textFill>
            <w14:solidFill>
              <w14:schemeClr w14:val="tx1"/>
            </w14:solidFill>
          </w14:textFill>
        </w:rPr>
        <w:t>，以书面形式一次性向采购人、采购代理机构提出质疑。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
        <w:rPr>
          <w:color w:val="000000" w:themeColor="text1"/>
          <w14:textFill>
            <w14:solidFill>
              <w14:schemeClr w14:val="tx1"/>
            </w14:solidFill>
          </w14:textFill>
        </w:rPr>
      </w:pPr>
      <w:bookmarkStart w:id="64" w:name="_Toc22724"/>
      <w:bookmarkStart w:id="65" w:name="_Toc27518"/>
      <w:bookmarkStart w:id="66" w:name="_Toc2853"/>
      <w:bookmarkStart w:id="67" w:name="_Toc15053"/>
      <w:bookmarkStart w:id="68" w:name="_Toc424164156"/>
      <w:bookmarkStart w:id="69" w:name="_Toc440162788"/>
      <w:r>
        <w:rPr>
          <w:rFonts w:hint="eastAsia"/>
          <w:color w:val="000000" w:themeColor="text1"/>
          <w14:textFill>
            <w14:solidFill>
              <w14:schemeClr w14:val="tx1"/>
            </w14:solidFill>
          </w14:textFill>
        </w:rPr>
        <w:t>四、投标文件</w:t>
      </w:r>
      <w:bookmarkEnd w:id="64"/>
      <w:bookmarkEnd w:id="65"/>
      <w:bookmarkEnd w:id="66"/>
      <w:bookmarkEnd w:id="67"/>
      <w:bookmarkEnd w:id="68"/>
      <w:bookmarkEnd w:id="69"/>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4.1 投标文件的形式</w:t>
      </w:r>
    </w:p>
    <w:p>
      <w:pPr>
        <w:pStyle w:val="8"/>
        <w:spacing w:after="240"/>
        <w:ind w:firstLine="426"/>
        <w:rPr>
          <w:rFonts w:ascii="Calibri" w:hAnsi="Calibri" w:eastAsia="宋体"/>
          <w:color w:val="000000" w:themeColor="text1"/>
          <w14:textFill>
            <w14:solidFill>
              <w14:schemeClr w14:val="tx1"/>
            </w14:solidFill>
          </w14:textFill>
        </w:rPr>
      </w:pPr>
      <w:r>
        <w:rPr>
          <w:rFonts w:hint="eastAsia" w:cs="Arial"/>
          <w:b/>
          <w:color w:val="000000" w:themeColor="text1"/>
          <w14:textFill>
            <w14:solidFill>
              <w14:schemeClr w14:val="tx1"/>
            </w14:solidFill>
          </w14:textFill>
        </w:rPr>
        <w:t>4.1.1投标文件的形式：</w:t>
      </w:r>
      <w:r>
        <w:rPr>
          <w:rFonts w:hint="eastAsia" w:cs="Arial"/>
          <w:b/>
          <w:color w:val="000000" w:themeColor="text1"/>
          <w:u w:val="single"/>
          <w14:textFill>
            <w14:solidFill>
              <w14:schemeClr w14:val="tx1"/>
            </w14:solidFill>
          </w14:textFill>
        </w:rPr>
        <w:t>电子加密的投标文件</w:t>
      </w:r>
      <w:r>
        <w:rPr>
          <w:rFonts w:hint="eastAsia" w:cs="Arial"/>
          <w:color w:val="000000" w:themeColor="text1"/>
          <w14:textFill>
            <w14:solidFill>
              <w14:schemeClr w14:val="tx1"/>
            </w14:solidFill>
          </w14:textFill>
        </w:rPr>
        <w:t>（是指通过“政采云电子交易客户端”完成投标文件编制后生成并加密的数据电文形式的投标文件，</w:t>
      </w:r>
      <w:r>
        <w:rPr>
          <w:rFonts w:hint="eastAsia" w:cs="Arial"/>
          <w:b/>
          <w:color w:val="000000" w:themeColor="text1"/>
          <w14:textFill>
            <w14:solidFill>
              <w14:schemeClr w14:val="tx1"/>
            </w14:solidFill>
          </w14:textFill>
        </w:rPr>
        <w:t>文件格式“.jmbs”</w:t>
      </w:r>
      <w:r>
        <w:rPr>
          <w:rFonts w:hint="eastAsia" w:cs="Arial"/>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投标文件的组成</w:t>
      </w:r>
    </w:p>
    <w:p>
      <w:pPr>
        <w:pStyle w:val="8"/>
        <w:ind w:firstLine="426"/>
        <w:rPr>
          <w:b/>
          <w:color w:val="000000" w:themeColor="text1"/>
          <w:kern w:val="0"/>
          <w:szCs w:val="22"/>
          <w14:textFill>
            <w14:solidFill>
              <w14:schemeClr w14:val="tx1"/>
            </w14:solidFill>
          </w14:textFill>
        </w:rPr>
      </w:pPr>
      <w:r>
        <w:rPr>
          <w:rFonts w:hint="eastAsia"/>
          <w:b/>
          <w:color w:val="000000" w:themeColor="text1"/>
          <w:kern w:val="0"/>
          <w:szCs w:val="22"/>
          <w14:textFill>
            <w14:solidFill>
              <w14:schemeClr w14:val="tx1"/>
            </w14:solidFill>
          </w14:textFill>
        </w:rPr>
        <w:t>4.2.1投标文件组成部分：</w:t>
      </w:r>
      <w:r>
        <w:rPr>
          <w:rFonts w:cs="Arial"/>
          <w:b/>
          <w:color w:val="000000" w:themeColor="text1"/>
          <w:u w:val="single"/>
          <w14:textFill>
            <w14:solidFill>
              <w14:schemeClr w14:val="tx1"/>
            </w14:solidFill>
          </w14:textFill>
        </w:rPr>
        <w:t>完整的《投标文件》由</w:t>
      </w:r>
      <w:r>
        <w:rPr>
          <w:rFonts w:hint="eastAsia" w:cs="Arial"/>
          <w:b/>
          <w:color w:val="000000" w:themeColor="text1"/>
          <w:u w:val="single"/>
          <w14:textFill>
            <w14:solidFill>
              <w14:schemeClr w14:val="tx1"/>
            </w14:solidFill>
          </w14:textFill>
        </w:rPr>
        <w:t>资格文件、</w:t>
      </w:r>
      <w:r>
        <w:rPr>
          <w:rFonts w:cs="Arial"/>
          <w:b/>
          <w:color w:val="000000" w:themeColor="text1"/>
          <w:u w:val="single"/>
          <w14:textFill>
            <w14:solidFill>
              <w14:schemeClr w14:val="tx1"/>
            </w14:solidFill>
          </w14:textFill>
        </w:rPr>
        <w:t>商务技术文件和报价文件</w:t>
      </w:r>
      <w:r>
        <w:rPr>
          <w:rFonts w:hint="eastAsia" w:cs="Arial"/>
          <w:b/>
          <w:color w:val="000000" w:themeColor="text1"/>
          <w:u w:val="single"/>
          <w14:textFill>
            <w14:solidFill>
              <w14:schemeClr w14:val="tx1"/>
            </w14:solidFill>
          </w14:textFill>
        </w:rPr>
        <w:t>三</w:t>
      </w:r>
      <w:r>
        <w:rPr>
          <w:rFonts w:cs="Arial"/>
          <w:b/>
          <w:color w:val="000000" w:themeColor="text1"/>
          <w:u w:val="single"/>
          <w14:textFill>
            <w14:solidFill>
              <w14:schemeClr w14:val="tx1"/>
            </w14:solidFill>
          </w14:textFill>
        </w:rPr>
        <w:t>个部分组成</w:t>
      </w:r>
      <w:r>
        <w:rPr>
          <w:rFonts w:hint="eastAsia" w:cs="Arial"/>
          <w:b/>
          <w:color w:val="000000" w:themeColor="text1"/>
          <w:kern w:val="0"/>
          <w:szCs w:val="22"/>
          <w14:textFill>
            <w14:solidFill>
              <w14:schemeClr w14:val="tx1"/>
            </w14:solidFill>
          </w14:textFill>
        </w:rPr>
        <w:t>（以下统称“投标文件”）。</w:t>
      </w:r>
    </w:p>
    <w:p>
      <w:pPr>
        <w:pStyle w:val="8"/>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4.2.2</w:t>
      </w:r>
      <w:r>
        <w:rPr>
          <w:rFonts w:hint="eastAsia"/>
          <w:b/>
          <w:color w:val="000000" w:themeColor="text1"/>
          <w:kern w:val="0"/>
          <w:u w:val="single"/>
          <w14:textFill>
            <w14:solidFill>
              <w14:schemeClr w14:val="tx1"/>
            </w14:solidFill>
          </w14:textFill>
        </w:rPr>
        <w:t>投标文件内容组成表（投标供应商应按以下清单提供相关资料，否则一切风险和责任由投标供应商自行承担）</w:t>
      </w:r>
      <w:r>
        <w:rPr>
          <w:rFonts w:hint="eastAsia"/>
          <w:b/>
          <w:color w:val="000000" w:themeColor="text1"/>
          <w:kern w:val="0"/>
          <w14:textFill>
            <w14:solidFill>
              <w14:schemeClr w14:val="tx1"/>
            </w14:solidFill>
          </w14:textFill>
        </w:rPr>
        <w:t>：</w:t>
      </w:r>
    </w:p>
    <w:p>
      <w:pPr>
        <w:pStyle w:val="6"/>
      </w:pPr>
      <w:r>
        <w:rPr>
          <w:rFonts w:hint="eastAsia"/>
        </w:rPr>
        <w:t>（1）《资格文件》</w:t>
      </w:r>
    </w:p>
    <w:tbl>
      <w:tblPr>
        <w:tblStyle w:val="58"/>
        <w:tblW w:w="9682" w:type="dxa"/>
        <w:tblInd w:w="-197"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2"/>
        <w:gridCol w:w="8223"/>
        <w:gridCol w:w="73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567" w:hRule="atLeast"/>
        </w:trPr>
        <w:tc>
          <w:tcPr>
            <w:tcW w:w="722" w:type="dxa"/>
            <w:shd w:val="clear" w:color="auto" w:fill="FDE9D9"/>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8223" w:type="dxa"/>
            <w:shd w:val="clear" w:color="auto" w:fill="FDE9D9"/>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微软雅黑" w:hAnsi="微软雅黑" w:eastAsia="微软雅黑" w:cs="Arial"/>
                <w:b/>
                <w:color w:val="000000" w:themeColor="text1"/>
                <w:kern w:val="0"/>
                <w:sz w:val="28"/>
                <w:szCs w:val="32"/>
                <w14:textFill>
                  <w14:solidFill>
                    <w14:schemeClr w14:val="tx1"/>
                  </w14:solidFill>
                </w14:textFill>
              </w:rPr>
              <w:t>第一部分《资格文件》组成内容及要求【依序编制】</w:t>
            </w:r>
          </w:p>
        </w:tc>
        <w:tc>
          <w:tcPr>
            <w:tcW w:w="737" w:type="dxa"/>
            <w:shd w:val="clear" w:color="auto" w:fill="FDE9D9"/>
            <w:vAlign w:val="center"/>
          </w:tcPr>
          <w:p>
            <w:pPr>
              <w:spacing w:line="276" w:lineRule="auto"/>
              <w:jc w:val="center"/>
              <w:rPr>
                <w:rFonts w:ascii="微软雅黑" w:hAnsi="微软雅黑" w:eastAsia="微软雅黑" w:cs="Arial"/>
                <w:b/>
                <w:color w:val="000000" w:themeColor="text1"/>
                <w:kern w:val="0"/>
                <w:sz w:val="28"/>
                <w:szCs w:val="32"/>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8960" w:type="dxa"/>
            <w:gridSpan w:val="2"/>
            <w:shd w:val="clear" w:color="auto" w:fill="FFFF00"/>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符合“申请人的资格要求”第1条规定的证明文件：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p>
        </w:tc>
        <w:tc>
          <w:tcPr>
            <w:tcW w:w="8223" w:type="dxa"/>
            <w:shd w:val="clear" w:color="auto" w:fill="FFFFFF" w:themeFill="background1"/>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资格</w:t>
            </w:r>
            <w:r>
              <w:rPr>
                <w:rFonts w:hint="eastAsia" w:ascii="仿宋" w:hAnsi="仿宋" w:eastAsia="仿宋"/>
                <w:b/>
                <w:color w:val="000000" w:themeColor="text1"/>
                <w:kern w:val="0"/>
                <w:sz w:val="24"/>
                <w:szCs w:val="28"/>
                <w:u w:val="single"/>
                <w14:textFill>
                  <w14:solidFill>
                    <w14:schemeClr w14:val="tx1"/>
                  </w14:solidFill>
                </w14:textFill>
              </w:rPr>
              <w:t>承诺书</w:t>
            </w:r>
            <w:r>
              <w:rPr>
                <w:rFonts w:hint="eastAsia" w:ascii="仿宋" w:hAnsi="仿宋" w:eastAsia="仿宋"/>
                <w:color w:val="000000" w:themeColor="text1"/>
                <w:sz w:val="24"/>
                <w14:textFill>
                  <w14:solidFill>
                    <w14:schemeClr w14:val="tx1"/>
                  </w14:solidFill>
                </w14:textFill>
              </w:rPr>
              <w:t>（格式见第六章）</w:t>
            </w:r>
          </w:p>
        </w:tc>
        <w:tc>
          <w:tcPr>
            <w:tcW w:w="737" w:type="dxa"/>
            <w:shd w:val="clear" w:color="auto" w:fill="FFFFFF" w:themeFill="background1"/>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p>
        </w:tc>
        <w:tc>
          <w:tcPr>
            <w:tcW w:w="8223" w:type="dxa"/>
            <w:shd w:val="clear" w:color="auto" w:fill="FFFFFF" w:themeFill="background1"/>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4"/>
                <w14:textFill>
                  <w14:solidFill>
                    <w14:schemeClr w14:val="tx1"/>
                  </w14:solidFill>
                </w14:textFill>
              </w:rPr>
              <w:t>（提供复印件加盖</w:t>
            </w:r>
            <w:r>
              <w:rPr>
                <w:rFonts w:hint="eastAsia" w:ascii="仿宋" w:hAnsi="仿宋" w:eastAsia="仿宋" w:cs="Arial"/>
                <w:color w:val="000000" w:themeColor="text1"/>
                <w:kern w:val="0"/>
                <w:sz w:val="24"/>
                <w14:textFill>
                  <w14:solidFill>
                    <w14:schemeClr w14:val="tx1"/>
                  </w14:solidFill>
                </w14:textFill>
              </w:rPr>
              <w:t>投标供应商公章</w:t>
            </w:r>
            <w:r>
              <w:rPr>
                <w:rFonts w:hint="eastAsia" w:ascii="仿宋" w:hAnsi="仿宋" w:eastAsia="仿宋"/>
                <w:color w:val="000000" w:themeColor="text1"/>
                <w:sz w:val="24"/>
                <w14:textFill>
                  <w14:solidFill>
                    <w14:schemeClr w14:val="tx1"/>
                  </w14:solidFill>
                </w14:textFill>
              </w:rPr>
              <w:t>）</w:t>
            </w:r>
          </w:p>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提示和说明：</w:t>
            </w:r>
          </w:p>
          <w:p>
            <w:pPr>
              <w:spacing w:line="276" w:lineRule="auto"/>
              <w:ind w:firstLine="316" w:firstLineChars="13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276" w:lineRule="auto"/>
              <w:ind w:firstLine="314" w:firstLineChars="131"/>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c>
          <w:tcPr>
            <w:tcW w:w="737" w:type="dxa"/>
            <w:shd w:val="clear" w:color="auto" w:fill="FFFFFF" w:themeFill="background1"/>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auto"/>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8960" w:type="dxa"/>
            <w:gridSpan w:val="2"/>
            <w:shd w:val="clear" w:color="auto" w:fill="auto"/>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w w:val="90"/>
                <w:kern w:val="0"/>
                <w:sz w:val="24"/>
                <w14:textFill>
                  <w14:solidFill>
                    <w14:schemeClr w14:val="tx1"/>
                  </w14:solidFill>
                </w14:textFill>
              </w:rPr>
              <w:t>符合“申请人的资格要求”第2条“</w:t>
            </w:r>
            <w:r>
              <w:rPr>
                <w:rFonts w:hint="eastAsia" w:ascii="仿宋" w:hAnsi="仿宋" w:eastAsia="仿宋" w:cs="Arial"/>
                <w:b/>
                <w:color w:val="000000" w:themeColor="text1"/>
                <w:w w:val="90"/>
                <w:sz w:val="24"/>
                <w14:textFill>
                  <w14:solidFill>
                    <w14:schemeClr w14:val="tx1"/>
                  </w14:solidFill>
                </w14:textFill>
              </w:rPr>
              <w:t>落实政府采购政策需满足的资格要求</w:t>
            </w:r>
            <w:r>
              <w:rPr>
                <w:rFonts w:hint="eastAsia" w:ascii="仿宋" w:hAnsi="仿宋" w:eastAsia="仿宋" w:cs="Arial"/>
                <w:b/>
                <w:color w:val="000000" w:themeColor="text1"/>
                <w:w w:val="90"/>
                <w:kern w:val="0"/>
                <w:sz w:val="24"/>
                <w14:textFill>
                  <w14:solidFill>
                    <w14:schemeClr w14:val="tx1"/>
                  </w14:solidFill>
                </w14:textFill>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auto"/>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223" w:type="dxa"/>
            <w:shd w:val="clear" w:color="auto" w:fill="auto"/>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37" w:type="dxa"/>
            <w:shd w:val="clear" w:color="auto" w:fill="auto"/>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8960" w:type="dxa"/>
            <w:gridSpan w:val="2"/>
            <w:shd w:val="clear" w:color="auto" w:fill="FFFF00"/>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符合“申请人的资格要求”第3条“本项目的特定资格要求”的证明文件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223" w:type="dxa"/>
            <w:shd w:val="clear" w:color="auto" w:fill="FFFFFF" w:themeFill="background1"/>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37" w:type="dxa"/>
            <w:shd w:val="clear" w:color="auto" w:fill="FFFFFF" w:themeFill="background1"/>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E5DFEC"/>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c>
          <w:tcPr>
            <w:tcW w:w="8960" w:type="dxa"/>
            <w:gridSpan w:val="2"/>
            <w:shd w:val="clear" w:color="auto" w:fill="E5DFEC"/>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以上</w:t>
            </w:r>
            <w:r>
              <w:rPr>
                <w:rFonts w:hint="eastAsia" w:ascii="仿宋" w:hAnsi="仿宋" w:eastAsia="仿宋" w:cs="Arial"/>
                <w:b/>
                <w:color w:val="000000" w:themeColor="text1"/>
                <w:kern w:val="0"/>
                <w:sz w:val="24"/>
                <w14:textFill>
                  <w14:solidFill>
                    <w14:schemeClr w14:val="tx1"/>
                  </w14:solidFill>
                </w14:textFill>
              </w:rPr>
              <w:t>资格证明文件未提供的，作“资格审查不合格”处理，不得进入后续评标程序。</w:t>
            </w:r>
          </w:p>
        </w:tc>
      </w:tr>
    </w:tbl>
    <w:p>
      <w:pPr>
        <w:pStyle w:val="6"/>
      </w:pPr>
      <w:r>
        <w:rPr>
          <w:rFonts w:hint="eastAsia"/>
        </w:rPr>
        <w:t>（2）《商务技术文件》</w:t>
      </w:r>
    </w:p>
    <w:tbl>
      <w:tblPr>
        <w:tblStyle w:val="58"/>
        <w:tblW w:w="9709" w:type="dxa"/>
        <w:tblInd w:w="-21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36"/>
        <w:gridCol w:w="2114"/>
        <w:gridCol w:w="6123"/>
        <w:gridCol w:w="736"/>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36"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237" w:type="dxa"/>
            <w:gridSpan w:val="2"/>
            <w:tcBorders>
              <w:top w:val="thinThickSmallGap" w:color="0070C0" w:sz="12" w:space="0"/>
              <w:bottom w:val="single" w:color="0070C0" w:sz="6" w:space="0"/>
            </w:tcBorders>
            <w:shd w:val="clear" w:color="auto" w:fill="DAEEF3" w:themeFill="accent5" w:themeFillTint="33"/>
            <w:vAlign w:val="center"/>
          </w:tcPr>
          <w:p>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36"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tcBorders>
              <w:top w:val="single" w:color="0070C0" w:sz="6" w:space="0"/>
            </w:tcBorders>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237" w:type="dxa"/>
            <w:gridSpan w:val="2"/>
            <w:tcBorders>
              <w:top w:val="single" w:color="0070C0" w:sz="6" w:space="0"/>
            </w:tcBorders>
            <w:shd w:val="clear" w:color="auto" w:fill="FFFF00"/>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sz w:val="24"/>
                <w14:textFill>
                  <w14:solidFill>
                    <w14:schemeClr w14:val="tx1"/>
                  </w14:solidFill>
                </w14:textFill>
              </w:rPr>
              <w:t>（格式见第六章）</w:t>
            </w:r>
          </w:p>
        </w:tc>
        <w:tc>
          <w:tcPr>
            <w:tcW w:w="736"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237" w:type="dxa"/>
            <w:gridSpan w:val="2"/>
            <w:shd w:val="clear" w:color="auto" w:fill="FFFF00"/>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关于《投标文件》所有内容真实、有效的承诺函</w:t>
            </w:r>
            <w:r>
              <w:rPr>
                <w:rFonts w:hint="eastAsia" w:ascii="仿宋" w:hAnsi="仿宋" w:eastAsia="仿宋"/>
                <w:color w:val="000000" w:themeColor="text1"/>
                <w:sz w:val="24"/>
                <w14:textFill>
                  <w14:solidFill>
                    <w14:schemeClr w14:val="tx1"/>
                  </w14:solidFill>
                </w14:textFill>
              </w:rPr>
              <w:t>（格式见第六章）</w:t>
            </w:r>
          </w:p>
        </w:tc>
        <w:tc>
          <w:tcPr>
            <w:tcW w:w="736"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237" w:type="dxa"/>
            <w:gridSpan w:val="2"/>
            <w:shd w:val="clear" w:color="auto" w:fill="FFFF00"/>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投标函</w:t>
            </w:r>
            <w:r>
              <w:rPr>
                <w:rFonts w:hint="eastAsia" w:ascii="仿宋" w:hAnsi="仿宋" w:eastAsia="仿宋"/>
                <w:color w:val="000000" w:themeColor="text1"/>
                <w:sz w:val="24"/>
                <w14:textFill>
                  <w14:solidFill>
                    <w14:schemeClr w14:val="tx1"/>
                  </w14:solidFill>
                </w14:textFill>
              </w:rPr>
              <w:t>（格式见第六章）</w:t>
            </w:r>
          </w:p>
        </w:tc>
        <w:tc>
          <w:tcPr>
            <w:tcW w:w="736"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237" w:type="dxa"/>
            <w:gridSpan w:val="2"/>
            <w:shd w:val="clear" w:color="auto" w:fill="FFFF00"/>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《法人（或单位）</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（投标供应商授权其单位正式职工全权代表其处理投标事项或签署相关文件时须提供</w:t>
            </w:r>
            <w:r>
              <w:rPr>
                <w:rFonts w:hint="eastAsia" w:ascii="仿宋" w:hAnsi="仿宋" w:eastAsia="仿宋"/>
                <w:color w:val="000000" w:themeColor="text1"/>
                <w:sz w:val="24"/>
                <w14:textFill>
                  <w14:solidFill>
                    <w14:schemeClr w14:val="tx1"/>
                  </w14:solidFill>
                </w14:textFill>
              </w:rPr>
              <w:t>，格式见第六章</w:t>
            </w:r>
            <w:r>
              <w:rPr>
                <w:rFonts w:hint="eastAsia" w:ascii="仿宋" w:hAnsi="仿宋" w:eastAsia="仿宋" w:cs="Arial"/>
                <w:color w:val="000000" w:themeColor="text1"/>
                <w:kern w:val="0"/>
                <w:sz w:val="24"/>
                <w14:textFill>
                  <w14:solidFill>
                    <w14:schemeClr w14:val="tx1"/>
                  </w14:solidFill>
                </w14:textFill>
              </w:rPr>
              <w:t>）</w:t>
            </w:r>
          </w:p>
        </w:tc>
        <w:tc>
          <w:tcPr>
            <w:tcW w:w="736"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vMerge w:val="restart"/>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2114" w:type="dxa"/>
            <w:vMerge w:val="restart"/>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投标供应商履约能力评价材料</w:t>
            </w:r>
            <w:r>
              <w:rPr>
                <w:rFonts w:hint="eastAsia" w:ascii="仿宋" w:hAnsi="仿宋" w:eastAsia="仿宋"/>
                <w:color w:val="000000" w:themeColor="text1"/>
                <w:sz w:val="24"/>
                <w14:textFill>
                  <w14:solidFill>
                    <w14:schemeClr w14:val="tx1"/>
                  </w14:solidFill>
                </w14:textFill>
              </w:rPr>
              <w:t>（对照评分要求提供）</w:t>
            </w:r>
          </w:p>
        </w:tc>
        <w:tc>
          <w:tcPr>
            <w:tcW w:w="6123" w:type="dxa"/>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（1）履约能力评价证明材料（对照评分要求提供）</w:t>
            </w:r>
          </w:p>
        </w:tc>
        <w:tc>
          <w:tcPr>
            <w:tcW w:w="736"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vMerge w:val="continue"/>
            <w:vAlign w:val="center"/>
          </w:tcPr>
          <w:p>
            <w:pPr>
              <w:spacing w:line="276" w:lineRule="auto"/>
              <w:jc w:val="center"/>
              <w:rPr>
                <w:rFonts w:ascii="仿宋" w:hAnsi="仿宋" w:eastAsia="仿宋"/>
                <w:color w:val="000000" w:themeColor="text1"/>
                <w:sz w:val="24"/>
                <w14:textFill>
                  <w14:solidFill>
                    <w14:schemeClr w14:val="tx1"/>
                  </w14:solidFill>
                </w14:textFill>
              </w:rPr>
            </w:pPr>
          </w:p>
        </w:tc>
        <w:tc>
          <w:tcPr>
            <w:tcW w:w="2114" w:type="dxa"/>
            <w:vMerge w:val="continue"/>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p>
        </w:tc>
        <w:tc>
          <w:tcPr>
            <w:tcW w:w="6123" w:type="dxa"/>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（2）类似项目业绩汇总表及证明材料（格式见第六章）</w:t>
            </w:r>
          </w:p>
        </w:tc>
        <w:tc>
          <w:tcPr>
            <w:tcW w:w="736"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tcBorders>
              <w:bottom w:val="single" w:color="0070C0" w:sz="6" w:space="0"/>
            </w:tcBorders>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237" w:type="dxa"/>
            <w:gridSpan w:val="2"/>
            <w:tcBorders>
              <w:bottom w:val="single" w:color="0070C0" w:sz="6" w:space="0"/>
            </w:tcBorders>
            <w:shd w:val="clear" w:color="auto" w:fill="FFFF00"/>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商务技术偏离表</w:t>
            </w:r>
            <w:r>
              <w:rPr>
                <w:rFonts w:hint="eastAsia" w:ascii="仿宋" w:hAnsi="仿宋" w:eastAsia="仿宋"/>
                <w:color w:val="000000" w:themeColor="text1"/>
                <w:sz w:val="24"/>
                <w14:textFill>
                  <w14:solidFill>
                    <w14:schemeClr w14:val="tx1"/>
                  </w14:solidFill>
                </w14:textFill>
              </w:rPr>
              <w:t>（格式见第六章）</w:t>
            </w:r>
          </w:p>
        </w:tc>
        <w:tc>
          <w:tcPr>
            <w:tcW w:w="736" w:type="dxa"/>
            <w:tcBorders>
              <w:bottom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23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技术服务实施方案（依据评分细则但不仅限于）</w:t>
            </w:r>
          </w:p>
        </w:tc>
        <w:tc>
          <w:tcPr>
            <w:tcW w:w="736"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23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拟派项目团队人员情况</w:t>
            </w:r>
          </w:p>
        </w:tc>
        <w:tc>
          <w:tcPr>
            <w:tcW w:w="736"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2-9</w:t>
            </w:r>
          </w:p>
        </w:tc>
        <w:tc>
          <w:tcPr>
            <w:tcW w:w="823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关于对采购文件中有关条款的拒绝声明（如有，格式见第六章）</w:t>
            </w:r>
          </w:p>
        </w:tc>
        <w:tc>
          <w:tcPr>
            <w:tcW w:w="736"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2-10</w:t>
            </w:r>
          </w:p>
        </w:tc>
        <w:tc>
          <w:tcPr>
            <w:tcW w:w="823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与商务技术有关的资料</w:t>
            </w:r>
            <w:r>
              <w:rPr>
                <w:rFonts w:ascii="仿宋" w:hAnsi="仿宋" w:eastAsia="仿宋" w:cs="Arial"/>
                <w:b/>
                <w:color w:val="000000" w:themeColor="text1"/>
                <w:kern w:val="0"/>
                <w:sz w:val="24"/>
                <w14:textFill>
                  <w14:solidFill>
                    <w14:schemeClr w14:val="tx1"/>
                  </w14:solidFill>
                </w14:textFill>
              </w:rPr>
              <w:t>或说明</w:t>
            </w:r>
            <w:r>
              <w:rPr>
                <w:rFonts w:hint="eastAsia" w:ascii="仿宋" w:hAnsi="仿宋" w:eastAsia="仿宋" w:cs="Arial"/>
                <w:b/>
                <w:color w:val="000000" w:themeColor="text1"/>
                <w:kern w:val="0"/>
                <w:sz w:val="24"/>
                <w14:textFill>
                  <w14:solidFill>
                    <w14:schemeClr w14:val="tx1"/>
                  </w14:solidFill>
                </w14:textFill>
              </w:rPr>
              <w:t>（如有，格式见第六章）</w:t>
            </w:r>
          </w:p>
        </w:tc>
        <w:tc>
          <w:tcPr>
            <w:tcW w:w="736"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E5DFEC"/>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8973" w:type="dxa"/>
            <w:gridSpan w:val="3"/>
            <w:shd w:val="clear" w:color="auto" w:fill="E5DFEC"/>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pPr>
        <w:pStyle w:val="6"/>
      </w:pPr>
      <w:r>
        <w:rPr>
          <w:rFonts w:hint="eastAsia"/>
        </w:rPr>
        <w:t>（3）《报价文件》</w:t>
      </w:r>
    </w:p>
    <w:tbl>
      <w:tblPr>
        <w:tblStyle w:val="58"/>
        <w:tblW w:w="9749" w:type="dxa"/>
        <w:tblInd w:w="-22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63"/>
        <w:gridCol w:w="1978"/>
        <w:gridCol w:w="6245"/>
        <w:gridCol w:w="76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63"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223" w:type="dxa"/>
            <w:gridSpan w:val="2"/>
            <w:tcBorders>
              <w:top w:val="thinThickSmallGap" w:color="0070C0" w:sz="12" w:space="0"/>
              <w:bottom w:val="single" w:color="0070C0" w:sz="6" w:space="0"/>
            </w:tcBorders>
            <w:shd w:val="clear" w:color="auto" w:fill="DAEEF3" w:themeFill="accent5" w:themeFillTint="33"/>
            <w:vAlign w:val="center"/>
          </w:tcPr>
          <w:p>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63"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tcBorders>
              <w:top w:val="single" w:color="0070C0" w:sz="6" w:space="0"/>
            </w:tcBorders>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223" w:type="dxa"/>
            <w:gridSpan w:val="2"/>
            <w:tcBorders>
              <w:top w:val="single" w:color="0070C0" w:sz="6" w:space="0"/>
            </w:tcBorders>
            <w:shd w:val="clear" w:color="auto" w:fill="FFFF00"/>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223" w:type="dxa"/>
            <w:gridSpan w:val="2"/>
            <w:shd w:val="clear" w:color="auto" w:fill="FFFF00"/>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3-3</w:t>
            </w:r>
          </w:p>
        </w:tc>
        <w:tc>
          <w:tcPr>
            <w:tcW w:w="8223" w:type="dxa"/>
            <w:gridSpan w:val="2"/>
            <w:shd w:val="clear" w:color="auto" w:fill="FFFF00"/>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报价明细表</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restart"/>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w:t>
            </w:r>
          </w:p>
        </w:tc>
        <w:tc>
          <w:tcPr>
            <w:tcW w:w="1978" w:type="dxa"/>
            <w:vMerge w:val="restart"/>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符合政府采购价格扶持政策的证明材料（如是）</w:t>
            </w:r>
          </w:p>
        </w:tc>
        <w:tc>
          <w:tcPr>
            <w:tcW w:w="6245" w:type="dxa"/>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（1）中小企业声明函</w:t>
            </w:r>
            <w:r>
              <w:rPr>
                <w:rFonts w:hint="eastAsia" w:ascii="仿宋" w:hAnsi="仿宋" w:eastAsia="仿宋"/>
                <w:color w:val="000000" w:themeColor="text1"/>
                <w:sz w:val="24"/>
                <w14:textFill>
                  <w14:solidFill>
                    <w14:schemeClr w14:val="tx1"/>
                  </w14:solidFill>
                </w14:textFill>
              </w:rPr>
              <w:t>（如是，请提供，格式见第六章）</w:t>
            </w:r>
          </w:p>
        </w:tc>
        <w:tc>
          <w:tcPr>
            <w:tcW w:w="763"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continue"/>
            <w:vAlign w:val="center"/>
          </w:tcPr>
          <w:p>
            <w:pPr>
              <w:spacing w:line="276" w:lineRule="auto"/>
              <w:jc w:val="center"/>
              <w:rPr>
                <w:rFonts w:ascii="仿宋" w:hAnsi="仿宋" w:eastAsia="仿宋"/>
                <w:b/>
                <w:color w:val="000000" w:themeColor="text1"/>
                <w:sz w:val="24"/>
                <w14:textFill>
                  <w14:solidFill>
                    <w14:schemeClr w14:val="tx1"/>
                  </w14:solidFill>
                </w14:textFill>
              </w:rPr>
            </w:pPr>
          </w:p>
        </w:tc>
        <w:tc>
          <w:tcPr>
            <w:tcW w:w="1978" w:type="dxa"/>
            <w:vMerge w:val="continue"/>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p>
        </w:tc>
        <w:tc>
          <w:tcPr>
            <w:tcW w:w="6245" w:type="dxa"/>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（2）残疾人福利性单位声明函</w:t>
            </w:r>
            <w:r>
              <w:rPr>
                <w:rFonts w:hint="eastAsia" w:ascii="仿宋" w:hAnsi="仿宋" w:eastAsia="仿宋"/>
                <w:color w:val="000000" w:themeColor="text1"/>
                <w:sz w:val="24"/>
                <w14:textFill>
                  <w14:solidFill>
                    <w14:schemeClr w14:val="tx1"/>
                  </w14:solidFill>
                </w14:textFill>
              </w:rPr>
              <w:t>（如是，请提供，格式见第六章）</w:t>
            </w:r>
          </w:p>
        </w:tc>
        <w:tc>
          <w:tcPr>
            <w:tcW w:w="763"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continue"/>
            <w:vAlign w:val="center"/>
          </w:tcPr>
          <w:p>
            <w:pPr>
              <w:spacing w:line="276" w:lineRule="auto"/>
              <w:jc w:val="center"/>
              <w:rPr>
                <w:rFonts w:ascii="仿宋" w:hAnsi="仿宋" w:eastAsia="仿宋"/>
                <w:b/>
                <w:color w:val="000000" w:themeColor="text1"/>
                <w:sz w:val="24"/>
                <w14:textFill>
                  <w14:solidFill>
                    <w14:schemeClr w14:val="tx1"/>
                  </w14:solidFill>
                </w14:textFill>
              </w:rPr>
            </w:pPr>
          </w:p>
        </w:tc>
        <w:tc>
          <w:tcPr>
            <w:tcW w:w="1978" w:type="dxa"/>
            <w:vMerge w:val="continue"/>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p>
        </w:tc>
        <w:tc>
          <w:tcPr>
            <w:tcW w:w="6245" w:type="dxa"/>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（3）相关部门出具的监狱企业证明文件</w:t>
            </w:r>
            <w:r>
              <w:rPr>
                <w:rFonts w:hint="eastAsia" w:ascii="仿宋" w:hAnsi="仿宋" w:eastAsia="仿宋"/>
                <w:color w:val="000000" w:themeColor="text1"/>
                <w:sz w:val="24"/>
                <w14:textFill>
                  <w14:solidFill>
                    <w14:schemeClr w14:val="tx1"/>
                  </w14:solidFill>
                </w14:textFill>
              </w:rPr>
              <w:t>（如是，提供</w:t>
            </w:r>
            <w:r>
              <w:rPr>
                <w:rFonts w:hint="eastAsia" w:ascii="仿宋" w:hAnsi="仿宋" w:eastAsia="仿宋" w:cs="Arial"/>
                <w:color w:val="000000" w:themeColor="text1"/>
                <w:kern w:val="0"/>
                <w:sz w:val="24"/>
                <w14:textFill>
                  <w14:solidFill>
                    <w14:schemeClr w14:val="tx1"/>
                  </w14:solidFill>
                </w14:textFill>
              </w:rPr>
              <w:t>复印件加盖投标供应商公章）</w:t>
            </w:r>
          </w:p>
        </w:tc>
        <w:tc>
          <w:tcPr>
            <w:tcW w:w="763"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3-5</w:t>
            </w:r>
          </w:p>
        </w:tc>
        <w:tc>
          <w:tcPr>
            <w:tcW w:w="8223" w:type="dxa"/>
            <w:gridSpan w:val="2"/>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与报价有关的资料或说明（如有，格式见第六章）</w:t>
            </w:r>
          </w:p>
        </w:tc>
        <w:tc>
          <w:tcPr>
            <w:tcW w:w="763"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E5DFEC"/>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8986" w:type="dxa"/>
            <w:gridSpan w:val="3"/>
            <w:shd w:val="clear" w:color="auto" w:fill="E5DFEC"/>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4.3 投标文件的编制</w:t>
      </w:r>
    </w:p>
    <w:p>
      <w:pPr>
        <w:spacing w:line="360" w:lineRule="auto"/>
        <w:ind w:firstLine="422" w:firstLineChars="17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4.3.1</w:t>
      </w:r>
      <w:r>
        <w:rPr>
          <w:rFonts w:hint="eastAsia" w:ascii="仿宋" w:hAnsi="仿宋" w:eastAsia="仿宋" w:cs="Arial"/>
          <w:b/>
          <w:color w:val="000000" w:themeColor="text1"/>
          <w:sz w:val="24"/>
          <w14:textFill>
            <w14:solidFill>
              <w14:schemeClr w14:val="tx1"/>
            </w14:solidFill>
          </w14:textFill>
        </w:rPr>
        <w:t>依据《浙江省政府采购项目电子交易管理暂行办法》，本项目通过“政府采购云平台”（网址：</w:t>
      </w:r>
      <w:r>
        <w:fldChar w:fldCharType="begin"/>
      </w:r>
      <w:r>
        <w:instrText xml:space="preserve"> HYPERLINK "http://www.zcygov.cn" </w:instrText>
      </w:r>
      <w:r>
        <w:fldChar w:fldCharType="separate"/>
      </w:r>
      <w:r>
        <w:rPr>
          <w:rStyle w:val="71"/>
          <w:rFonts w:ascii="仿宋" w:hAnsi="仿宋" w:eastAsia="仿宋" w:cs="Arial"/>
          <w:b/>
          <w:color w:val="000000" w:themeColor="text1"/>
          <w:sz w:val="24"/>
          <w:u w:val="none"/>
          <w14:textFill>
            <w14:solidFill>
              <w14:schemeClr w14:val="tx1"/>
            </w14:solidFill>
          </w14:textFill>
        </w:rPr>
        <w:t>www.zcygov.cn</w:t>
      </w:r>
      <w:r>
        <w:rPr>
          <w:rStyle w:val="71"/>
          <w:rFonts w:ascii="仿宋" w:hAnsi="仿宋" w:eastAsia="仿宋" w:cs="Arial"/>
          <w:b/>
          <w:color w:val="000000" w:themeColor="text1"/>
          <w:sz w:val="24"/>
          <w:u w:val="none"/>
          <w14:textFill>
            <w14:solidFill>
              <w14:schemeClr w14:val="tx1"/>
            </w14:solidFill>
          </w14:textFill>
        </w:rPr>
        <w:fldChar w:fldCharType="end"/>
      </w:r>
      <w:r>
        <w:rPr>
          <w:rFonts w:hint="eastAsia" w:ascii="仿宋" w:hAnsi="仿宋" w:eastAsia="仿宋" w:cs="Arial"/>
          <w:b/>
          <w:color w:val="000000" w:themeColor="text1"/>
          <w:sz w:val="24"/>
          <w14:textFill>
            <w14:solidFill>
              <w14:schemeClr w14:val="tx1"/>
            </w14:solidFill>
          </w14:textFill>
        </w:rPr>
        <w:t>）实行电子交易（在线投标响应）。供应商参加本项目电子交易应当安装“政采云电子交易客户端”，并按照本采购文件和“政府采购云平台”的要求编制并加密投标文件。</w:t>
      </w:r>
      <w:r>
        <w:rPr>
          <w:rFonts w:hint="eastAsia" w:ascii="仿宋" w:hAnsi="仿宋" w:eastAsia="仿宋" w:cs="Arial"/>
          <w:b/>
          <w:color w:val="000000" w:themeColor="text1"/>
          <w:sz w:val="24"/>
          <w:u w:val="single"/>
          <w14:textFill>
            <w14:solidFill>
              <w14:schemeClr w14:val="tx1"/>
            </w14:solidFill>
          </w14:textFill>
        </w:rPr>
        <w:t>供应商未按规定加密的投标文件，“政府采购云平台”将予以拒收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4.3.2供应商应当按照</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”规定的内容及顺序在“政采云电子交易客户端”编制投标文件。</w:t>
      </w:r>
      <w:r>
        <w:rPr>
          <w:rFonts w:hint="eastAsia" w:ascii="仿宋" w:hAnsi="仿宋" w:eastAsia="仿宋" w:cs="Arial"/>
          <w:b/>
          <w:color w:val="000000" w:themeColor="text1"/>
          <w:kern w:val="0"/>
          <w:sz w:val="24"/>
          <w:u w:val="single"/>
          <w14:textFill>
            <w14:solidFill>
              <w14:schemeClr w14:val="tx1"/>
            </w14:solidFill>
          </w14:textFill>
        </w:rPr>
        <w:t>其中《资格文件》和《商务技术文件》中不得出现本项目投标报价，否则投标无效。</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4.3.3</w:t>
      </w:r>
      <w:r>
        <w:rPr>
          <w:rFonts w:hint="eastAsia" w:ascii="仿宋" w:hAnsi="仿宋" w:eastAsia="仿宋"/>
          <w:b/>
          <w:color w:val="000000" w:themeColor="text1"/>
          <w:sz w:val="24"/>
          <w14:textFill>
            <w14:solidFill>
              <w14:schemeClr w14:val="tx1"/>
            </w14:solidFill>
          </w14:textFill>
        </w:rPr>
        <w:t>本文件《第六章 投标文件格式》中有</w:t>
      </w:r>
      <w:r>
        <w:rPr>
          <w:rFonts w:ascii="仿宋" w:hAnsi="仿宋" w:eastAsia="仿宋"/>
          <w:b/>
          <w:color w:val="000000" w:themeColor="text1"/>
          <w:sz w:val="24"/>
          <w14:textFill>
            <w14:solidFill>
              <w14:schemeClr w14:val="tx1"/>
            </w14:solidFill>
          </w14:textFill>
        </w:rPr>
        <w:t>提供格式的，</w:t>
      </w:r>
      <w:r>
        <w:rPr>
          <w:rFonts w:hint="eastAsia" w:ascii="仿宋" w:hAnsi="仿宋" w:eastAsia="仿宋"/>
          <w:b/>
          <w:color w:val="000000" w:themeColor="text1"/>
          <w:sz w:val="24"/>
          <w14:textFill>
            <w14:solidFill>
              <w14:schemeClr w14:val="tx1"/>
            </w14:solidFill>
          </w14:textFill>
        </w:rPr>
        <w:t>供应商应按</w:t>
      </w:r>
      <w:r>
        <w:rPr>
          <w:rFonts w:ascii="仿宋" w:hAnsi="仿宋" w:eastAsia="仿宋"/>
          <w:b/>
          <w:color w:val="000000" w:themeColor="text1"/>
          <w:sz w:val="24"/>
          <w14:textFill>
            <w14:solidFill>
              <w14:schemeClr w14:val="tx1"/>
            </w14:solidFill>
          </w14:textFill>
        </w:rPr>
        <w:t>照格式</w:t>
      </w:r>
      <w:r>
        <w:rPr>
          <w:rFonts w:hint="eastAsia" w:ascii="仿宋" w:hAnsi="仿宋" w:eastAsia="仿宋"/>
          <w:b/>
          <w:color w:val="000000" w:themeColor="text1"/>
          <w:sz w:val="24"/>
          <w14:textFill>
            <w14:solidFill>
              <w14:schemeClr w14:val="tx1"/>
            </w14:solidFill>
          </w14:textFill>
        </w:rPr>
        <w:t>进行编制（格式中要求提供相关证明材料的还需后附相关证明材料），并按格式要求在指定位置根据要求进行签章，否则视为未提供；本文件《第六章投标文件格式》</w:t>
      </w:r>
      <w:r>
        <w:rPr>
          <w:rFonts w:ascii="仿宋" w:hAnsi="仿宋" w:eastAsia="仿宋"/>
          <w:b/>
          <w:color w:val="000000" w:themeColor="text1"/>
          <w:sz w:val="24"/>
          <w14:textFill>
            <w14:solidFill>
              <w14:schemeClr w14:val="tx1"/>
            </w14:solidFill>
          </w14:textFill>
        </w:rPr>
        <w:t>未提供格式的，请</w:t>
      </w:r>
      <w:r>
        <w:rPr>
          <w:rFonts w:hint="eastAsia" w:ascii="仿宋" w:hAnsi="仿宋" w:eastAsia="仿宋"/>
          <w:b/>
          <w:color w:val="000000" w:themeColor="text1"/>
          <w:sz w:val="24"/>
          <w14:textFill>
            <w14:solidFill>
              <w14:schemeClr w14:val="tx1"/>
            </w14:solidFill>
          </w14:textFill>
        </w:rPr>
        <w:t>供应商自</w:t>
      </w:r>
      <w:r>
        <w:rPr>
          <w:rFonts w:ascii="仿宋" w:hAnsi="仿宋" w:eastAsia="仿宋"/>
          <w:b/>
          <w:color w:val="000000" w:themeColor="text1"/>
          <w:sz w:val="24"/>
          <w14:textFill>
            <w14:solidFill>
              <w14:schemeClr w14:val="tx1"/>
            </w14:solidFill>
          </w14:textFill>
        </w:rPr>
        <w:t>行拟定格式</w:t>
      </w:r>
      <w:r>
        <w:rPr>
          <w:rFonts w:hint="eastAsia" w:ascii="仿宋" w:hAnsi="仿宋" w:eastAsia="仿宋"/>
          <w:b/>
          <w:color w:val="000000" w:themeColor="text1"/>
          <w:sz w:val="24"/>
          <w14:textFill>
            <w14:solidFill>
              <w14:schemeClr w14:val="tx1"/>
            </w14:solidFill>
          </w14:textFill>
        </w:rPr>
        <w:t>，并加盖单位公章，否则视为未提供。</w:t>
      </w:r>
    </w:p>
    <w:p>
      <w:pPr>
        <w:spacing w:line="360" w:lineRule="auto"/>
        <w:ind w:firstLine="422" w:firstLineChars="175"/>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4.3.4</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”内容中约定</w:t>
      </w:r>
      <w:r>
        <w:rPr>
          <w:rFonts w:hint="eastAsia" w:ascii="仿宋" w:hAnsi="仿宋" w:eastAsia="仿宋"/>
          <w:b/>
          <w:color w:val="000000" w:themeColor="text1"/>
          <w:sz w:val="24"/>
          <w14:textFill>
            <w14:solidFill>
              <w14:schemeClr w14:val="tx1"/>
            </w14:solidFill>
          </w14:textFill>
        </w:rPr>
        <w:t>可以提供复印件（或复制件）的相关证明材料必须加盖供应商公章，否则视为未提供</w:t>
      </w:r>
      <w:r>
        <w:rPr>
          <w:rFonts w:hint="eastAsia" w:ascii="仿宋" w:hAnsi="仿宋" w:eastAsia="仿宋"/>
          <w:color w:val="000000" w:themeColor="text1"/>
          <w:sz w:val="24"/>
          <w14:textFill>
            <w14:solidFill>
              <w14:schemeClr w14:val="tx1"/>
            </w14:solidFill>
          </w14:textFill>
        </w:rPr>
        <w:t>（例如：各类资格资质证书、业绩材料、许可材料、荣誉证书、产品注册登记材料、产品检测材料、验收材料等）。</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4.3.5</w:t>
      </w:r>
      <w:r>
        <w:rPr>
          <w:rFonts w:ascii="仿宋" w:hAnsi="仿宋" w:eastAsia="仿宋" w:cs="Arial"/>
          <w:b/>
          <w:color w:val="000000" w:themeColor="text1"/>
          <w:kern w:val="0"/>
          <w:sz w:val="24"/>
          <w:u w:val="single"/>
          <w14:textFill>
            <w14:solidFill>
              <w14:schemeClr w14:val="tx1"/>
            </w14:solidFill>
          </w14:textFill>
        </w:rPr>
        <w:t>本</w:t>
      </w:r>
      <w:r>
        <w:rPr>
          <w:rFonts w:hint="eastAsia" w:ascii="仿宋" w:hAnsi="仿宋" w:eastAsia="仿宋" w:cs="Arial"/>
          <w:b/>
          <w:color w:val="000000" w:themeColor="text1"/>
          <w:kern w:val="0"/>
          <w:sz w:val="24"/>
          <w:u w:val="single"/>
          <w14:textFill>
            <w14:solidFill>
              <w14:schemeClr w14:val="tx1"/>
            </w14:solidFill>
          </w14:textFill>
        </w:rPr>
        <w:t>章第4.2.2款“</w:t>
      </w:r>
      <w:r>
        <w:rPr>
          <w:rFonts w:hint="eastAsia" w:ascii="仿宋" w:hAnsi="仿宋" w:eastAsia="仿宋" w:cs="Arial"/>
          <w:b/>
          <w:color w:val="000000" w:themeColor="text1"/>
          <w:kern w:val="0"/>
          <w:sz w:val="24"/>
          <w:szCs w:val="22"/>
          <w:u w:val="single"/>
          <w14:textFill>
            <w14:solidFill>
              <w14:schemeClr w14:val="tx1"/>
            </w14:solidFill>
          </w14:textFill>
        </w:rPr>
        <w:t>投标文件内容组成表</w:t>
      </w:r>
      <w:r>
        <w:rPr>
          <w:rFonts w:hint="eastAsia" w:ascii="仿宋" w:hAnsi="仿宋" w:eastAsia="仿宋" w:cs="Arial"/>
          <w:b/>
          <w:color w:val="000000" w:themeColor="text1"/>
          <w:kern w:val="0"/>
          <w:sz w:val="24"/>
          <w:u w:val="single"/>
          <w14:textFill>
            <w14:solidFill>
              <w14:schemeClr w14:val="tx1"/>
            </w14:solidFill>
          </w14:textFill>
        </w:rPr>
        <w:t>”内容中标注“▲”的内容为必须提供的内容，未提供的投标无效</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4.3.6</w:t>
      </w:r>
      <w:r>
        <w:rPr>
          <w:rFonts w:ascii="仿宋" w:hAnsi="仿宋" w:eastAsia="仿宋" w:cs="Arial"/>
          <w:color w:val="000000" w:themeColor="text1"/>
          <w:kern w:val="0"/>
          <w:sz w:val="24"/>
          <w14:textFill>
            <w14:solidFill>
              <w14:schemeClr w14:val="tx1"/>
            </w14:solidFill>
          </w14:textFill>
        </w:rPr>
        <w:t>《投标文件》内容不完整、编排混乱导致《投标文件》被误读、漏读或者查找不到相关内容的，是投标供应商的责任。</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4.3.7《</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因字迹潦草或表达不清所引起的后果由投标供应商负责。</w:t>
      </w:r>
    </w:p>
    <w:p>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4.3.8</w:t>
      </w:r>
      <w:r>
        <w:rPr>
          <w:rFonts w:ascii="仿宋" w:hAnsi="仿宋" w:eastAsia="仿宋" w:cs="Arial"/>
          <w:color w:val="000000" w:themeColor="text1"/>
          <w:kern w:val="0"/>
          <w:sz w:val="24"/>
          <w:szCs w:val="22"/>
          <w14:textFill>
            <w14:solidFill>
              <w14:schemeClr w14:val="tx1"/>
            </w14:solidFill>
          </w14:textFill>
        </w:rPr>
        <w:t>投标供应商没有按照</w:t>
      </w:r>
      <w:r>
        <w:rPr>
          <w:rFonts w:ascii="仿宋" w:hAnsi="仿宋" w:eastAsia="仿宋" w:cs="Arial"/>
          <w:color w:val="000000" w:themeColor="text1"/>
          <w:kern w:val="0"/>
          <w:sz w:val="24"/>
          <w14:textFill>
            <w14:solidFill>
              <w14:schemeClr w14:val="tx1"/>
            </w14:solidFill>
          </w14:textFill>
        </w:rPr>
        <w:t>本章</w:t>
      </w:r>
      <w:r>
        <w:rPr>
          <w:rFonts w:hint="eastAsia" w:ascii="仿宋" w:hAnsi="仿宋" w:eastAsia="仿宋" w:cs="Arial"/>
          <w:color w:val="000000" w:themeColor="text1"/>
          <w:kern w:val="0"/>
          <w:sz w:val="24"/>
          <w14:textFill>
            <w14:solidFill>
              <w14:schemeClr w14:val="tx1"/>
            </w14:solidFill>
          </w14:textFill>
        </w:rPr>
        <w:t>第4.2.2款“</w:t>
      </w:r>
      <w:r>
        <w:rPr>
          <w:rFonts w:hint="eastAsia" w:ascii="仿宋" w:hAnsi="仿宋" w:eastAsia="仿宋" w:cs="Arial"/>
          <w:color w:val="000000" w:themeColor="text1"/>
          <w:kern w:val="0"/>
          <w:sz w:val="24"/>
          <w:szCs w:val="22"/>
          <w14:textFill>
            <w14:solidFill>
              <w14:schemeClr w14:val="tx1"/>
            </w14:solidFill>
          </w14:textFill>
        </w:rPr>
        <w:t>投标文件内容组成表</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要求提供全部资料，</w:t>
      </w:r>
      <w:r>
        <w:rPr>
          <w:rFonts w:hint="eastAsia" w:ascii="仿宋" w:hAnsi="仿宋" w:eastAsia="仿宋" w:cs="Arial"/>
          <w:color w:val="000000" w:themeColor="text1"/>
          <w:kern w:val="0"/>
          <w:sz w:val="24"/>
          <w:szCs w:val="22"/>
          <w14:textFill>
            <w14:solidFill>
              <w14:schemeClr w14:val="tx1"/>
            </w14:solidFill>
          </w14:textFill>
        </w:rPr>
        <w:t>或者没有仔细阅读采购文件，</w:t>
      </w:r>
      <w:r>
        <w:rPr>
          <w:rFonts w:ascii="仿宋" w:hAnsi="仿宋" w:eastAsia="仿宋" w:cs="Arial"/>
          <w:color w:val="000000" w:themeColor="text1"/>
          <w:kern w:val="0"/>
          <w:sz w:val="24"/>
          <w:szCs w:val="22"/>
          <w14:textFill>
            <w14:solidFill>
              <w14:schemeClr w14:val="tx1"/>
            </w14:solidFill>
          </w14:textFill>
        </w:rPr>
        <w:t>或者没有对采购文件在各方面的要求作出实质性响应是投标供应商的风险</w:t>
      </w:r>
      <w:r>
        <w:rPr>
          <w:rFonts w:hint="eastAsia" w:ascii="仿宋" w:hAnsi="仿宋" w:eastAsia="仿宋" w:cs="Arial"/>
          <w:color w:val="000000" w:themeColor="text1"/>
          <w:kern w:val="0"/>
          <w:sz w:val="24"/>
          <w:szCs w:val="22"/>
          <w14:textFill>
            <w14:solidFill>
              <w14:schemeClr w14:val="tx1"/>
            </w14:solidFill>
          </w14:textFill>
        </w:rPr>
        <w:t>，由此造成的一切后果由投标供应商自行承担。</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4.4 投标文件的签章</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4.4.1投标文件的签章形式：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spacing w:after="240"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4.4.2《</w:t>
      </w:r>
      <w:r>
        <w:rPr>
          <w:rFonts w:ascii="仿宋" w:hAnsi="仿宋" w:eastAsia="仿宋" w:cs="Arial"/>
          <w:b/>
          <w:color w:val="000000" w:themeColor="text1"/>
          <w:kern w:val="0"/>
          <w:sz w:val="24"/>
          <w14:textFill>
            <w14:solidFill>
              <w14:schemeClr w14:val="tx1"/>
            </w14:solidFill>
          </w14:textFill>
        </w:rPr>
        <w:t>投标文件</w:t>
      </w:r>
      <w:r>
        <w:rPr>
          <w:rFonts w:hint="eastAsia" w:ascii="仿宋" w:hAnsi="仿宋" w:eastAsia="仿宋" w:cs="Arial"/>
          <w:b/>
          <w:color w:val="000000" w:themeColor="text1"/>
          <w:kern w:val="0"/>
          <w:sz w:val="24"/>
          <w14:textFill>
            <w14:solidFill>
              <w14:schemeClr w14:val="tx1"/>
            </w14:solidFill>
          </w14:textFill>
        </w:rPr>
        <w:t>》内容应按</w:t>
      </w:r>
      <w:r>
        <w:rPr>
          <w:rFonts w:hint="eastAsia" w:ascii="仿宋" w:hAnsi="仿宋" w:eastAsia="仿宋" w:cs="Arial"/>
          <w:b/>
          <w:color w:val="000000" w:themeColor="text1"/>
          <w:sz w:val="24"/>
          <w14:textFill>
            <w14:solidFill>
              <w14:schemeClr w14:val="tx1"/>
            </w14:solidFill>
          </w14:textFill>
        </w:rPr>
        <w:t>《第三章 投标须知》规定和</w:t>
      </w:r>
      <w:r>
        <w:rPr>
          <w:rFonts w:hint="eastAsia" w:ascii="仿宋" w:hAnsi="仿宋" w:eastAsia="仿宋" w:cs="Arial"/>
          <w:b/>
          <w:color w:val="000000" w:themeColor="text1"/>
          <w:kern w:val="0"/>
          <w:sz w:val="24"/>
          <w14:textFill>
            <w14:solidFill>
              <w14:schemeClr w14:val="tx1"/>
            </w14:solidFill>
          </w14:textFill>
        </w:rPr>
        <w:t>《第六章 投标文件格式》</w:t>
      </w:r>
      <w:r>
        <w:rPr>
          <w:rFonts w:hint="eastAsia" w:ascii="仿宋" w:hAnsi="仿宋" w:eastAsia="仿宋" w:cs="Arial"/>
          <w:b/>
          <w:color w:val="000000" w:themeColor="text1"/>
          <w:sz w:val="24"/>
          <w14:textFill>
            <w14:solidFill>
              <w14:schemeClr w14:val="tx1"/>
            </w14:solidFill>
          </w14:textFill>
        </w:rPr>
        <w:t>标注的要求进行盖章、签署</w:t>
      </w:r>
      <w:r>
        <w:rPr>
          <w:rFonts w:hint="eastAsia" w:ascii="仿宋" w:hAnsi="仿宋" w:eastAsia="仿宋" w:cs="Arial"/>
          <w:b/>
          <w:color w:val="000000" w:themeColor="text1"/>
          <w:kern w:val="0"/>
          <w:sz w:val="24"/>
          <w14:textFill>
            <w14:solidFill>
              <w14:schemeClr w14:val="tx1"/>
            </w14:solidFill>
          </w14:textFill>
        </w:rPr>
        <w:t>，应签章而未签章的材料视为未提供。请各供应商详细查阅本章第4.3款“投标文件的编制”规定（投标供应商为自然人的，须由自然人本人签字（或盖章），同时提供自然人本人有效身份证明材料，否则视为未提供）。</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4.5 </w:t>
      </w:r>
      <w:r>
        <w:rPr>
          <w:color w:val="000000" w:themeColor="text1"/>
          <w14:textFill>
            <w14:solidFill>
              <w14:schemeClr w14:val="tx1"/>
            </w14:solidFill>
          </w14:textFill>
        </w:rPr>
        <w:t>投标报价</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4.5</w:t>
      </w:r>
      <w:r>
        <w:rPr>
          <w:rFonts w:ascii="仿宋" w:hAnsi="仿宋" w:eastAsia="仿宋" w:cs="Arial"/>
          <w:b/>
          <w:color w:val="000000" w:themeColor="text1"/>
          <w:kern w:val="0"/>
          <w:sz w:val="24"/>
          <w14:textFill>
            <w14:solidFill>
              <w14:schemeClr w14:val="tx1"/>
            </w14:solidFill>
          </w14:textFill>
        </w:rPr>
        <w:t>.1投标报价应按</w:t>
      </w:r>
      <w:r>
        <w:rPr>
          <w:rFonts w:hint="eastAsia" w:ascii="仿宋" w:hAnsi="仿宋" w:eastAsia="仿宋" w:cs="Arial"/>
          <w:b/>
          <w:color w:val="000000" w:themeColor="text1"/>
          <w:kern w:val="0"/>
          <w:sz w:val="24"/>
          <w14:textFill>
            <w14:solidFill>
              <w14:schemeClr w14:val="tx1"/>
            </w14:solidFill>
          </w14:textFill>
        </w:rPr>
        <w:t>《第六章 投标文件格式》</w:t>
      </w:r>
      <w:r>
        <w:rPr>
          <w:rFonts w:ascii="仿宋" w:hAnsi="仿宋" w:eastAsia="仿宋" w:cs="Arial"/>
          <w:b/>
          <w:color w:val="000000" w:themeColor="text1"/>
          <w:kern w:val="0"/>
          <w:sz w:val="24"/>
          <w14:textFill>
            <w14:solidFill>
              <w14:schemeClr w14:val="tx1"/>
            </w14:solidFill>
          </w14:textFill>
        </w:rPr>
        <w:t>中</w:t>
      </w:r>
      <w:r>
        <w:rPr>
          <w:rFonts w:hint="eastAsia" w:ascii="仿宋" w:hAnsi="仿宋" w:eastAsia="仿宋" w:cs="Arial"/>
          <w:b/>
          <w:color w:val="000000" w:themeColor="text1"/>
          <w:kern w:val="0"/>
          <w:sz w:val="24"/>
          <w14:textFill>
            <w14:solidFill>
              <w14:schemeClr w14:val="tx1"/>
            </w14:solidFill>
          </w14:textFill>
        </w:rPr>
        <w:t>提供的</w:t>
      </w:r>
      <w:r>
        <w:rPr>
          <w:rFonts w:ascii="仿宋" w:hAnsi="仿宋" w:eastAsia="仿宋" w:cs="Arial"/>
          <w:b/>
          <w:color w:val="000000" w:themeColor="text1"/>
          <w:kern w:val="0"/>
          <w:sz w:val="24"/>
          <w14:textFill>
            <w14:solidFill>
              <w14:schemeClr w14:val="tx1"/>
            </w14:solidFill>
          </w14:textFill>
        </w:rPr>
        <w:t>相关</w:t>
      </w:r>
      <w:r>
        <w:rPr>
          <w:rFonts w:hint="eastAsia" w:ascii="仿宋" w:hAnsi="仿宋" w:eastAsia="仿宋" w:cs="Arial"/>
          <w:b/>
          <w:color w:val="000000" w:themeColor="text1"/>
          <w:kern w:val="0"/>
          <w:sz w:val="24"/>
          <w14:textFill>
            <w14:solidFill>
              <w14:schemeClr w14:val="tx1"/>
            </w14:solidFill>
          </w14:textFill>
        </w:rPr>
        <w:t>报价</w:t>
      </w:r>
      <w:r>
        <w:rPr>
          <w:rFonts w:ascii="仿宋" w:hAnsi="仿宋" w:eastAsia="仿宋" w:cs="Arial"/>
          <w:b/>
          <w:color w:val="000000" w:themeColor="text1"/>
          <w:kern w:val="0"/>
          <w:sz w:val="24"/>
          <w14:textFill>
            <w14:solidFill>
              <w14:schemeClr w14:val="tx1"/>
            </w14:solidFill>
          </w14:textFill>
        </w:rPr>
        <w:t>格式填写</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4.5.2本项目合同形式：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4.5.3本项目投标报价涵盖范围：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4.5</w:t>
      </w:r>
      <w:r>
        <w:rPr>
          <w:rFonts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4</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针对每个标项</w:t>
      </w:r>
      <w:r>
        <w:rPr>
          <w:rFonts w:ascii="仿宋" w:hAnsi="仿宋" w:eastAsia="仿宋" w:cs="Arial"/>
          <w:b/>
          <w:color w:val="000000" w:themeColor="text1"/>
          <w:kern w:val="0"/>
          <w:sz w:val="24"/>
          <w:u w:val="single"/>
          <w14:textFill>
            <w14:solidFill>
              <w14:schemeClr w14:val="tx1"/>
            </w14:solidFill>
          </w14:textFill>
        </w:rPr>
        <w:t>只允许有一个报价，不接受有选择报价</w:t>
      </w:r>
      <w:r>
        <w:rPr>
          <w:rFonts w:hint="eastAsia" w:ascii="仿宋" w:hAnsi="仿宋" w:eastAsia="仿宋" w:cs="Arial"/>
          <w:b/>
          <w:color w:val="000000" w:themeColor="text1"/>
          <w:kern w:val="0"/>
          <w:sz w:val="24"/>
          <w:u w:val="single"/>
          <w14:textFill>
            <w14:solidFill>
              <w14:schemeClr w14:val="tx1"/>
            </w14:solidFill>
          </w14:textFill>
        </w:rPr>
        <w:t>的投标（作无效标处理）</w:t>
      </w:r>
      <w:r>
        <w:rPr>
          <w:rFonts w:hint="eastAsia" w:ascii="仿宋" w:hAnsi="仿宋" w:eastAsia="仿宋" w:cs="Arial"/>
          <w:b/>
          <w:color w:val="000000" w:themeColor="text1"/>
          <w:kern w:val="0"/>
          <w:sz w:val="24"/>
          <w14:textFill>
            <w14:solidFill>
              <w14:schemeClr w14:val="tx1"/>
            </w14:solidFill>
          </w14:textFill>
        </w:rPr>
        <w:t>。</w:t>
      </w:r>
    </w:p>
    <w:p>
      <w:pPr>
        <w:spacing w:after="240" w:line="360" w:lineRule="auto"/>
        <w:ind w:firstLine="422" w:firstLineChars="176"/>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4.5</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5</w:t>
      </w:r>
      <w:r>
        <w:rPr>
          <w:rFonts w:ascii="仿宋" w:hAnsi="仿宋" w:eastAsia="仿宋" w:cs="Arial"/>
          <w:color w:val="000000" w:themeColor="text1"/>
          <w:kern w:val="0"/>
          <w:sz w:val="24"/>
          <w14:textFill>
            <w14:solidFill>
              <w14:schemeClr w14:val="tx1"/>
            </w14:solidFill>
          </w14:textFill>
        </w:rPr>
        <w:t>最低报价不是中标的保证，</w:t>
      </w:r>
      <w:r>
        <w:rPr>
          <w:rFonts w:hint="eastAsia" w:ascii="仿宋" w:hAnsi="仿宋" w:eastAsia="仿宋" w:cs="Arial"/>
          <w:color w:val="000000" w:themeColor="text1"/>
          <w:kern w:val="0"/>
          <w:sz w:val="24"/>
          <w14:textFill>
            <w14:solidFill>
              <w14:schemeClr w14:val="tx1"/>
            </w14:solidFill>
          </w14:textFill>
        </w:rPr>
        <w:t>采购人及采购代理机构</w:t>
      </w:r>
      <w:r>
        <w:rPr>
          <w:rFonts w:ascii="仿宋" w:hAnsi="仿宋" w:eastAsia="仿宋" w:cs="Arial"/>
          <w:color w:val="000000" w:themeColor="text1"/>
          <w:kern w:val="0"/>
          <w:sz w:val="24"/>
          <w14:textFill>
            <w14:solidFill>
              <w14:schemeClr w14:val="tx1"/>
            </w14:solidFill>
          </w14:textFill>
        </w:rPr>
        <w:t>不作任何落标解释。</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4.6 </w:t>
      </w:r>
      <w:r>
        <w:rPr>
          <w:color w:val="000000" w:themeColor="text1"/>
          <w14:textFill>
            <w14:solidFill>
              <w14:schemeClr w14:val="tx1"/>
            </w14:solidFill>
          </w14:textFill>
        </w:rPr>
        <w:t>投标文件的有效期</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w:t>
      </w:r>
      <w:r>
        <w:rPr>
          <w:rFonts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《投标文件》有效期：</w:t>
      </w:r>
      <w:r>
        <w:rPr>
          <w:rFonts w:hint="eastAsia" w:ascii="仿宋" w:hAnsi="仿宋" w:eastAsia="仿宋" w:cs="Arial"/>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，《投标文件》</w:t>
      </w:r>
      <w:r>
        <w:rPr>
          <w:rFonts w:ascii="仿宋" w:hAnsi="仿宋" w:eastAsia="仿宋" w:cs="Arial"/>
          <w:b/>
          <w:color w:val="000000" w:themeColor="text1"/>
          <w:kern w:val="0"/>
          <w:sz w:val="24"/>
          <w14:textFill>
            <w14:solidFill>
              <w14:schemeClr w14:val="tx1"/>
            </w14:solidFill>
          </w14:textFill>
        </w:rPr>
        <w:t>有效期</w:t>
      </w:r>
      <w:r>
        <w:rPr>
          <w:rFonts w:hint="eastAsia" w:ascii="仿宋" w:hAnsi="仿宋" w:eastAsia="仿宋" w:cs="Arial"/>
          <w:b/>
          <w:color w:val="000000" w:themeColor="text1"/>
          <w:kern w:val="0"/>
          <w:sz w:val="24"/>
          <w14:textFill>
            <w14:solidFill>
              <w14:schemeClr w14:val="tx1"/>
            </w14:solidFill>
          </w14:textFill>
        </w:rPr>
        <w:t>少</w:t>
      </w:r>
      <w:r>
        <w:rPr>
          <w:rFonts w:ascii="仿宋" w:hAnsi="仿宋" w:eastAsia="仿宋" w:cs="Arial"/>
          <w:b/>
          <w:color w:val="000000" w:themeColor="text1"/>
          <w:kern w:val="0"/>
          <w:sz w:val="24"/>
          <w14:textFill>
            <w14:solidFill>
              <w14:schemeClr w14:val="tx1"/>
            </w14:solidFill>
          </w14:textFill>
        </w:rPr>
        <w:t>于这个规定期限的投标将</w:t>
      </w:r>
      <w:r>
        <w:rPr>
          <w:rFonts w:hint="eastAsia" w:ascii="仿宋" w:hAnsi="仿宋" w:eastAsia="仿宋" w:cs="Arial"/>
          <w:b/>
          <w:color w:val="000000" w:themeColor="text1"/>
          <w:kern w:val="0"/>
          <w:sz w:val="24"/>
          <w14:textFill>
            <w14:solidFill>
              <w14:schemeClr w14:val="tx1"/>
            </w14:solidFill>
          </w14:textFill>
        </w:rPr>
        <w:t>作无效标处理。</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.2在特殊情况下，</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人可与投标供应商协商延长《投标文件》的有效期，</w:t>
      </w:r>
      <w:r>
        <w:rPr>
          <w:rFonts w:hint="eastAsia" w:ascii="仿宋" w:hAnsi="仿宋" w:eastAsia="仿宋" w:cs="Arial"/>
          <w:color w:val="000000" w:themeColor="text1"/>
          <w:kern w:val="0"/>
          <w:sz w:val="24"/>
          <w14:textFill>
            <w14:solidFill>
              <w14:schemeClr w14:val="tx1"/>
            </w14:solidFill>
          </w14:textFill>
        </w:rPr>
        <w:t>协商过程</w:t>
      </w:r>
      <w:r>
        <w:rPr>
          <w:rFonts w:ascii="仿宋" w:hAnsi="仿宋" w:eastAsia="仿宋" w:cs="Arial"/>
          <w:color w:val="000000" w:themeColor="text1"/>
          <w:kern w:val="0"/>
          <w:sz w:val="24"/>
          <w14:textFill>
            <w14:solidFill>
              <w14:schemeClr w14:val="tx1"/>
            </w14:solidFill>
          </w14:textFill>
        </w:rPr>
        <w:t>以书面形式进行</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.3投标供应商可拒绝接受延期要求</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同意延长有效期的投标供应商不能修改《投标文件》</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.4中标供应商</w:t>
      </w:r>
      <w:r>
        <w:rPr>
          <w:rFonts w:hint="eastAsia" w:ascii="仿宋" w:hAnsi="仿宋" w:eastAsia="仿宋" w:cs="Arial"/>
          <w:color w:val="000000" w:themeColor="text1"/>
          <w:kern w:val="0"/>
          <w:sz w:val="24"/>
          <w14:textFill>
            <w14:solidFill>
              <w14:schemeClr w14:val="tx1"/>
            </w14:solidFill>
          </w14:textFill>
        </w:rPr>
        <w:t>的</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作为合同组成部分，其有效期自动延长至</w:t>
      </w:r>
      <w:r>
        <w:rPr>
          <w:rFonts w:ascii="仿宋" w:hAnsi="仿宋" w:eastAsia="仿宋" w:cs="Arial"/>
          <w:color w:val="000000" w:themeColor="text1"/>
          <w:kern w:val="0"/>
          <w:sz w:val="24"/>
          <w14:textFill>
            <w14:solidFill>
              <w14:schemeClr w14:val="tx1"/>
            </w14:solidFill>
          </w14:textFill>
        </w:rPr>
        <w:t>合同履行完毕止</w:t>
      </w:r>
      <w:r>
        <w:rPr>
          <w:rFonts w:hint="eastAsia" w:ascii="仿宋" w:hAnsi="仿宋" w:eastAsia="仿宋" w:cs="Arial"/>
          <w:color w:val="000000" w:themeColor="text1"/>
          <w:kern w:val="0"/>
          <w:sz w:val="24"/>
          <w14:textFill>
            <w14:solidFill>
              <w14:schemeClr w14:val="tx1"/>
            </w14:solidFill>
          </w14:textFill>
        </w:rPr>
        <w:t>。</w:t>
      </w:r>
    </w:p>
    <w:p>
      <w:pPr>
        <w:spacing w:after="240" w:line="360" w:lineRule="auto"/>
        <w:ind w:firstLine="422"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4.6.5投标供应商在《投标文件》有效期内强行撤回（撤销）其投标文件的，须</w:t>
      </w:r>
      <w:r>
        <w:rPr>
          <w:rFonts w:hint="eastAsia" w:ascii="仿宋" w:hAnsi="仿宋" w:eastAsia="仿宋"/>
          <w:b/>
          <w:color w:val="000000" w:themeColor="text1"/>
          <w:sz w:val="24"/>
          <w14:textFill>
            <w14:solidFill>
              <w14:schemeClr w14:val="tx1"/>
            </w14:solidFill>
          </w14:textFill>
        </w:rPr>
        <w:t>按采购预算金额的</w:t>
      </w:r>
      <w:r>
        <w:rPr>
          <w:rFonts w:ascii="仿宋" w:hAnsi="仿宋" w:eastAsia="仿宋"/>
          <w:b/>
          <w:color w:val="000000" w:themeColor="text1"/>
          <w:sz w:val="24"/>
          <w:u w:val="single"/>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%进行赔偿（赔偿金额不足叁万的按叁万计），以弥补因其</w:t>
      </w:r>
      <w:r>
        <w:rPr>
          <w:rFonts w:hint="eastAsia" w:ascii="仿宋" w:hAnsi="仿宋" w:eastAsia="仿宋" w:cs="Arial"/>
          <w:b/>
          <w:color w:val="000000" w:themeColor="text1"/>
          <w:kern w:val="0"/>
          <w:sz w:val="24"/>
          <w14:textFill>
            <w14:solidFill>
              <w14:schemeClr w14:val="tx1"/>
            </w14:solidFill>
          </w14:textFill>
        </w:rPr>
        <w:t>撤回（撤销）</w:t>
      </w:r>
      <w:r>
        <w:rPr>
          <w:rFonts w:hint="eastAsia" w:ascii="仿宋" w:hAnsi="仿宋" w:eastAsia="仿宋"/>
          <w:b/>
          <w:color w:val="000000" w:themeColor="text1"/>
          <w:sz w:val="24"/>
          <w14:textFill>
            <w14:solidFill>
              <w14:schemeClr w14:val="tx1"/>
            </w14:solidFill>
          </w14:textFill>
        </w:rPr>
        <w:t>投标文件给采购人、采购代理机构造成的损失，同时采购组织机构将视情对其失信行为上报至同级政府采购监督管理部门依法处理。</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4.7 备份投标文件</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4.7.1备份投标文件的约定：</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4.7.2备份投标文件的编制：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4.7.3备份投标文件的存储、份数、密封包装、标识、递交与接收</w:t>
      </w:r>
    </w:p>
    <w:p>
      <w:pPr>
        <w:spacing w:line="360" w:lineRule="auto"/>
        <w:ind w:firstLine="424" w:firstLineChars="17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（1）存储：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pPr>
        <w:spacing w:line="360" w:lineRule="auto"/>
        <w:ind w:firstLine="424" w:firstLineChars="17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（2）份数：</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（3）密封包装、标识：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u w:val="single"/>
          <w14:textFill>
            <w14:solidFill>
              <w14:schemeClr w14:val="tx1"/>
            </w14:solidFill>
          </w14:textFill>
        </w:rPr>
        <w:t>备份投标文件没有密封包装或</w:t>
      </w:r>
      <w:r>
        <w:rPr>
          <w:rFonts w:hint="eastAsia" w:ascii="仿宋" w:hAnsi="仿宋" w:eastAsia="仿宋" w:cs="Arial"/>
          <w:b/>
          <w:color w:val="000000" w:themeColor="text1"/>
          <w:sz w:val="24"/>
          <w:u w:val="single"/>
          <w14:textFill>
            <w14:solidFill>
              <w14:schemeClr w14:val="tx1"/>
            </w14:solidFill>
          </w14:textFill>
        </w:rPr>
        <w:t>标识或盖章</w:t>
      </w:r>
      <w:r>
        <w:rPr>
          <w:rFonts w:hint="eastAsia" w:ascii="仿宋" w:hAnsi="仿宋" w:eastAsia="仿宋"/>
          <w:b/>
          <w:color w:val="000000" w:themeColor="text1"/>
          <w:sz w:val="24"/>
          <w:u w:val="single"/>
          <w14:textFill>
            <w14:solidFill>
              <w14:schemeClr w14:val="tx1"/>
            </w14:solidFill>
          </w14:textFill>
        </w:rPr>
        <w:t>的</w:t>
      </w:r>
      <w:r>
        <w:rPr>
          <w:rFonts w:hint="eastAsia" w:ascii="仿宋" w:hAnsi="仿宋" w:eastAsia="仿宋" w:cs="Arial"/>
          <w:b/>
          <w:color w:val="000000" w:themeColor="text1"/>
          <w:sz w:val="24"/>
          <w:u w:val="single"/>
          <w14:textFill>
            <w14:solidFill>
              <w14:schemeClr w14:val="tx1"/>
            </w14:solidFill>
          </w14:textFill>
        </w:rPr>
        <w:t>视为未递交</w:t>
      </w:r>
      <w:r>
        <w:rPr>
          <w:rFonts w:hint="eastAsia" w:ascii="仿宋" w:hAnsi="仿宋" w:eastAsia="仿宋"/>
          <w:b/>
          <w:color w:val="000000" w:themeColor="text1"/>
          <w:sz w:val="24"/>
          <w14:textFill>
            <w14:solidFill>
              <w14:schemeClr w14:val="tx1"/>
            </w14:solidFill>
          </w14:textFill>
        </w:rPr>
        <w:t>。</w:t>
      </w:r>
    </w:p>
    <w:p>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s="Arial"/>
          <w:b/>
          <w:color w:val="000000" w:themeColor="text1"/>
          <w:sz w:val="24"/>
          <w14:textFill>
            <w14:solidFill>
              <w14:schemeClr w14:val="tx1"/>
            </w14:solidFill>
          </w14:textFill>
        </w:rPr>
        <w:t>递交与接收：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u w:val="single"/>
          <w14:textFill>
            <w14:solidFill>
              <w14:schemeClr w14:val="tx1"/>
            </w14:solidFill>
          </w14:textFill>
        </w:rPr>
        <w:t>备份投标文件逾期送达的视为未递交</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4.7.4备份投标文件的使用与失效</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合格的备份投标文件在电子加密“投标文件”解密异常时拆封、使用，电子加密“投标文件”正常解密的备份投标文件自动失效，不再拆封、使用。</w:t>
      </w:r>
      <w:r>
        <w:rPr>
          <w:rFonts w:hint="eastAsia" w:ascii="仿宋" w:hAnsi="仿宋" w:eastAsia="仿宋"/>
          <w:b/>
          <w:color w:val="000000" w:themeColor="text1"/>
          <w:sz w:val="24"/>
          <w14:textFill>
            <w14:solidFill>
              <w14:schemeClr w14:val="tx1"/>
            </w14:solidFill>
          </w14:textFill>
        </w:rPr>
        <w:t>“投标文件解密异常情况处理”办法见《投标须知前附表》。</w:t>
      </w:r>
    </w:p>
    <w:p>
      <w:pPr>
        <w:spacing w:after="240"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4.7.5“备份投标文件”与电子加密的“投标文件”同时生成，不属于投标备选（替代）方案。</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4.8 投标样品</w:t>
      </w:r>
    </w:p>
    <w:p>
      <w:pPr>
        <w:pStyle w:val="8"/>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4.8.1投标样品名称、数量、制作标准、检测报告：</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pPr>
        <w:pStyle w:val="8"/>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4.8.2《投标须知前附表》规定提交投标样品的，补充说明如下：</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（1）样品用途：</w:t>
      </w:r>
      <w:r>
        <w:rPr>
          <w:rFonts w:hint="eastAsia" w:ascii="仿宋" w:hAnsi="仿宋" w:eastAsia="仿宋"/>
          <w:b/>
          <w:color w:val="000000" w:themeColor="text1"/>
          <w:sz w:val="24"/>
          <w14:textFill>
            <w14:solidFill>
              <w14:schemeClr w14:val="tx1"/>
            </w14:solidFill>
          </w14:textFill>
        </w:rPr>
        <w:t>更加直观、准确的评价各供应商所投产品技术指标、功能与采购需求的符合性；</w:t>
      </w:r>
    </w:p>
    <w:p>
      <w:pPr>
        <w:spacing w:line="360" w:lineRule="auto"/>
        <w:ind w:firstLine="424"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投标样品的</w:t>
      </w:r>
      <w:r>
        <w:rPr>
          <w:rFonts w:hint="eastAsia" w:ascii="仿宋" w:hAnsi="仿宋" w:eastAsia="仿宋" w:cs="Arial"/>
          <w:b/>
          <w:color w:val="000000" w:themeColor="text1"/>
          <w:sz w:val="24"/>
          <w:szCs w:val="22"/>
          <w14:textFill>
            <w14:solidFill>
              <w14:schemeClr w14:val="tx1"/>
            </w14:solidFill>
          </w14:textFill>
        </w:rPr>
        <w:t>递交</w:t>
      </w:r>
      <w:r>
        <w:rPr>
          <w:rFonts w:ascii="仿宋" w:hAnsi="仿宋" w:eastAsia="仿宋" w:cs="Arial"/>
          <w:b/>
          <w:color w:val="000000" w:themeColor="text1"/>
          <w:sz w:val="24"/>
          <w:szCs w:val="22"/>
          <w14:textFill>
            <w14:solidFill>
              <w14:schemeClr w14:val="tx1"/>
            </w14:solidFill>
          </w14:textFill>
        </w:rPr>
        <w:t>：</w:t>
      </w:r>
      <w:r>
        <w:rPr>
          <w:rFonts w:ascii="仿宋" w:hAnsi="仿宋" w:eastAsia="仿宋" w:cs="Arial"/>
          <w:color w:val="000000" w:themeColor="text1"/>
          <w:sz w:val="24"/>
          <w:szCs w:val="22"/>
          <w14:textFill>
            <w14:solidFill>
              <w14:schemeClr w14:val="tx1"/>
            </w14:solidFill>
          </w14:textFill>
        </w:rPr>
        <w:t>投标截止时间前</w:t>
      </w:r>
      <w:r>
        <w:rPr>
          <w:rFonts w:hint="eastAsia" w:ascii="仿宋" w:hAnsi="仿宋" w:eastAsia="仿宋" w:cs="Arial"/>
          <w:color w:val="000000" w:themeColor="text1"/>
          <w:sz w:val="24"/>
          <w:szCs w:val="22"/>
          <w14:textFill>
            <w14:solidFill>
              <w14:schemeClr w14:val="tx1"/>
            </w14:solidFill>
          </w14:textFill>
        </w:rPr>
        <w:t>递交至</w:t>
      </w:r>
      <w:r>
        <w:rPr>
          <w:rFonts w:hint="eastAsia" w:ascii="仿宋" w:hAnsi="仿宋" w:eastAsia="仿宋" w:cs="Arial"/>
          <w:b/>
          <w:color w:val="000000" w:themeColor="text1"/>
          <w:sz w:val="24"/>
          <w:szCs w:val="22"/>
          <w:u w:val="single"/>
          <w14:textFill>
            <w14:solidFill>
              <w14:schemeClr w14:val="tx1"/>
            </w14:solidFill>
          </w14:textFill>
        </w:rPr>
        <w:t>杭州市文晖路42号现代置业大厦西楼17楼开标室</w:t>
      </w:r>
      <w:r>
        <w:rPr>
          <w:rFonts w:hint="eastAsia" w:ascii="仿宋" w:hAnsi="仿宋" w:eastAsia="仿宋" w:cs="Arial"/>
          <w:color w:val="000000" w:themeColor="text1"/>
          <w:sz w:val="24"/>
          <w:szCs w:val="22"/>
          <w14:textFill>
            <w14:solidFill>
              <w14:schemeClr w14:val="tx1"/>
            </w14:solidFill>
          </w14:textFill>
        </w:rPr>
        <w:t>，逾期递交的投标样品将被拒收，联系人：张柳霞18958055955</w:t>
      </w:r>
      <w:r>
        <w:rPr>
          <w:rFonts w:ascii="仿宋" w:hAnsi="仿宋" w:eastAsia="仿宋" w:cs="Arial"/>
          <w:color w:val="000000" w:themeColor="text1"/>
          <w:sz w:val="24"/>
          <w:szCs w:val="22"/>
          <w14:textFill>
            <w14:solidFill>
              <w14:schemeClr w14:val="tx1"/>
            </w14:solidFill>
          </w14:textFill>
        </w:rPr>
        <w:t>；</w:t>
      </w:r>
    </w:p>
    <w:p>
      <w:pPr>
        <w:spacing w:line="360" w:lineRule="auto"/>
        <w:ind w:firstLine="424"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w:t>
      </w:r>
      <w:r>
        <w:rPr>
          <w:rFonts w:ascii="仿宋" w:hAnsi="仿宋" w:eastAsia="仿宋" w:cs="Arial"/>
          <w:b/>
          <w:color w:val="000000" w:themeColor="text1"/>
          <w:sz w:val="24"/>
          <w:szCs w:val="22"/>
          <w14:textFill>
            <w14:solidFill>
              <w14:schemeClr w14:val="tx1"/>
            </w14:solidFill>
          </w14:textFill>
        </w:rPr>
        <w:t>投标样品的标识：</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应在投标样品上标注投标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名称、</w:t>
      </w:r>
      <w:r>
        <w:rPr>
          <w:rFonts w:hint="eastAsia" w:ascii="仿宋" w:hAnsi="仿宋" w:eastAsia="仿宋" w:cs="Arial"/>
          <w:color w:val="000000" w:themeColor="text1"/>
          <w:sz w:val="24"/>
          <w:szCs w:val="22"/>
          <w14:textFill>
            <w14:solidFill>
              <w14:schemeClr w14:val="tx1"/>
            </w14:solidFill>
          </w14:textFill>
        </w:rPr>
        <w:t>产品</w:t>
      </w:r>
      <w:r>
        <w:rPr>
          <w:rFonts w:ascii="仿宋" w:hAnsi="仿宋" w:eastAsia="仿宋" w:cs="Arial"/>
          <w:color w:val="000000" w:themeColor="text1"/>
          <w:sz w:val="24"/>
          <w:szCs w:val="22"/>
          <w14:textFill>
            <w14:solidFill>
              <w14:schemeClr w14:val="tx1"/>
            </w14:solidFill>
          </w14:textFill>
        </w:rPr>
        <w:t>规格型号等信息</w:t>
      </w:r>
      <w:r>
        <w:rPr>
          <w:rFonts w:hint="eastAsia" w:ascii="仿宋" w:hAnsi="仿宋" w:eastAsia="仿宋" w:cs="Arial"/>
          <w:color w:val="000000" w:themeColor="text1"/>
          <w:sz w:val="24"/>
          <w:szCs w:val="22"/>
          <w14:textFill>
            <w14:solidFill>
              <w14:schemeClr w14:val="tx1"/>
            </w14:solidFill>
          </w14:textFill>
        </w:rPr>
        <w:t>，否则因此导致漏评、错评而产生的后果由投标供应商自行负责。</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供应商应将投标样品妥善包装，否则一切损失由投标供应商自行承担。</w:t>
      </w:r>
    </w:p>
    <w:p>
      <w:pPr>
        <w:pStyle w:val="8"/>
        <w:ind w:firstLine="426"/>
        <w:rPr>
          <w:b/>
          <w:color w:val="000000" w:themeColor="text1"/>
          <w14:textFill>
            <w14:solidFill>
              <w14:schemeClr w14:val="tx1"/>
            </w14:solidFill>
          </w14:textFill>
        </w:rPr>
      </w:pPr>
      <w:r>
        <w:rPr>
          <w:rFonts w:hint="eastAsia" w:cs="Arial"/>
          <w:b/>
          <w:color w:val="000000" w:themeColor="text1"/>
          <w:szCs w:val="22"/>
          <w14:textFill>
            <w14:solidFill>
              <w14:schemeClr w14:val="tx1"/>
            </w14:solidFill>
          </w14:textFill>
        </w:rPr>
        <w:t>（4）</w:t>
      </w:r>
      <w:r>
        <w:rPr>
          <w:rFonts w:hint="eastAsia"/>
          <w:b/>
          <w:color w:val="000000" w:themeColor="text1"/>
          <w14:textFill>
            <w14:solidFill>
              <w14:schemeClr w14:val="tx1"/>
            </w14:solidFill>
          </w14:textFill>
        </w:rPr>
        <w:t>中标供应商的投标样品由采购人封存，作为合同验收的依据之一，未中标的供应商的投标样品在评审结束后24小时内由各供应商自行取回，否则采购组织机构有权自行处理。</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4.9方案讲解（系统演示）</w:t>
      </w:r>
    </w:p>
    <w:p>
      <w:pPr>
        <w:pStyle w:val="8"/>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4.9.1方案讲解（系统演示）约定：</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pPr>
        <w:pStyle w:val="8"/>
        <w:rPr>
          <w:b/>
          <w:color w:val="000000" w:themeColor="text1"/>
          <w14:textFill>
            <w14:solidFill>
              <w14:schemeClr w14:val="tx1"/>
            </w14:solidFill>
          </w14:textFill>
        </w:rPr>
      </w:pPr>
      <w:r>
        <w:rPr>
          <w:rFonts w:hint="eastAsia"/>
        </w:rPr>
        <w:t>4.9.2</w:t>
      </w:r>
      <w:r>
        <w:rPr>
          <w:rFonts w:hint="eastAsia"/>
          <w:color w:val="000000" w:themeColor="text1"/>
          <w:kern w:val="0"/>
          <w14:textFill>
            <w14:solidFill>
              <w14:schemeClr w14:val="tx1"/>
            </w14:solidFill>
          </w14:textFill>
        </w:rPr>
        <w:t>因投标人自身原因导致无法演示或者演示效果不理想的，责任自负。因平台原因导致本项目方案讲解演示环节无法顺利开展，按照《浙江省政府采购项目电子交易管理暂行办法》相关规定执行。</w:t>
      </w:r>
    </w:p>
    <w:p>
      <w:pPr>
        <w:pStyle w:val="3"/>
        <w:rPr>
          <w:color w:val="000000" w:themeColor="text1"/>
          <w14:textFill>
            <w14:solidFill>
              <w14:schemeClr w14:val="tx1"/>
            </w14:solidFill>
          </w14:textFill>
        </w:rPr>
      </w:pPr>
      <w:bookmarkStart w:id="70" w:name="_Toc4277"/>
      <w:bookmarkStart w:id="71" w:name="_Toc1040"/>
      <w:bookmarkStart w:id="72" w:name="_Toc31426"/>
      <w:bookmarkStart w:id="73" w:name="_Toc23776"/>
      <w:r>
        <w:rPr>
          <w:rFonts w:hint="eastAsia"/>
          <w:color w:val="000000" w:themeColor="text1"/>
          <w14:textFill>
            <w14:solidFill>
              <w14:schemeClr w14:val="tx1"/>
            </w14:solidFill>
          </w14:textFill>
        </w:rPr>
        <w:t>五、投标</w:t>
      </w:r>
      <w:bookmarkEnd w:id="70"/>
      <w:bookmarkEnd w:id="71"/>
      <w:bookmarkEnd w:id="72"/>
      <w:bookmarkEnd w:id="73"/>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5.1 投标截止时间</w:t>
      </w:r>
    </w:p>
    <w:p>
      <w:pPr>
        <w:spacing w:after="240"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5.1.1投标截止时间：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5.2 投标地点</w:t>
      </w:r>
    </w:p>
    <w:p>
      <w:pPr>
        <w:spacing w:after="240" w:line="360" w:lineRule="auto"/>
        <w:ind w:firstLine="426" w:firstLineChars="177"/>
        <w:rPr>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5.2.1投标地点（投标文件递交地点）：</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5.3 投标文件的传输递交</w:t>
      </w:r>
    </w:p>
    <w:p>
      <w:pPr>
        <w:spacing w:after="240"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5.3.1电子加密“投标文件”的传输递交：</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5.4 投标文件的补充、修改或撤回</w:t>
      </w:r>
    </w:p>
    <w:p>
      <w:pPr>
        <w:spacing w:line="360" w:lineRule="auto"/>
        <w:ind w:firstLine="426"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Pr>
          <w:rFonts w:hint="eastAsia" w:ascii="仿宋" w:hAnsi="仿宋" w:eastAsia="仿宋" w:cs="Arial"/>
          <w:b/>
          <w:color w:val="000000" w:themeColor="text1"/>
          <w:kern w:val="0"/>
          <w:sz w:val="24"/>
          <w:u w:val="single"/>
          <w14:textFill>
            <w14:solidFill>
              <w14:schemeClr w14:val="tx1"/>
            </w14:solidFill>
          </w14:textFill>
        </w:rPr>
        <w:t>投标截止时间后传输递交的投标文件，“政府采购云平台”将予以拒收</w:t>
      </w:r>
      <w:r>
        <w:rPr>
          <w:rFonts w:hint="eastAsia" w:ascii="仿宋" w:hAnsi="仿宋" w:eastAsia="仿宋" w:cs="Arial"/>
          <w:b/>
          <w:color w:val="000000" w:themeColor="text1"/>
          <w:kern w:val="0"/>
          <w:sz w:val="24"/>
          <w14:textFill>
            <w14:solidFill>
              <w14:schemeClr w14:val="tx1"/>
            </w14:solidFill>
          </w14:textFill>
        </w:rPr>
        <w:t>。</w:t>
      </w:r>
    </w:p>
    <w:p>
      <w:pPr>
        <w:spacing w:after="240"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5.4.2</w:t>
      </w:r>
      <w:r>
        <w:rPr>
          <w:rFonts w:ascii="仿宋" w:hAnsi="仿宋" w:eastAsia="仿宋" w:cs="Arial"/>
          <w:b/>
          <w:color w:val="000000" w:themeColor="text1"/>
          <w:kern w:val="0"/>
          <w:sz w:val="24"/>
          <w14:textFill>
            <w14:solidFill>
              <w14:schemeClr w14:val="tx1"/>
            </w14:solidFill>
          </w14:textFill>
        </w:rPr>
        <w:t>投标截止时间后，供应商不得</w:t>
      </w:r>
      <w:r>
        <w:rPr>
          <w:rFonts w:hint="eastAsia" w:ascii="仿宋" w:hAnsi="仿宋" w:eastAsia="仿宋" w:cs="Arial"/>
          <w:b/>
          <w:color w:val="000000" w:themeColor="text1"/>
          <w:kern w:val="0"/>
          <w:sz w:val="24"/>
          <w14:textFill>
            <w14:solidFill>
              <w14:schemeClr w14:val="tx1"/>
            </w14:solidFill>
          </w14:textFill>
        </w:rPr>
        <w:t>对投标文件进行补充、修改或撤回。</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5.5 投标文件的备选方案</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5.5.1</w:t>
      </w:r>
      <w:r>
        <w:rPr>
          <w:rFonts w:hint="eastAsia" w:ascii="仿宋" w:hAnsi="仿宋" w:eastAsia="仿宋"/>
          <w:b/>
          <w:color w:val="000000" w:themeColor="text1"/>
          <w:sz w:val="24"/>
          <w:u w:val="single"/>
          <w14:textFill>
            <w14:solidFill>
              <w14:schemeClr w14:val="tx1"/>
            </w14:solidFill>
          </w14:textFill>
        </w:rPr>
        <w:t>投标供应商不得递交任何的</w:t>
      </w:r>
      <w:r>
        <w:rPr>
          <w:rFonts w:ascii="仿宋" w:hAnsi="仿宋" w:eastAsia="仿宋" w:cs="Arial"/>
          <w:b/>
          <w:color w:val="000000" w:themeColor="text1"/>
          <w:kern w:val="0"/>
          <w:sz w:val="24"/>
          <w:u w:val="single"/>
          <w14:textFill>
            <w14:solidFill>
              <w14:schemeClr w14:val="tx1"/>
            </w14:solidFill>
          </w14:textFill>
        </w:rPr>
        <w:t>投标备选（替代）方案</w:t>
      </w:r>
      <w:r>
        <w:rPr>
          <w:rFonts w:hint="eastAsia" w:ascii="仿宋" w:hAnsi="仿宋" w:eastAsia="仿宋"/>
          <w:b/>
          <w:color w:val="000000" w:themeColor="text1"/>
          <w:sz w:val="24"/>
          <w:u w:val="single"/>
          <w14:textFill>
            <w14:solidFill>
              <w14:schemeClr w14:val="tx1"/>
            </w14:solidFill>
          </w14:textFill>
        </w:rPr>
        <w:t>，否则作无效标处理</w:t>
      </w:r>
      <w:r>
        <w:rPr>
          <w:rFonts w:hint="eastAsia" w:ascii="仿宋" w:hAnsi="仿宋" w:eastAsia="仿宋"/>
          <w:b/>
          <w:color w:val="000000" w:themeColor="text1"/>
          <w:sz w:val="24"/>
          <w14:textFill>
            <w14:solidFill>
              <w14:schemeClr w14:val="tx1"/>
            </w14:solidFill>
          </w14:textFill>
        </w:rPr>
        <w:t>。</w:t>
      </w:r>
    </w:p>
    <w:p>
      <w:pPr>
        <w:spacing w:after="240"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5.5.2与“电子加密投标文件”同时生成的“备份投标文件”不是投标备选（替代）方案。</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5.6 投标供应商不足法定数量的处理</w:t>
      </w:r>
    </w:p>
    <w:p>
      <w:pPr>
        <w:pStyle w:val="195"/>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5.6.1公开招标数额标准以上的采购项目，到投标截止时间止，若某个标项成功解密（备份投标文件成功上传的视为成功解密）《投标文件》的供应商少于三家的，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pPr>
        <w:pStyle w:val="195"/>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（1）不再进行开标，</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pPr>
        <w:pStyle w:val="3"/>
        <w:rPr>
          <w:color w:val="000000" w:themeColor="text1"/>
          <w14:textFill>
            <w14:solidFill>
              <w14:schemeClr w14:val="tx1"/>
            </w14:solidFill>
          </w14:textFill>
        </w:rPr>
      </w:pPr>
      <w:bookmarkStart w:id="74" w:name="_Toc264"/>
      <w:bookmarkStart w:id="75" w:name="_Toc4021"/>
      <w:bookmarkStart w:id="76" w:name="_Toc9609"/>
      <w:bookmarkStart w:id="77" w:name="_Toc2748"/>
      <w:r>
        <w:rPr>
          <w:rFonts w:hint="eastAsia"/>
          <w:color w:val="000000" w:themeColor="text1"/>
          <w14:textFill>
            <w14:solidFill>
              <w14:schemeClr w14:val="tx1"/>
            </w14:solidFill>
          </w14:textFill>
        </w:rPr>
        <w:t>六、开标</w:t>
      </w:r>
      <w:bookmarkEnd w:id="74"/>
      <w:bookmarkEnd w:id="75"/>
      <w:bookmarkEnd w:id="76"/>
      <w:bookmarkEnd w:id="77"/>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6.1 开标时间、地点</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6.1.1开标时间：</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pPr>
        <w:spacing w:after="240"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6.1.2开标地点：</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组织与邀请</w:t>
      </w:r>
    </w:p>
    <w:p>
      <w:pPr>
        <w:spacing w:line="360" w:lineRule="auto"/>
        <w:ind w:firstLine="424"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6.2.1开标组织：</w:t>
      </w:r>
      <w:r>
        <w:rPr>
          <w:rFonts w:hint="eastAsia" w:ascii="仿宋" w:hAnsi="仿宋" w:eastAsia="仿宋" w:cs="Arial"/>
          <w:color w:val="000000" w:themeColor="text1"/>
          <w:kern w:val="0"/>
          <w:sz w:val="24"/>
          <w:szCs w:val="22"/>
          <w14:textFill>
            <w14:solidFill>
              <w14:schemeClr w14:val="tx1"/>
            </w14:solidFill>
          </w14:textFill>
        </w:rPr>
        <w:t>本项目开标现场活动由采购代理机构组织实施，准备工作由采购代理机构负责落实，开标过程由采购代理机构负责记录，开标现场由采购代理机构人员主持。</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6.2.2开标邀请：</w:t>
      </w:r>
      <w:r>
        <w:rPr>
          <w:rFonts w:hint="eastAsia" w:ascii="仿宋" w:hAnsi="仿宋" w:eastAsia="仿宋" w:cs="Arial"/>
          <w:color w:val="000000" w:themeColor="text1"/>
          <w:kern w:val="0"/>
          <w:sz w:val="24"/>
          <w:szCs w:val="22"/>
          <w14:textFill>
            <w14:solidFill>
              <w14:schemeClr w14:val="tx1"/>
            </w14:solidFill>
          </w14:textFill>
        </w:rPr>
        <w:t>本项目采用电子交易，采购代理机构将按照采购文件规定的开标时间在“政府采购云平台，网址：</w:t>
      </w:r>
      <w:r>
        <w:fldChar w:fldCharType="begin"/>
      </w:r>
      <w:r>
        <w:instrText xml:space="preserve"> HYPERLINK "http://www.zcygov.cn" </w:instrText>
      </w:r>
      <w:r>
        <w:fldChar w:fldCharType="separate"/>
      </w:r>
      <w:r>
        <w:rPr>
          <w:rFonts w:hint="eastAsia" w:ascii="仿宋" w:hAnsi="仿宋" w:eastAsia="仿宋" w:cs="Arial"/>
          <w:color w:val="000000" w:themeColor="text1"/>
          <w:kern w:val="0"/>
          <w:sz w:val="24"/>
          <w:szCs w:val="22"/>
          <w14:textFill>
            <w14:solidFill>
              <w14:schemeClr w14:val="tx1"/>
            </w14:solidFill>
          </w14:textFill>
        </w:rPr>
        <w:t>www.zcygov.cn</w:t>
      </w:r>
      <w:r>
        <w:rPr>
          <w:rFonts w:hint="eastAsia" w:ascii="仿宋" w:hAnsi="仿宋" w:eastAsia="仿宋" w:cs="Arial"/>
          <w:color w:val="000000" w:themeColor="text1"/>
          <w:kern w:val="0"/>
          <w:sz w:val="24"/>
          <w:szCs w:val="22"/>
          <w14:textFill>
            <w14:solidFill>
              <w14:schemeClr w14:val="tx1"/>
            </w14:solidFill>
          </w14:textFill>
        </w:rPr>
        <w:fldChar w:fldCharType="end"/>
      </w:r>
      <w:r>
        <w:rPr>
          <w:rFonts w:hint="eastAsia" w:ascii="仿宋" w:hAnsi="仿宋" w:eastAsia="仿宋" w:cs="Arial"/>
          <w:color w:val="000000" w:themeColor="text1"/>
          <w:kern w:val="0"/>
          <w:sz w:val="24"/>
          <w:szCs w:val="22"/>
          <w14:textFill>
            <w14:solidFill>
              <w14:schemeClr w14:val="tx1"/>
            </w14:solidFill>
          </w14:textFill>
        </w:rPr>
        <w:t>”组织开标、开启投标文件，所有供应商均应当准时在线参加。</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6.2.3投标文件开启顺序：</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000000" w:themeColor="text1"/>
          <w:kern w:val="0"/>
          <w:sz w:val="24"/>
          <w:szCs w:val="22"/>
          <w14:textFill>
            <w14:solidFill>
              <w14:schemeClr w14:val="tx1"/>
            </w14:solidFill>
          </w14:textFill>
        </w:rPr>
        <w:t>。</w:t>
      </w:r>
    </w:p>
    <w:p>
      <w:pPr>
        <w:spacing w:after="240"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6.2.5特别说明：</w:t>
      </w:r>
      <w:r>
        <w:rPr>
          <w:rFonts w:hint="eastAsia" w:ascii="仿宋" w:hAnsi="仿宋" w:eastAsia="仿宋" w:cs="Arial"/>
          <w:color w:val="000000" w:themeColor="text1"/>
          <w:kern w:val="0"/>
          <w:sz w:val="24"/>
          <w:szCs w:val="22"/>
          <w14:textFill>
            <w14:solidFill>
              <w14:schemeClr w14:val="tx1"/>
            </w14:solidFill>
          </w14:textFill>
        </w:rPr>
        <w:t>因“新冠肺炎”疫情防控需要，不建议供应商派代表到开标现场参加开标，敬请谅解。</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6.3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流程</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6.3.1本项目由采购代理机构通过“政府采购云平台”按以下流程顺序组织实施开标：</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（1）投标文件在线解密</w:t>
      </w:r>
      <w:r>
        <w:rPr>
          <w:rFonts w:hint="eastAsia" w:ascii="仿宋" w:hAnsi="仿宋" w:eastAsia="仿宋" w:cs="Arial"/>
          <w:color w:val="000000" w:themeColor="text1"/>
          <w:kern w:val="0"/>
          <w:sz w:val="24"/>
          <w:szCs w:val="22"/>
          <w14:textFill>
            <w14:solidFill>
              <w14:schemeClr w14:val="tx1"/>
            </w14:solidFill>
          </w14:textFill>
        </w:rPr>
        <w:t>（解密说明见《投标须知前附表》）；</w:t>
      </w:r>
    </w:p>
    <w:p>
      <w:pPr>
        <w:spacing w:line="360" w:lineRule="auto"/>
        <w:ind w:firstLine="424" w:firstLineChars="176"/>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b/>
          <w:color w:val="000000" w:themeColor="text1"/>
          <w:kern w:val="0"/>
          <w:sz w:val="24"/>
          <w14:textFill>
            <w14:solidFill>
              <w14:schemeClr w14:val="tx1"/>
            </w14:solidFill>
          </w14:textFill>
        </w:rPr>
        <w:t>投标文件在线解密异常情况处理</w:t>
      </w:r>
      <w:r>
        <w:rPr>
          <w:rFonts w:hint="eastAsia" w:ascii="仿宋" w:hAnsi="仿宋" w:eastAsia="仿宋"/>
          <w:color w:val="000000" w:themeColor="text1"/>
          <w:kern w:val="0"/>
          <w:sz w:val="24"/>
          <w14:textFill>
            <w14:solidFill>
              <w14:schemeClr w14:val="tx1"/>
            </w14:solidFill>
          </w14:textFill>
        </w:rPr>
        <w:t>（如需，处理办法见</w:t>
      </w:r>
      <w:r>
        <w:rPr>
          <w:rFonts w:hint="eastAsia" w:ascii="仿宋" w:hAnsi="仿宋" w:eastAsia="仿宋" w:cs="Arial"/>
          <w:color w:val="000000" w:themeColor="text1"/>
          <w:kern w:val="0"/>
          <w:sz w:val="24"/>
          <w:szCs w:val="22"/>
          <w14:textFill>
            <w14:solidFill>
              <w14:schemeClr w14:val="tx1"/>
            </w14:solidFill>
          </w14:textFill>
        </w:rPr>
        <w:t>《投标须知前附表》</w:t>
      </w:r>
      <w:r>
        <w:rPr>
          <w:rFonts w:hint="eastAsia" w:ascii="仿宋" w:hAnsi="仿宋" w:eastAsia="仿宋"/>
          <w:color w:val="000000" w:themeColor="text1"/>
          <w:kern w:val="0"/>
          <w:sz w:val="24"/>
          <w14:textFill>
            <w14:solidFill>
              <w14:schemeClr w14:val="tx1"/>
            </w14:solidFill>
          </w14:textFill>
        </w:rPr>
        <w:t>）；</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（3）公布投标文件解密情况</w:t>
      </w:r>
      <w:r>
        <w:rPr>
          <w:rFonts w:hint="eastAsia" w:ascii="仿宋" w:hAnsi="仿宋" w:eastAsia="仿宋"/>
          <w:color w:val="000000" w:themeColor="text1"/>
          <w:kern w:val="0"/>
          <w:sz w:val="24"/>
          <w14:textFill>
            <w14:solidFill>
              <w14:schemeClr w14:val="tx1"/>
            </w14:solidFill>
          </w14:textFill>
        </w:rPr>
        <w:t>（包括成功解密投标文件的供应商名单等信息）；</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（4）组织投标供应商签署和提交《政府采购活动现场确认声明书》</w:t>
      </w:r>
      <w:r>
        <w:rPr>
          <w:rFonts w:hint="eastAsia" w:ascii="仿宋" w:hAnsi="仿宋" w:eastAsia="仿宋" w:cs="Arial"/>
          <w:color w:val="000000" w:themeColor="text1"/>
          <w:kern w:val="0"/>
          <w:sz w:val="24"/>
          <w:szCs w:val="22"/>
          <w14:textFill>
            <w14:solidFill>
              <w14:schemeClr w14:val="tx1"/>
            </w14:solidFill>
          </w14:textFill>
        </w:rPr>
        <w:t>（规定见《投标须知前附表》）；</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（5）开启所有已成功解密投标文件的投标供应商的《资格文件》，进行资格审查。资格审查结束后，公布投标供应商资格审查结果，告知不合格名称及理由</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（6）开启所有资格审查合格的投标供应商的《商务技术文件》，进入符合性审查和商务技术部分评审</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（7）符合性审查和商务技术评审结束后，公布经评审的无效标供应商名称及理由</w:t>
      </w:r>
      <w:r>
        <w:rPr>
          <w:rFonts w:ascii="仿宋" w:hAnsi="仿宋" w:eastAsia="仿宋" w:cs="Arial"/>
          <w:b/>
          <w:color w:val="000000" w:themeColor="text1"/>
          <w:kern w:val="0"/>
          <w:sz w:val="24"/>
          <w:szCs w:val="22"/>
          <w14:textFill>
            <w14:solidFill>
              <w14:schemeClr w14:val="tx1"/>
            </w14:solidFill>
          </w14:textFill>
        </w:rPr>
        <w:t>；公布经评审</w:t>
      </w:r>
      <w:r>
        <w:rPr>
          <w:rFonts w:hint="eastAsia" w:ascii="仿宋" w:hAnsi="仿宋" w:eastAsia="仿宋" w:cs="Arial"/>
          <w:b/>
          <w:color w:val="000000" w:themeColor="text1"/>
          <w:kern w:val="0"/>
          <w:sz w:val="24"/>
          <w:szCs w:val="22"/>
          <w14:textFill>
            <w14:solidFill>
              <w14:schemeClr w14:val="tx1"/>
            </w14:solidFill>
          </w14:textFill>
        </w:rPr>
        <w:t>的有效</w:t>
      </w:r>
      <w:r>
        <w:rPr>
          <w:rFonts w:ascii="仿宋" w:hAnsi="仿宋" w:eastAsia="仿宋" w:cs="Arial"/>
          <w:b/>
          <w:color w:val="000000" w:themeColor="text1"/>
          <w:kern w:val="0"/>
          <w:sz w:val="24"/>
          <w:szCs w:val="22"/>
          <w14:textFill>
            <w14:solidFill>
              <w14:schemeClr w14:val="tx1"/>
            </w14:solidFill>
          </w14:textFill>
        </w:rPr>
        <w:t>供应商名单，同时公布</w:t>
      </w:r>
      <w:r>
        <w:rPr>
          <w:rFonts w:hint="eastAsia" w:ascii="仿宋" w:hAnsi="仿宋" w:eastAsia="仿宋" w:cs="Arial"/>
          <w:b/>
          <w:color w:val="000000" w:themeColor="text1"/>
          <w:kern w:val="0"/>
          <w:sz w:val="24"/>
          <w:szCs w:val="22"/>
          <w14:textFill>
            <w14:solidFill>
              <w14:schemeClr w14:val="tx1"/>
            </w14:solidFill>
          </w14:textFill>
        </w:rPr>
        <w:t>其</w:t>
      </w:r>
      <w:r>
        <w:rPr>
          <w:rFonts w:ascii="仿宋" w:hAnsi="仿宋" w:eastAsia="仿宋" w:cs="Arial"/>
          <w:b/>
          <w:color w:val="000000" w:themeColor="text1"/>
          <w:kern w:val="0"/>
          <w:sz w:val="24"/>
          <w:szCs w:val="22"/>
          <w14:textFill>
            <w14:solidFill>
              <w14:schemeClr w14:val="tx1"/>
            </w14:solidFill>
          </w14:textFill>
        </w:rPr>
        <w:t>商务技术得分情况</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（8）开启有效投标供应商的《报价文件》，公布开标一览表有关内容，制作开标记录表，</w:t>
      </w:r>
      <w:r>
        <w:rPr>
          <w:rFonts w:ascii="仿宋" w:hAnsi="仿宋" w:eastAsia="仿宋" w:cs="Arial"/>
          <w:b/>
          <w:color w:val="000000" w:themeColor="text1"/>
          <w:kern w:val="0"/>
          <w:sz w:val="24"/>
          <w:szCs w:val="22"/>
          <w14:textFill>
            <w14:solidFill>
              <w14:schemeClr w14:val="tx1"/>
            </w14:solidFill>
          </w14:textFill>
        </w:rPr>
        <w:t>由供应商代表</w:t>
      </w:r>
      <w:r>
        <w:rPr>
          <w:rFonts w:hint="eastAsia" w:ascii="仿宋" w:hAnsi="仿宋" w:eastAsia="仿宋" w:cs="Arial"/>
          <w:b/>
          <w:color w:val="000000" w:themeColor="text1"/>
          <w:kern w:val="0"/>
          <w:sz w:val="24"/>
          <w:szCs w:val="22"/>
          <w14:textFill>
            <w14:solidFill>
              <w14:schemeClr w14:val="tx1"/>
            </w14:solidFill>
          </w14:textFill>
        </w:rPr>
        <w:t>及相关人员进行确认（通过“政府采购云平台在线确认”</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供应商</w:t>
      </w:r>
      <w:r>
        <w:rPr>
          <w:rFonts w:ascii="仿宋" w:hAnsi="仿宋" w:eastAsia="仿宋" w:cs="Arial"/>
          <w:b/>
          <w:color w:val="000000" w:themeColor="text1"/>
          <w:kern w:val="0"/>
          <w:sz w:val="24"/>
          <w:szCs w:val="22"/>
          <w14:textFill>
            <w14:solidFill>
              <w14:schemeClr w14:val="tx1"/>
            </w14:solidFill>
          </w14:textFill>
        </w:rPr>
        <w:t>不予确认的应说明理由，否则视为无异议</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（9）公布报价文件无效供应商名称及理由，公布有效投标供应商的报价得分；</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（10）公布评审结果、中标候选供应商名单及采购人最终确定中标或成交供应商名单的时间和公告方式等。</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6.3.2开标过程特殊情况说明</w:t>
      </w:r>
    </w:p>
    <w:p>
      <w:pPr>
        <w:spacing w:line="360" w:lineRule="auto"/>
        <w:ind w:firstLine="422"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（1）如遇“政府采购云平台”电子化开标或评审程序调整的，按调整后程序执行。</w:t>
      </w:r>
    </w:p>
    <w:p>
      <w:pPr>
        <w:spacing w:after="240" w:line="360" w:lineRule="auto"/>
        <w:ind w:firstLine="422" w:firstLineChars="176"/>
        <w:jc w:val="left"/>
        <w:rPr>
          <w:rFonts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（2）开标过程中需要相关当事人进行签字或盖章确认的材料将通过“政府采购云平台”进行，若因“政府采购云平台”技术问题无法进行签字或盖章确认的，采购代理机构将通过邮件、传真等形式组织确认。</w:t>
      </w:r>
    </w:p>
    <w:p>
      <w:pPr>
        <w:pStyle w:val="3"/>
        <w:rPr>
          <w:color w:val="000000" w:themeColor="text1"/>
          <w14:textFill>
            <w14:solidFill>
              <w14:schemeClr w14:val="tx1"/>
            </w14:solidFill>
          </w14:textFill>
        </w:rPr>
      </w:pPr>
      <w:bookmarkStart w:id="78" w:name="_Toc22796"/>
      <w:bookmarkStart w:id="79" w:name="_Toc1374"/>
      <w:bookmarkStart w:id="80" w:name="_Toc5561"/>
      <w:bookmarkStart w:id="81" w:name="_Toc22969"/>
      <w:r>
        <w:rPr>
          <w:rFonts w:hint="eastAsia"/>
          <w:color w:val="000000" w:themeColor="text1"/>
          <w14:textFill>
            <w14:solidFill>
              <w14:schemeClr w14:val="tx1"/>
            </w14:solidFill>
          </w14:textFill>
        </w:rPr>
        <w:t>七、投标供应商资格审查</w:t>
      </w:r>
      <w:bookmarkEnd w:id="78"/>
      <w:bookmarkEnd w:id="79"/>
      <w:bookmarkEnd w:id="80"/>
      <w:bookmarkEnd w:id="81"/>
    </w:p>
    <w:p>
      <w:pPr>
        <w:spacing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7.1</w:t>
      </w:r>
      <w:r>
        <w:rPr>
          <w:rFonts w:hint="eastAsia" w:ascii="仿宋" w:hAnsi="仿宋" w:eastAsia="仿宋" w:cs="Arial"/>
          <w:b/>
          <w:color w:val="000000" w:themeColor="text1"/>
          <w:kern w:val="0"/>
          <w:sz w:val="24"/>
          <w:szCs w:val="22"/>
          <w14:textFill>
            <w14:solidFill>
              <w14:schemeClr w14:val="tx1"/>
            </w14:solidFill>
          </w14:textFill>
        </w:rPr>
        <w:t>开标（标书信息开启）后，采购人或采购代理机构首先依法对投标供应商的资格文件进行审查，审查各投标供应商的资格符合情况。</w:t>
      </w:r>
      <w:r>
        <w:rPr>
          <w:rFonts w:ascii="仿宋" w:hAnsi="仿宋" w:eastAsia="仿宋"/>
          <w:color w:val="000000" w:themeColor="text1"/>
          <w:sz w:val="24"/>
          <w14:textFill>
            <w14:solidFill>
              <w14:schemeClr w14:val="tx1"/>
            </w14:solidFill>
          </w14:textFill>
        </w:rPr>
        <w:t>采购人或采购代理机构</w:t>
      </w:r>
      <w:r>
        <w:rPr>
          <w:rFonts w:hint="eastAsia" w:ascii="仿宋" w:hAnsi="仿宋" w:eastAsia="仿宋"/>
          <w:color w:val="000000" w:themeColor="text1"/>
          <w:sz w:val="24"/>
          <w14:textFill>
            <w14:solidFill>
              <w14:schemeClr w14:val="tx1"/>
            </w14:solidFill>
          </w14:textFill>
        </w:rPr>
        <w:t>仅</w:t>
      </w:r>
      <w:r>
        <w:rPr>
          <w:rFonts w:ascii="仿宋" w:hAnsi="仿宋" w:eastAsia="仿宋"/>
          <w:color w:val="000000" w:themeColor="text1"/>
          <w:sz w:val="24"/>
          <w14:textFill>
            <w14:solidFill>
              <w14:schemeClr w14:val="tx1"/>
            </w14:solidFill>
          </w14:textFill>
        </w:rPr>
        <w:t>对投标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w:t>
      </w:r>
      <w:r>
        <w:rPr>
          <w:rFonts w:hint="eastAsia" w:ascii="仿宋" w:hAnsi="仿宋" w:eastAsia="仿宋"/>
          <w:color w:val="000000" w:themeColor="text1"/>
          <w:sz w:val="24"/>
          <w14:textFill>
            <w14:solidFill>
              <w14:schemeClr w14:val="tx1"/>
            </w14:solidFill>
          </w14:textFill>
        </w:rPr>
        <w:t>提交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内容</w:t>
      </w:r>
      <w:r>
        <w:rPr>
          <w:rFonts w:ascii="仿宋" w:hAnsi="仿宋" w:eastAsia="仿宋"/>
          <w:color w:val="000000" w:themeColor="text1"/>
          <w:sz w:val="24"/>
          <w14:textFill>
            <w14:solidFill>
              <w14:schemeClr w14:val="tx1"/>
            </w14:solidFill>
          </w14:textFill>
        </w:rPr>
        <w:t>负审核的责任</w:t>
      </w:r>
      <w:r>
        <w:rPr>
          <w:rFonts w:hint="eastAsia" w:ascii="仿宋" w:hAnsi="仿宋" w:eastAsia="仿宋"/>
          <w:color w:val="000000" w:themeColor="text1"/>
          <w:sz w:val="24"/>
          <w14:textFill>
            <w14:solidFill>
              <w14:schemeClr w14:val="tx1"/>
            </w14:solidFill>
          </w14:textFill>
        </w:rPr>
        <w:t>，不对</w:t>
      </w:r>
      <w:r>
        <w:rPr>
          <w:rFonts w:ascii="仿宋" w:hAnsi="仿宋" w:eastAsia="仿宋"/>
          <w:color w:val="000000" w:themeColor="text1"/>
          <w:sz w:val="24"/>
          <w14:textFill>
            <w14:solidFill>
              <w14:schemeClr w14:val="tx1"/>
            </w14:solidFill>
          </w14:textFill>
        </w:rPr>
        <w:t>资格证明材料</w:t>
      </w:r>
      <w:r>
        <w:rPr>
          <w:rFonts w:hint="eastAsia" w:ascii="仿宋" w:hAnsi="仿宋" w:eastAsia="仿宋"/>
          <w:color w:val="000000" w:themeColor="text1"/>
          <w:sz w:val="24"/>
          <w14:textFill>
            <w14:solidFill>
              <w14:schemeClr w14:val="tx1"/>
            </w14:solidFill>
          </w14:textFill>
        </w:rPr>
        <w:t>的真实性负责</w:t>
      </w:r>
      <w:r>
        <w:rPr>
          <w:rFonts w:ascii="仿宋" w:hAnsi="仿宋" w:eastAsia="仿宋"/>
          <w:color w:val="000000" w:themeColor="text1"/>
          <w:sz w:val="24"/>
          <w14:textFill>
            <w14:solidFill>
              <w14:schemeClr w14:val="tx1"/>
            </w14:solidFill>
          </w14:textFill>
        </w:rPr>
        <w:t>。如发现投标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所提</w:t>
      </w:r>
      <w:r>
        <w:rPr>
          <w:rFonts w:hint="eastAsia" w:ascii="仿宋" w:hAnsi="仿宋" w:eastAsia="仿宋"/>
          <w:color w:val="000000" w:themeColor="text1"/>
          <w:sz w:val="24"/>
          <w14:textFill>
            <w14:solidFill>
              <w14:schemeClr w14:val="tx1"/>
            </w14:solidFill>
          </w14:textFill>
        </w:rPr>
        <w:t>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存在弄虚作假或其他与事实不符的情形</w:t>
      </w:r>
      <w:r>
        <w:rPr>
          <w:rFonts w:ascii="仿宋" w:hAnsi="仿宋" w:eastAsia="仿宋"/>
          <w:color w:val="000000" w:themeColor="text1"/>
          <w:sz w:val="24"/>
          <w14:textFill>
            <w14:solidFill>
              <w14:schemeClr w14:val="tx1"/>
            </w14:solidFill>
          </w14:textFill>
        </w:rPr>
        <w:t>，采购人可</w:t>
      </w:r>
      <w:r>
        <w:rPr>
          <w:rFonts w:hint="eastAsia" w:ascii="仿宋" w:hAnsi="仿宋" w:eastAsia="仿宋"/>
          <w:color w:val="000000" w:themeColor="text1"/>
          <w:sz w:val="24"/>
          <w14:textFill>
            <w14:solidFill>
              <w14:schemeClr w14:val="tx1"/>
            </w14:solidFill>
          </w14:textFill>
        </w:rPr>
        <w:t>依法</w:t>
      </w:r>
      <w:r>
        <w:rPr>
          <w:rFonts w:ascii="仿宋" w:hAnsi="仿宋" w:eastAsia="仿宋"/>
          <w:color w:val="000000" w:themeColor="text1"/>
          <w:sz w:val="24"/>
          <w14:textFill>
            <w14:solidFill>
              <w14:schemeClr w14:val="tx1"/>
            </w14:solidFill>
          </w14:textFill>
        </w:rPr>
        <w:t>取消</w:t>
      </w:r>
      <w:r>
        <w:rPr>
          <w:rFonts w:hint="eastAsia" w:ascii="仿宋" w:hAnsi="仿宋" w:eastAsia="仿宋"/>
          <w:color w:val="000000" w:themeColor="text1"/>
          <w:sz w:val="24"/>
          <w14:textFill>
            <w14:solidFill>
              <w14:schemeClr w14:val="tx1"/>
            </w14:solidFill>
          </w14:textFill>
        </w:rPr>
        <w:t>其</w:t>
      </w:r>
      <w:r>
        <w:rPr>
          <w:rFonts w:ascii="仿宋" w:hAnsi="仿宋" w:eastAsia="仿宋"/>
          <w:color w:val="000000" w:themeColor="text1"/>
          <w:sz w:val="24"/>
          <w14:textFill>
            <w14:solidFill>
              <w14:schemeClr w14:val="tx1"/>
            </w14:solidFill>
          </w14:textFill>
        </w:rPr>
        <w:t>中标资格并追究投标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的法律责任。</w:t>
      </w:r>
    </w:p>
    <w:p>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7.2</w:t>
      </w:r>
      <w:r>
        <w:rPr>
          <w:rFonts w:hint="eastAsia" w:ascii="仿宋" w:hAnsi="仿宋" w:eastAsia="仿宋" w:cs="Arial"/>
          <w:b/>
          <w:color w:val="000000" w:themeColor="text1"/>
          <w:kern w:val="0"/>
          <w:sz w:val="24"/>
          <w:u w:val="single"/>
          <w14:textFill>
            <w14:solidFill>
              <w14:schemeClr w14:val="tx1"/>
            </w14:solidFill>
          </w14:textFill>
        </w:rPr>
        <w:t>投标供应商提交的资格文件内的资格证明材料无法证明其符合采购文件规定的“投标供应商资格要求（申请人的资格要求）”的，采购人或采购代理机构将对其作“资格审查不合格”处理，并不再将其商务技术文件、报价文件提交评标委员会进行后续评审</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6" w:firstLineChars="177"/>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7.3</w:t>
      </w:r>
      <w:r>
        <w:rPr>
          <w:rFonts w:hint="eastAsia" w:ascii="仿宋" w:hAnsi="仿宋" w:eastAsia="仿宋" w:cs="Arial"/>
          <w:b/>
          <w:color w:val="000000" w:themeColor="text1"/>
          <w:kern w:val="0"/>
          <w:sz w:val="24"/>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p>
    <w:p>
      <w:pPr>
        <w:spacing w:line="360" w:lineRule="auto"/>
        <w:ind w:firstLine="426" w:firstLineChars="177"/>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7.4供应商</w:t>
      </w:r>
      <w:r>
        <w:rPr>
          <w:rFonts w:ascii="仿宋" w:hAnsi="仿宋" w:eastAsia="仿宋" w:cs="Arial"/>
          <w:b/>
          <w:color w:val="000000" w:themeColor="text1"/>
          <w:sz w:val="24"/>
          <w14:textFill>
            <w14:solidFill>
              <w14:schemeClr w14:val="tx1"/>
            </w14:solidFill>
          </w14:textFill>
        </w:rPr>
        <w:t>信用记录</w:t>
      </w:r>
      <w:r>
        <w:rPr>
          <w:rFonts w:hint="eastAsia" w:ascii="仿宋" w:hAnsi="仿宋" w:eastAsia="仿宋" w:cs="Arial"/>
          <w:b/>
          <w:color w:val="000000" w:themeColor="text1"/>
          <w:sz w:val="24"/>
          <w14:textFill>
            <w14:solidFill>
              <w14:schemeClr w14:val="tx1"/>
            </w14:solidFill>
          </w14:textFill>
        </w:rPr>
        <w:t>查询与使用：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pPr>
        <w:pStyle w:val="195"/>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w:t>
      </w:r>
      <w:r>
        <w:rPr>
          <w:rFonts w:hint="eastAsia" w:ascii="仿宋" w:hAnsi="仿宋" w:eastAsia="仿宋" w:cs="Arial"/>
          <w:b/>
          <w:color w:val="000000" w:themeColor="text1"/>
          <w:kern w:val="0"/>
          <w:sz w:val="24"/>
          <w14:textFill>
            <w14:solidFill>
              <w14:schemeClr w14:val="tx1"/>
            </w14:solidFill>
          </w14:textFill>
        </w:rPr>
        <w:t>.5资格审查合格的投标供应商不足三家的，项目不再进行评审。</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pPr>
        <w:pStyle w:val="195"/>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pPr>
        <w:spacing w:after="240"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pPr>
        <w:pStyle w:val="3"/>
        <w:rPr>
          <w:color w:val="000000" w:themeColor="text1"/>
          <w14:textFill>
            <w14:solidFill>
              <w14:schemeClr w14:val="tx1"/>
            </w14:solidFill>
          </w14:textFill>
        </w:rPr>
      </w:pPr>
      <w:bookmarkStart w:id="82" w:name="_Toc15210"/>
      <w:bookmarkStart w:id="83" w:name="_Toc2842"/>
      <w:bookmarkStart w:id="84" w:name="_Toc32250"/>
      <w:bookmarkStart w:id="85" w:name="_Toc19985"/>
      <w:r>
        <w:rPr>
          <w:rFonts w:hint="eastAsia"/>
          <w:color w:val="000000" w:themeColor="text1"/>
          <w14:textFill>
            <w14:solidFill>
              <w14:schemeClr w14:val="tx1"/>
            </w14:solidFill>
          </w14:textFill>
        </w:rPr>
        <w:t>八、评审</w:t>
      </w:r>
      <w:bookmarkEnd w:id="82"/>
      <w:bookmarkEnd w:id="83"/>
      <w:bookmarkEnd w:id="84"/>
      <w:bookmarkEnd w:id="85"/>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8.1 评审工作的组织</w:t>
      </w:r>
    </w:p>
    <w:p>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8.2 评标委员会的组建</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8.2.1评标委员会由采购人或采购代理机构依法组建，成员由采购人代表和评审专家组成，成员人数</w:t>
      </w:r>
      <w:r>
        <w:rPr>
          <w:rFonts w:ascii="仿宋" w:hAnsi="仿宋" w:eastAsia="仿宋" w:cs="Arial"/>
          <w:color w:val="000000" w:themeColor="text1"/>
          <w:kern w:val="0"/>
          <w:sz w:val="24"/>
          <w:szCs w:val="22"/>
          <w14:textFill>
            <w14:solidFill>
              <w14:schemeClr w14:val="tx1"/>
            </w14:solidFill>
          </w14:textFill>
        </w:rPr>
        <w:t>为</w:t>
      </w:r>
      <w:r>
        <w:rPr>
          <w:rFonts w:hint="eastAsia" w:ascii="仿宋" w:hAnsi="仿宋" w:eastAsia="仿宋" w:cs="Arial"/>
          <w:color w:val="000000" w:themeColor="text1"/>
          <w:kern w:val="0"/>
          <w:sz w:val="24"/>
          <w:szCs w:val="22"/>
          <w14:textFill>
            <w14:solidFill>
              <w14:schemeClr w14:val="tx1"/>
            </w14:solidFill>
          </w14:textFill>
        </w:rPr>
        <w:t>五</w:t>
      </w:r>
      <w:r>
        <w:rPr>
          <w:rFonts w:ascii="仿宋" w:hAnsi="仿宋" w:eastAsia="仿宋" w:cs="Arial"/>
          <w:color w:val="000000" w:themeColor="text1"/>
          <w:kern w:val="0"/>
          <w:sz w:val="24"/>
          <w:szCs w:val="22"/>
          <w14:textFill>
            <w14:solidFill>
              <w14:schemeClr w14:val="tx1"/>
            </w14:solidFill>
          </w14:textFill>
        </w:rPr>
        <w:t>人</w:t>
      </w:r>
      <w:r>
        <w:rPr>
          <w:rFonts w:hint="eastAsia" w:ascii="仿宋" w:hAnsi="仿宋" w:eastAsia="仿宋" w:cs="Arial"/>
          <w:color w:val="000000" w:themeColor="text1"/>
          <w:kern w:val="0"/>
          <w:sz w:val="24"/>
          <w:szCs w:val="22"/>
          <w14:textFill>
            <w14:solidFill>
              <w14:schemeClr w14:val="tx1"/>
            </w14:solidFill>
          </w14:textFill>
        </w:rPr>
        <w:t>或以上单数，其中评审专家不少于成员总数的三分之二。</w:t>
      </w:r>
    </w:p>
    <w:p>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8.2.2评审专家从省级或以上财政部门设立的政府采购评审专家库中通过随机方式抽取产生。评标委员会成员名单在采购结果公告前保密。</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8.3 评标委员会的职责</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8.3.1评标委员会负责具体评审事务，并独立履行下列职责：</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（1）审查、评价投标文件是否符合采购文件的商务、技术等实质性要求；</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（2）要求投标供应商对投标文件有关事项作出澄清或者说明；</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（3）对投标文件进行评价；</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（4）确定中标候选供应商名单，以及根据采购人委托直接确定中标供应商；</w:t>
      </w:r>
    </w:p>
    <w:p>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（5）向采购人、采购代理机构或者有关部门报告评审中发现的违法行为。</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8.4 评审原则</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8.4.1评审原则：</w:t>
      </w:r>
      <w:r>
        <w:rPr>
          <w:rFonts w:hint="eastAsia"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sz w:val="24"/>
          <w14:textFill>
            <w14:solidFill>
              <w14:schemeClr w14:val="tx1"/>
            </w14:solidFill>
          </w14:textFill>
        </w:rPr>
        <w:t>按照客观、公正、审慎、</w:t>
      </w:r>
      <w:r>
        <w:rPr>
          <w:rFonts w:ascii="仿宋" w:hAnsi="仿宋" w:eastAsia="仿宋" w:cs="Arial"/>
          <w:color w:val="000000" w:themeColor="text1"/>
          <w:sz w:val="24"/>
          <w14:textFill>
            <w14:solidFill>
              <w14:schemeClr w14:val="tx1"/>
            </w14:solidFill>
          </w14:textFill>
        </w:rPr>
        <w:t>择优的</w:t>
      </w:r>
      <w:r>
        <w:rPr>
          <w:rFonts w:hint="eastAsia" w:ascii="仿宋" w:hAnsi="仿宋" w:eastAsia="仿宋" w:cs="Arial"/>
          <w:color w:val="000000" w:themeColor="text1"/>
          <w:sz w:val="24"/>
          <w14:textFill>
            <w14:solidFill>
              <w14:schemeClr w14:val="tx1"/>
            </w14:solidFill>
          </w14:textFill>
        </w:rPr>
        <w:t>原则，根据采购文件规定的评审程序、评审方法和评审标准进行独立评审。</w:t>
      </w:r>
    </w:p>
    <w:p>
      <w:pPr>
        <w:spacing w:after="240"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8.4.2评审工作将依据</w:t>
      </w:r>
      <w:r>
        <w:rPr>
          <w:rFonts w:ascii="仿宋" w:hAnsi="仿宋" w:eastAsia="仿宋" w:cs="Arial"/>
          <w:color w:val="000000" w:themeColor="text1"/>
          <w:kern w:val="0"/>
          <w:sz w:val="24"/>
          <w:szCs w:val="22"/>
          <w14:textFill>
            <w14:solidFill>
              <w14:schemeClr w14:val="tx1"/>
            </w14:solidFill>
          </w14:textFill>
        </w:rPr>
        <w:t>采购文件</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投标文件</w:t>
      </w:r>
      <w:r>
        <w:rPr>
          <w:rFonts w:hint="eastAsia" w:ascii="仿宋" w:hAnsi="仿宋" w:eastAsia="仿宋" w:cs="Arial"/>
          <w:color w:val="000000" w:themeColor="text1"/>
          <w:kern w:val="0"/>
          <w:sz w:val="24"/>
          <w:szCs w:val="22"/>
          <w14:textFill>
            <w14:solidFill>
              <w14:schemeClr w14:val="tx1"/>
            </w14:solidFill>
          </w14:textFill>
        </w:rPr>
        <w:t>及采购文件中事先已列明的内容进行（如方案讲解、演示、样品等）。</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8.5 评审意见的争议处理</w:t>
      </w:r>
    </w:p>
    <w:p>
      <w:pPr>
        <w:spacing w:after="240" w:line="360" w:lineRule="auto"/>
        <w:ind w:firstLine="426"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评标委员会</w:t>
      </w:r>
      <w:r>
        <w:rPr>
          <w:rFonts w:ascii="仿宋" w:hAnsi="仿宋" w:eastAsia="仿宋" w:cs="Arial"/>
          <w:b/>
          <w:color w:val="000000" w:themeColor="text1"/>
          <w:sz w:val="24"/>
          <w14:textFill>
            <w14:solidFill>
              <w14:schemeClr w14:val="tx1"/>
            </w14:solidFill>
          </w14:textFill>
        </w:rPr>
        <w:t>成员对需要共同认定的事项存在争议的，按照少数服从多数的原则作出结论。</w:t>
      </w:r>
      <w:r>
        <w:rPr>
          <w:rFonts w:ascii="仿宋" w:hAnsi="仿宋" w:eastAsia="仿宋" w:cs="Arial"/>
          <w:color w:val="000000" w:themeColor="text1"/>
          <w:sz w:val="24"/>
          <w14:textFill>
            <w14:solidFill>
              <w14:schemeClr w14:val="tx1"/>
            </w14:solidFill>
          </w14:textFill>
        </w:rPr>
        <w:t>持不同意见的</w:t>
      </w:r>
      <w:r>
        <w:rPr>
          <w:rFonts w:hint="eastAsia" w:ascii="仿宋" w:hAnsi="仿宋" w:eastAsia="仿宋" w:cs="Arial"/>
          <w:color w:val="000000" w:themeColor="text1"/>
          <w:sz w:val="24"/>
          <w14:textFill>
            <w14:solidFill>
              <w14:schemeClr w14:val="tx1"/>
            </w14:solidFill>
          </w14:textFill>
        </w:rPr>
        <w:t>评标委员会</w:t>
      </w:r>
      <w:r>
        <w:rPr>
          <w:rFonts w:ascii="仿宋" w:hAnsi="仿宋" w:eastAsia="仿宋" w:cs="Arial"/>
          <w:color w:val="000000" w:themeColor="text1"/>
          <w:sz w:val="24"/>
          <w14:textFill>
            <w14:solidFill>
              <w14:schemeClr w14:val="tx1"/>
            </w14:solidFill>
          </w14:textFill>
        </w:rPr>
        <w:t>成员应当在评标报告上签署不同意见及理由，否则视为同意评标报告。</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8.6 评委纪律</w:t>
      </w:r>
    </w:p>
    <w:p>
      <w:pPr>
        <w:spacing w:after="240" w:line="360" w:lineRule="auto"/>
        <w:ind w:firstLine="424" w:firstLineChars="177"/>
        <w:rPr>
          <w:color w:val="000000" w:themeColor="text1"/>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评标委员会成员</w:t>
      </w:r>
      <w:r>
        <w:rPr>
          <w:rFonts w:ascii="仿宋" w:hAnsi="仿宋" w:eastAsia="仿宋" w:cs="Arial"/>
          <w:color w:val="000000" w:themeColor="text1"/>
          <w:sz w:val="24"/>
          <w14:textFill>
            <w14:solidFill>
              <w14:schemeClr w14:val="tx1"/>
            </w14:solidFill>
          </w14:textFill>
        </w:rPr>
        <w:t>必须严格遵守保密规定，不得泄露评</w:t>
      </w:r>
      <w:r>
        <w:rPr>
          <w:rFonts w:hint="eastAsia" w:ascii="仿宋" w:hAnsi="仿宋" w:eastAsia="仿宋" w:cs="Arial"/>
          <w:color w:val="000000" w:themeColor="text1"/>
          <w:sz w:val="24"/>
          <w14:textFill>
            <w14:solidFill>
              <w14:schemeClr w14:val="tx1"/>
            </w14:solidFill>
          </w14:textFill>
        </w:rPr>
        <w:t>审</w:t>
      </w:r>
      <w:r>
        <w:rPr>
          <w:rFonts w:ascii="仿宋" w:hAnsi="仿宋" w:eastAsia="仿宋" w:cs="Arial"/>
          <w:color w:val="000000" w:themeColor="text1"/>
          <w:sz w:val="24"/>
          <w14:textFill>
            <w14:solidFill>
              <w14:schemeClr w14:val="tx1"/>
            </w14:solidFill>
          </w14:textFill>
        </w:rPr>
        <w:t>的有关情况</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任何单位和个人不得干扰、影响评标的正常进行</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kern w:val="0"/>
          <w:sz w:val="24"/>
          <w:szCs w:val="22"/>
          <w14:textFill>
            <w14:solidFill>
              <w14:schemeClr w14:val="tx1"/>
            </w14:solidFill>
          </w14:textFill>
        </w:rPr>
        <w:t>成员</w:t>
      </w:r>
      <w:r>
        <w:rPr>
          <w:rFonts w:ascii="仿宋" w:hAnsi="仿宋" w:eastAsia="仿宋" w:cs="Arial"/>
          <w:color w:val="000000" w:themeColor="text1"/>
          <w:kern w:val="0"/>
          <w:sz w:val="24"/>
          <w:szCs w:val="22"/>
          <w14:textFill>
            <w14:solidFill>
              <w14:schemeClr w14:val="tx1"/>
            </w14:solidFill>
          </w14:textFill>
        </w:rPr>
        <w:t>不得私下与投标供应商接触</w:t>
      </w:r>
      <w:r>
        <w:rPr>
          <w:rFonts w:hint="eastAsia" w:ascii="仿宋" w:hAnsi="仿宋" w:eastAsia="仿宋" w:cs="Arial"/>
          <w:color w:val="000000" w:themeColor="text1"/>
          <w:kern w:val="0"/>
          <w:sz w:val="24"/>
          <w:szCs w:val="22"/>
          <w14:textFill>
            <w14:solidFill>
              <w14:schemeClr w14:val="tx1"/>
            </w14:solidFill>
          </w14:textFill>
        </w:rPr>
        <w:t>，不得出现浙江省政府采购活动现场组织管理办法中规定的其他禁止行为。</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8.7 评审方法和标准</w:t>
      </w:r>
    </w:p>
    <w:p>
      <w:pPr>
        <w:spacing w:line="360" w:lineRule="auto"/>
        <w:ind w:firstLine="426" w:firstLineChars="177"/>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8.7.1评审方法和标准：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after="240" w:line="360" w:lineRule="auto"/>
        <w:ind w:firstLine="426" w:firstLineChars="177"/>
        <w:rPr>
          <w:rFonts w:ascii="仿宋" w:hAnsi="仿宋" w:eastAsia="仿宋"/>
          <w:color w:val="000000" w:themeColor="text1"/>
          <w:kern w:val="0"/>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8.7.2评标委员会将按照采购文件中规定的评审方法和标准，对符合性审查合格的投标文件进行商务和技术评估，综合评价。</w:t>
      </w:r>
      <w:r>
        <w:rPr>
          <w:rFonts w:hint="eastAsia" w:ascii="仿宋" w:hAnsi="仿宋" w:eastAsia="仿宋"/>
          <w:color w:val="000000" w:themeColor="text1"/>
          <w:kern w:val="0"/>
          <w:sz w:val="24"/>
          <w14:textFill>
            <w14:solidFill>
              <w14:schemeClr w14:val="tx1"/>
            </w14:solidFill>
          </w14:textFill>
        </w:rPr>
        <w:t>详细评审方法和标准见本采购文件第四章《评审方法和标准》</w:t>
      </w:r>
      <w:r>
        <w:rPr>
          <w:rFonts w:hint="eastAsia" w:ascii="仿宋" w:hAnsi="仿宋" w:eastAsia="仿宋"/>
          <w:color w:val="000000" w:themeColor="text1"/>
          <w:kern w:val="0"/>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8.8 评标结果</w:t>
      </w:r>
    </w:p>
    <w:p>
      <w:pPr>
        <w:spacing w:line="360" w:lineRule="auto"/>
        <w:ind w:firstLine="420" w:firstLineChars="17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8.8.1评标结果按评审后得分由高到底顺序排列。得分相同的，按投标报价由低到高顺序排列。得分且投标报价相同的并列。</w:t>
      </w:r>
    </w:p>
    <w:p>
      <w:pPr>
        <w:spacing w:line="360" w:lineRule="auto"/>
        <w:ind w:firstLine="422" w:firstLineChars="17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8.8.2评标委员会将向采购人推荐投标文件满足采购文件全部实质性要求且按照评审因素的量化指标评审得分排列第一的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pPr>
        <w:pStyle w:val="3"/>
        <w:rPr>
          <w:color w:val="000000" w:themeColor="text1"/>
          <w14:textFill>
            <w14:solidFill>
              <w14:schemeClr w14:val="tx1"/>
            </w14:solidFill>
          </w14:textFill>
        </w:rPr>
      </w:pPr>
      <w:bookmarkStart w:id="86" w:name="_Toc440162791"/>
      <w:bookmarkStart w:id="87" w:name="_Toc424164159"/>
      <w:bookmarkStart w:id="88" w:name="_Toc3964"/>
      <w:bookmarkStart w:id="89" w:name="_Toc24917"/>
      <w:bookmarkStart w:id="90" w:name="_Toc3132"/>
      <w:bookmarkStart w:id="91" w:name="_Toc25567"/>
      <w:r>
        <w:rPr>
          <w:rFonts w:hint="eastAsia"/>
          <w:color w:val="000000" w:themeColor="text1"/>
          <w14:textFill>
            <w14:solidFill>
              <w14:schemeClr w14:val="tx1"/>
            </w14:solidFill>
          </w14:textFill>
        </w:rPr>
        <w:t>九、</w:t>
      </w:r>
      <w:bookmarkEnd w:id="86"/>
      <w:bookmarkEnd w:id="87"/>
      <w:r>
        <w:rPr>
          <w:rFonts w:hint="eastAsia"/>
          <w:color w:val="000000" w:themeColor="text1"/>
          <w14:textFill>
            <w14:solidFill>
              <w14:schemeClr w14:val="tx1"/>
            </w14:solidFill>
          </w14:textFill>
        </w:rPr>
        <w:t>采购结果确认与公告</w:t>
      </w:r>
      <w:bookmarkEnd w:id="88"/>
      <w:bookmarkEnd w:id="89"/>
      <w:bookmarkEnd w:id="90"/>
      <w:bookmarkEnd w:id="91"/>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9.1 采购结果确认（确定中标供应商）</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.1</w:t>
      </w:r>
      <w:r>
        <w:rPr>
          <w:rFonts w:hint="eastAsia" w:ascii="仿宋" w:hAnsi="仿宋" w:eastAsia="仿宋" w:cs="Arial"/>
          <w:b/>
          <w:color w:val="000000" w:themeColor="text1"/>
          <w:kern w:val="0"/>
          <w:sz w:val="24"/>
          <w:szCs w:val="22"/>
          <w14:textFill>
            <w14:solidFill>
              <w14:schemeClr w14:val="tx1"/>
            </w14:solidFill>
          </w14:textFill>
        </w:rPr>
        <w:t>采购结果确认（确定中标供应商）：</w:t>
      </w:r>
      <w:r>
        <w:rPr>
          <w:rFonts w:ascii="仿宋" w:hAnsi="仿宋" w:eastAsia="仿宋" w:cs="Arial"/>
          <w:b/>
          <w:color w:val="000000" w:themeColor="text1"/>
          <w:kern w:val="0"/>
          <w:sz w:val="24"/>
          <w:szCs w:val="22"/>
          <w14:textFill>
            <w14:solidFill>
              <w14:schemeClr w14:val="tx1"/>
            </w14:solidFill>
          </w14:textFill>
        </w:rPr>
        <w:t>本项目由</w:t>
      </w:r>
      <w:r>
        <w:rPr>
          <w:rFonts w:hint="eastAsia" w:ascii="仿宋" w:hAnsi="仿宋" w:eastAsia="仿宋" w:cs="Arial"/>
          <w:b/>
          <w:color w:val="000000" w:themeColor="text1"/>
          <w:kern w:val="0"/>
          <w:sz w:val="24"/>
          <w:szCs w:val="22"/>
          <w14:textFill>
            <w14:solidFill>
              <w14:schemeClr w14:val="tx1"/>
            </w14:solidFill>
          </w14:textFill>
        </w:rPr>
        <w:t>采购</w:t>
      </w:r>
      <w:r>
        <w:rPr>
          <w:rFonts w:ascii="仿宋" w:hAnsi="仿宋" w:eastAsia="仿宋" w:cs="Arial"/>
          <w:b/>
          <w:color w:val="000000" w:themeColor="text1"/>
          <w:kern w:val="0"/>
          <w:sz w:val="24"/>
          <w:szCs w:val="22"/>
          <w14:textFill>
            <w14:solidFill>
              <w14:schemeClr w14:val="tx1"/>
            </w14:solidFill>
          </w14:textFill>
        </w:rPr>
        <w:t>人根据评标委员会提交的《评标报告》</w:t>
      </w:r>
      <w:r>
        <w:rPr>
          <w:rFonts w:hint="eastAsia" w:ascii="仿宋" w:hAnsi="仿宋" w:eastAsia="仿宋" w:cs="Arial"/>
          <w:b/>
          <w:color w:val="000000" w:themeColor="text1"/>
          <w:kern w:val="0"/>
          <w:sz w:val="24"/>
          <w:szCs w:val="22"/>
          <w14:textFill>
            <w14:solidFill>
              <w14:schemeClr w14:val="tx1"/>
            </w14:solidFill>
          </w14:textFill>
        </w:rPr>
        <w:t>，通过“政府采购云平台”</w:t>
      </w:r>
      <w:r>
        <w:rPr>
          <w:rFonts w:ascii="仿宋" w:hAnsi="仿宋" w:eastAsia="仿宋" w:cs="Arial"/>
          <w:b/>
          <w:color w:val="000000" w:themeColor="text1"/>
          <w:kern w:val="0"/>
          <w:sz w:val="24"/>
          <w:szCs w:val="22"/>
          <w14:textFill>
            <w14:solidFill>
              <w14:schemeClr w14:val="tx1"/>
            </w14:solidFill>
          </w14:textFill>
        </w:rPr>
        <w:t>依法</w:t>
      </w:r>
      <w:r>
        <w:rPr>
          <w:rFonts w:hint="eastAsia" w:ascii="仿宋" w:hAnsi="仿宋" w:eastAsia="仿宋" w:cs="Arial"/>
          <w:b/>
          <w:color w:val="000000" w:themeColor="text1"/>
          <w:kern w:val="0"/>
          <w:sz w:val="24"/>
          <w:szCs w:val="22"/>
          <w14:textFill>
            <w14:solidFill>
              <w14:schemeClr w14:val="tx1"/>
            </w14:solidFill>
          </w14:textFill>
        </w:rPr>
        <w:t>确认采购结果、</w:t>
      </w:r>
      <w:r>
        <w:rPr>
          <w:rFonts w:ascii="仿宋" w:hAnsi="仿宋" w:eastAsia="仿宋" w:cs="Arial"/>
          <w:b/>
          <w:color w:val="000000" w:themeColor="text1"/>
          <w:kern w:val="0"/>
          <w:sz w:val="24"/>
          <w:szCs w:val="22"/>
          <w14:textFill>
            <w14:solidFill>
              <w14:schemeClr w14:val="tx1"/>
            </w14:solidFill>
          </w14:textFill>
        </w:rPr>
        <w:t>确定中标供应商。</w:t>
      </w:r>
      <w:r>
        <w:rPr>
          <w:rFonts w:hint="eastAsia" w:ascii="仿宋" w:hAnsi="仿宋" w:eastAsia="仿宋" w:cs="Arial"/>
          <w:b/>
          <w:color w:val="000000" w:themeColor="text1"/>
          <w:kern w:val="0"/>
          <w:sz w:val="24"/>
          <w:szCs w:val="22"/>
          <w14:textFill>
            <w14:solidFill>
              <w14:schemeClr w14:val="tx1"/>
            </w14:solidFill>
          </w14:textFill>
        </w:rPr>
        <w:t>具体流程如下：</w:t>
      </w:r>
    </w:p>
    <w:p>
      <w:pPr>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（1）采购代理机构将在评审结束后</w:t>
      </w:r>
      <w:r>
        <w:rPr>
          <w:rFonts w:ascii="仿宋" w:hAnsi="仿宋" w:eastAsia="仿宋" w:cs="Arial"/>
          <w:color w:val="000000" w:themeColor="text1"/>
          <w:kern w:val="0"/>
          <w:sz w:val="24"/>
          <w:szCs w:val="22"/>
          <w14:textFill>
            <w14:solidFill>
              <w14:schemeClr w14:val="tx1"/>
            </w14:solidFill>
          </w14:textFill>
        </w:rPr>
        <w:t>2</w:t>
      </w:r>
      <w:r>
        <w:rPr>
          <w:rFonts w:hint="eastAsia" w:ascii="仿宋" w:hAnsi="仿宋" w:eastAsia="仿宋" w:cs="Arial"/>
          <w:color w:val="000000" w:themeColor="text1"/>
          <w:kern w:val="0"/>
          <w:sz w:val="24"/>
          <w:szCs w:val="22"/>
          <w14:textFill>
            <w14:solidFill>
              <w14:schemeClr w14:val="tx1"/>
            </w14:solidFill>
          </w14:textFill>
        </w:rPr>
        <w:t>个工作日内将评标报告送采购人。</w:t>
      </w:r>
    </w:p>
    <w:p>
      <w:pPr>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（2）采购人将在收到评标报告之日起</w:t>
      </w:r>
      <w:r>
        <w:rPr>
          <w:rFonts w:ascii="仿宋" w:hAnsi="仿宋" w:eastAsia="仿宋" w:cs="Arial"/>
          <w:color w:val="000000" w:themeColor="text1"/>
          <w:kern w:val="0"/>
          <w:sz w:val="24"/>
          <w:szCs w:val="22"/>
          <w14:textFill>
            <w14:solidFill>
              <w14:schemeClr w14:val="tx1"/>
            </w14:solidFill>
          </w14:textFill>
        </w:rPr>
        <w:t>5</w:t>
      </w:r>
      <w:r>
        <w:rPr>
          <w:rFonts w:hint="eastAsia" w:ascii="仿宋" w:hAnsi="仿宋" w:eastAsia="仿宋" w:cs="Arial"/>
          <w:color w:val="000000" w:themeColor="text1"/>
          <w:kern w:val="0"/>
          <w:sz w:val="24"/>
          <w:szCs w:val="22"/>
          <w14:textFill>
            <w14:solidFill>
              <w14:schemeClr w14:val="tx1"/>
            </w14:solidFill>
          </w14:textFill>
        </w:rPr>
        <w:t>个工作日内，在评标报告确定的中标候选供应商名单中按顺序确定中标供应商。</w:t>
      </w:r>
      <w:r>
        <w:rPr>
          <w:rFonts w:hint="eastAsia" w:ascii="仿宋" w:hAnsi="仿宋" w:eastAsia="仿宋" w:cs="Arial"/>
          <w:b/>
          <w:color w:val="000000" w:themeColor="text1"/>
          <w:kern w:val="0"/>
          <w:sz w:val="24"/>
          <w:szCs w:val="22"/>
          <w14:textFill>
            <w14:solidFill>
              <w14:schemeClr w14:val="tx1"/>
            </w14:solidFill>
          </w14:textFill>
        </w:rPr>
        <w:t>中标候选供应商并列的，采购人将采取随机抽取的方式确定中标供应商。</w:t>
      </w:r>
    </w:p>
    <w:p>
      <w:pPr>
        <w:spacing w:after="240"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采购</w:t>
      </w:r>
      <w:r>
        <w:rPr>
          <w:rFonts w:hint="eastAsia" w:ascii="仿宋" w:hAnsi="仿宋" w:eastAsia="仿宋" w:cs="Arial"/>
          <w:b/>
          <w:color w:val="000000" w:themeColor="text1"/>
          <w:kern w:val="0"/>
          <w:sz w:val="24"/>
          <w:szCs w:val="22"/>
          <w14:textFill>
            <w14:solidFill>
              <w14:schemeClr w14:val="tx1"/>
            </w14:solidFill>
          </w14:textFill>
        </w:rPr>
        <w:t>代理</w:t>
      </w:r>
      <w:r>
        <w:rPr>
          <w:rFonts w:ascii="仿宋" w:hAnsi="仿宋" w:eastAsia="仿宋" w:cs="Arial"/>
          <w:b/>
          <w:color w:val="000000" w:themeColor="text1"/>
          <w:kern w:val="0"/>
          <w:sz w:val="24"/>
          <w:szCs w:val="22"/>
          <w14:textFill>
            <w14:solidFill>
              <w14:schemeClr w14:val="tx1"/>
            </w14:solidFill>
          </w14:textFill>
        </w:rPr>
        <w:t>机构不对</w:t>
      </w:r>
      <w:r>
        <w:rPr>
          <w:rFonts w:hint="eastAsia" w:ascii="仿宋" w:hAnsi="仿宋" w:eastAsia="仿宋" w:cs="Arial"/>
          <w:b/>
          <w:color w:val="000000" w:themeColor="text1"/>
          <w:kern w:val="0"/>
          <w:sz w:val="24"/>
          <w:szCs w:val="22"/>
          <w14:textFill>
            <w14:solidFill>
              <w14:schemeClr w14:val="tx1"/>
            </w14:solidFill>
          </w14:textFill>
        </w:rPr>
        <w:t>评标委员会职责内的事务</w:t>
      </w:r>
      <w:r>
        <w:rPr>
          <w:rFonts w:ascii="仿宋" w:hAnsi="仿宋" w:eastAsia="仿宋" w:cs="Arial"/>
          <w:b/>
          <w:color w:val="000000" w:themeColor="text1"/>
          <w:kern w:val="0"/>
          <w:sz w:val="24"/>
          <w:szCs w:val="22"/>
          <w14:textFill>
            <w14:solidFill>
              <w14:schemeClr w14:val="tx1"/>
            </w14:solidFill>
          </w14:textFill>
        </w:rPr>
        <w:t>做任何解释。</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9.2 采购结果公告和中标通知书签发</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9.2.1采购结果公告及《中标通知书》签发：</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9.2.2中标公告期限为1个工作日。</w:t>
      </w:r>
    </w:p>
    <w:p>
      <w:pPr>
        <w:spacing w:after="240"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9.2.3中标通知书发出后，中标供应商无正当理由不得放弃中标。</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9.3 采购过程、采购结果的质疑</w:t>
      </w:r>
    </w:p>
    <w:p>
      <w:pPr>
        <w:spacing w:after="240" w:line="360" w:lineRule="auto"/>
        <w:ind w:firstLine="426" w:firstLineChars="177"/>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kern w:val="0"/>
          <w:sz w:val="24"/>
          <w:u w:val="single"/>
          <w14:textFill>
            <w14:solidFill>
              <w14:schemeClr w14:val="tx1"/>
            </w14:solidFill>
          </w14:textFill>
        </w:rPr>
        <w:t>投标供应商认为</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过程</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结果使自己的合法权益受到损害的，应当</w:t>
      </w:r>
      <w:r>
        <w:rPr>
          <w:rFonts w:hint="eastAsia" w:ascii="仿宋" w:hAnsi="仿宋" w:eastAsia="仿宋" w:cs="Arial"/>
          <w:b/>
          <w:color w:val="000000" w:themeColor="text1"/>
          <w:kern w:val="0"/>
          <w:sz w:val="24"/>
          <w:u w:val="single"/>
          <w14:textFill>
            <w14:solidFill>
              <w14:schemeClr w14:val="tx1"/>
            </w14:solidFill>
          </w14:textFill>
        </w:rPr>
        <w:t>按照本章第1.16.2款规定</w:t>
      </w:r>
      <w:r>
        <w:rPr>
          <w:rFonts w:ascii="仿宋" w:hAnsi="仿宋" w:eastAsia="仿宋" w:cs="Arial"/>
          <w:b/>
          <w:color w:val="000000" w:themeColor="text1"/>
          <w:kern w:val="0"/>
          <w:sz w:val="24"/>
          <w:u w:val="single"/>
          <w14:textFill>
            <w14:solidFill>
              <w14:schemeClr w14:val="tx1"/>
            </w14:solidFill>
          </w14:textFill>
        </w:rPr>
        <w:t>，以书面形式一次性向采购人、采购代理机构提出质疑。</w:t>
      </w:r>
      <w:r>
        <w:rPr>
          <w:rFonts w:hint="eastAsia" w:ascii="仿宋" w:hAnsi="仿宋" w:eastAsia="仿宋" w:cs="Arial"/>
          <w:color w:val="000000" w:themeColor="text1"/>
          <w:sz w:val="24"/>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
        <w:rPr>
          <w:color w:val="000000" w:themeColor="text1"/>
          <w14:textFill>
            <w14:solidFill>
              <w14:schemeClr w14:val="tx1"/>
            </w14:solidFill>
          </w14:textFill>
        </w:rPr>
      </w:pPr>
      <w:bookmarkStart w:id="92" w:name="_Toc324"/>
      <w:bookmarkStart w:id="93" w:name="_Toc9303"/>
      <w:bookmarkStart w:id="94" w:name="_Toc11680"/>
      <w:bookmarkStart w:id="95" w:name="_Toc12913"/>
      <w:r>
        <w:rPr>
          <w:rFonts w:hint="eastAsia"/>
          <w:color w:val="000000" w:themeColor="text1"/>
          <w14:textFill>
            <w14:solidFill>
              <w14:schemeClr w14:val="tx1"/>
            </w14:solidFill>
          </w14:textFill>
        </w:rPr>
        <w:t>十、采购</w:t>
      </w:r>
      <w:r>
        <w:rPr>
          <w:color w:val="000000" w:themeColor="text1"/>
          <w14:textFill>
            <w14:solidFill>
              <w14:schemeClr w14:val="tx1"/>
            </w14:solidFill>
          </w14:textFill>
        </w:rPr>
        <w:t>代理服务费</w:t>
      </w:r>
      <w:bookmarkEnd w:id="92"/>
      <w:bookmarkEnd w:id="93"/>
      <w:bookmarkEnd w:id="94"/>
      <w:bookmarkEnd w:id="95"/>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10.1.1采购代理服务费的</w:t>
      </w:r>
      <w:r>
        <w:rPr>
          <w:rFonts w:hint="eastAsia" w:ascii="仿宋" w:hAnsi="仿宋" w:eastAsia="仿宋" w:cs="Arial"/>
          <w:b/>
          <w:color w:val="000000" w:themeColor="text1"/>
          <w:kern w:val="0"/>
          <w:sz w:val="24"/>
          <w:szCs w:val="22"/>
          <w14:textFill>
            <w14:solidFill>
              <w14:schemeClr w14:val="tx1"/>
            </w14:solidFill>
          </w14:textFill>
        </w:rPr>
        <w:t>支付方：</w:t>
      </w:r>
      <w:r>
        <w:rPr>
          <w:rFonts w:hint="eastAsia" w:ascii="仿宋" w:hAnsi="仿宋" w:eastAsia="仿宋" w:cs="Arial"/>
          <w:b/>
          <w:color w:val="000000" w:themeColor="text1"/>
          <w:kern w:val="0"/>
          <w:sz w:val="24"/>
          <w:szCs w:val="22"/>
          <w:u w:val="single"/>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10.1.2</w:t>
      </w:r>
      <w:r>
        <w:rPr>
          <w:rFonts w:hint="eastAsia" w:ascii="仿宋" w:hAnsi="仿宋" w:eastAsia="仿宋" w:cs="Arial"/>
          <w:b/>
          <w:color w:val="000000" w:themeColor="text1"/>
          <w:sz w:val="24"/>
          <w:szCs w:val="22"/>
          <w14:textFill>
            <w14:solidFill>
              <w14:schemeClr w14:val="tx1"/>
            </w14:solidFill>
          </w14:textFill>
        </w:rPr>
        <w:t>收取标准或金额：</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10.1.3缴纳时间：</w:t>
      </w:r>
      <w:r>
        <w:rPr>
          <w:rFonts w:hint="eastAsia" w:ascii="仿宋" w:hAnsi="仿宋" w:eastAsia="仿宋" w:cs="Arial"/>
          <w:color w:val="000000" w:themeColor="text1"/>
          <w:kern w:val="0"/>
          <w:sz w:val="24"/>
          <w:szCs w:val="22"/>
          <w:u w:val="single"/>
          <w14:textFill>
            <w14:solidFill>
              <w14:schemeClr w14:val="tx1"/>
            </w14:solidFill>
          </w14:textFill>
        </w:rPr>
        <w:t>中标供应商确定后7日内，一次性缴纳</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10.1.4缴纳形式：</w:t>
      </w:r>
      <w:r>
        <w:rPr>
          <w:rFonts w:hint="eastAsia" w:ascii="仿宋" w:hAnsi="仿宋" w:eastAsia="仿宋" w:cs="Arial"/>
          <w:color w:val="000000" w:themeColor="text1"/>
          <w:kern w:val="0"/>
          <w:sz w:val="24"/>
          <w:szCs w:val="22"/>
          <w:u w:val="single"/>
          <w14:textFill>
            <w14:solidFill>
              <w14:schemeClr w14:val="tx1"/>
            </w14:solidFill>
          </w14:textFill>
        </w:rPr>
        <w:t>电汇、转账、支票、汇票（不接受现金）</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10.1.5特别说明：</w:t>
      </w:r>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（1）本项目采购代理服务费由中标供应商支付，供应商在投标报价时应予以考虑；</w:t>
      </w:r>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（2）采购代理服务费缴纳凭证将作为采购人合同付款和验收的前提条件，中标供应商未按上述规定和投标承诺缴纳采购代理服务费的，合同款不予支付、合同验收不予通过；</w:t>
      </w:r>
    </w:p>
    <w:p>
      <w:pPr>
        <w:spacing w:after="240" w:line="360" w:lineRule="auto"/>
        <w:ind w:firstLine="426" w:firstLineChars="177"/>
        <w:rPr>
          <w:rFonts w:ascii="Arial" w:hAnsi="Arial" w:eastAsia="新宋体"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10.1.6</w:t>
      </w:r>
      <w:r>
        <w:rPr>
          <w:rFonts w:hint="eastAsia" w:ascii="仿宋" w:hAnsi="仿宋" w:eastAsia="仿宋" w:cs="Arial"/>
          <w:b/>
          <w:color w:val="000000" w:themeColor="text1"/>
          <w:sz w:val="24"/>
          <w14:textFill>
            <w14:solidFill>
              <w14:schemeClr w14:val="tx1"/>
            </w14:solidFill>
          </w14:textFill>
        </w:rPr>
        <w:t>中标供应商确定后，中标供应商拒绝签订合同的，或因自身原因被取消中标资格或放弃中标的，已收取的采购代理服务费不予退还，未支付的采购代理服务费从中标供应商的赔偿款中扣缴。</w:t>
      </w:r>
    </w:p>
    <w:p>
      <w:pPr>
        <w:pStyle w:val="3"/>
        <w:rPr>
          <w:color w:val="000000" w:themeColor="text1"/>
          <w14:textFill>
            <w14:solidFill>
              <w14:schemeClr w14:val="tx1"/>
            </w14:solidFill>
          </w14:textFill>
        </w:rPr>
      </w:pPr>
      <w:bookmarkStart w:id="96" w:name="_Toc424164160"/>
      <w:bookmarkStart w:id="97" w:name="_Toc440162792"/>
      <w:bookmarkStart w:id="98" w:name="_Toc31234"/>
      <w:bookmarkStart w:id="99" w:name="_Toc2965"/>
      <w:bookmarkStart w:id="100" w:name="_Toc9895"/>
      <w:bookmarkStart w:id="101" w:name="_Toc3052"/>
      <w:r>
        <w:rPr>
          <w:rFonts w:hint="eastAsia"/>
          <w:color w:val="000000" w:themeColor="text1"/>
          <w14:textFill>
            <w14:solidFill>
              <w14:schemeClr w14:val="tx1"/>
            </w14:solidFill>
          </w14:textFill>
        </w:rPr>
        <w:t>十一、</w:t>
      </w:r>
      <w:bookmarkEnd w:id="96"/>
      <w:bookmarkEnd w:id="97"/>
      <w:r>
        <w:rPr>
          <w:rFonts w:hint="eastAsia"/>
          <w:color w:val="000000" w:themeColor="text1"/>
          <w14:textFill>
            <w14:solidFill>
              <w14:schemeClr w14:val="tx1"/>
            </w14:solidFill>
          </w14:textFill>
        </w:rPr>
        <w:t>合同签订和履约担保</w:t>
      </w:r>
      <w:bookmarkEnd w:id="98"/>
      <w:bookmarkEnd w:id="99"/>
      <w:bookmarkEnd w:id="100"/>
      <w:bookmarkEnd w:id="101"/>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11.1 签订合同</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11.1.1合同签订时间期限：</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4"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11.1.2</w:t>
      </w:r>
      <w:r>
        <w:rPr>
          <w:rFonts w:ascii="仿宋" w:hAnsi="仿宋" w:eastAsia="仿宋" w:cs="Arial"/>
          <w:b/>
          <w:color w:val="000000" w:themeColor="text1"/>
          <w:kern w:val="0"/>
          <w:sz w:val="24"/>
          <w:szCs w:val="22"/>
          <w14:textFill>
            <w14:solidFill>
              <w14:schemeClr w14:val="tx1"/>
            </w14:solidFill>
          </w14:textFill>
        </w:rPr>
        <w:t>中标供应商应</w:t>
      </w:r>
      <w:r>
        <w:rPr>
          <w:rFonts w:hint="eastAsia" w:ascii="仿宋" w:hAnsi="仿宋" w:eastAsia="仿宋" w:cs="Arial"/>
          <w:b/>
          <w:color w:val="000000" w:themeColor="text1"/>
          <w:kern w:val="0"/>
          <w:sz w:val="24"/>
          <w:szCs w:val="22"/>
          <w14:textFill>
            <w14:solidFill>
              <w14:schemeClr w14:val="tx1"/>
            </w14:solidFill>
          </w14:textFill>
        </w:rPr>
        <w:t>在《投标须知前附表》中规定的时间内，通过“政府采购云平台”</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签订</w:t>
      </w:r>
      <w:r>
        <w:rPr>
          <w:rFonts w:hint="eastAsia" w:ascii="仿宋" w:hAnsi="仿宋" w:eastAsia="仿宋" w:cs="Arial"/>
          <w:b/>
          <w:color w:val="000000" w:themeColor="text1"/>
          <w:kern w:val="0"/>
          <w:sz w:val="24"/>
          <w:szCs w:val="22"/>
          <w14:textFill>
            <w14:solidFill>
              <w14:schemeClr w14:val="tx1"/>
            </w14:solidFill>
          </w14:textFill>
        </w:rPr>
        <w:t>政府采购</w:t>
      </w:r>
      <w:r>
        <w:rPr>
          <w:rFonts w:ascii="仿宋" w:hAnsi="仿宋" w:eastAsia="仿宋" w:cs="Arial"/>
          <w:b/>
          <w:color w:val="000000" w:themeColor="text1"/>
          <w:kern w:val="0"/>
          <w:sz w:val="24"/>
          <w:szCs w:val="22"/>
          <w14:textFill>
            <w14:solidFill>
              <w14:schemeClr w14:val="tx1"/>
            </w14:solidFill>
          </w14:textFill>
        </w:rPr>
        <w:t>合同。</w:t>
      </w:r>
      <w:r>
        <w:rPr>
          <w:rFonts w:hint="eastAsia" w:ascii="仿宋" w:hAnsi="仿宋" w:eastAsia="仿宋" w:cs="Arial"/>
          <w:color w:val="000000" w:themeColor="text1"/>
          <w:kern w:val="0"/>
          <w:sz w:val="24"/>
          <w:szCs w:val="22"/>
          <w14:textFill>
            <w14:solidFill>
              <w14:schemeClr w14:val="tx1"/>
            </w14:solidFill>
          </w14:textFill>
        </w:rPr>
        <w:t>所签订的合同不得对采购文件确定的事项和中标供应商投标文件作实质性修改。采购代理机构将</w:t>
      </w:r>
      <w:r>
        <w:rPr>
          <w:rFonts w:ascii="仿宋" w:hAnsi="仿宋" w:eastAsia="仿宋" w:cs="Arial"/>
          <w:color w:val="000000" w:themeColor="text1"/>
          <w:kern w:val="0"/>
          <w:sz w:val="24"/>
          <w:szCs w:val="22"/>
          <w14:textFill>
            <w14:solidFill>
              <w14:schemeClr w14:val="tx1"/>
            </w14:solidFill>
          </w14:textFill>
        </w:rPr>
        <w:t>根据</w:t>
      </w:r>
      <w:r>
        <w:rPr>
          <w:rFonts w:hint="eastAsia" w:ascii="仿宋" w:hAnsi="仿宋" w:eastAsia="仿宋" w:cs="Arial"/>
          <w:color w:val="000000" w:themeColor="text1"/>
          <w:kern w:val="0"/>
          <w:sz w:val="24"/>
          <w:szCs w:val="22"/>
          <w14:textFill>
            <w14:solidFill>
              <w14:schemeClr w14:val="tx1"/>
            </w14:solidFill>
          </w14:textFill>
        </w:rPr>
        <w:t>采购人的委托，</w:t>
      </w:r>
      <w:r>
        <w:rPr>
          <w:rFonts w:ascii="仿宋" w:hAnsi="仿宋" w:eastAsia="仿宋" w:cs="Arial"/>
          <w:color w:val="000000" w:themeColor="text1"/>
          <w:kern w:val="0"/>
          <w:sz w:val="24"/>
          <w:szCs w:val="22"/>
          <w14:textFill>
            <w14:solidFill>
              <w14:schemeClr w14:val="tx1"/>
            </w14:solidFill>
          </w14:textFill>
        </w:rPr>
        <w:t>对合同内容进行审查，如发现与采购结果和投标承诺内容不一致的，</w:t>
      </w:r>
      <w:r>
        <w:rPr>
          <w:rFonts w:hint="eastAsia" w:ascii="仿宋" w:hAnsi="仿宋" w:eastAsia="仿宋" w:cs="Arial"/>
          <w:color w:val="000000" w:themeColor="text1"/>
          <w:kern w:val="0"/>
          <w:sz w:val="24"/>
          <w:szCs w:val="22"/>
          <w14:textFill>
            <w14:solidFill>
              <w14:schemeClr w14:val="tx1"/>
            </w14:solidFill>
          </w14:textFill>
        </w:rPr>
        <w:t>将</w:t>
      </w:r>
      <w:r>
        <w:rPr>
          <w:rFonts w:ascii="仿宋" w:hAnsi="仿宋" w:eastAsia="仿宋" w:cs="Arial"/>
          <w:color w:val="000000" w:themeColor="text1"/>
          <w:kern w:val="0"/>
          <w:sz w:val="24"/>
          <w:szCs w:val="22"/>
          <w14:textFill>
            <w14:solidFill>
              <w14:schemeClr w14:val="tx1"/>
            </w14:solidFill>
          </w14:textFill>
        </w:rPr>
        <w:t>予以纠正。</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11.1.3</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sz w:val="24"/>
          <w:szCs w:val="22"/>
          <w14:textFill>
            <w14:solidFill>
              <w14:schemeClr w14:val="tx1"/>
            </w14:solidFill>
          </w14:textFill>
        </w:rPr>
        <w:t>拒绝与采购人签订合同的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须按项目预算金额的</w:t>
      </w:r>
      <w:r>
        <w:rPr>
          <w:rFonts w:hint="eastAsia" w:ascii="仿宋" w:hAnsi="仿宋" w:eastAsia="仿宋"/>
          <w:b/>
          <w:color w:val="000000" w:themeColor="text1"/>
          <w:sz w:val="24"/>
          <w:u w:val="single"/>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11.1.4中标供应商拒绝与采购人签订合同的，采购人将重新开展政府采购活动。</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11.1.5如中标供应商为联合体的，由联合体成员各方法定代表人或其授权代表与采购人代表签订合同。</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履约</w:t>
      </w:r>
      <w:r>
        <w:rPr>
          <w:rFonts w:hint="eastAsia"/>
          <w:color w:val="000000" w:themeColor="text1"/>
          <w14:textFill>
            <w14:solidFill>
              <w14:schemeClr w14:val="tx1"/>
            </w14:solidFill>
          </w14:textFill>
        </w:rPr>
        <w:t>担保（履约保证金）</w:t>
      </w:r>
    </w:p>
    <w:p>
      <w:pPr>
        <w:spacing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11.2.1履约担保提交要求：</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应提交而未提交</w:t>
      </w:r>
      <w:r>
        <w:rPr>
          <w:rFonts w:ascii="仿宋" w:hAnsi="仿宋" w:eastAsia="仿宋" w:cs="Arial"/>
          <w:b/>
          <w:color w:val="000000" w:themeColor="text1"/>
          <w:kern w:val="0"/>
          <w:sz w:val="24"/>
          <w:szCs w:val="22"/>
          <w14:textFill>
            <w14:solidFill>
              <w14:schemeClr w14:val="tx1"/>
            </w14:solidFill>
          </w14:textFill>
        </w:rPr>
        <w:t>履约</w:t>
      </w:r>
      <w:r>
        <w:rPr>
          <w:rFonts w:hint="eastAsia" w:ascii="仿宋" w:hAnsi="仿宋" w:eastAsia="仿宋" w:cs="Arial"/>
          <w:b/>
          <w:color w:val="000000" w:themeColor="text1"/>
          <w:kern w:val="0"/>
          <w:sz w:val="24"/>
          <w:szCs w:val="22"/>
          <w14:textFill>
            <w14:solidFill>
              <w14:schemeClr w14:val="tx1"/>
            </w14:solidFill>
          </w14:textFill>
        </w:rPr>
        <w:t>担保的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合同款不予支付、合同验收不予通过。</w:t>
      </w:r>
    </w:p>
    <w:p>
      <w:pPr>
        <w:spacing w:line="360" w:lineRule="auto"/>
        <w:ind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11.2.2采购合同签订后，中标供应商不按合同约定履约的</w:t>
      </w:r>
      <w:r>
        <w:rPr>
          <w:rFonts w:hint="eastAsia" w:ascii="仿宋" w:hAnsi="仿宋" w:eastAsia="仿宋" w:cs="仿宋"/>
          <w:b/>
          <w:color w:val="000000" w:themeColor="text1"/>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采购人可以解除采购合同，并对中标供应商已缴纳的履约保证金作“不予退还”处理；此外，中标供应商还须按以下约定向采购人支付违约金、承担违约责任：</w:t>
      </w:r>
    </w:p>
    <w:p>
      <w:pPr>
        <w:spacing w:line="360" w:lineRule="auto"/>
        <w:ind w:firstLine="422" w:firstLineChars="176"/>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（1）采购人已向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支付了合同款的，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须一次性退还采购人已支付的合同款，并向采购人支付等额的违约金；</w:t>
      </w:r>
    </w:p>
    <w:p>
      <w:pPr>
        <w:spacing w:line="360" w:lineRule="auto"/>
        <w:ind w:firstLine="424"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（2）采购人还未向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须一次性向采购人支付合同总额30%的违约金。</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11.2.3中标供应商的违约金用于弥补采购人、采购代理机构的损失，以及支付</w:t>
      </w:r>
      <w:r>
        <w:rPr>
          <w:rFonts w:hint="eastAsia" w:ascii="仿宋" w:hAnsi="仿宋" w:eastAsia="仿宋"/>
          <w:color w:val="000000" w:themeColor="text1"/>
          <w:sz w:val="24"/>
          <w14:textFill>
            <w14:solidFill>
              <w14:schemeClr w14:val="tx1"/>
            </w14:solidFill>
          </w14:textFill>
        </w:rPr>
        <w:t>采购代理服务费、专家评审费等采购组织费用</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w:t>
      </w:r>
      <w:r>
        <w:rPr>
          <w:rFonts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4</w:t>
      </w:r>
      <w:r>
        <w:rPr>
          <w:rFonts w:ascii="仿宋" w:hAnsi="仿宋" w:eastAsia="仿宋" w:cs="Arial"/>
          <w:color w:val="000000" w:themeColor="text1"/>
          <w:kern w:val="0"/>
          <w:sz w:val="24"/>
          <w:szCs w:val="22"/>
          <w14:textFill>
            <w14:solidFill>
              <w14:schemeClr w14:val="tx1"/>
            </w14:solidFill>
          </w14:textFill>
        </w:rPr>
        <w:t>履约保证金在中标供应商按</w:t>
      </w:r>
      <w:r>
        <w:rPr>
          <w:rFonts w:hint="eastAsia" w:ascii="仿宋" w:hAnsi="仿宋" w:eastAsia="仿宋" w:cs="Arial"/>
          <w:color w:val="000000" w:themeColor="text1"/>
          <w:kern w:val="0"/>
          <w:sz w:val="24"/>
          <w:szCs w:val="22"/>
          <w14:textFill>
            <w14:solidFill>
              <w14:schemeClr w14:val="tx1"/>
            </w14:solidFill>
          </w14:textFill>
        </w:rPr>
        <w:t>约定履约完毕后退还（具体退还方式以合同签订时约定为准）。</w:t>
      </w:r>
    </w:p>
    <w:p>
      <w:pPr>
        <w:spacing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w:t>
      </w:r>
      <w:r>
        <w:rPr>
          <w:rFonts w:ascii="仿宋" w:hAnsi="仿宋" w:eastAsia="仿宋" w:cs="Arial"/>
          <w:b/>
          <w:color w:val="000000" w:themeColor="text1"/>
          <w:kern w:val="0"/>
          <w:sz w:val="24"/>
          <w:szCs w:val="22"/>
          <w14:textFill>
            <w14:solidFill>
              <w14:schemeClr w14:val="tx1"/>
            </w14:solidFill>
          </w14:textFill>
        </w:rPr>
        <w:t>.5</w:t>
      </w:r>
      <w:r>
        <w:rPr>
          <w:rFonts w:hint="eastAsia" w:ascii="仿宋" w:hAnsi="仿宋" w:eastAsia="仿宋" w:cs="Arial"/>
          <w:b/>
          <w:color w:val="000000" w:themeColor="text1"/>
          <w:kern w:val="0"/>
          <w:sz w:val="24"/>
          <w:szCs w:val="22"/>
          <w14:textFill>
            <w14:solidFill>
              <w14:schemeClr w14:val="tx1"/>
            </w14:solidFill>
          </w14:textFill>
        </w:rPr>
        <w:t>中标供应商不按合同履约的，采购人将对其行为上报至同级政府采购监督管理部门对其依法处理。</w:t>
      </w:r>
    </w:p>
    <w:p>
      <w:pPr>
        <w:pStyle w:val="3"/>
        <w:rPr>
          <w:color w:val="000000" w:themeColor="text1"/>
          <w14:textFill>
            <w14:solidFill>
              <w14:schemeClr w14:val="tx1"/>
            </w14:solidFill>
          </w14:textFill>
        </w:rPr>
      </w:pPr>
      <w:bookmarkStart w:id="102" w:name="_Toc8127"/>
      <w:bookmarkStart w:id="103" w:name="_Toc26419"/>
      <w:bookmarkStart w:id="104" w:name="_Toc7837"/>
      <w:bookmarkStart w:id="105" w:name="_Toc10287"/>
      <w:r>
        <w:rPr>
          <w:rFonts w:hint="eastAsia"/>
          <w:color w:val="000000" w:themeColor="text1"/>
          <w14:textFill>
            <w14:solidFill>
              <w14:schemeClr w14:val="tx1"/>
            </w14:solidFill>
          </w14:textFill>
        </w:rPr>
        <w:t>十二、其他事项说明</w:t>
      </w:r>
      <w:bookmarkEnd w:id="102"/>
      <w:bookmarkEnd w:id="103"/>
      <w:bookmarkEnd w:id="104"/>
      <w:bookmarkEnd w:id="105"/>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12.1 </w:t>
      </w:r>
      <w:r>
        <w:rPr>
          <w:color w:val="000000" w:themeColor="text1"/>
          <w14:textFill>
            <w14:solidFill>
              <w14:schemeClr w14:val="tx1"/>
            </w14:solidFill>
          </w14:textFill>
        </w:rPr>
        <w:t>中小企业信用融资</w:t>
      </w:r>
    </w:p>
    <w:p>
      <w:pPr>
        <w:pStyle w:val="8"/>
        <w:spacing w:after="240"/>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12.1.1中小企业融资相关规定：</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12.2 重要提醒</w:t>
      </w:r>
    </w:p>
    <w:p>
      <w:pPr>
        <w:pStyle w:val="8"/>
        <w:spacing w:after="240"/>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12.2.1投标重要提醒：</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12.3 采购文件解释权</w:t>
      </w:r>
    </w:p>
    <w:p>
      <w:pPr>
        <w:pStyle w:val="8"/>
        <w:spacing w:after="240"/>
        <w:ind w:firstLine="426"/>
        <w:rPr>
          <w:color w:val="000000" w:themeColor="text1"/>
          <w:kern w:val="0"/>
          <w14:textFill>
            <w14:solidFill>
              <w14:schemeClr w14:val="tx1"/>
            </w14:solidFill>
          </w14:textFill>
        </w:rPr>
        <w:sectPr>
          <w:headerReference r:id="rId18" w:type="first"/>
          <w:headerReference r:id="rId16" w:type="default"/>
          <w:headerReference r:id="rId17" w:type="even"/>
          <w:pgSz w:w="11906" w:h="16838"/>
          <w:pgMar w:top="1701" w:right="1416" w:bottom="1440" w:left="1560" w:header="709" w:footer="797" w:gutter="0"/>
          <w:pgNumType w:fmt="numberInDash"/>
          <w:cols w:space="720" w:num="1"/>
          <w:docGrid w:linePitch="312" w:charSpace="0"/>
        </w:sectPr>
      </w:pPr>
      <w:r>
        <w:rPr>
          <w:rFonts w:hint="eastAsia"/>
          <w:b/>
          <w:color w:val="000000" w:themeColor="text1"/>
          <w:kern w:val="0"/>
          <w14:textFill>
            <w14:solidFill>
              <w14:schemeClr w14:val="tx1"/>
            </w14:solidFill>
          </w14:textFill>
        </w:rPr>
        <w:t>12.3.1采购文件解释权：</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pPr>
        <w:pStyle w:val="54"/>
        <w:rPr>
          <w:rFonts w:ascii="Arial" w:hAnsi="Arial" w:eastAsia="新宋体" w:cs="Arial"/>
          <w:color w:val="000000" w:themeColor="text1"/>
          <w:sz w:val="22"/>
          <w:szCs w:val="22"/>
          <w14:textFill>
            <w14:solidFill>
              <w14:schemeClr w14:val="tx1"/>
            </w14:solidFill>
          </w14:textFill>
        </w:rPr>
      </w:pPr>
      <w:bookmarkStart w:id="106" w:name="_Toc424164161"/>
      <w:bookmarkStart w:id="107" w:name="_Toc440162793"/>
      <w:bookmarkStart w:id="108" w:name="_Toc29644"/>
      <w:bookmarkStart w:id="109" w:name="_Toc3190"/>
      <w:bookmarkStart w:id="110" w:name="_Toc4836"/>
      <w:bookmarkStart w:id="111" w:name="_Toc17644"/>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bookmarkEnd w:id="106"/>
      <w:bookmarkEnd w:id="107"/>
      <w:r>
        <w:rPr>
          <w:rFonts w:hint="eastAsia"/>
          <w:color w:val="000000" w:themeColor="text1"/>
          <w14:textFill>
            <w14:solidFill>
              <w14:schemeClr w14:val="tx1"/>
            </w14:solidFill>
          </w14:textFill>
        </w:rPr>
        <w:t>评审方法和标准</w:t>
      </w:r>
      <w:bookmarkEnd w:id="108"/>
      <w:bookmarkEnd w:id="109"/>
      <w:bookmarkEnd w:id="110"/>
      <w:bookmarkEnd w:id="111"/>
    </w:p>
    <w:p>
      <w:pPr>
        <w:pStyle w:val="8"/>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为公正、公平、科学地</w:t>
      </w:r>
      <w:r>
        <w:rPr>
          <w:rFonts w:hint="eastAsia"/>
          <w:b/>
          <w:color w:val="000000" w:themeColor="text1"/>
          <w:kern w:val="0"/>
          <w14:textFill>
            <w14:solidFill>
              <w14:schemeClr w14:val="tx1"/>
            </w14:solidFill>
          </w14:textFill>
        </w:rPr>
        <w:t>选择</w:t>
      </w:r>
      <w:r>
        <w:rPr>
          <w:b/>
          <w:color w:val="000000" w:themeColor="text1"/>
          <w:kern w:val="0"/>
          <w14:textFill>
            <w14:solidFill>
              <w14:schemeClr w14:val="tx1"/>
            </w14:solidFill>
          </w14:textFill>
        </w:rPr>
        <w:t>中标供应商，根据《中华人民共和国政府采购法》</w:t>
      </w:r>
      <w:r>
        <w:rPr>
          <w:rFonts w:hint="eastAsia"/>
          <w:b/>
          <w:color w:val="000000" w:themeColor="text1"/>
          <w:kern w:val="0"/>
          <w14:textFill>
            <w14:solidFill>
              <w14:schemeClr w14:val="tx1"/>
            </w14:solidFill>
          </w14:textFill>
        </w:rPr>
        <w:t>、《政府采购货物和服务招标投标管理办法》</w:t>
      </w:r>
      <w:r>
        <w:rPr>
          <w:b/>
          <w:color w:val="000000" w:themeColor="text1"/>
          <w:kern w:val="0"/>
          <w14:textFill>
            <w14:solidFill>
              <w14:schemeClr w14:val="tx1"/>
            </w14:solidFill>
          </w14:textFill>
        </w:rPr>
        <w:t>等有关法律法规的规定，并结合本项目的实际，制定本办法。</w:t>
      </w:r>
    </w:p>
    <w:p>
      <w:pPr>
        <w:pStyle w:val="8"/>
        <w:rPr>
          <w:rFonts w:ascii="Arial" w:hAnsi="Arial" w:eastAsia="新宋体"/>
          <w:color w:val="000000" w:themeColor="text1"/>
          <w:kern w:val="0"/>
          <w:sz w:val="22"/>
          <w14:textFill>
            <w14:solidFill>
              <w14:schemeClr w14:val="tx1"/>
            </w14:solidFill>
          </w14:textFill>
        </w:rPr>
      </w:pPr>
      <w:r>
        <w:rPr>
          <w:color w:val="000000" w:themeColor="text1"/>
          <w:kern w:val="0"/>
          <w14:textFill>
            <w14:solidFill>
              <w14:schemeClr w14:val="tx1"/>
            </w14:solidFill>
          </w14:textFill>
        </w:rPr>
        <w:t>本办法适用于</w:t>
      </w:r>
      <w:r>
        <w:rPr>
          <w:rFonts w:hint="eastAsia"/>
          <w:b/>
          <w:color w:val="000000" w:themeColor="text1"/>
          <w:kern w:val="0"/>
          <w:u w:val="single"/>
          <w14:textFill>
            <w14:solidFill>
              <w14:schemeClr w14:val="tx1"/>
            </w14:solidFill>
          </w14:textFill>
        </w:rPr>
        <w:t>浙江省城市运行安全数字化管理系统（被整合系统）运维项目（项目编号：</w:t>
      </w:r>
      <w:r>
        <w:rPr>
          <w:rFonts w:hint="eastAsia"/>
          <w:b/>
          <w:color w:val="000000" w:themeColor="text1"/>
          <w:kern w:val="0"/>
          <w:u w:val="single"/>
          <w:lang w:eastAsia="zh-CN"/>
          <w14:textFill>
            <w14:solidFill>
              <w14:schemeClr w14:val="tx1"/>
            </w14:solidFill>
          </w14:textFill>
        </w:rPr>
        <w:t>CTZB-2024080141</w:t>
      </w:r>
      <w:r>
        <w:rPr>
          <w:rFonts w:hint="eastAsia"/>
          <w:b/>
          <w:color w:val="000000" w:themeColor="text1"/>
          <w:kern w:val="0"/>
          <w:u w:val="single"/>
          <w14:textFill>
            <w14:solidFill>
              <w14:schemeClr w14:val="tx1"/>
            </w14:solidFill>
          </w14:textFill>
        </w:rPr>
        <w:t>）</w:t>
      </w:r>
      <w:r>
        <w:rPr>
          <w:color w:val="000000" w:themeColor="text1"/>
          <w:kern w:val="0"/>
          <w14:textFill>
            <w14:solidFill>
              <w14:schemeClr w14:val="tx1"/>
            </w14:solidFill>
          </w14:textFill>
        </w:rPr>
        <w:t>的评审。</w:t>
      </w:r>
    </w:p>
    <w:p>
      <w:pPr>
        <w:pStyle w:val="3"/>
        <w:rPr>
          <w:color w:val="000000" w:themeColor="text1"/>
          <w14:textFill>
            <w14:solidFill>
              <w14:schemeClr w14:val="tx1"/>
            </w14:solidFill>
          </w14:textFill>
        </w:rPr>
      </w:pPr>
      <w:bookmarkStart w:id="112" w:name="_Toc3996"/>
      <w:bookmarkStart w:id="113" w:name="_Toc18104"/>
      <w:bookmarkStart w:id="114" w:name="_Toc12264"/>
      <w:bookmarkStart w:id="115" w:name="_Toc23271"/>
      <w:bookmarkStart w:id="116" w:name="_Toc440162794"/>
      <w:bookmarkStart w:id="117" w:name="_Toc424164162"/>
      <w:r>
        <w:rPr>
          <w:rFonts w:hint="eastAsia"/>
          <w:color w:val="000000" w:themeColor="text1"/>
          <w14:textFill>
            <w14:solidFill>
              <w14:schemeClr w14:val="tx1"/>
            </w14:solidFill>
          </w14:textFill>
        </w:rPr>
        <w:t>一、评审方法</w:t>
      </w:r>
      <w:bookmarkEnd w:id="112"/>
      <w:bookmarkEnd w:id="113"/>
      <w:bookmarkEnd w:id="114"/>
      <w:bookmarkEnd w:id="115"/>
    </w:p>
    <w:p>
      <w:pPr>
        <w:snapToGrid w:val="0"/>
        <w:spacing w:line="360" w:lineRule="auto"/>
        <w:ind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本项目采用</w:t>
      </w:r>
      <w:r>
        <w:rPr>
          <w:rFonts w:ascii="仿宋" w:hAnsi="仿宋" w:eastAsia="仿宋" w:cs="Arial"/>
          <w:b/>
          <w:color w:val="000000" w:themeColor="text1"/>
          <w:kern w:val="0"/>
          <w:sz w:val="24"/>
          <w:szCs w:val="22"/>
          <w14:textFill>
            <w14:solidFill>
              <w14:schemeClr w14:val="tx1"/>
            </w14:solidFill>
          </w14:textFill>
        </w:rPr>
        <w:t>综合评分法</w:t>
      </w:r>
      <w:r>
        <w:rPr>
          <w:rFonts w:hint="eastAsia" w:ascii="仿宋" w:hAnsi="仿宋" w:eastAsia="仿宋" w:cs="Arial"/>
          <w:b/>
          <w:color w:val="000000" w:themeColor="text1"/>
          <w:sz w:val="24"/>
          <w:szCs w:val="22"/>
          <w14:textFill>
            <w14:solidFill>
              <w14:schemeClr w14:val="tx1"/>
            </w14:solidFill>
          </w14:textFill>
        </w:rPr>
        <w:t>（满分100分，</w:t>
      </w:r>
      <w:r>
        <w:rPr>
          <w:rFonts w:ascii="仿宋" w:hAnsi="仿宋" w:eastAsia="仿宋" w:cs="Arial"/>
          <w:b/>
          <w:color w:val="000000" w:themeColor="text1"/>
          <w:sz w:val="24"/>
          <w:szCs w:val="22"/>
          <w14:textFill>
            <w14:solidFill>
              <w14:schemeClr w14:val="tx1"/>
            </w14:solidFill>
          </w14:textFill>
        </w:rPr>
        <w:t>其中</w:t>
      </w:r>
      <w:r>
        <w:rPr>
          <w:rFonts w:hint="eastAsia" w:ascii="仿宋" w:hAnsi="仿宋" w:eastAsia="仿宋" w:cs="Arial"/>
          <w:b/>
          <w:color w:val="000000" w:themeColor="text1"/>
          <w:sz w:val="24"/>
          <w:szCs w:val="22"/>
          <w:u w:val="single"/>
          <w14:textFill>
            <w14:solidFill>
              <w14:schemeClr w14:val="tx1"/>
            </w14:solidFill>
          </w14:textFill>
        </w:rPr>
        <w:t>商务技术90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u w:val="single"/>
          <w14:textFill>
            <w14:solidFill>
              <w14:schemeClr w14:val="tx1"/>
            </w14:solidFill>
          </w14:textFill>
        </w:rPr>
        <w:t>，报价10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w:t>
      </w:r>
    </w:p>
    <w:p>
      <w:pPr>
        <w:spacing w:after="240" w:line="360" w:lineRule="auto"/>
        <w:ind w:firstLine="422" w:firstLineChars="176"/>
        <w:rPr>
          <w:color w:val="000000" w:themeColor="text1"/>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评标委员会将按照本章规定的评审方法、评分标准，对符合性审查合格的投标文件进行商务和技术的评估、综合评价。评标时，评标委员会各成员将独立对每个投标供应商的投标文件进行评价，并汇总每个投标供应商的得分。</w:t>
      </w:r>
      <w:r>
        <w:rPr>
          <w:rFonts w:ascii="仿宋" w:hAnsi="仿宋" w:eastAsia="仿宋" w:cs="Arial"/>
          <w:color w:val="000000" w:themeColor="text1"/>
          <w:kern w:val="0"/>
          <w:sz w:val="24"/>
          <w:szCs w:val="22"/>
          <w14:textFill>
            <w14:solidFill>
              <w14:schemeClr w14:val="tx1"/>
            </w14:solidFill>
          </w14:textFill>
        </w:rPr>
        <w:t>评分过程中采用四舍五入法，保留小数</w:t>
      </w:r>
      <w:r>
        <w:rPr>
          <w:rFonts w:hint="eastAsia" w:ascii="仿宋" w:hAnsi="仿宋" w:eastAsia="仿宋" w:cs="Arial"/>
          <w:color w:val="000000" w:themeColor="text1"/>
          <w:kern w:val="0"/>
          <w:sz w:val="24"/>
          <w:szCs w:val="22"/>
          <w14:textFill>
            <w14:solidFill>
              <w14:schemeClr w14:val="tx1"/>
            </w14:solidFill>
          </w14:textFill>
        </w:rPr>
        <w:t>二</w:t>
      </w:r>
      <w:r>
        <w:rPr>
          <w:rFonts w:ascii="仿宋" w:hAnsi="仿宋" w:eastAsia="仿宋" w:cs="Arial"/>
          <w:color w:val="000000" w:themeColor="text1"/>
          <w:kern w:val="0"/>
          <w:sz w:val="24"/>
          <w:szCs w:val="22"/>
          <w14:textFill>
            <w14:solidFill>
              <w14:schemeClr w14:val="tx1"/>
            </w14:solidFill>
          </w14:textFill>
        </w:rPr>
        <w:t>位。</w:t>
      </w:r>
      <w:r>
        <w:rPr>
          <w:rFonts w:ascii="仿宋" w:hAnsi="仿宋" w:eastAsia="仿宋" w:cs="Arial"/>
          <w:b/>
          <w:color w:val="000000" w:themeColor="text1"/>
          <w:sz w:val="24"/>
          <w:szCs w:val="22"/>
          <w14:textFill>
            <w14:solidFill>
              <w14:schemeClr w14:val="tx1"/>
            </w14:solidFill>
          </w14:textFill>
        </w:rPr>
        <w:t>综合得分</w:t>
      </w:r>
      <w:r>
        <w:rPr>
          <w:rFonts w:hint="eastAsia" w:ascii="仿宋" w:hAnsi="仿宋" w:eastAsia="仿宋" w:cs="Arial"/>
          <w:b/>
          <w:color w:val="000000" w:themeColor="text1"/>
          <w:sz w:val="24"/>
          <w:szCs w:val="22"/>
          <w14:textFill>
            <w14:solidFill>
              <w14:schemeClr w14:val="tx1"/>
            </w14:solidFill>
          </w14:textFill>
        </w:rPr>
        <w:t>=商务技术</w:t>
      </w:r>
      <w:r>
        <w:rPr>
          <w:rFonts w:ascii="仿宋" w:hAnsi="仿宋" w:eastAsia="仿宋" w:cs="Arial"/>
          <w:b/>
          <w:color w:val="000000" w:themeColor="text1"/>
          <w:sz w:val="24"/>
          <w:szCs w:val="22"/>
          <w14:textFill>
            <w14:solidFill>
              <w14:schemeClr w14:val="tx1"/>
            </w14:solidFill>
          </w14:textFill>
        </w:rPr>
        <w:t>得分</w:t>
      </w:r>
      <w:r>
        <w:rPr>
          <w:rFonts w:hint="eastAsia" w:ascii="仿宋" w:hAnsi="仿宋" w:eastAsia="仿宋" w:cs="Arial"/>
          <w:b/>
          <w:color w:val="000000" w:themeColor="text1"/>
          <w:sz w:val="24"/>
          <w:szCs w:val="22"/>
          <w14:textFill>
            <w14:solidFill>
              <w14:schemeClr w14:val="tx1"/>
            </w14:solidFill>
          </w14:textFill>
        </w:rPr>
        <w:t>+报价得分</w:t>
      </w:r>
    </w:p>
    <w:p>
      <w:pPr>
        <w:pStyle w:val="3"/>
        <w:rPr>
          <w:color w:val="000000" w:themeColor="text1"/>
          <w14:textFill>
            <w14:solidFill>
              <w14:schemeClr w14:val="tx1"/>
            </w14:solidFill>
          </w14:textFill>
        </w:rPr>
      </w:pPr>
      <w:bookmarkStart w:id="118" w:name="_Toc24142"/>
      <w:bookmarkStart w:id="119" w:name="_Toc27229"/>
      <w:bookmarkStart w:id="120" w:name="_Toc687"/>
      <w:bookmarkStart w:id="121" w:name="_Toc26291"/>
      <w:r>
        <w:rPr>
          <w:rFonts w:hint="eastAsia"/>
          <w:color w:val="000000" w:themeColor="text1"/>
          <w14:textFill>
            <w14:solidFill>
              <w14:schemeClr w14:val="tx1"/>
            </w14:solidFill>
          </w14:textFill>
        </w:rPr>
        <w:t>二、评审流程及内容</w:t>
      </w:r>
      <w:bookmarkEnd w:id="118"/>
      <w:bookmarkEnd w:id="119"/>
      <w:bookmarkEnd w:id="120"/>
      <w:bookmarkEnd w:id="121"/>
    </w:p>
    <w:p>
      <w:pPr>
        <w:spacing w:after="240" w:line="360" w:lineRule="auto"/>
        <w:ind w:firstLine="424" w:firstLineChars="176"/>
        <w:rPr>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本项目具体的评审事务由评标委员会负责，评审流程及内容如下：</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评审前准备</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2.1.1由评审专家推选评审小组组长（评标委员会主任委员），采购人代表不得担任评审小组组长（评标委员会主任委员）。</w:t>
      </w:r>
    </w:p>
    <w:p>
      <w:pPr>
        <w:spacing w:after="240"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2.2 投标文件的初步审查、符合性审查</w:t>
      </w:r>
    </w:p>
    <w:p>
      <w:pPr>
        <w:spacing w:after="240"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2.2.1评标委员会首先对符合资格的投标供应商的投标文件进行符合性审查，以确定其是否满足采购文件的实质性要求。</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2.2.2《商务技术文件》存在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w:t>
      </w:r>
      <w:r>
        <w:rPr>
          <w:rFonts w:hint="eastAsia" w:ascii="仿宋" w:hAnsi="仿宋" w:eastAsia="仿宋"/>
          <w:b/>
          <w:color w:val="000000" w:themeColor="text1"/>
          <w:sz w:val="24"/>
          <w:u w:val="single"/>
          <w14:textFill>
            <w14:solidFill>
              <w14:schemeClr w14:val="tx1"/>
            </w14:solidFill>
          </w14:textFill>
        </w:rPr>
        <w:t>仅提交“备份投标文件”的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“商务技术文件”</w:t>
      </w:r>
      <w:r>
        <w:rPr>
          <w:rFonts w:hint="eastAsia" w:ascii="仿宋" w:hAnsi="仿宋" w:eastAsia="仿宋" w:cs="Arial"/>
          <w:b/>
          <w:color w:val="000000" w:themeColor="text1"/>
          <w:kern w:val="0"/>
          <w:sz w:val="24"/>
          <w:u w:val="single"/>
          <w14:textFill>
            <w14:solidFill>
              <w14:schemeClr w14:val="tx1"/>
            </w14:solidFill>
          </w14:textFill>
        </w:rPr>
        <w:t>中出现本次项目的投标报价的</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6</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7</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投标文件标注的响应或偏离情况与事实不符，或提供了虚假材料的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有效期</w:t>
      </w:r>
      <w:r>
        <w:rPr>
          <w:rFonts w:hint="eastAsia" w:ascii="仿宋" w:hAnsi="仿宋" w:eastAsia="仿宋" w:cs="Arial"/>
          <w:b/>
          <w:color w:val="000000" w:themeColor="text1"/>
          <w:kern w:val="0"/>
          <w:sz w:val="24"/>
          <w:u w:val="single"/>
          <w14:textFill>
            <w14:solidFill>
              <w14:schemeClr w14:val="tx1"/>
            </w14:solidFill>
          </w14:textFill>
        </w:rPr>
        <w:t>不符合本采购文件</w:t>
      </w:r>
      <w:r>
        <w:rPr>
          <w:rFonts w:ascii="仿宋" w:hAnsi="仿宋" w:eastAsia="仿宋" w:cs="Arial"/>
          <w:b/>
          <w:color w:val="000000" w:themeColor="text1"/>
          <w:kern w:val="0"/>
          <w:sz w:val="24"/>
          <w:u w:val="single"/>
          <w14:textFill>
            <w14:solidFill>
              <w14:schemeClr w14:val="tx1"/>
            </w14:solidFill>
          </w14:textFill>
        </w:rPr>
        <w:t>要求的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9</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（10）</w:t>
      </w:r>
      <w:r>
        <w:rPr>
          <w:rFonts w:hint="eastAsia" w:ascii="仿宋" w:hAnsi="仿宋" w:eastAsia="仿宋" w:cs="Arial"/>
          <w:b/>
          <w:color w:val="000000" w:themeColor="text1"/>
          <w:kern w:val="0"/>
          <w:sz w:val="24"/>
          <w:u w:val="single"/>
          <w14:textFill>
            <w14:solidFill>
              <w14:schemeClr w14:val="tx1"/>
            </w14:solidFill>
          </w14:textFill>
        </w:rPr>
        <w:t>参加同一合同项下政府采购活动的不同供应商之间存在本采购文件第三章投标须知第1.13.2款规定的利害关系的</w:t>
      </w:r>
      <w:r>
        <w:rPr>
          <w:rFonts w:hint="eastAsia" w:ascii="仿宋" w:hAnsi="仿宋" w:eastAsia="仿宋" w:cs="Arial"/>
          <w:b/>
          <w:color w:val="000000" w:themeColor="text1"/>
          <w:kern w:val="0"/>
          <w:sz w:val="24"/>
          <w14:textFill>
            <w14:solidFill>
              <w14:schemeClr w14:val="tx1"/>
            </w14:solidFill>
          </w14:textFill>
        </w:rPr>
        <w:t>；</w:t>
      </w:r>
    </w:p>
    <w:p>
      <w:pPr>
        <w:spacing w:after="240"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2.2.3《报价文件》存在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3</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未按照采购文件标明的币种报价的</w:t>
      </w:r>
      <w:r>
        <w:rPr>
          <w:rFonts w:hint="eastAsia" w:ascii="仿宋" w:hAnsi="仿宋" w:eastAsia="仿宋" w:cs="Arial"/>
          <w:b/>
          <w:color w:val="000000" w:themeColor="text1"/>
          <w:kern w:val="0"/>
          <w:sz w:val="24"/>
          <w:u w:val="single"/>
          <w14:textFill>
            <w14:solidFill>
              <w14:schemeClr w14:val="tx1"/>
            </w14:solidFill>
          </w14:textFill>
        </w:rPr>
        <w:t>，或者投标报价涵盖的内容不符合采购文件要求的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报价出现前后不一致时拒绝按照采购文件规定的错误修正原则进行</w:t>
      </w:r>
      <w:r>
        <w:rPr>
          <w:rFonts w:ascii="仿宋" w:hAnsi="仿宋" w:eastAsia="仿宋" w:cs="Arial"/>
          <w:b/>
          <w:color w:val="000000" w:themeColor="text1"/>
          <w:kern w:val="0"/>
          <w:sz w:val="24"/>
          <w:u w:val="single"/>
          <w14:textFill>
            <w14:solidFill>
              <w14:schemeClr w14:val="tx1"/>
            </w14:solidFill>
          </w14:textFill>
        </w:rPr>
        <w:t>修正的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投标报价具有选择性，</w:t>
      </w:r>
      <w:r>
        <w:rPr>
          <w:rFonts w:hint="eastAsia" w:ascii="仿宋" w:hAnsi="仿宋" w:eastAsia="仿宋" w:cs="Arial"/>
          <w:b/>
          <w:color w:val="000000" w:themeColor="text1"/>
          <w:kern w:val="0"/>
          <w:sz w:val="24"/>
          <w:u w:val="single"/>
          <w14:textFill>
            <w14:solidFill>
              <w14:schemeClr w14:val="tx1"/>
            </w14:solidFill>
          </w14:textFill>
        </w:rPr>
        <w:t>开标记录载明的报价</w:t>
      </w:r>
      <w:r>
        <w:rPr>
          <w:rFonts w:ascii="仿宋" w:hAnsi="仿宋" w:eastAsia="仿宋" w:cs="Arial"/>
          <w:b/>
          <w:color w:val="000000" w:themeColor="text1"/>
          <w:kern w:val="0"/>
          <w:sz w:val="24"/>
          <w:u w:val="single"/>
          <w14:textFill>
            <w14:solidFill>
              <w14:schemeClr w14:val="tx1"/>
            </w14:solidFill>
          </w14:textFill>
        </w:rPr>
        <w:t>与《投标文件》承诺价格不一致</w:t>
      </w:r>
      <w:r>
        <w:rPr>
          <w:rFonts w:hint="eastAsia" w:ascii="仿宋" w:hAnsi="仿宋" w:eastAsia="仿宋" w:cs="Arial"/>
          <w:b/>
          <w:color w:val="000000" w:themeColor="text1"/>
          <w:kern w:val="0"/>
          <w:sz w:val="24"/>
          <w:u w:val="single"/>
          <w14:textFill>
            <w14:solidFill>
              <w14:schemeClr w14:val="tx1"/>
            </w14:solidFill>
          </w14:textFill>
        </w:rPr>
        <w:t>且拒绝按照采购文件规定的原则进行修订</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w:t>
      </w:r>
      <w:r>
        <w:rPr>
          <w:rFonts w:hint="eastAsia" w:ascii="仿宋" w:hAnsi="仿宋" w:eastAsia="仿宋" w:cs="Arial"/>
          <w:b/>
          <w:color w:val="000000" w:themeColor="text1"/>
          <w:kern w:val="0"/>
          <w:sz w:val="24"/>
          <w:u w:val="single"/>
          <w14:textFill>
            <w14:solidFill>
              <w14:schemeClr w14:val="tx1"/>
            </w14:solidFill>
          </w14:textFill>
        </w:rPr>
        <w:t>报价超过采购文件中规定的预算金额或者最高限价的；</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（9）</w:t>
      </w:r>
      <w:r>
        <w:rPr>
          <w:rFonts w:hint="eastAsia" w:ascii="仿宋" w:hAnsi="仿宋" w:eastAsia="仿宋" w:cs="Arial"/>
          <w:b/>
          <w:color w:val="000000" w:themeColor="text1"/>
          <w:sz w:val="24"/>
          <w:szCs w:val="22"/>
          <w:u w:val="single"/>
          <w14:textFill>
            <w14:solidFill>
              <w14:schemeClr w14:val="tx1"/>
            </w14:solidFill>
          </w14:textFill>
        </w:rPr>
        <w:t>投标供应商的报价明显低于其他通过符合性审查的投标供应商的报价</w:t>
      </w:r>
      <w:r>
        <w:rPr>
          <w:rFonts w:hint="eastAsia" w:ascii="仿宋" w:hAnsi="仿宋" w:eastAsia="仿宋" w:cs="Arial"/>
          <w:b/>
          <w:color w:val="000000"/>
          <w:sz w:val="24"/>
          <w:szCs w:val="22"/>
          <w:u w:val="single"/>
        </w:rPr>
        <w:t>或报价低于最高限价50%的</w:t>
      </w:r>
      <w:r>
        <w:rPr>
          <w:rFonts w:hint="eastAsia" w:ascii="仿宋" w:hAnsi="仿宋" w:eastAsia="仿宋" w:cs="Arial"/>
          <w:b/>
          <w:color w:val="000000" w:themeColor="text1"/>
          <w:sz w:val="24"/>
          <w:szCs w:val="22"/>
          <w:u w:val="single"/>
          <w14:textFill>
            <w14:solidFill>
              <w14:schemeClr w14:val="tx1"/>
            </w14:solidFill>
          </w14:textFill>
        </w:rPr>
        <w:t>，评标委员会认为其报价有可能影响产品质量或者不能诚信履约时，</w:t>
      </w:r>
      <w:r>
        <w:rPr>
          <w:rFonts w:ascii="仿宋" w:hAnsi="仿宋" w:eastAsia="仿宋" w:cs="Arial"/>
          <w:b/>
          <w:color w:val="000000" w:themeColor="text1"/>
          <w:sz w:val="24"/>
          <w:szCs w:val="22"/>
          <w:u w:val="single"/>
          <w14:textFill>
            <w14:solidFill>
              <w14:schemeClr w14:val="tx1"/>
            </w14:solidFill>
          </w14:textFill>
        </w:rPr>
        <w:t>投标</w:t>
      </w:r>
      <w:r>
        <w:rPr>
          <w:rFonts w:hint="eastAsia" w:ascii="仿宋" w:hAnsi="仿宋" w:eastAsia="仿宋" w:cs="Arial"/>
          <w:b/>
          <w:color w:val="000000" w:themeColor="text1"/>
          <w:sz w:val="24"/>
          <w:szCs w:val="22"/>
          <w:u w:val="single"/>
          <w14:textFill>
            <w14:solidFill>
              <w14:schemeClr w14:val="tx1"/>
            </w14:solidFill>
          </w14:textFill>
        </w:rPr>
        <w:t>供应商</w:t>
      </w:r>
      <w:r>
        <w:rPr>
          <w:rFonts w:ascii="仿宋" w:hAnsi="仿宋" w:eastAsia="仿宋" w:cs="Arial"/>
          <w:b/>
          <w:color w:val="000000" w:themeColor="text1"/>
          <w:sz w:val="24"/>
          <w:szCs w:val="22"/>
          <w:u w:val="single"/>
          <w14:textFill>
            <w14:solidFill>
              <w14:schemeClr w14:val="tx1"/>
            </w14:solidFill>
          </w14:textFill>
        </w:rPr>
        <w:t>不能</w:t>
      </w:r>
      <w:r>
        <w:rPr>
          <w:rFonts w:hint="eastAsia" w:ascii="仿宋" w:hAnsi="仿宋" w:eastAsia="仿宋" w:cs="Arial"/>
          <w:b/>
          <w:color w:val="000000" w:themeColor="text1"/>
          <w:sz w:val="24"/>
          <w:szCs w:val="22"/>
          <w:u w:val="single"/>
          <w14:textFill>
            <w14:solidFill>
              <w14:schemeClr w14:val="tx1"/>
            </w14:solidFill>
          </w14:textFill>
        </w:rPr>
        <w:t>在规定的时间</w:t>
      </w:r>
      <w:r>
        <w:rPr>
          <w:rFonts w:ascii="仿宋" w:hAnsi="仿宋" w:eastAsia="仿宋" w:cs="Arial"/>
          <w:b/>
          <w:color w:val="000000" w:themeColor="text1"/>
          <w:sz w:val="24"/>
          <w:szCs w:val="22"/>
          <w:u w:val="single"/>
          <w14:textFill>
            <w14:solidFill>
              <w14:schemeClr w14:val="tx1"/>
            </w14:solidFill>
          </w14:textFill>
        </w:rPr>
        <w:t>证明其报价合理性的</w:t>
      </w:r>
      <w:r>
        <w:rPr>
          <w:rFonts w:hint="eastAsia" w:ascii="仿宋" w:hAnsi="仿宋" w:eastAsia="仿宋" w:cs="Arial"/>
          <w:b/>
          <w:color w:val="000000" w:themeColor="text1"/>
          <w:sz w:val="24"/>
          <w:szCs w:val="22"/>
          <w:u w:val="single"/>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10</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pPr>
        <w:spacing w:after="240"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2.3 投标文件的澄清、说明或补正</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2.3.1对于投标文件中含义不明确、同类问题表述不一致或者有明显文字和计算错误的内容，</w:t>
      </w:r>
      <w:r>
        <w:rPr>
          <w:rFonts w:hint="eastAsia" w:ascii="仿宋" w:hAnsi="仿宋" w:eastAsia="仿宋" w:cs="Arial"/>
          <w:b/>
          <w:color w:val="000000" w:themeColor="text1"/>
          <w:kern w:val="0"/>
          <w:sz w:val="24"/>
          <w:szCs w:val="22"/>
          <w14:textFill>
            <w14:solidFill>
              <w14:schemeClr w14:val="tx1"/>
            </w14:solidFill>
          </w14:textFill>
        </w:rPr>
        <w:t>评标委员会将通过“政府采购云平台”在线询标的方式</w:t>
      </w:r>
      <w:r>
        <w:rPr>
          <w:rFonts w:hint="eastAsia" w:ascii="仿宋" w:hAnsi="仿宋" w:eastAsia="仿宋" w:cs="Arial"/>
          <w:color w:val="000000" w:themeColor="text1"/>
          <w:kern w:val="0"/>
          <w:sz w:val="24"/>
          <w:szCs w:val="22"/>
          <w14:textFill>
            <w14:solidFill>
              <w14:schemeClr w14:val="tx1"/>
            </w14:solidFill>
          </w14:textFill>
        </w:rPr>
        <w:t>要求</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在规定的时间内作出必要的澄清、说明或者补正，投标供应商澄清、说明或补正时间为30分钟。</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2.3.2</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的澄清、说明或者补正应当通过“政府采购云平台”在线答复的方式提交，并加盖公章，或者由法定代表人或其授权的代表签字。</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的澄清、说明或者补正不得超出投标文件的范围或者改变投标文件的实质性内容。</w:t>
      </w:r>
    </w:p>
    <w:p>
      <w:pPr>
        <w:spacing w:after="240"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2.3.3上述询标、澄清、说明和补正工作如因客观原因无法通过“政府采购云平台”在线进行的，将采用书面（含邮件）形式进行。</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2.4 投标文件的错误修正</w:t>
      </w:r>
    </w:p>
    <w:p>
      <w:pPr>
        <w:spacing w:line="360" w:lineRule="auto"/>
        <w:ind w:firstLine="422" w:firstLineChars="175"/>
        <w:rPr>
          <w:rFonts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2.4.1</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报价出现前后不一致的，按照下列规定修正</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（1）《投标文件》</w:t>
      </w:r>
      <w:r>
        <w:rPr>
          <w:rFonts w:hint="eastAsia" w:ascii="仿宋" w:hAnsi="仿宋" w:eastAsia="仿宋" w:cs="Arial"/>
          <w:b/>
          <w:color w:val="000000" w:themeColor="text1"/>
          <w:kern w:val="0"/>
          <w:sz w:val="24"/>
          <w:szCs w:val="22"/>
          <w14:textFill>
            <w14:solidFill>
              <w14:schemeClr w14:val="tx1"/>
            </w14:solidFill>
          </w14:textFill>
        </w:rPr>
        <w:t>中</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（报价表）内容</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投标文件中相应内容不一致的</w:t>
      </w:r>
      <w:r>
        <w:rPr>
          <w:rFonts w:ascii="仿宋" w:hAnsi="仿宋" w:eastAsia="仿宋" w:cs="Arial"/>
          <w:b/>
          <w:color w:val="000000" w:themeColor="text1"/>
          <w:kern w:val="0"/>
          <w:sz w:val="24"/>
          <w:szCs w:val="22"/>
          <w14:textFill>
            <w14:solidFill>
              <w14:schemeClr w14:val="tx1"/>
            </w14:solidFill>
          </w14:textFill>
        </w:rPr>
        <w:t>，以开标一览表</w:t>
      </w:r>
      <w:r>
        <w:rPr>
          <w:rFonts w:hint="eastAsia" w:ascii="仿宋" w:hAnsi="仿宋" w:eastAsia="仿宋" w:cs="Arial"/>
          <w:b/>
          <w:color w:val="000000" w:themeColor="text1"/>
          <w:kern w:val="0"/>
          <w:sz w:val="24"/>
          <w:szCs w:val="22"/>
          <w14:textFill>
            <w14:solidFill>
              <w14:schemeClr w14:val="tx1"/>
            </w14:solidFill>
          </w14:textFill>
        </w:rPr>
        <w:t>（报价表）</w:t>
      </w:r>
      <w:r>
        <w:rPr>
          <w:rFonts w:ascii="仿宋" w:hAnsi="仿宋" w:eastAsia="仿宋" w:cs="Arial"/>
          <w:b/>
          <w:color w:val="000000" w:themeColor="text1"/>
          <w:kern w:val="0"/>
          <w:sz w:val="24"/>
          <w:szCs w:val="22"/>
          <w14:textFill>
            <w14:solidFill>
              <w14:schemeClr w14:val="tx1"/>
            </w14:solidFill>
          </w14:textFill>
        </w:rPr>
        <w:t>为准</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（2）大写金额和小写金额不一致的，以大写金额为准</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（3）单价金额小数点或者百分比有明显错位的，应以</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（报价表）的总价为准，并修改单价；</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4</w:t>
      </w:r>
      <w:r>
        <w:rPr>
          <w:rFonts w:ascii="仿宋" w:hAnsi="仿宋" w:eastAsia="仿宋" w:cs="Arial"/>
          <w:b/>
          <w:color w:val="000000" w:themeColor="text1"/>
          <w:kern w:val="0"/>
          <w:sz w:val="24"/>
          <w:szCs w:val="22"/>
          <w14:textFill>
            <w14:solidFill>
              <w14:schemeClr w14:val="tx1"/>
            </w14:solidFill>
          </w14:textFill>
        </w:rPr>
        <w:t>）总价金额与按单价汇总金额不一致的，以单价金额计算结果为准</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备注：同时出现两种以上不一致的，按照前款规定的顺序修正。修正后的报价按本章第2.3.2款的规定经投标供应商确认后产生约束力，投标供应商不确认的，其投标无效。</w:t>
      </w:r>
    </w:p>
    <w:p>
      <w:pPr>
        <w:spacing w:line="360" w:lineRule="auto"/>
        <w:ind w:firstLine="422" w:firstLineChars="175"/>
        <w:rPr>
          <w:rFonts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2.4.2</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2.4.3</w:t>
      </w:r>
      <w:r>
        <w:rPr>
          <w:rFonts w:ascii="仿宋" w:hAnsi="仿宋" w:eastAsia="仿宋" w:cs="Arial"/>
          <w:b/>
          <w:color w:val="000000" w:themeColor="text1"/>
          <w:kern w:val="0"/>
          <w:sz w:val="24"/>
          <w:szCs w:val="22"/>
          <w14:textFill>
            <w14:solidFill>
              <w14:schemeClr w14:val="tx1"/>
            </w14:solidFill>
          </w14:textFill>
        </w:rPr>
        <w:t>对不同文字文本《投标文件》的解释发生异议的，以中文文本为准。</w:t>
      </w:r>
    </w:p>
    <w:p>
      <w:pPr>
        <w:spacing w:after="240"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2.4.4</w:t>
      </w:r>
      <w:r>
        <w:rPr>
          <w:rFonts w:ascii="仿宋" w:hAnsi="仿宋" w:eastAsia="仿宋" w:cs="Arial"/>
          <w:b/>
          <w:color w:val="000000" w:themeColor="text1"/>
          <w:kern w:val="0"/>
          <w:sz w:val="24"/>
          <w:szCs w:val="22"/>
          <w14:textFill>
            <w14:solidFill>
              <w14:schemeClr w14:val="tx1"/>
            </w14:solidFill>
          </w14:textFill>
        </w:rPr>
        <w:t>《投标文件》</w:t>
      </w:r>
      <w:r>
        <w:rPr>
          <w:rFonts w:hint="eastAsia" w:ascii="仿宋" w:hAnsi="仿宋" w:eastAsia="仿宋" w:cs="Arial"/>
          <w:b/>
          <w:color w:val="000000" w:themeColor="text1"/>
          <w:kern w:val="0"/>
          <w:sz w:val="24"/>
          <w:szCs w:val="22"/>
          <w14:textFill>
            <w14:solidFill>
              <w14:schemeClr w14:val="tx1"/>
            </w14:solidFill>
          </w14:textFill>
        </w:rPr>
        <w:t>要求提供正、副本时，</w:t>
      </w:r>
      <w:r>
        <w:rPr>
          <w:rFonts w:ascii="仿宋" w:hAnsi="仿宋" w:eastAsia="仿宋" w:cs="Arial"/>
          <w:b/>
          <w:color w:val="000000" w:themeColor="text1"/>
          <w:kern w:val="0"/>
          <w:sz w:val="24"/>
          <w:szCs w:val="22"/>
          <w14:textFill>
            <w14:solidFill>
              <w14:schemeClr w14:val="tx1"/>
            </w14:solidFill>
          </w14:textFill>
        </w:rPr>
        <w:t>正</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副本内容不一致的，以正本为准。</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2.5 投标文件的评价、评分</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Pr>
          <w:rFonts w:hint="eastAsia" w:ascii="仿宋" w:hAnsi="仿宋" w:eastAsia="仿宋" w:cs="Arial"/>
          <w:b/>
          <w:color w:val="000000" w:themeColor="text1"/>
          <w:kern w:val="0"/>
          <w:sz w:val="24"/>
          <w14:textFill>
            <w14:solidFill>
              <w14:schemeClr w14:val="tx1"/>
            </w14:solidFill>
          </w14:textFill>
        </w:rPr>
        <w:t>评分细则详见本章“三、评分细则”相关规定。</w:t>
      </w:r>
    </w:p>
    <w:p>
      <w:pPr>
        <w:spacing w:after="240" w:line="360" w:lineRule="auto"/>
        <w:ind w:firstLine="424" w:firstLineChars="177"/>
        <w:rPr>
          <w:rFonts w:ascii="仿宋_GB2312" w:hAnsi="仿宋" w:eastAsia="仿宋_GB2312"/>
          <w:b/>
          <w:color w:val="000000" w:themeColor="text1"/>
          <w:sz w:val="28"/>
          <w:szCs w:val="28"/>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2.5.2对采购组织机构工作人员汇总的评审结果进行确认。如发现</w:t>
      </w:r>
      <w:r>
        <w:rPr>
          <w:rFonts w:hint="eastAsia" w:ascii="仿宋" w:hAnsi="仿宋" w:eastAsia="仿宋" w:cs="Arial"/>
          <w:color w:val="000000" w:themeColor="text1"/>
          <w:kern w:val="0"/>
          <w:sz w:val="24"/>
          <w:u w:val="single"/>
          <w14:textFill>
            <w14:solidFill>
              <w14:schemeClr w14:val="tx1"/>
            </w14:solidFill>
          </w14:textFill>
        </w:rPr>
        <w:t>分值汇总计算错误</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分项评分超出评分标准范围</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客观评分不一致</w:t>
      </w:r>
      <w:r>
        <w:rPr>
          <w:rFonts w:hint="eastAsia" w:ascii="仿宋" w:hAnsi="仿宋" w:eastAsia="仿宋" w:cs="Arial"/>
          <w:color w:val="000000" w:themeColor="text1"/>
          <w:kern w:val="0"/>
          <w:sz w:val="24"/>
          <w14:textFill>
            <w14:solidFill>
              <w14:schemeClr w14:val="tx1"/>
            </w14:solidFill>
          </w14:textFill>
        </w:rPr>
        <w:t>以及</w:t>
      </w:r>
      <w:r>
        <w:rPr>
          <w:rFonts w:hint="eastAsia" w:ascii="仿宋" w:hAnsi="仿宋" w:eastAsia="仿宋" w:cs="Arial"/>
          <w:color w:val="000000" w:themeColor="text1"/>
          <w:kern w:val="0"/>
          <w:sz w:val="24"/>
          <w:u w:val="single"/>
          <w14:textFill>
            <w14:solidFill>
              <w14:schemeClr w14:val="tx1"/>
            </w14:solidFill>
          </w14:textFill>
        </w:rPr>
        <w:t>存在畸高、畸低（其总评分偏离平均分30%以上的）</w:t>
      </w:r>
      <w:r>
        <w:rPr>
          <w:rFonts w:hint="eastAsia" w:ascii="仿宋" w:hAnsi="仿宋" w:eastAsia="仿宋" w:cs="Arial"/>
          <w:color w:val="000000" w:themeColor="text1"/>
          <w:kern w:val="0"/>
          <w:sz w:val="24"/>
          <w14:textFill>
            <w14:solidFill>
              <w14:schemeClr w14:val="tx1"/>
            </w14:solidFill>
          </w14:textFill>
        </w:rPr>
        <w:t>情形的，评审小组组长（评标委员会主任委员）应提醒相关评审人员当场改正或书面说明理由，拒不改正又不作书面说明的，由现场监督员如实记载后存入项目档案资料。</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2.6 推荐中标候选供应商</w:t>
      </w:r>
    </w:p>
    <w:p>
      <w:pPr>
        <w:spacing w:after="240"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评标结果汇总完毕后，评标委员会将向采购人推荐投标文件满足采购文件全部实质性要求且按照评审因素的量化指标评审得分排列第一的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pPr>
        <w:pStyle w:val="5"/>
        <w:ind w:firstLine="150"/>
        <w:rPr>
          <w:rFonts w:cs="Arial"/>
          <w:color w:val="000000" w:themeColor="text1"/>
          <w14:textFill>
            <w14:solidFill>
              <w14:schemeClr w14:val="tx1"/>
            </w14:solidFill>
          </w14:textFill>
        </w:rPr>
      </w:pPr>
      <w:r>
        <w:rPr>
          <w:rFonts w:hint="eastAsia"/>
          <w:color w:val="000000" w:themeColor="text1"/>
          <w14:textFill>
            <w14:solidFill>
              <w14:schemeClr w14:val="tx1"/>
            </w14:solidFill>
          </w14:textFill>
        </w:rPr>
        <w:t>2.7 起草、签署评标报告</w:t>
      </w:r>
    </w:p>
    <w:p>
      <w:pPr>
        <w:spacing w:after="240"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评审结束后，评标委员会将通过“政府采购云平台”</w:t>
      </w:r>
      <w:r>
        <w:rPr>
          <w:rFonts w:ascii="仿宋" w:hAnsi="仿宋" w:eastAsia="仿宋" w:cs="Arial"/>
          <w:color w:val="000000" w:themeColor="text1"/>
          <w:sz w:val="24"/>
          <w:szCs w:val="22"/>
          <w14:textFill>
            <w14:solidFill>
              <w14:schemeClr w14:val="tx1"/>
            </w14:solidFill>
          </w14:textFill>
        </w:rPr>
        <w:t>起草评标报告，</w:t>
      </w:r>
      <w:r>
        <w:rPr>
          <w:rFonts w:hint="eastAsia" w:ascii="仿宋" w:hAnsi="仿宋" w:eastAsia="仿宋"/>
          <w:color w:val="000000" w:themeColor="text1"/>
          <w:sz w:val="24"/>
          <w14:textFill>
            <w14:solidFill>
              <w14:schemeClr w14:val="tx1"/>
            </w14:solidFill>
          </w14:textFill>
        </w:rPr>
        <w:t>评标委员会成员应当在评标报告上签字（或加注电子签章），对自己的评审意见承担法律责任。对评标报告有异议的，应当在评标报告上签署不同意见，并说明理由，否则视为同意评标报告。</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2.8 评标特殊情况处理（如有）</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2.8.1评标结果修改</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评标报告签署前，评标结果经复核发现存在以下情形之一的，评标委员会将当场修改评标结果，并在评标报告中记载：</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pPr>
        <w:spacing w:after="240"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除上述情形外，任何人不得修改评标结果。</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2.8.2重新评审</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评标报告签署后，采购人或者采购代理机构发现存在下列情形之一的，将组织原评标委员会进行重新评审，重新评审改变评标结果的，将书面报告同级财政监督管理部门：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bookmarkEnd w:id="116"/>
    <w:bookmarkEnd w:id="117"/>
    <w:p>
      <w:pPr>
        <w:pStyle w:val="3"/>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122" w:name="_Toc424164164"/>
      <w:bookmarkStart w:id="123" w:name="_Toc20892"/>
      <w:bookmarkStart w:id="124" w:name="_Toc27317"/>
      <w:bookmarkStart w:id="125" w:name="_Toc25377"/>
      <w:bookmarkStart w:id="126" w:name="_Toc11974"/>
      <w:bookmarkStart w:id="127" w:name="_Toc440162796"/>
      <w:r>
        <w:rPr>
          <w:rFonts w:hint="eastAsia"/>
          <w:color w:val="000000" w:themeColor="text1"/>
          <w14:textFill>
            <w14:solidFill>
              <w14:schemeClr w14:val="tx1"/>
            </w14:solidFill>
          </w14:textFill>
        </w:rPr>
        <w:t>三、</w:t>
      </w:r>
      <w:bookmarkEnd w:id="122"/>
      <w:r>
        <w:rPr>
          <w:rFonts w:hint="eastAsia"/>
          <w:color w:val="000000" w:themeColor="text1"/>
          <w14:textFill>
            <w14:solidFill>
              <w14:schemeClr w14:val="tx1"/>
            </w14:solidFill>
          </w14:textFill>
        </w:rPr>
        <w:t>评分细则</w:t>
      </w:r>
      <w:bookmarkEnd w:id="123"/>
      <w:bookmarkEnd w:id="124"/>
      <w:bookmarkEnd w:id="125"/>
      <w:bookmarkEnd w:id="126"/>
    </w:p>
    <w:bookmarkEnd w:id="127"/>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3.1 商务技术分</w:t>
      </w:r>
      <w:r>
        <w:rPr>
          <w:color w:val="000000" w:themeColor="text1"/>
          <w14:textFill>
            <w14:solidFill>
              <w14:schemeClr w14:val="tx1"/>
            </w14:solidFill>
          </w14:textFill>
        </w:rPr>
        <w:t>（90分）</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3.1.1商务技术分评分细则</w:t>
      </w:r>
    </w:p>
    <w:tbl>
      <w:tblPr>
        <w:tblStyle w:val="58"/>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197"/>
        <w:gridCol w:w="7445"/>
        <w:gridCol w:w="71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8" w:type="dxa"/>
            <w:tcBorders>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序号</w:t>
            </w:r>
          </w:p>
        </w:tc>
        <w:tc>
          <w:tcPr>
            <w:tcW w:w="1197"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评审内容</w:t>
            </w:r>
          </w:p>
        </w:tc>
        <w:tc>
          <w:tcPr>
            <w:tcW w:w="7445"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评审细则</w:t>
            </w:r>
          </w:p>
        </w:tc>
        <w:tc>
          <w:tcPr>
            <w:tcW w:w="715" w:type="dxa"/>
            <w:tcBorders>
              <w:left w:val="single" w:color="0070C0" w:sz="4" w:space="0"/>
              <w:bottom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w:t>
            </w:r>
          </w:p>
        </w:tc>
        <w:tc>
          <w:tcPr>
            <w:tcW w:w="1197" w:type="dxa"/>
            <w:vMerge w:val="restart"/>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b/>
                <w:w w:val="90"/>
                <w:sz w:val="24"/>
              </w:rPr>
            </w:pPr>
            <w:r>
              <w:rPr>
                <w:rFonts w:hint="eastAsia" w:ascii="仿宋" w:hAnsi="仿宋" w:eastAsia="仿宋" w:cs="仿宋"/>
                <w:w w:val="90"/>
                <w:sz w:val="24"/>
              </w:rPr>
              <w:t>投标供应商履约能力</w:t>
            </w:r>
          </w:p>
        </w:tc>
        <w:tc>
          <w:tcPr>
            <w:tcW w:w="7445" w:type="dxa"/>
            <w:tcBorders>
              <w:top w:val="single" w:color="0070C0" w:sz="4" w:space="0"/>
              <w:left w:val="single" w:color="0070C0" w:sz="4" w:space="0"/>
              <w:bottom w:val="single" w:color="0070C0" w:sz="4" w:space="0"/>
              <w:right w:val="single" w:color="0070C0" w:sz="4" w:space="0"/>
            </w:tcBorders>
            <w:vAlign w:val="center"/>
          </w:tcPr>
          <w:p>
            <w:pPr>
              <w:rPr>
                <w:rFonts w:ascii="仿宋" w:hAnsi="仿宋" w:eastAsia="仿宋" w:cs="宋体"/>
                <w:b/>
                <w:bCs/>
                <w:kern w:val="0"/>
                <w:sz w:val="24"/>
              </w:rPr>
            </w:pPr>
            <w:r>
              <w:rPr>
                <w:rFonts w:hint="eastAsia" w:ascii="仿宋" w:hAnsi="仿宋" w:eastAsia="仿宋" w:cs="宋体"/>
                <w:b/>
                <w:bCs/>
                <w:kern w:val="0"/>
                <w:sz w:val="24"/>
              </w:rPr>
              <w:t>1.1质量管理能力：良好的企业内部质量控制能力是合同履约的必要保障，投标供应商具有有效的ISO9001质量管理体系认证证书的得2分。</w:t>
            </w:r>
            <w:r>
              <w:rPr>
                <w:rFonts w:hint="eastAsia" w:ascii="仿宋" w:hAnsi="仿宋" w:eastAsia="仿宋" w:cs="仿宋"/>
                <w:bCs/>
                <w:w w:val="90"/>
                <w:sz w:val="24"/>
              </w:rPr>
              <w:t>证明材料：</w:t>
            </w:r>
            <w:r>
              <w:rPr>
                <w:rFonts w:hint="eastAsia" w:ascii="仿宋" w:hAnsi="仿宋" w:eastAsia="仿宋" w:cs="仿宋"/>
                <w:bCs/>
                <w:w w:val="90"/>
                <w:sz w:val="24"/>
                <w:lang w:val="en-US" w:eastAsia="zh-CN"/>
              </w:rPr>
              <w:t>有效</w:t>
            </w:r>
            <w:r>
              <w:rPr>
                <w:rFonts w:hint="eastAsia" w:ascii="仿宋" w:hAnsi="仿宋" w:eastAsia="仿宋" w:cs="仿宋"/>
                <w:bCs/>
                <w:w w:val="90"/>
                <w:sz w:val="24"/>
              </w:rPr>
              <w:t>证书复印件加盖投标供应商公章。</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b/>
                <w:w w:val="90"/>
                <w:sz w:val="24"/>
              </w:rPr>
            </w:pPr>
            <w:r>
              <w:rPr>
                <w:rFonts w:hint="eastAsia" w:ascii="仿宋" w:hAnsi="仿宋" w:eastAsia="仿宋" w:cs="仿宋"/>
                <w:w w:val="9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rPr>
                <w:rFonts w:ascii="仿宋" w:hAnsi="仿宋" w:eastAsia="仿宋" w:cs="宋体"/>
                <w:b/>
                <w:bCs/>
                <w:w w:val="90"/>
                <w:kern w:val="0"/>
                <w:sz w:val="24"/>
              </w:rPr>
            </w:pPr>
            <w:r>
              <w:rPr>
                <w:rFonts w:hint="eastAsia" w:ascii="仿宋" w:hAnsi="仿宋" w:eastAsia="仿宋" w:cs="宋体"/>
                <w:b/>
                <w:bCs/>
                <w:w w:val="90"/>
                <w:kern w:val="0"/>
                <w:sz w:val="24"/>
              </w:rPr>
              <w:t>1.2信息安全管理能力：系统、整体的信息安全管理能力是保障信息系统与业务的安全与正常运作的提前，投标供应商具有有效的ISO27001信息安全管理体系认证证书的得2分。</w:t>
            </w:r>
            <w:r>
              <w:rPr>
                <w:rFonts w:hint="eastAsia" w:ascii="仿宋" w:hAnsi="仿宋" w:eastAsia="仿宋" w:cs="仿宋"/>
                <w:bCs/>
                <w:w w:val="90"/>
                <w:sz w:val="24"/>
              </w:rPr>
              <w:t>证明材料：</w:t>
            </w:r>
            <w:r>
              <w:rPr>
                <w:rFonts w:hint="eastAsia" w:ascii="仿宋" w:hAnsi="仿宋" w:eastAsia="仿宋" w:cs="仿宋"/>
                <w:bCs/>
                <w:w w:val="90"/>
                <w:sz w:val="24"/>
                <w:lang w:val="en-US" w:eastAsia="zh-CN"/>
              </w:rPr>
              <w:t>有效</w:t>
            </w:r>
            <w:r>
              <w:rPr>
                <w:rFonts w:hint="eastAsia" w:ascii="仿宋" w:hAnsi="仿宋" w:eastAsia="仿宋" w:cs="仿宋"/>
                <w:bCs/>
                <w:w w:val="90"/>
                <w:sz w:val="24"/>
              </w:rPr>
              <w:t>证书复印件加盖投标供应商公章。</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63"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b/>
                <w:w w:val="90"/>
                <w:sz w:val="24"/>
              </w:rPr>
            </w:pPr>
            <w:r>
              <w:rPr>
                <w:rFonts w:hint="eastAsia" w:ascii="仿宋" w:hAnsi="仿宋" w:eastAsia="仿宋" w:cs="仿宋"/>
                <w:b/>
                <w:w w:val="90"/>
                <w:sz w:val="24"/>
              </w:rPr>
              <w:t>1.3投标供应商自2021年1月1日以来具有类似信息化项目运维业绩的，每个业绩得0.5分，最多得1分。</w:t>
            </w:r>
            <w:r>
              <w:rPr>
                <w:rFonts w:hint="eastAsia" w:ascii="仿宋" w:hAnsi="仿宋" w:eastAsia="仿宋" w:cs="仿宋"/>
                <w:bCs/>
                <w:w w:val="90"/>
                <w:sz w:val="24"/>
              </w:rPr>
              <w:t>证明材料</w:t>
            </w:r>
            <w:r>
              <w:rPr>
                <w:rFonts w:hint="eastAsia" w:ascii="仿宋" w:hAnsi="仿宋" w:eastAsia="仿宋" w:cs="仿宋"/>
                <w:bCs/>
                <w:color w:val="auto"/>
                <w:w w:val="90"/>
                <w:sz w:val="24"/>
              </w:rPr>
              <w:t>：</w:t>
            </w:r>
            <w:r>
              <w:rPr>
                <w:rFonts w:hint="eastAsia" w:ascii="仿宋" w:hAnsi="仿宋" w:eastAsia="仿宋" w:cs="仿宋"/>
                <w:bCs/>
                <w:color w:val="auto"/>
                <w:w w:val="90"/>
                <w:sz w:val="24"/>
                <w:highlight w:val="none"/>
              </w:rPr>
              <w:t>提供合同证明复印件加盖投标供应商公章，时间以合同签订时间为准</w:t>
            </w:r>
            <w:r>
              <w:rPr>
                <w:rFonts w:hint="eastAsia" w:ascii="仿宋" w:hAnsi="仿宋" w:eastAsia="仿宋" w:cs="仿宋"/>
                <w:bCs/>
                <w:color w:val="auto"/>
                <w:w w:val="90"/>
                <w:sz w:val="24"/>
              </w:rPr>
              <w:t>。</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78" w:hRule="atLeast"/>
        </w:trPr>
        <w:tc>
          <w:tcPr>
            <w:tcW w:w="708" w:type="dxa"/>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w:t>
            </w:r>
          </w:p>
        </w:tc>
        <w:tc>
          <w:tcPr>
            <w:tcW w:w="1197" w:type="dxa"/>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w w:val="90"/>
                <w:sz w:val="24"/>
              </w:rPr>
              <w:t>投标响应情况</w:t>
            </w: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Arial"/>
                <w:b/>
                <w:w w:val="90"/>
                <w:sz w:val="24"/>
              </w:rPr>
            </w:pPr>
            <w:r>
              <w:rPr>
                <w:rFonts w:hint="eastAsia" w:ascii="仿宋" w:hAnsi="仿宋" w:eastAsia="仿宋" w:cs="仿宋"/>
                <w:b/>
                <w:w w:val="90"/>
                <w:sz w:val="24"/>
              </w:rPr>
              <w:t>2.1</w:t>
            </w:r>
            <w:r>
              <w:rPr>
                <w:rFonts w:hint="eastAsia" w:ascii="仿宋" w:hAnsi="仿宋" w:eastAsia="仿宋" w:cs="Arial"/>
                <w:b/>
                <w:w w:val="90"/>
                <w:sz w:val="24"/>
              </w:rPr>
              <w:t>投标响应情况（技术、服务、商务响应）</w:t>
            </w:r>
            <w:r>
              <w:rPr>
                <w:rFonts w:ascii="仿宋" w:hAnsi="仿宋" w:eastAsia="仿宋" w:cs="Arial"/>
                <w:b/>
                <w:w w:val="90"/>
                <w:sz w:val="24"/>
              </w:rPr>
              <w:t>与</w:t>
            </w:r>
            <w:r>
              <w:rPr>
                <w:rFonts w:hint="eastAsia" w:ascii="仿宋" w:hAnsi="仿宋" w:eastAsia="仿宋" w:cs="Arial"/>
                <w:b/>
                <w:w w:val="90"/>
                <w:sz w:val="24"/>
              </w:rPr>
              <w:t>采购需求</w:t>
            </w:r>
            <w:r>
              <w:rPr>
                <w:rFonts w:ascii="仿宋" w:hAnsi="仿宋" w:eastAsia="仿宋" w:cs="Arial"/>
                <w:b/>
                <w:w w:val="90"/>
                <w:sz w:val="24"/>
              </w:rPr>
              <w:t>的</w:t>
            </w:r>
            <w:r>
              <w:rPr>
                <w:rFonts w:hint="eastAsia" w:ascii="仿宋" w:hAnsi="仿宋" w:eastAsia="仿宋" w:cs="Arial"/>
                <w:b/>
                <w:w w:val="90"/>
                <w:sz w:val="24"/>
              </w:rPr>
              <w:t>符合性评价：</w:t>
            </w:r>
            <w:r>
              <w:rPr>
                <w:rFonts w:hint="eastAsia" w:ascii="仿宋" w:hAnsi="仿宋" w:eastAsia="仿宋" w:cs="Arial"/>
                <w:w w:val="90"/>
                <w:sz w:val="24"/>
              </w:rPr>
              <w:t>投标技术（服务）、商务响应完全符合采购要求的此项得满分；一般要求（非实质性要求）负偏离的每条扣2分，</w:t>
            </w:r>
            <w:r>
              <w:rPr>
                <w:rFonts w:hint="eastAsia" w:ascii="仿宋" w:hAnsi="仿宋" w:eastAsia="仿宋" w:cs="Arial"/>
                <w:b/>
                <w:w w:val="90"/>
                <w:sz w:val="24"/>
              </w:rPr>
              <w:t>此项最高得23分，最低得0分。</w:t>
            </w:r>
          </w:p>
          <w:p>
            <w:pPr>
              <w:spacing w:line="276" w:lineRule="auto"/>
              <w:jc w:val="left"/>
              <w:rPr>
                <w:rFonts w:ascii="仿宋" w:hAnsi="仿宋" w:eastAsia="仿宋" w:cs="仿宋"/>
                <w:w w:val="90"/>
                <w:sz w:val="24"/>
              </w:rPr>
            </w:pPr>
            <w:r>
              <w:rPr>
                <w:rFonts w:hint="eastAsia" w:ascii="仿宋" w:hAnsi="仿宋" w:eastAsia="仿宋" w:cs="Arial"/>
                <w:b/>
                <w:color w:val="000000"/>
                <w:w w:val="90"/>
                <w:sz w:val="24"/>
              </w:rPr>
              <w:t>备注：</w:t>
            </w:r>
            <w:r>
              <w:rPr>
                <w:rFonts w:hint="eastAsia" w:ascii="仿宋" w:hAnsi="仿宋" w:eastAsia="仿宋" w:cs="Arial"/>
                <w:i/>
                <w:color w:val="000000"/>
                <w:w w:val="90"/>
                <w:sz w:val="24"/>
                <w:u w:val="single"/>
              </w:rPr>
              <w:t>（1）上述“采购需求”是指本招标文件第二章招标采购需求中所列的要求；（2）供应商在投标时应当在《商务技术偏离表》中注意对照招标采购需求进行投标响应，并按照规定提供相关技术材料（如需）。投标文件《商务技术偏离表》响应情况与投标文件中所提供的产品技术材料不一致时，以投标文件中所提供的产品技术材料为准；要求提供证明材料而未提供证明材料的，视为未响应，按负偏离处理</w:t>
            </w:r>
            <w:r>
              <w:rPr>
                <w:rFonts w:hint="eastAsia" w:ascii="仿宋" w:hAnsi="仿宋" w:eastAsia="仿宋" w:cs="Arial"/>
                <w:i/>
                <w:color w:val="000000"/>
                <w:w w:val="90"/>
                <w:sz w:val="24"/>
              </w:rPr>
              <w:t>。</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strike/>
                <w:w w:val="90"/>
                <w:sz w:val="24"/>
              </w:rPr>
            </w:pPr>
            <w:r>
              <w:rPr>
                <w:rFonts w:hint="eastAsia" w:ascii="仿宋" w:hAnsi="仿宋" w:eastAsia="仿宋" w:cs="仿宋"/>
                <w:w w:val="90"/>
                <w:sz w:val="24"/>
              </w:rPr>
              <w:t>23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78" w:hRule="atLeast"/>
        </w:trPr>
        <w:tc>
          <w:tcPr>
            <w:tcW w:w="708" w:type="dxa"/>
            <w:vMerge w:val="restart"/>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w w:val="90"/>
                <w:sz w:val="24"/>
              </w:rPr>
              <w:t>3</w:t>
            </w:r>
          </w:p>
        </w:tc>
        <w:tc>
          <w:tcPr>
            <w:tcW w:w="1197"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color w:val="000000"/>
                <w:w w:val="90"/>
                <w:sz w:val="24"/>
              </w:rPr>
              <w:t>拟派项目团队情况</w:t>
            </w:r>
          </w:p>
        </w:tc>
        <w:tc>
          <w:tcPr>
            <w:tcW w:w="7445" w:type="dxa"/>
            <w:tcBorders>
              <w:top w:val="single" w:color="0070C0" w:sz="4" w:space="0"/>
              <w:left w:val="single" w:color="0070C0" w:sz="4" w:space="0"/>
              <w:bottom w:val="single" w:color="0070C0" w:sz="4" w:space="0"/>
              <w:right w:val="single" w:color="0070C0" w:sz="4" w:space="0"/>
            </w:tcBorders>
            <w:vAlign w:val="center"/>
          </w:tcPr>
          <w:p>
            <w:pPr>
              <w:rPr>
                <w:rFonts w:ascii="仿宋" w:hAnsi="仿宋" w:eastAsia="仿宋" w:cs="仿宋"/>
                <w:b/>
                <w:bCs/>
                <w:w w:val="90"/>
                <w:sz w:val="24"/>
              </w:rPr>
            </w:pPr>
            <w:r>
              <w:rPr>
                <w:rFonts w:hint="eastAsia" w:ascii="仿宋" w:hAnsi="仿宋" w:eastAsia="仿宋" w:cs="仿宋"/>
                <w:b/>
                <w:bCs/>
                <w:w w:val="90"/>
                <w:sz w:val="24"/>
              </w:rPr>
              <w:t>3.1拟派项目负责人（仅一人）专业程度：</w:t>
            </w:r>
          </w:p>
          <w:p>
            <w:pPr>
              <w:spacing w:line="276" w:lineRule="auto"/>
              <w:jc w:val="left"/>
              <w:rPr>
                <w:rFonts w:ascii="仿宋" w:hAnsi="仿宋" w:eastAsia="仿宋" w:cs="仿宋"/>
                <w:w w:val="90"/>
                <w:sz w:val="24"/>
              </w:rPr>
            </w:pPr>
            <w:r>
              <w:rPr>
                <w:rFonts w:hint="eastAsia" w:ascii="仿宋" w:hAnsi="仿宋" w:eastAsia="仿宋" w:cs="仿宋"/>
                <w:w w:val="90"/>
                <w:sz w:val="24"/>
              </w:rPr>
              <w:t>（1）具有信息系统项目管理师（高级）资质证书的，得2分；</w:t>
            </w:r>
          </w:p>
          <w:p>
            <w:pPr>
              <w:spacing w:line="276" w:lineRule="auto"/>
              <w:jc w:val="left"/>
              <w:rPr>
                <w:rFonts w:ascii="仿宋" w:hAnsi="仿宋" w:eastAsia="仿宋" w:cs="仿宋"/>
                <w:w w:val="90"/>
                <w:sz w:val="24"/>
              </w:rPr>
            </w:pPr>
            <w:r>
              <w:rPr>
                <w:rFonts w:hint="eastAsia" w:ascii="仿宋" w:hAnsi="仿宋" w:eastAsia="仿宋" w:cs="仿宋"/>
                <w:w w:val="90"/>
                <w:sz w:val="24"/>
              </w:rPr>
              <w:t>（2）通过信息技术应用创新人才信创集成项目管理师培养项目考试，具有信息技术应用创新考试评价证书的得2分。</w:t>
            </w:r>
          </w:p>
          <w:p>
            <w:pPr>
              <w:spacing w:line="276" w:lineRule="auto"/>
              <w:jc w:val="left"/>
              <w:rPr>
                <w:rFonts w:ascii="仿宋" w:hAnsi="仿宋" w:eastAsia="仿宋" w:cs="仿宋"/>
                <w:b/>
                <w:bCs/>
                <w:w w:val="90"/>
                <w:sz w:val="24"/>
              </w:rPr>
            </w:pPr>
            <w:r>
              <w:rPr>
                <w:rFonts w:hint="eastAsia" w:ascii="仿宋" w:hAnsi="仿宋" w:eastAsia="仿宋" w:cs="仿宋"/>
                <w:w w:val="90"/>
                <w:sz w:val="24"/>
              </w:rPr>
              <w:t>证明材料：有效证书复印件和距离投标截止日最近一期的社保缴纳证明，复印件加盖公章，否则不得分。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Arial"/>
                <w:w w:val="90"/>
                <w:sz w:val="24"/>
              </w:rPr>
            </w:pPr>
            <w:r>
              <w:rPr>
                <w:rFonts w:hint="eastAsia" w:ascii="仿宋" w:hAnsi="仿宋" w:eastAsia="仿宋" w:cs="Arial"/>
                <w:w w:val="90"/>
                <w:sz w:val="24"/>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68"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rPr>
                <w:rFonts w:ascii="仿宋" w:hAnsi="仿宋" w:eastAsia="仿宋" w:cs="仿宋"/>
                <w:b/>
                <w:w w:val="90"/>
                <w:sz w:val="24"/>
              </w:rPr>
            </w:pPr>
            <w:r>
              <w:rPr>
                <w:rFonts w:hint="eastAsia" w:ascii="仿宋" w:hAnsi="仿宋" w:eastAsia="仿宋" w:cs="仿宋"/>
                <w:b/>
                <w:w w:val="90"/>
                <w:sz w:val="24"/>
              </w:rPr>
              <w:t>3.2拟派项目服务团队其他人员（项目</w:t>
            </w:r>
            <w:r>
              <w:rPr>
                <w:rFonts w:hint="eastAsia" w:ascii="仿宋" w:hAnsi="仿宋" w:eastAsia="仿宋" w:cs="仿宋"/>
                <w:b/>
                <w:bCs/>
                <w:w w:val="90"/>
                <w:sz w:val="24"/>
              </w:rPr>
              <w:t>负责人</w:t>
            </w:r>
            <w:r>
              <w:rPr>
                <w:rFonts w:hint="eastAsia" w:ascii="仿宋" w:hAnsi="仿宋" w:eastAsia="仿宋" w:cs="仿宋"/>
                <w:b/>
                <w:w w:val="90"/>
                <w:sz w:val="24"/>
              </w:rPr>
              <w:t>除外）专业能力评价：</w:t>
            </w:r>
          </w:p>
          <w:p>
            <w:pPr>
              <w:spacing w:line="276" w:lineRule="auto"/>
              <w:jc w:val="left"/>
              <w:rPr>
                <w:rFonts w:ascii="仿宋" w:hAnsi="仿宋" w:eastAsia="仿宋" w:cs="仿宋"/>
                <w:w w:val="90"/>
                <w:sz w:val="24"/>
              </w:rPr>
            </w:pPr>
            <w:r>
              <w:rPr>
                <w:rFonts w:hint="eastAsia" w:ascii="仿宋" w:hAnsi="仿宋" w:eastAsia="仿宋" w:cs="仿宋"/>
                <w:w w:val="90"/>
                <w:sz w:val="24"/>
              </w:rPr>
              <w:t>（1）具有系统分析师（高级）证书的得1分；</w:t>
            </w:r>
          </w:p>
          <w:p>
            <w:pPr>
              <w:spacing w:line="276" w:lineRule="auto"/>
              <w:jc w:val="left"/>
              <w:rPr>
                <w:rFonts w:ascii="仿宋" w:hAnsi="仿宋" w:eastAsia="仿宋" w:cs="仿宋"/>
                <w:w w:val="90"/>
                <w:sz w:val="24"/>
              </w:rPr>
            </w:pPr>
            <w:r>
              <w:rPr>
                <w:rFonts w:hint="eastAsia" w:ascii="仿宋" w:hAnsi="仿宋" w:eastAsia="仿宋" w:cs="仿宋"/>
                <w:w w:val="90"/>
                <w:sz w:val="24"/>
              </w:rPr>
              <w:t>（2）具有注册信息安全专业人员CISP认证证书的得1分；</w:t>
            </w:r>
          </w:p>
          <w:p>
            <w:pPr>
              <w:spacing w:line="276" w:lineRule="auto"/>
              <w:jc w:val="left"/>
              <w:rPr>
                <w:rFonts w:ascii="仿宋" w:hAnsi="仿宋" w:eastAsia="仿宋" w:cs="仿宋"/>
                <w:w w:val="90"/>
                <w:sz w:val="24"/>
              </w:rPr>
            </w:pPr>
            <w:r>
              <w:rPr>
                <w:rFonts w:hint="eastAsia" w:ascii="仿宋" w:hAnsi="仿宋" w:eastAsia="仿宋" w:cs="仿宋"/>
                <w:w w:val="90"/>
                <w:sz w:val="24"/>
              </w:rPr>
              <w:t>（3）具有IT服务项目经理证书的得1分。</w:t>
            </w:r>
          </w:p>
          <w:p>
            <w:pPr>
              <w:spacing w:line="276" w:lineRule="auto"/>
              <w:jc w:val="left"/>
              <w:rPr>
                <w:rFonts w:ascii="仿宋" w:hAnsi="仿宋" w:eastAsia="仿宋" w:cs="仿宋"/>
                <w:b/>
                <w:bCs/>
                <w:w w:val="90"/>
                <w:sz w:val="24"/>
              </w:rPr>
            </w:pPr>
            <w:r>
              <w:rPr>
                <w:rFonts w:hint="eastAsia" w:ascii="仿宋" w:hAnsi="仿宋" w:eastAsia="仿宋" w:cs="仿宋"/>
                <w:w w:val="90"/>
                <w:sz w:val="24"/>
              </w:rPr>
              <w:t>证明材料：有效证书和距离投标截止日最近一期的社保缴纳证明，复印件加盖公章，否则不得分。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Arial"/>
                <w:w w:val="90"/>
                <w:sz w:val="24"/>
              </w:rPr>
            </w:pPr>
            <w:r>
              <w:rPr>
                <w:rFonts w:hint="eastAsia" w:ascii="仿宋" w:hAnsi="仿宋" w:eastAsia="仿宋" w:cs="Arial"/>
                <w:w w:val="90"/>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4</w:t>
            </w:r>
          </w:p>
        </w:tc>
        <w:tc>
          <w:tcPr>
            <w:tcW w:w="1197" w:type="dxa"/>
            <w:vMerge w:val="restart"/>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Arial"/>
                <w:w w:val="90"/>
                <w:kern w:val="0"/>
                <w:sz w:val="24"/>
              </w:rPr>
            </w:pPr>
            <w:r>
              <w:rPr>
                <w:rFonts w:hint="eastAsia" w:ascii="仿宋" w:hAnsi="仿宋" w:eastAsia="仿宋" w:cs="Arial"/>
                <w:w w:val="90"/>
                <w:kern w:val="0"/>
                <w:sz w:val="24"/>
              </w:rPr>
              <w:t>技术、服务方案</w:t>
            </w: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Arial"/>
                <w:color w:val="000000"/>
                <w:w w:val="90"/>
                <w:sz w:val="24"/>
              </w:rPr>
            </w:pPr>
            <w:r>
              <w:rPr>
                <w:rFonts w:hint="eastAsia" w:ascii="仿宋" w:hAnsi="仿宋" w:eastAsia="仿宋" w:cs="仿宋"/>
                <w:b/>
                <w:bCs/>
                <w:w w:val="90"/>
                <w:sz w:val="24"/>
              </w:rPr>
              <w:t>4.1</w:t>
            </w:r>
            <w:r>
              <w:rPr>
                <w:rFonts w:hint="eastAsia" w:ascii="仿宋" w:hAnsi="仿宋" w:eastAsia="仿宋" w:cs="仿宋"/>
                <w:b/>
                <w:w w:val="90"/>
                <w:sz w:val="24"/>
              </w:rPr>
              <w:t>供应商对本项目需求理解情况的评价。</w:t>
            </w:r>
            <w:r>
              <w:rPr>
                <w:rFonts w:hint="eastAsia" w:ascii="仿宋" w:hAnsi="仿宋" w:eastAsia="仿宋" w:cs="仿宋"/>
                <w:w w:val="90"/>
                <w:sz w:val="24"/>
              </w:rPr>
              <w:t>投标供应商根据采购人阐明的项目背景、服务目标和采购要求，对本项目政务目标需求、业务需求等进行分析、理解，同时结合行业服务的规范、标准、特点以及以往同类项目的服务经验，对本项目采购需求进行理解、分析。</w:t>
            </w:r>
            <w:r>
              <w:rPr>
                <w:rFonts w:hint="eastAsia" w:ascii="仿宋" w:hAnsi="仿宋" w:eastAsia="仿宋" w:cs="仿宋"/>
                <w:b/>
                <w:bCs/>
                <w:w w:val="90"/>
                <w:sz w:val="24"/>
              </w:rPr>
              <w:t>评委根据理解、分析的全面程度、合理程度进行打分（5分，4分，3分，2分，1分，0分）。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strike/>
                <w:color w:val="000000"/>
                <w:w w:val="90"/>
                <w:sz w:val="24"/>
              </w:rPr>
            </w:pPr>
            <w:r>
              <w:rPr>
                <w:rFonts w:hint="eastAsia" w:ascii="仿宋" w:hAnsi="仿宋" w:eastAsia="仿宋" w:cs="仿宋"/>
                <w:color w:val="000000"/>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Arial"/>
                <w:w w:val="90"/>
                <w:kern w:val="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b/>
                <w:bCs/>
                <w:w w:val="90"/>
                <w:sz w:val="24"/>
              </w:rPr>
            </w:pPr>
            <w:r>
              <w:rPr>
                <w:rFonts w:hint="eastAsia" w:ascii="仿宋" w:hAnsi="仿宋" w:eastAsia="仿宋" w:cs="仿宋"/>
                <w:b/>
                <w:w w:val="90"/>
                <w:sz w:val="24"/>
              </w:rPr>
              <w:t>4.2投标供应商针对本项目服务重点、难点的分析以及合理化建议的评价。</w:t>
            </w:r>
            <w:r>
              <w:rPr>
                <w:rFonts w:hint="eastAsia" w:ascii="仿宋" w:hAnsi="仿宋" w:eastAsia="仿宋" w:cs="仿宋"/>
                <w:w w:val="90"/>
                <w:sz w:val="24"/>
              </w:rPr>
              <w:t>投标供应商根据自身对本项目需求理解分析的结论，结合以往同类项目服务经验，对本项目的服务重点、难点进行阐述和说明，并提出合理化建议。</w:t>
            </w:r>
            <w:r>
              <w:rPr>
                <w:rFonts w:hint="eastAsia" w:ascii="仿宋" w:hAnsi="仿宋" w:eastAsia="仿宋" w:cs="仿宋"/>
                <w:b/>
                <w:bCs/>
                <w:w w:val="90"/>
                <w:sz w:val="24"/>
              </w:rPr>
              <w:t>评委根据阐述的全面程度、合理程度以及建议的可行程度进行打分（（5分，4分，3分，2分，1分，0分）。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color w:val="000000"/>
                <w:w w:val="90"/>
                <w:sz w:val="24"/>
              </w:rPr>
            </w:pPr>
            <w:r>
              <w:rPr>
                <w:rFonts w:hint="eastAsia" w:ascii="仿宋" w:hAnsi="仿宋" w:eastAsia="仿宋" w:cs="仿宋"/>
                <w:color w:val="000000"/>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46"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color w:val="000000"/>
                <w:w w:val="90"/>
                <w:sz w:val="24"/>
              </w:rPr>
            </w:pPr>
            <w:r>
              <w:rPr>
                <w:rFonts w:hint="eastAsia" w:ascii="仿宋" w:hAnsi="仿宋" w:eastAsia="仿宋" w:cs="仿宋"/>
                <w:b/>
                <w:bCs/>
                <w:color w:val="000000"/>
                <w:w w:val="90"/>
                <w:sz w:val="24"/>
              </w:rPr>
              <w:t>4.</w:t>
            </w:r>
            <w:r>
              <w:rPr>
                <w:rFonts w:hint="eastAsia" w:ascii="仿宋" w:hAnsi="仿宋" w:eastAsia="仿宋" w:cs="仿宋"/>
                <w:b/>
                <w:w w:val="90"/>
                <w:sz w:val="24"/>
              </w:rPr>
              <w:t>3</w:t>
            </w:r>
            <w:r>
              <w:rPr>
                <w:rFonts w:hint="eastAsia" w:ascii="仿宋" w:hAnsi="仿宋" w:eastAsia="仿宋" w:cs="仿宋"/>
                <w:b/>
                <w:bCs/>
                <w:color w:val="000000"/>
                <w:w w:val="90"/>
                <w:sz w:val="24"/>
              </w:rPr>
              <w:t>针对本项目提出的</w:t>
            </w:r>
            <w:r>
              <w:rPr>
                <w:rFonts w:hint="eastAsia" w:ascii="仿宋" w:hAnsi="仿宋" w:eastAsia="仿宋" w:cs="Arial"/>
                <w:b/>
                <w:bCs/>
                <w:color w:val="000000"/>
                <w:sz w:val="24"/>
              </w:rPr>
              <w:t>基础设施及信息资源维护服务</w:t>
            </w:r>
            <w:r>
              <w:rPr>
                <w:rFonts w:hint="eastAsia" w:ascii="仿宋" w:hAnsi="仿宋" w:eastAsia="仿宋" w:cs="仿宋"/>
                <w:b/>
                <w:bCs/>
                <w:color w:val="000000"/>
                <w:w w:val="90"/>
                <w:sz w:val="24"/>
              </w:rPr>
              <w:t>实施方案的评价，</w:t>
            </w:r>
            <w:r>
              <w:rPr>
                <w:rFonts w:hint="eastAsia" w:ascii="仿宋" w:hAnsi="仿宋" w:eastAsia="仿宋" w:cs="仿宋"/>
                <w:b/>
                <w:bCs/>
                <w:w w:val="90"/>
                <w:sz w:val="24"/>
              </w:rPr>
              <w:t>评价因素包括</w:t>
            </w:r>
            <w:r>
              <w:rPr>
                <w:rFonts w:hint="eastAsia" w:ascii="仿宋" w:hAnsi="仿宋" w:eastAsia="仿宋" w:cs="仿宋"/>
                <w:b/>
                <w:bCs/>
                <w:w w:val="90"/>
                <w:sz w:val="24"/>
                <w:lang w:val="zh-CN"/>
              </w:rPr>
              <w:t>系统安全漏洞的修补，安全防护软件的更新，服务器数据的灾备等。</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060"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b/>
                <w:bCs/>
                <w:color w:val="000000"/>
                <w:w w:val="90"/>
                <w:sz w:val="24"/>
              </w:rPr>
            </w:pPr>
            <w:r>
              <w:rPr>
                <w:rFonts w:hint="eastAsia" w:ascii="仿宋" w:hAnsi="仿宋" w:eastAsia="仿宋" w:cs="仿宋"/>
                <w:b/>
                <w:bCs/>
                <w:color w:val="000000"/>
                <w:w w:val="90"/>
                <w:sz w:val="24"/>
              </w:rPr>
              <w:t>4.4针对本项目提出的应用系统数据支持服务实施方案的评价，评价因素包括</w:t>
            </w:r>
            <w:r>
              <w:rPr>
                <w:rFonts w:hint="eastAsia" w:ascii="仿宋" w:hAnsi="仿宋" w:eastAsia="仿宋" w:cs="仿宋"/>
                <w:b/>
                <w:bCs/>
                <w:color w:val="000000"/>
                <w:w w:val="90"/>
                <w:sz w:val="24"/>
                <w:lang w:val="zh-CN"/>
              </w:rPr>
              <w:t>异常数据处理问题、系统性能提升</w:t>
            </w:r>
            <w:r>
              <w:rPr>
                <w:rFonts w:hint="eastAsia" w:ascii="仿宋" w:hAnsi="仿宋" w:eastAsia="仿宋" w:cs="仿宋"/>
                <w:b/>
                <w:bCs/>
                <w:color w:val="000000"/>
                <w:w w:val="90"/>
                <w:sz w:val="24"/>
              </w:rPr>
              <w:t>等。</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color w:val="000000"/>
                <w:w w:val="90"/>
                <w:sz w:val="24"/>
              </w:rPr>
            </w:pPr>
            <w:r>
              <w:rPr>
                <w:rFonts w:hint="eastAsia" w:ascii="仿宋" w:hAnsi="仿宋" w:eastAsia="仿宋" w:cs="仿宋"/>
                <w:color w:val="000000"/>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w w:val="90"/>
                <w:sz w:val="24"/>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ascii="仿宋" w:hAnsi="仿宋" w:eastAsia="仿宋" w:cs="仿宋"/>
                <w:color w:val="000000"/>
                <w:w w:val="90"/>
                <w:sz w:val="24"/>
              </w:rPr>
            </w:pPr>
            <w:r>
              <w:rPr>
                <w:rFonts w:hint="eastAsia" w:ascii="仿宋" w:hAnsi="仿宋" w:eastAsia="仿宋" w:cs="仿宋"/>
                <w:b/>
                <w:bCs/>
                <w:color w:val="000000"/>
                <w:w w:val="90"/>
                <w:sz w:val="24"/>
              </w:rPr>
              <w:t>4.</w:t>
            </w:r>
            <w:r>
              <w:rPr>
                <w:rFonts w:hint="eastAsia" w:ascii="仿宋" w:hAnsi="仿宋" w:eastAsia="仿宋" w:cs="仿宋"/>
                <w:b/>
                <w:w w:val="90"/>
                <w:sz w:val="24"/>
              </w:rPr>
              <w:t>5</w:t>
            </w:r>
            <w:r>
              <w:rPr>
                <w:rFonts w:hint="eastAsia" w:ascii="仿宋" w:hAnsi="仿宋" w:eastAsia="仿宋" w:cs="仿宋"/>
                <w:b/>
                <w:bCs/>
                <w:color w:val="000000"/>
                <w:w w:val="90"/>
                <w:sz w:val="24"/>
              </w:rPr>
              <w:t>针对本项目提出的应用系统巡检及故障修复服务方案的评价。</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color w:val="000000"/>
                <w:w w:val="90"/>
                <w:sz w:val="24"/>
              </w:rPr>
            </w:pPr>
            <w:r>
              <w:rPr>
                <w:rFonts w:hint="eastAsia" w:ascii="仿宋" w:hAnsi="仿宋" w:eastAsia="仿宋" w:cs="仿宋"/>
                <w:color w:val="000000"/>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ascii="仿宋" w:hAnsi="仿宋" w:eastAsia="仿宋" w:cs="仿宋"/>
                <w:color w:val="000000"/>
                <w:w w:val="90"/>
                <w:sz w:val="24"/>
              </w:rPr>
            </w:pPr>
            <w:r>
              <w:rPr>
                <w:rFonts w:hint="eastAsia" w:ascii="仿宋" w:hAnsi="仿宋" w:eastAsia="仿宋" w:cs="仿宋"/>
                <w:b/>
                <w:bCs/>
                <w:color w:val="000000"/>
                <w:w w:val="90"/>
                <w:sz w:val="24"/>
              </w:rPr>
              <w:t>4.6针对本项目提出的应用系统BUG修复服务实施方案的评价。</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color w:val="000000"/>
                <w:w w:val="90"/>
                <w:sz w:val="24"/>
              </w:rPr>
            </w:pPr>
            <w:r>
              <w:rPr>
                <w:rFonts w:hint="eastAsia" w:ascii="仿宋" w:hAnsi="仿宋" w:eastAsia="仿宋" w:cs="仿宋"/>
                <w:color w:val="000000"/>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60"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w w:val="90"/>
                <w:sz w:val="24"/>
              </w:rPr>
            </w:pPr>
            <w:r>
              <w:rPr>
                <w:rFonts w:hint="eastAsia" w:ascii="仿宋" w:hAnsi="仿宋" w:eastAsia="仿宋" w:cs="仿宋"/>
                <w:b/>
                <w:w w:val="90"/>
                <w:sz w:val="24"/>
              </w:rPr>
              <w:t>4.7</w:t>
            </w:r>
            <w:r>
              <w:rPr>
                <w:rFonts w:hint="eastAsia" w:ascii="仿宋" w:hAnsi="仿宋" w:eastAsia="仿宋" w:cs="仿宋"/>
                <w:b/>
                <w:bCs/>
                <w:color w:val="000000"/>
                <w:w w:val="90"/>
                <w:sz w:val="24"/>
              </w:rPr>
              <w:t>针对本项目提出的数据备份服务实施方案的评价。</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60"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w w:val="90"/>
                <w:sz w:val="24"/>
              </w:rPr>
            </w:pPr>
            <w:r>
              <w:rPr>
                <w:rFonts w:hint="eastAsia" w:ascii="仿宋" w:hAnsi="仿宋" w:eastAsia="仿宋" w:cs="仿宋"/>
                <w:b/>
                <w:w w:val="90"/>
                <w:sz w:val="24"/>
              </w:rPr>
              <w:t>4.8</w:t>
            </w:r>
            <w:r>
              <w:rPr>
                <w:rFonts w:hint="eastAsia" w:ascii="仿宋" w:hAnsi="仿宋" w:eastAsia="仿宋" w:cs="仿宋"/>
                <w:b/>
                <w:bCs/>
                <w:color w:val="000000"/>
                <w:w w:val="90"/>
                <w:sz w:val="24"/>
              </w:rPr>
              <w:t>针对本项目提出的应用系统培训指导服务实施方案的评价。</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60"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w w:val="90"/>
                <w:sz w:val="24"/>
              </w:rPr>
            </w:pPr>
            <w:r>
              <w:rPr>
                <w:rFonts w:hint="eastAsia" w:ascii="仿宋" w:hAnsi="仿宋" w:eastAsia="仿宋" w:cs="仿宋"/>
                <w:b/>
                <w:w w:val="90"/>
                <w:sz w:val="24"/>
              </w:rPr>
              <w:t>4.9</w:t>
            </w:r>
            <w:r>
              <w:rPr>
                <w:rFonts w:hint="eastAsia" w:ascii="仿宋" w:hAnsi="仿宋" w:eastAsia="仿宋" w:cs="仿宋"/>
                <w:b/>
                <w:bCs/>
                <w:color w:val="000000"/>
                <w:w w:val="90"/>
                <w:sz w:val="24"/>
              </w:rPr>
              <w:t>针对本项目提出的安全应急服务服务实施方案的评价。</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60"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ascii="仿宋" w:hAnsi="仿宋" w:eastAsia="仿宋" w:cs="仿宋"/>
                <w:w w:val="90"/>
                <w:sz w:val="24"/>
              </w:rPr>
            </w:pPr>
            <w:r>
              <w:rPr>
                <w:rFonts w:hint="eastAsia" w:ascii="仿宋" w:hAnsi="仿宋" w:eastAsia="仿宋" w:cs="仿宋"/>
                <w:b/>
                <w:w w:val="90"/>
                <w:sz w:val="24"/>
              </w:rPr>
              <w:t>4.10</w:t>
            </w:r>
            <w:r>
              <w:rPr>
                <w:rFonts w:hint="eastAsia" w:ascii="仿宋" w:hAnsi="仿宋" w:eastAsia="仿宋" w:cs="仿宋"/>
                <w:b/>
                <w:bCs/>
                <w:color w:val="000000"/>
                <w:w w:val="90"/>
                <w:sz w:val="24"/>
              </w:rPr>
              <w:t>针对本项目提出的其他运维服务实施方案的评价。</w:t>
            </w:r>
            <w:r>
              <w:rPr>
                <w:rFonts w:hint="eastAsia" w:ascii="仿宋" w:hAnsi="仿宋" w:eastAsia="仿宋" w:cs="仿宋"/>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仿宋"/>
                <w:w w:val="90"/>
                <w:sz w:val="24"/>
              </w:rPr>
            </w:pPr>
            <w:r>
              <w:rPr>
                <w:rFonts w:hint="eastAsia" w:ascii="仿宋" w:hAnsi="仿宋" w:eastAsia="仿宋" w:cs="仿宋"/>
                <w:w w:val="9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45"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ascii="仿宋" w:hAnsi="仿宋" w:eastAsia="仿宋" w:cs="仿宋"/>
                <w:b/>
                <w:bCs/>
                <w:w w:val="90"/>
                <w:sz w:val="24"/>
              </w:rPr>
            </w:pPr>
            <w:r>
              <w:rPr>
                <w:rFonts w:hint="eastAsia" w:ascii="仿宋" w:hAnsi="仿宋" w:eastAsia="仿宋" w:cs="仿宋"/>
                <w:b/>
                <w:bCs/>
                <w:w w:val="90"/>
                <w:sz w:val="24"/>
              </w:rPr>
              <w:t>4.11项目组织实施方案评价，</w:t>
            </w:r>
            <w:r>
              <w:rPr>
                <w:rFonts w:hint="eastAsia" w:ascii="仿宋" w:hAnsi="仿宋" w:eastAsia="仿宋" w:cs="仿宋"/>
                <w:w w:val="90"/>
                <w:sz w:val="24"/>
              </w:rPr>
              <w:t>包括组织机构、工作进度、工作程序、工作步骤、测试方案、验收方案、管理和协调方法以及为保障项目顺利实施而指定的各项措施等。</w:t>
            </w: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pPr>
              <w:spacing w:line="276" w:lineRule="auto"/>
              <w:jc w:val="center"/>
              <w:rPr>
                <w:rFonts w:ascii="仿宋" w:hAnsi="仿宋" w:eastAsia="仿宋" w:cs="Arial"/>
                <w:sz w:val="24"/>
              </w:rPr>
            </w:pPr>
            <w:r>
              <w:rPr>
                <w:rFonts w:hint="eastAsia" w:ascii="仿宋" w:hAnsi="仿宋" w:eastAsia="仿宋" w:cs="Arial"/>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350" w:type="dxa"/>
            <w:gridSpan w:val="3"/>
            <w:tcBorders>
              <w:top w:val="single" w:color="0070C0" w:sz="4" w:space="0"/>
              <w:bottom w:val="thinThickSmallGap" w:color="0070C0" w:sz="12" w:space="0"/>
              <w:right w:val="single" w:color="0070C0" w:sz="4" w:space="0"/>
            </w:tcBorders>
            <w:vAlign w:val="center"/>
          </w:tcPr>
          <w:p>
            <w:pPr>
              <w:widowControl/>
              <w:spacing w:line="276" w:lineRule="auto"/>
              <w:jc w:val="center"/>
              <w:rPr>
                <w:rFonts w:ascii="仿宋" w:hAnsi="仿宋" w:eastAsia="仿宋" w:cs="仿宋"/>
                <w:b/>
                <w:bCs/>
                <w:w w:val="90"/>
                <w:sz w:val="24"/>
              </w:rPr>
            </w:pPr>
            <w:r>
              <w:rPr>
                <w:rFonts w:hint="eastAsia" w:ascii="仿宋" w:hAnsi="仿宋" w:eastAsia="仿宋" w:cs="仿宋"/>
                <w:b/>
                <w:bCs/>
                <w:w w:val="90"/>
                <w:sz w:val="24"/>
              </w:rPr>
              <w:t>合计</w:t>
            </w:r>
            <w:bookmarkStart w:id="203" w:name="_GoBack"/>
            <w:bookmarkEnd w:id="203"/>
          </w:p>
        </w:tc>
        <w:tc>
          <w:tcPr>
            <w:tcW w:w="715" w:type="dxa"/>
            <w:tcBorders>
              <w:top w:val="single" w:color="0070C0" w:sz="4" w:space="0"/>
              <w:left w:val="single" w:color="0070C0" w:sz="4" w:space="0"/>
              <w:bottom w:val="thinThickSmallGap" w:color="0070C0" w:sz="12" w:space="0"/>
            </w:tcBorders>
            <w:vAlign w:val="center"/>
          </w:tcPr>
          <w:p>
            <w:pPr>
              <w:spacing w:line="276" w:lineRule="auto"/>
              <w:jc w:val="center"/>
              <w:rPr>
                <w:rFonts w:ascii="仿宋" w:hAnsi="仿宋" w:eastAsia="仿宋" w:cs="Arial"/>
                <w:sz w:val="24"/>
              </w:rPr>
            </w:pPr>
            <w:r>
              <w:rPr>
                <w:rFonts w:hint="eastAsia" w:ascii="仿宋" w:hAnsi="仿宋" w:eastAsia="仿宋" w:cs="Arial"/>
                <w:sz w:val="24"/>
              </w:rPr>
              <w:t>90</w:t>
            </w:r>
          </w:p>
        </w:tc>
      </w:tr>
    </w:tbl>
    <w:p>
      <w:pPr>
        <w:spacing w:before="240" w:after="240" w:line="360" w:lineRule="auto"/>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3.1.2商务技术</w:t>
      </w:r>
      <w:r>
        <w:rPr>
          <w:rFonts w:ascii="仿宋" w:hAnsi="仿宋" w:eastAsia="仿宋" w:cs="Arial"/>
          <w:b/>
          <w:color w:val="000000" w:themeColor="text1"/>
          <w:sz w:val="24"/>
          <w:szCs w:val="22"/>
          <w14:textFill>
            <w14:solidFill>
              <w14:schemeClr w14:val="tx1"/>
            </w14:solidFill>
          </w14:textFill>
        </w:rPr>
        <w:t>得分为各评委有效评分的算术平均值</w:t>
      </w:r>
      <w:r>
        <w:rPr>
          <w:rFonts w:hint="eastAsia" w:ascii="仿宋" w:hAnsi="仿宋" w:eastAsia="仿宋" w:cs="Arial"/>
          <w:b/>
          <w:color w:val="000000" w:themeColor="text1"/>
          <w:sz w:val="24"/>
          <w:szCs w:val="22"/>
          <w14:textFill>
            <w14:solidFill>
              <w14:schemeClr w14:val="tx1"/>
            </w14:solidFill>
          </w14:textFill>
        </w:rPr>
        <w:t>（四舍五入，保留二位小数）。</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3.2 报价分（</w:t>
      </w:r>
      <w:r>
        <w:rPr>
          <w:rFonts w:hint="eastAsia"/>
          <w:color w:val="000000" w:themeColor="text1"/>
          <w:kern w:val="28"/>
          <w14:textFill>
            <w14:solidFill>
              <w14:schemeClr w14:val="tx1"/>
            </w14:solidFill>
          </w14:textFill>
        </w:rPr>
        <w:t>1</w:t>
      </w:r>
      <w:r>
        <w:rPr>
          <w:color w:val="000000" w:themeColor="text1"/>
          <w:kern w:val="28"/>
          <w14:textFill>
            <w14:solidFill>
              <w14:schemeClr w14:val="tx1"/>
            </w14:solidFill>
          </w14:textFill>
        </w:rPr>
        <w:t>0分</w:t>
      </w:r>
      <w:r>
        <w:rPr>
          <w:rFonts w:hint="eastAsia"/>
          <w:color w:val="000000" w:themeColor="text1"/>
          <w:kern w:val="28"/>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3.2.1</w:t>
      </w:r>
      <w:r>
        <w:rPr>
          <w:rFonts w:ascii="仿宋" w:hAnsi="仿宋" w:eastAsia="仿宋" w:cs="Arial"/>
          <w:b/>
          <w:color w:val="000000" w:themeColor="text1"/>
          <w:sz w:val="24"/>
          <w:szCs w:val="22"/>
          <w14:textFill>
            <w14:solidFill>
              <w14:schemeClr w14:val="tx1"/>
            </w14:solidFill>
          </w14:textFill>
        </w:rPr>
        <w:t>投标价格的合理性</w:t>
      </w:r>
      <w:r>
        <w:rPr>
          <w:rFonts w:hint="eastAsia" w:ascii="仿宋" w:hAnsi="仿宋" w:eastAsia="仿宋" w:cs="Arial"/>
          <w:b/>
          <w:color w:val="000000" w:themeColor="text1"/>
          <w:sz w:val="24"/>
          <w:szCs w:val="22"/>
          <w14:textFill>
            <w14:solidFill>
              <w14:schemeClr w14:val="tx1"/>
            </w14:solidFill>
          </w14:textFill>
        </w:rPr>
        <w:t>审查</w:t>
      </w:r>
    </w:p>
    <w:p>
      <w:pPr>
        <w:spacing w:line="360" w:lineRule="auto"/>
        <w:ind w:firstLine="422"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（1）</w:t>
      </w:r>
      <w:r>
        <w:rPr>
          <w:rFonts w:ascii="仿宋" w:hAnsi="仿宋" w:eastAsia="仿宋" w:cs="Arial"/>
          <w:color w:val="000000" w:themeColor="text1"/>
          <w:sz w:val="24"/>
          <w:szCs w:val="22"/>
          <w14:textFill>
            <w14:solidFill>
              <w14:schemeClr w14:val="tx1"/>
            </w14:solidFill>
          </w14:textFill>
        </w:rPr>
        <w:t>分析投标价格是否合理，投标价格范围是否完整，有否重大错漏项</w:t>
      </w:r>
      <w:r>
        <w:rPr>
          <w:rFonts w:hint="eastAsia" w:ascii="仿宋" w:hAnsi="仿宋" w:eastAsia="仿宋" w:cs="Arial"/>
          <w:color w:val="000000" w:themeColor="text1"/>
          <w:sz w:val="24"/>
          <w:szCs w:val="22"/>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Pr>
          <w:rFonts w:ascii="仿宋" w:hAnsi="仿宋" w:eastAsia="仿宋" w:cs="Arial"/>
          <w:b/>
          <w:color w:val="000000" w:themeColor="text1"/>
          <w:sz w:val="24"/>
          <w:szCs w:val="22"/>
          <w14:textFill>
            <w14:solidFill>
              <w14:schemeClr w14:val="tx1"/>
            </w14:solidFill>
          </w14:textFill>
        </w:rPr>
        <w:t>投标</w:t>
      </w:r>
      <w:r>
        <w:rPr>
          <w:rFonts w:hint="eastAsia" w:ascii="仿宋" w:hAnsi="仿宋" w:eastAsia="仿宋" w:cs="Arial"/>
          <w:b/>
          <w:color w:val="000000" w:themeColor="text1"/>
          <w:sz w:val="24"/>
          <w:szCs w:val="22"/>
          <w14:textFill>
            <w14:solidFill>
              <w14:schemeClr w14:val="tx1"/>
            </w14:solidFill>
          </w14:textFill>
        </w:rPr>
        <w:t>供应商</w:t>
      </w:r>
      <w:r>
        <w:rPr>
          <w:rFonts w:ascii="仿宋" w:hAnsi="仿宋" w:eastAsia="仿宋" w:cs="Arial"/>
          <w:b/>
          <w:color w:val="000000" w:themeColor="text1"/>
          <w:sz w:val="24"/>
          <w:szCs w:val="22"/>
          <w14:textFill>
            <w14:solidFill>
              <w14:schemeClr w14:val="tx1"/>
            </w14:solidFill>
          </w14:textFill>
        </w:rPr>
        <w:t>不能证明其报价合理性的，</w:t>
      </w:r>
      <w:r>
        <w:rPr>
          <w:rFonts w:hint="eastAsia" w:ascii="仿宋" w:hAnsi="仿宋" w:eastAsia="仿宋" w:cs="Arial"/>
          <w:b/>
          <w:color w:val="000000" w:themeColor="text1"/>
          <w:sz w:val="24"/>
          <w:szCs w:val="22"/>
          <w14:textFill>
            <w14:solidFill>
              <w14:schemeClr w14:val="tx1"/>
            </w14:solidFill>
          </w14:textFill>
        </w:rPr>
        <w:t>评标委员会</w:t>
      </w:r>
      <w:r>
        <w:rPr>
          <w:rFonts w:ascii="仿宋" w:hAnsi="仿宋" w:eastAsia="仿宋" w:cs="Arial"/>
          <w:b/>
          <w:color w:val="000000" w:themeColor="text1"/>
          <w:sz w:val="24"/>
          <w:szCs w:val="22"/>
          <w14:textFill>
            <w14:solidFill>
              <w14:schemeClr w14:val="tx1"/>
            </w14:solidFill>
          </w14:textFill>
        </w:rPr>
        <w:t>将</w:t>
      </w:r>
      <w:r>
        <w:rPr>
          <w:rFonts w:hint="eastAsia" w:ascii="仿宋" w:hAnsi="仿宋" w:eastAsia="仿宋" w:cs="Arial"/>
          <w:b/>
          <w:color w:val="000000" w:themeColor="text1"/>
          <w:sz w:val="24"/>
          <w:szCs w:val="22"/>
          <w14:textFill>
            <w14:solidFill>
              <w14:schemeClr w14:val="tx1"/>
            </w14:solidFill>
          </w14:textFill>
        </w:rPr>
        <w:t>对</w:t>
      </w:r>
      <w:r>
        <w:rPr>
          <w:rFonts w:ascii="仿宋" w:hAnsi="仿宋" w:eastAsia="仿宋" w:cs="Arial"/>
          <w:b/>
          <w:color w:val="000000" w:themeColor="text1"/>
          <w:sz w:val="24"/>
          <w:szCs w:val="22"/>
          <w14:textFill>
            <w14:solidFill>
              <w14:schemeClr w14:val="tx1"/>
            </w14:solidFill>
          </w14:textFill>
        </w:rPr>
        <w:t>其作为无效</w:t>
      </w:r>
      <w:r>
        <w:rPr>
          <w:rFonts w:hint="eastAsia" w:ascii="仿宋" w:hAnsi="仿宋" w:eastAsia="仿宋" w:cs="Arial"/>
          <w:b/>
          <w:color w:val="000000" w:themeColor="text1"/>
          <w:sz w:val="24"/>
          <w:szCs w:val="22"/>
          <w14:textFill>
            <w14:solidFill>
              <w14:schemeClr w14:val="tx1"/>
            </w14:solidFill>
          </w14:textFill>
        </w:rPr>
        <w:t>投</w:t>
      </w:r>
      <w:r>
        <w:rPr>
          <w:rFonts w:ascii="仿宋" w:hAnsi="仿宋" w:eastAsia="仿宋" w:cs="Arial"/>
          <w:b/>
          <w:color w:val="000000" w:themeColor="text1"/>
          <w:sz w:val="24"/>
          <w:szCs w:val="22"/>
          <w14:textFill>
            <w14:solidFill>
              <w14:schemeClr w14:val="tx1"/>
            </w14:solidFill>
          </w14:textFill>
        </w:rPr>
        <w:t>标处理。</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3.2.2报价</w:t>
      </w:r>
      <w:r>
        <w:rPr>
          <w:rFonts w:ascii="仿宋" w:hAnsi="仿宋" w:eastAsia="仿宋" w:cs="Arial"/>
          <w:b/>
          <w:color w:val="000000" w:themeColor="text1"/>
          <w:sz w:val="24"/>
          <w:szCs w:val="22"/>
          <w14:textFill>
            <w14:solidFill>
              <w14:schemeClr w14:val="tx1"/>
            </w14:solidFill>
          </w14:textFill>
        </w:rPr>
        <w:t>分计算方法</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w:t>
      </w:r>
      <w:r>
        <w:rPr>
          <w:rFonts w:ascii="仿宋" w:hAnsi="仿宋" w:eastAsia="仿宋" w:cs="Arial"/>
          <w:b/>
          <w:color w:val="000000" w:themeColor="text1"/>
          <w:sz w:val="24"/>
          <w:szCs w:val="22"/>
          <w14:textFill>
            <w14:solidFill>
              <w14:schemeClr w14:val="tx1"/>
            </w14:solidFill>
          </w14:textFill>
        </w:rPr>
        <w:t>满足采购文件要求</w:t>
      </w:r>
      <w:r>
        <w:rPr>
          <w:rFonts w:hint="eastAsia" w:ascii="仿宋" w:hAnsi="仿宋" w:eastAsia="仿宋" w:cs="Arial"/>
          <w:b/>
          <w:color w:val="000000" w:themeColor="text1"/>
          <w:sz w:val="24"/>
          <w:szCs w:val="22"/>
          <w14:textFill>
            <w14:solidFill>
              <w14:schemeClr w14:val="tx1"/>
            </w14:solidFill>
          </w14:textFill>
        </w:rPr>
        <w:t>的最低评标价</w:t>
      </w:r>
      <w:r>
        <w:rPr>
          <w:rFonts w:ascii="仿宋" w:hAnsi="仿宋" w:eastAsia="仿宋" w:cs="Arial"/>
          <w:b/>
          <w:color w:val="000000" w:themeColor="text1"/>
          <w:sz w:val="24"/>
          <w:szCs w:val="22"/>
          <w14:textFill>
            <w14:solidFill>
              <w14:schemeClr w14:val="tx1"/>
            </w14:solidFill>
          </w14:textFill>
        </w:rPr>
        <w:t>为评标基准价，其价格分为</w:t>
      </w:r>
      <w:r>
        <w:rPr>
          <w:rFonts w:hint="eastAsia" w:ascii="仿宋" w:hAnsi="仿宋" w:eastAsia="仿宋" w:cs="Arial"/>
          <w:b/>
          <w:color w:val="000000" w:themeColor="text1"/>
          <w:sz w:val="24"/>
          <w:szCs w:val="22"/>
          <w:u w:val="single"/>
          <w14:textFill>
            <w14:solidFill>
              <w14:schemeClr w14:val="tx1"/>
            </w14:solidFill>
          </w14:textFill>
        </w:rPr>
        <w:t>10</w:t>
      </w:r>
      <w:r>
        <w:rPr>
          <w:rFonts w:ascii="仿宋" w:hAnsi="仿宋" w:eastAsia="仿宋" w:cs="Arial"/>
          <w:b/>
          <w:color w:val="000000" w:themeColor="text1"/>
          <w:sz w:val="24"/>
          <w:szCs w:val="22"/>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（即价格权值为</w:t>
      </w:r>
      <w:r>
        <w:rPr>
          <w:rFonts w:hint="eastAsia" w:ascii="仿宋" w:hAnsi="仿宋" w:eastAsia="仿宋" w:cs="Arial"/>
          <w:b/>
          <w:color w:val="000000" w:themeColor="text1"/>
          <w:sz w:val="24"/>
          <w:szCs w:val="22"/>
          <w:u w:val="single"/>
          <w14:textFill>
            <w14:solidFill>
              <w14:schemeClr w14:val="tx1"/>
            </w14:solidFill>
          </w14:textFill>
        </w:rPr>
        <w:t>10</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其他投标供应商的</w:t>
      </w:r>
      <w:r>
        <w:rPr>
          <w:rFonts w:hint="eastAsia" w:ascii="仿宋" w:hAnsi="仿宋" w:eastAsia="仿宋" w:cs="Arial"/>
          <w:b/>
          <w:color w:val="000000" w:themeColor="text1"/>
          <w:sz w:val="24"/>
          <w:szCs w:val="22"/>
          <w14:textFill>
            <w14:solidFill>
              <w14:schemeClr w14:val="tx1"/>
            </w14:solidFill>
          </w14:textFill>
        </w:rPr>
        <w:t>报价</w:t>
      </w:r>
      <w:r>
        <w:rPr>
          <w:rFonts w:ascii="仿宋" w:hAnsi="仿宋" w:eastAsia="仿宋" w:cs="Arial"/>
          <w:b/>
          <w:color w:val="000000" w:themeColor="text1"/>
          <w:sz w:val="24"/>
          <w:szCs w:val="22"/>
          <w14:textFill>
            <w14:solidFill>
              <w14:schemeClr w14:val="tx1"/>
            </w14:solidFill>
          </w14:textFill>
        </w:rPr>
        <w:t>分统一按照下列公式计算（</w:t>
      </w:r>
      <w:r>
        <w:rPr>
          <w:rFonts w:hint="eastAsia" w:ascii="仿宋" w:hAnsi="仿宋" w:eastAsia="仿宋" w:cs="Arial"/>
          <w:b/>
          <w:color w:val="000000" w:themeColor="text1"/>
          <w:sz w:val="24"/>
          <w:szCs w:val="22"/>
          <w14:textFill>
            <w14:solidFill>
              <w14:schemeClr w14:val="tx1"/>
            </w14:solidFill>
          </w14:textFill>
        </w:rPr>
        <w:t>四舍五入，</w:t>
      </w:r>
      <w:r>
        <w:rPr>
          <w:rFonts w:ascii="仿宋" w:hAnsi="仿宋" w:eastAsia="仿宋" w:cs="Arial"/>
          <w:b/>
          <w:color w:val="000000" w:themeColor="text1"/>
          <w:sz w:val="24"/>
          <w:szCs w:val="22"/>
          <w14:textFill>
            <w14:solidFill>
              <w14:schemeClr w14:val="tx1"/>
            </w14:solidFill>
          </w14:textFill>
        </w:rPr>
        <w:t>精确到小数点后二位）：投标报价得分=</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评标基准价／</w:t>
      </w:r>
      <w:r>
        <w:rPr>
          <w:rFonts w:hint="eastAsia" w:ascii="仿宋" w:hAnsi="仿宋" w:eastAsia="仿宋" w:cs="Arial"/>
          <w:b/>
          <w:color w:val="000000" w:themeColor="text1"/>
          <w:sz w:val="24"/>
          <w:szCs w:val="22"/>
          <w14:textFill>
            <w14:solidFill>
              <w14:schemeClr w14:val="tx1"/>
            </w14:solidFill>
          </w14:textFill>
        </w:rPr>
        <w:t>供应商评标价）</w:t>
      </w:r>
      <w:r>
        <w:rPr>
          <w:rFonts w:ascii="仿宋" w:hAnsi="仿宋" w:eastAsia="仿宋" w:cs="Arial"/>
          <w:b/>
          <w:color w:val="000000" w:themeColor="text1"/>
          <w:sz w:val="24"/>
          <w:szCs w:val="22"/>
          <w14:textFill>
            <w14:solidFill>
              <w14:schemeClr w14:val="tx1"/>
            </w14:solidFill>
          </w14:textFill>
        </w:rPr>
        <w:t>×</w:t>
      </w:r>
      <w:r>
        <w:rPr>
          <w:rFonts w:hint="eastAsia" w:ascii="仿宋" w:hAnsi="仿宋" w:eastAsia="仿宋" w:cs="Arial"/>
          <w:b/>
          <w:color w:val="000000" w:themeColor="text1"/>
          <w:sz w:val="24"/>
          <w:szCs w:val="22"/>
          <w14:textFill>
            <w14:solidFill>
              <w14:schemeClr w14:val="tx1"/>
            </w14:solidFill>
          </w14:textFill>
        </w:rPr>
        <w:t>价格权值</w:t>
      </w:r>
      <w:r>
        <w:rPr>
          <w:rFonts w:ascii="仿宋" w:hAnsi="仿宋" w:eastAsia="仿宋" w:cs="Arial"/>
          <w:b/>
          <w:color w:val="000000" w:themeColor="text1"/>
          <w:sz w:val="24"/>
          <w:szCs w:val="22"/>
          <w14:textFill>
            <w14:solidFill>
              <w14:schemeClr w14:val="tx1"/>
            </w14:solidFill>
          </w14:textFill>
        </w:rPr>
        <w:t>×100</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bookmarkStart w:id="128" w:name="_Toc14352"/>
      <w:r>
        <w:rPr>
          <w:rFonts w:hint="eastAsia" w:ascii="仿宋" w:hAnsi="仿宋" w:eastAsia="仿宋" w:cs="Arial"/>
          <w:b/>
          <w:color w:val="000000" w:themeColor="text1"/>
          <w:sz w:val="24"/>
          <w:szCs w:val="22"/>
          <w14:textFill>
            <w14:solidFill>
              <w14:schemeClr w14:val="tx1"/>
            </w14:solidFill>
          </w14:textFill>
        </w:rPr>
        <w:t>（3）小微企业价格扣除政策</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①预留份额专门面向中小企业的项目不再执行小微企业价格扣除政策；</w:t>
      </w:r>
    </w:p>
    <w:p>
      <w:pPr>
        <w:spacing w:line="360" w:lineRule="auto"/>
        <w:ind w:firstLine="463"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bCs/>
          <w:kern w:val="0"/>
          <w:sz w:val="24"/>
        </w:rPr>
        <w:t>②</w:t>
      </w:r>
      <w:r>
        <w:rPr>
          <w:rFonts w:hint="eastAsia" w:ascii="仿宋" w:hAnsi="仿宋" w:eastAsia="仿宋" w:cs="Arial"/>
          <w:b/>
          <w:bCs/>
          <w:kern w:val="0"/>
          <w:sz w:val="24"/>
          <w:u w:val="single"/>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仿宋" w:hAnsi="仿宋" w:eastAsia="仿宋" w:cs="Arial"/>
          <w:color w:val="000000" w:themeColor="text1"/>
          <w:kern w:val="0"/>
          <w:sz w:val="24"/>
          <w14:textFill>
            <w14:solidFill>
              <w14:schemeClr w14:val="tx1"/>
            </w14:solidFill>
          </w14:textFill>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3"/>
        <w:rPr>
          <w:color w:val="000000" w:themeColor="text1"/>
          <w14:textFill>
            <w14:solidFill>
              <w14:schemeClr w14:val="tx1"/>
            </w14:solidFill>
          </w14:textFill>
        </w:rPr>
      </w:pPr>
      <w:bookmarkStart w:id="129" w:name="_Toc16082"/>
      <w:bookmarkStart w:id="130" w:name="_Toc18461"/>
      <w:bookmarkStart w:id="131" w:name="_Toc5170"/>
      <w:r>
        <w:rPr>
          <w:rFonts w:hint="eastAsia"/>
          <w:color w:val="000000" w:themeColor="text1"/>
          <w14:textFill>
            <w14:solidFill>
              <w14:schemeClr w14:val="tx1"/>
            </w14:solidFill>
          </w14:textFill>
        </w:rPr>
        <w:t>四、其他评审事项规定</w:t>
      </w:r>
      <w:bookmarkEnd w:id="128"/>
      <w:bookmarkEnd w:id="129"/>
      <w:bookmarkEnd w:id="130"/>
      <w:bookmarkEnd w:id="131"/>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4.1 串通投标的认定</w:t>
      </w:r>
    </w:p>
    <w:p>
      <w:pPr>
        <w:spacing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4.1.1在评审过程中发现以下情形，被视为串通投标的：</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（1）不同投标供应商的投标文件由同一单位或个人编制；</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（2）不同投标供应商委托同一单位或个人办理投标事宜；</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（3）不同投标供应商的投标文件载明的项目管理成员或联系人员为同一人；</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（4）不同投标供应商的投标文件异常一致或者投标报价呈规律性差异；</w:t>
      </w:r>
    </w:p>
    <w:p>
      <w:pPr>
        <w:spacing w:line="360" w:lineRule="auto"/>
        <w:ind w:firstLine="460"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（5）不同投标供应商的投标文件互相混装。</w:t>
      </w:r>
    </w:p>
    <w:p>
      <w:pPr>
        <w:spacing w:after="240"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4.2 投标供应商违法等重大事项的处理</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w:t>
      </w:r>
      <w:r>
        <w:rPr>
          <w:rFonts w:ascii="仿宋" w:hAnsi="仿宋" w:eastAsia="仿宋"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（1）未如实提供债权债务、</w:t>
      </w:r>
      <w:r>
        <w:rPr>
          <w:rFonts w:hint="eastAsia" w:ascii="仿宋" w:hAnsi="仿宋" w:eastAsia="仿宋" w:cs="Arial"/>
          <w:color w:val="000000" w:themeColor="text1"/>
          <w:kern w:val="0"/>
          <w:sz w:val="24"/>
          <w14:textFill>
            <w14:solidFill>
              <w14:schemeClr w14:val="tx1"/>
            </w14:solidFill>
          </w14:textFill>
        </w:rPr>
        <w:t>重大</w:t>
      </w:r>
      <w:r>
        <w:rPr>
          <w:rFonts w:ascii="仿宋" w:hAnsi="仿宋" w:eastAsia="仿宋" w:cs="Arial"/>
          <w:color w:val="000000" w:themeColor="text1"/>
          <w:kern w:val="0"/>
          <w:sz w:val="24"/>
          <w14:textFill>
            <w14:solidFill>
              <w14:schemeClr w14:val="tx1"/>
            </w14:solidFill>
          </w14:textFill>
        </w:rPr>
        <w:t>违法记录</w:t>
      </w:r>
      <w:r>
        <w:rPr>
          <w:rFonts w:hint="eastAsia" w:ascii="仿宋" w:hAnsi="仿宋" w:eastAsia="仿宋" w:cs="Arial"/>
          <w:color w:val="000000" w:themeColor="text1"/>
          <w:kern w:val="0"/>
          <w:sz w:val="24"/>
          <w14:textFill>
            <w14:solidFill>
              <w14:schemeClr w14:val="tx1"/>
            </w14:solidFill>
          </w14:textFill>
        </w:rPr>
        <w:t>、利害关系等</w:t>
      </w:r>
      <w:r>
        <w:rPr>
          <w:rFonts w:ascii="仿宋" w:hAnsi="仿宋" w:eastAsia="仿宋" w:cs="Arial"/>
          <w:color w:val="000000" w:themeColor="text1"/>
          <w:kern w:val="0"/>
          <w:sz w:val="24"/>
          <w14:textFill>
            <w14:solidFill>
              <w14:schemeClr w14:val="tx1"/>
            </w14:solidFill>
          </w14:textFill>
        </w:rPr>
        <w:t>信息，影响或者可能影响中标结果的；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14:textFill>
            <w14:solidFill>
              <w14:schemeClr w14:val="tx1"/>
            </w14:solidFill>
          </w14:textFill>
        </w:rPr>
        <w:t>不遵循公平竞争原则、恶意串通、妨碍其他投标供应商的竞争、损害采购人或其他投标供应商合法权益的；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政府采购活动中存在违法行为的；</w:t>
      </w:r>
    </w:p>
    <w:p>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）其他严重干扰招投标秩序的行为的。</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4.3 评审中合格投标供应商不足法定数量的处理</w:t>
      </w:r>
    </w:p>
    <w:p>
      <w:pPr>
        <w:pStyle w:val="195"/>
        <w:spacing w:line="360" w:lineRule="auto"/>
        <w:ind w:firstLine="422" w:firstLineChars="175"/>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公开招标的采购项目，在评审过程中，若某个标项的有效投标供应商不足三家的，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pPr>
        <w:pStyle w:val="195"/>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pPr>
        <w:pStyle w:val="195"/>
        <w:spacing w:after="240" w:line="360" w:lineRule="auto"/>
        <w:ind w:firstLine="420"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4.4 废标适用情形</w:t>
      </w:r>
    </w:p>
    <w:p>
      <w:pPr>
        <w:pStyle w:val="195"/>
        <w:spacing w:line="360" w:lineRule="auto"/>
        <w:ind w:firstLine="422" w:firstLineChars="175"/>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在招标采购中，出现下列情形之一的，</w:t>
      </w:r>
      <w:r>
        <w:rPr>
          <w:rFonts w:hint="eastAsia" w:ascii="仿宋" w:hAnsi="仿宋" w:eastAsia="仿宋" w:cs="Arial"/>
          <w:b/>
          <w:color w:val="000000" w:themeColor="text1"/>
          <w:sz w:val="24"/>
          <w14:textFill>
            <w14:solidFill>
              <w14:schemeClr w14:val="tx1"/>
            </w14:solidFill>
          </w14:textFill>
        </w:rPr>
        <w:t>项目将予以</w:t>
      </w:r>
      <w:r>
        <w:rPr>
          <w:rFonts w:ascii="仿宋" w:hAnsi="仿宋" w:eastAsia="仿宋" w:cs="Arial"/>
          <w:b/>
          <w:color w:val="000000" w:themeColor="text1"/>
          <w:sz w:val="24"/>
          <w14:textFill>
            <w14:solidFill>
              <w14:schemeClr w14:val="tx1"/>
            </w14:solidFill>
          </w14:textFill>
        </w:rPr>
        <w:t>废标：</w:t>
      </w:r>
    </w:p>
    <w:p>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）符合专业条件的供应商或者对</w:t>
      </w:r>
      <w:r>
        <w:rPr>
          <w:rFonts w:hint="eastAsia" w:ascii="仿宋" w:hAnsi="仿宋" w:eastAsia="仿宋"/>
          <w:color w:val="000000" w:themeColor="text1"/>
          <w:kern w:val="0"/>
          <w:sz w:val="24"/>
          <w14:textFill>
            <w14:solidFill>
              <w14:schemeClr w14:val="tx1"/>
            </w14:solidFill>
          </w14:textFill>
        </w:rPr>
        <w:t>采购</w:t>
      </w:r>
      <w:r>
        <w:rPr>
          <w:rFonts w:ascii="仿宋" w:hAnsi="仿宋" w:eastAsia="仿宋"/>
          <w:color w:val="000000" w:themeColor="text1"/>
          <w:kern w:val="0"/>
          <w:sz w:val="24"/>
          <w14:textFill>
            <w14:solidFill>
              <w14:schemeClr w14:val="tx1"/>
            </w14:solidFill>
          </w14:textFill>
        </w:rPr>
        <w:t>文件作实质响应的供应商不足三家的；</w:t>
      </w:r>
    </w:p>
    <w:p>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）出现影响采购公正的违法、违规行为的；</w:t>
      </w:r>
    </w:p>
    <w:p>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）投标</w:t>
      </w:r>
      <w:r>
        <w:rPr>
          <w:rFonts w:hint="eastAsia" w:ascii="仿宋" w:hAnsi="仿宋" w:eastAsia="仿宋"/>
          <w:color w:val="000000" w:themeColor="text1"/>
          <w:kern w:val="0"/>
          <w:sz w:val="24"/>
          <w14:textFill>
            <w14:solidFill>
              <w14:schemeClr w14:val="tx1"/>
            </w14:solidFill>
          </w14:textFill>
        </w:rPr>
        <w:t>供应商</w:t>
      </w:r>
      <w:r>
        <w:rPr>
          <w:rFonts w:ascii="仿宋" w:hAnsi="仿宋" w:eastAsia="仿宋"/>
          <w:color w:val="000000" w:themeColor="text1"/>
          <w:kern w:val="0"/>
          <w:sz w:val="24"/>
          <w14:textFill>
            <w14:solidFill>
              <w14:schemeClr w14:val="tx1"/>
            </w14:solidFill>
          </w14:textFill>
        </w:rPr>
        <w:t>的报价均超过了采购预算，采购人不能支付的；</w:t>
      </w:r>
    </w:p>
    <w:p>
      <w:pPr>
        <w:widowControl/>
        <w:spacing w:after="240" w:line="360" w:lineRule="auto"/>
        <w:ind w:firstLine="420" w:firstLineChars="175"/>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4</w:t>
      </w:r>
      <w:r>
        <w:rPr>
          <w:rFonts w:ascii="仿宋" w:hAnsi="仿宋" w:eastAsia="仿宋"/>
          <w:color w:val="000000" w:themeColor="text1"/>
          <w:kern w:val="0"/>
          <w:sz w:val="24"/>
          <w14:textFill>
            <w14:solidFill>
              <w14:schemeClr w14:val="tx1"/>
            </w14:solidFill>
          </w14:textFill>
        </w:rPr>
        <w:t>）因重大变故，采购任务取消的。</w:t>
      </w:r>
    </w:p>
    <w:p>
      <w:pPr>
        <w:keepNext/>
        <w:keepLines/>
        <w:spacing w:before="240" w:after="240"/>
        <w:jc w:val="left"/>
        <w:outlineLvl w:val="2"/>
        <w:rPr>
          <w:rFonts w:ascii="华文中宋" w:hAnsi="华文中宋" w:eastAsia="华文中宋"/>
          <w:b/>
          <w:bCs/>
          <w:color w:val="000000" w:themeColor="text1"/>
          <w:kern w:val="0"/>
          <w:sz w:val="28"/>
          <w14:textFill>
            <w14:solidFill>
              <w14:schemeClr w14:val="tx1"/>
            </w14:solidFill>
          </w14:textFill>
        </w:rPr>
      </w:pPr>
      <w:r>
        <w:rPr>
          <w:rFonts w:hint="eastAsia" w:ascii="华文中宋" w:hAnsi="华文中宋" w:eastAsia="华文中宋"/>
          <w:b/>
          <w:bCs/>
          <w:color w:val="000000" w:themeColor="text1"/>
          <w:kern w:val="0"/>
          <w:sz w:val="28"/>
          <w14:textFill>
            <w14:solidFill>
              <w14:schemeClr w14:val="tx1"/>
            </w14:solidFill>
          </w14:textFill>
        </w:rPr>
        <w:t>4.5 可中止电子交易活动的情形</w:t>
      </w:r>
    </w:p>
    <w:p>
      <w:pPr>
        <w:spacing w:line="360" w:lineRule="auto"/>
        <w:ind w:firstLine="422"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（1）电子交易平台发生故障而无法登录访问的；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（2）电子交易平台应用或数据库出现错误，不能进行正常操作的；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（3）电子交易平台发现严重安全漏洞，有潜在泄密危险的；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（4）病毒发作导致不能进行正常操作的；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（5）其他无法保证电子交易的公平、公正和安全的情况。</w:t>
      </w:r>
    </w:p>
    <w:p>
      <w:pPr>
        <w:spacing w:after="240" w:line="360" w:lineRule="auto"/>
        <w:ind w:firstLine="422" w:firstLineChars="175"/>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pPr>
        <w:spacing w:line="360" w:lineRule="auto"/>
        <w:rPr>
          <w:rFonts w:ascii="Arial" w:hAnsi="新宋体" w:eastAsia="新宋体" w:cs="Arial"/>
          <w:b/>
          <w:color w:val="000000" w:themeColor="text1"/>
          <w:sz w:val="22"/>
          <w:szCs w:val="22"/>
          <w14:textFill>
            <w14:solidFill>
              <w14:schemeClr w14:val="tx1"/>
            </w14:solidFill>
          </w14:textFill>
        </w:rPr>
        <w:sectPr>
          <w:headerReference r:id="rId19" w:type="default"/>
          <w:pgSz w:w="11906" w:h="16838"/>
          <w:pgMar w:top="1701" w:right="1416" w:bottom="1440" w:left="1560" w:header="709" w:footer="797" w:gutter="0"/>
          <w:pgNumType w:fmt="numberInDash"/>
          <w:cols w:space="720" w:num="1"/>
          <w:docGrid w:linePitch="312" w:charSpace="0"/>
        </w:sectPr>
      </w:pPr>
    </w:p>
    <w:p>
      <w:pPr>
        <w:pStyle w:val="54"/>
        <w:rPr>
          <w:color w:val="000000" w:themeColor="text1"/>
          <w14:textFill>
            <w14:solidFill>
              <w14:schemeClr w14:val="tx1"/>
            </w14:solidFill>
          </w14:textFill>
        </w:rPr>
      </w:pPr>
      <w:bookmarkStart w:id="132" w:name="_Toc440162798"/>
      <w:bookmarkStart w:id="133" w:name="_Toc26492"/>
      <w:bookmarkStart w:id="134" w:name="_Toc18920"/>
      <w:bookmarkStart w:id="135" w:name="_Toc424164165"/>
      <w:bookmarkStart w:id="136" w:name="_Toc20367"/>
      <w:bookmarkStart w:id="137" w:name="_Toc9252"/>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合同主要条款</w:t>
      </w:r>
      <w:bookmarkEnd w:id="132"/>
      <w:bookmarkEnd w:id="133"/>
      <w:bookmarkEnd w:id="134"/>
      <w:bookmarkEnd w:id="135"/>
      <w:bookmarkEnd w:id="136"/>
      <w:bookmarkEnd w:id="137"/>
    </w:p>
    <w:p>
      <w:pPr>
        <w:spacing w:line="360" w:lineRule="auto"/>
        <w:jc w:val="center"/>
        <w:rPr>
          <w:rFonts w:ascii="华文中宋" w:hAnsi="华文中宋" w:eastAsia="华文中宋"/>
          <w:b/>
          <w:color w:val="000000" w:themeColor="text1"/>
          <w:kern w:val="0"/>
          <w:sz w:val="48"/>
          <w:szCs w:val="28"/>
          <w14:textFill>
            <w14:solidFill>
              <w14:schemeClr w14:val="tx1"/>
            </w14:solidFill>
          </w14:textFill>
        </w:rPr>
      </w:pPr>
      <w:r>
        <w:rPr>
          <w:rFonts w:hint="eastAsia" w:ascii="华文中宋" w:hAnsi="华文中宋" w:eastAsia="华文中宋"/>
          <w:b/>
          <w:color w:val="000000" w:themeColor="text1"/>
          <w:kern w:val="0"/>
          <w:sz w:val="48"/>
          <w:szCs w:val="28"/>
          <w14:textFill>
            <w14:solidFill>
              <w14:schemeClr w14:val="tx1"/>
            </w14:solidFill>
          </w14:textFill>
        </w:rPr>
        <w:t>政府采购合同</w:t>
      </w:r>
    </w:p>
    <w:p>
      <w:pPr>
        <w:spacing w:line="360" w:lineRule="auto"/>
        <w:jc w:val="center"/>
        <w:rPr>
          <w:rFonts w:ascii="华文中宋" w:hAnsi="华文中宋" w:eastAsia="华文中宋"/>
          <w:b/>
          <w:color w:val="000000" w:themeColor="text1"/>
          <w:kern w:val="0"/>
          <w:sz w:val="48"/>
          <w:szCs w:val="28"/>
          <w14:textFill>
            <w14:solidFill>
              <w14:schemeClr w14:val="tx1"/>
            </w14:solidFill>
          </w14:textFill>
        </w:rPr>
      </w:pPr>
      <w:r>
        <w:rPr>
          <w:rFonts w:hint="eastAsia" w:ascii="华文中宋" w:hAnsi="华文中宋" w:eastAsia="华文中宋"/>
          <w:b/>
          <w:color w:val="000000" w:themeColor="text1"/>
          <w:kern w:val="0"/>
          <w:sz w:val="32"/>
          <w:szCs w:val="28"/>
          <w14:textFill>
            <w14:solidFill>
              <w14:schemeClr w14:val="tx1"/>
            </w14:solidFill>
          </w14:textFill>
        </w:rPr>
        <w:t>（本合同样式供参考）</w:t>
      </w:r>
    </w:p>
    <w:p>
      <w:pPr>
        <w:tabs>
          <w:tab w:val="left" w:pos="2592"/>
          <w:tab w:val="center" w:pos="4465"/>
        </w:tabs>
        <w:spacing w:line="360" w:lineRule="auto"/>
        <w:jc w:val="right"/>
        <w:rPr>
          <w:rFonts w:ascii="仿宋" w:hAnsi="仿宋" w:eastAsia="仿宋" w:cs="Arial"/>
          <w:b/>
          <w:color w:val="000000" w:themeColor="text1"/>
          <w:kern w:val="0"/>
          <w:sz w:val="22"/>
          <w:szCs w:val="22"/>
          <w14:textFill>
            <w14:solidFill>
              <w14:schemeClr w14:val="tx1"/>
            </w14:solidFill>
          </w14:textFill>
        </w:rPr>
      </w:pPr>
      <w:r>
        <w:rPr>
          <w:rFonts w:ascii="Arial" w:hAnsi="新宋体" w:eastAsia="新宋体" w:cs="Arial"/>
          <w:b/>
          <w:color w:val="000000" w:themeColor="text1"/>
          <w:kern w:val="0"/>
          <w:sz w:val="22"/>
          <w:szCs w:val="22"/>
          <w14:textFill>
            <w14:solidFill>
              <w14:schemeClr w14:val="tx1"/>
            </w14:solidFill>
          </w14:textFill>
        </w:rPr>
        <w:tab/>
      </w:r>
      <w:r>
        <w:rPr>
          <w:rFonts w:ascii="Arial" w:hAnsi="新宋体" w:eastAsia="新宋体" w:cs="Arial"/>
          <w:b/>
          <w:color w:val="000000" w:themeColor="text1"/>
          <w:kern w:val="0"/>
          <w:sz w:val="22"/>
          <w:szCs w:val="22"/>
          <w14:textFill>
            <w14:solidFill>
              <w14:schemeClr w14:val="tx1"/>
            </w14:solidFill>
          </w14:textFill>
        </w:rPr>
        <w:tab/>
      </w:r>
      <w:r>
        <w:rPr>
          <w:rFonts w:hint="eastAsia" w:ascii="仿宋" w:hAnsi="仿宋" w:eastAsia="仿宋" w:cs="Arial"/>
          <w:b/>
          <w:color w:val="000000" w:themeColor="text1"/>
          <w:kern w:val="0"/>
          <w:sz w:val="24"/>
          <w:szCs w:val="22"/>
          <w14:textFill>
            <w14:solidFill>
              <w14:schemeClr w14:val="tx1"/>
            </w14:solidFill>
          </w14:textFill>
        </w:rPr>
        <w:t>（合同编号：</w:t>
      </w:r>
      <w:r>
        <w:rPr>
          <w:rFonts w:hint="eastAsia" w:ascii="仿宋" w:hAnsi="仿宋" w:eastAsia="仿宋" w:cs="Arial"/>
          <w:b/>
          <w:color w:val="000000" w:themeColor="text1"/>
          <w:kern w:val="0"/>
          <w:sz w:val="24"/>
          <w:szCs w:val="22"/>
          <w:u w:val="single"/>
          <w14:textFill>
            <w14:solidFill>
              <w14:schemeClr w14:val="tx1"/>
            </w14:solidFill>
          </w14:textFill>
        </w:rPr>
        <w:t xml:space="preserve">               </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jc w:val="center"/>
        <w:rPr>
          <w:rFonts w:ascii="Arial" w:hAnsi="新宋体" w:eastAsia="新宋体" w:cs="Arial"/>
          <w:b/>
          <w:color w:val="000000" w:themeColor="text1"/>
          <w:kern w:val="0"/>
          <w:sz w:val="22"/>
          <w:szCs w:val="22"/>
          <w14:textFill>
            <w14:solidFill>
              <w14:schemeClr w14:val="tx1"/>
            </w14:solidFill>
          </w14:textFill>
        </w:rPr>
      </w:pPr>
    </w:p>
    <w:p>
      <w:pPr>
        <w:spacing w:line="360" w:lineRule="auto"/>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甲方</w:t>
      </w:r>
      <w:r>
        <w:rPr>
          <w:rFonts w:hint="eastAsia" w:ascii="仿宋" w:hAnsi="仿宋" w:eastAsia="仿宋" w:cs="Arial"/>
          <w:b/>
          <w:color w:val="000000" w:themeColor="text1"/>
          <w:kern w:val="0"/>
          <w:sz w:val="24"/>
          <w14:textFill>
            <w14:solidFill>
              <w14:schemeClr w14:val="tx1"/>
            </w14:solidFill>
          </w14:textFill>
        </w:rPr>
        <w:t>（采购人）名称</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住    所：</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联系方式：</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乙方</w:t>
      </w:r>
      <w:r>
        <w:rPr>
          <w:rFonts w:hint="eastAsia" w:ascii="仿宋" w:hAnsi="仿宋" w:eastAsia="仿宋" w:cs="Arial"/>
          <w:b/>
          <w:color w:val="000000" w:themeColor="text1"/>
          <w:kern w:val="0"/>
          <w:sz w:val="24"/>
          <w14:textFill>
            <w14:solidFill>
              <w14:schemeClr w14:val="tx1"/>
            </w14:solidFill>
          </w14:textFill>
        </w:rPr>
        <w:t>（中标供应商）名称</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住    所：</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联系方式：</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u w:val="single"/>
          <w14:textFill>
            <w14:solidFill>
              <w14:schemeClr w14:val="tx1"/>
            </w14:solidFill>
          </w14:textFill>
        </w:rPr>
      </w:pP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甲、乙双方根据</w:t>
      </w:r>
      <w:r>
        <w:rPr>
          <w:rFonts w:hint="eastAsia" w:ascii="仿宋" w:hAnsi="仿宋" w:eastAsia="仿宋" w:cs="Arial"/>
          <w:b/>
          <w:color w:val="000000" w:themeColor="text1"/>
          <w:kern w:val="0"/>
          <w:sz w:val="24"/>
          <w:u w:val="single"/>
          <w14:textFill>
            <w14:solidFill>
              <w14:schemeClr w14:val="tx1"/>
            </w14:solidFill>
          </w14:textFill>
        </w:rPr>
        <w:t>浙江省城市运行安全数字化管理系统（被整合系统）运维项目（项目编号：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CTZB-2024080141</w:t>
      </w:r>
      <w:r>
        <w:rPr>
          <w:rFonts w:hint="eastAsia" w:ascii="仿宋" w:hAnsi="仿宋" w:eastAsia="仿宋" w:cs="Arial"/>
          <w:b/>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结果，签署本合同</w:t>
      </w:r>
      <w:r>
        <w:rPr>
          <w:rFonts w:hint="eastAsia" w:ascii="仿宋" w:hAnsi="仿宋" w:eastAsia="仿宋" w:cs="Arial"/>
          <w:color w:val="000000" w:themeColor="text1"/>
          <w:kern w:val="0"/>
          <w:sz w:val="24"/>
          <w14:textFill>
            <w14:solidFill>
              <w14:schemeClr w14:val="tx1"/>
            </w14:solidFill>
          </w14:textFill>
        </w:rPr>
        <w:t>，具体内容如下：</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一、</w:t>
      </w:r>
      <w:r>
        <w:rPr>
          <w:rFonts w:hint="eastAsia" w:ascii="华文中宋" w:hAnsi="华文中宋" w:eastAsia="华文中宋"/>
          <w:b/>
          <w:bCs/>
          <w:color w:val="000000" w:themeColor="text1"/>
          <w:kern w:val="0"/>
          <w:sz w:val="30"/>
          <w14:textFill>
            <w14:solidFill>
              <w14:schemeClr w14:val="tx1"/>
            </w14:solidFill>
          </w14:textFill>
        </w:rPr>
        <w:t>合同内容（采购标的与数量）</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二、合同金额</w:t>
      </w:r>
    </w:p>
    <w:p>
      <w:pPr>
        <w:spacing w:line="360" w:lineRule="auto"/>
        <w:ind w:firstLine="424" w:firstLineChars="176"/>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2.1</w:t>
      </w:r>
      <w:r>
        <w:rPr>
          <w:rFonts w:ascii="仿宋" w:hAnsi="仿宋" w:eastAsia="仿宋" w:cs="Arial"/>
          <w:b/>
          <w:color w:val="000000" w:themeColor="text1"/>
          <w:kern w:val="0"/>
          <w:sz w:val="24"/>
          <w14:textFill>
            <w14:solidFill>
              <w14:schemeClr w14:val="tx1"/>
            </w14:solidFill>
          </w14:textFill>
        </w:rPr>
        <w:t>合同金额</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人民币________</w:t>
      </w:r>
      <w:r>
        <w:rPr>
          <w:rFonts w:ascii="仿宋" w:hAnsi="仿宋" w:eastAsia="仿宋" w:cs="Arial"/>
          <w:color w:val="000000" w:themeColor="text1"/>
          <w:kern w:val="0"/>
          <w:sz w:val="24"/>
          <w:u w:val="single"/>
          <w14:textFill>
            <w14:solidFill>
              <w14:schemeClr w14:val="tx1"/>
            </w14:solidFill>
          </w14:textFill>
        </w:rPr>
        <w:t>（大写）</w:t>
      </w:r>
      <w:r>
        <w:rPr>
          <w:rFonts w:ascii="仿宋" w:hAnsi="仿宋" w:eastAsia="仿宋" w:cs="Arial"/>
          <w:color w:val="000000" w:themeColor="text1"/>
          <w:kern w:val="0"/>
          <w:sz w:val="24"/>
          <w14:textFill>
            <w14:solidFill>
              <w14:schemeClr w14:val="tx1"/>
            </w14:solidFill>
          </w14:textFill>
        </w:rPr>
        <w:t>________元（￥___________元）。</w:t>
      </w:r>
    </w:p>
    <w:p>
      <w:pPr>
        <w:spacing w:line="360" w:lineRule="auto"/>
        <w:ind w:firstLine="424" w:firstLineChars="176"/>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2.2报价范围：</w:t>
      </w:r>
    </w:p>
    <w:p>
      <w:pPr>
        <w:spacing w:line="360" w:lineRule="auto"/>
        <w:ind w:firstLine="424" w:firstLineChars="176"/>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本项目采用总价合同，中标供应商的投标报价是履行合同的最终价格，应包括完成合同履行所涉及的全部费用，以及供应商参与本项目招标采购活动产生的各项费用和履约过程中产生的各种税费、人工费、风险费、管理费、合理利润等</w:t>
      </w:r>
      <w:r>
        <w:rPr>
          <w:rFonts w:ascii="仿宋" w:hAnsi="仿宋" w:eastAsia="仿宋"/>
          <w:b/>
          <w:color w:val="000000" w:themeColor="text1"/>
          <w:sz w:val="24"/>
          <w:u w:val="single"/>
          <w14:textFill>
            <w14:solidFill>
              <w14:schemeClr w14:val="tx1"/>
            </w14:solidFill>
          </w14:textFill>
        </w:rPr>
        <w:t>（以上所有费用包含在综合单价中，不另列）</w:t>
      </w:r>
      <w:r>
        <w:rPr>
          <w:rFonts w:hint="eastAsia" w:ascii="仿宋" w:hAnsi="仿宋" w:eastAsia="仿宋"/>
          <w:b/>
          <w:color w:val="000000" w:themeColor="text1"/>
          <w:sz w:val="24"/>
          <w:u w:val="single"/>
          <w14:textFill>
            <w14:solidFill>
              <w14:schemeClr w14:val="tx1"/>
            </w14:solidFill>
          </w14:textFill>
        </w:rPr>
        <w:t>。</w:t>
      </w:r>
    </w:p>
    <w:p>
      <w:pPr>
        <w:spacing w:line="360" w:lineRule="auto"/>
        <w:ind w:firstLine="424" w:firstLineChars="176"/>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2.3合同金额明细组成</w:t>
      </w:r>
    </w:p>
    <w:tbl>
      <w:tblPr>
        <w:tblStyle w:val="58"/>
        <w:tblW w:w="8793" w:type="dxa"/>
        <w:tblInd w:w="19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66"/>
        <w:gridCol w:w="2448"/>
        <w:gridCol w:w="1985"/>
        <w:gridCol w:w="1417"/>
        <w:gridCol w:w="207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综合单价</w:t>
            </w: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left"/>
              <w:rPr>
                <w:rFonts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left"/>
              <w:rPr>
                <w:rFonts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left"/>
              <w:rPr>
                <w:rFonts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left"/>
              <w:rPr>
                <w:rFonts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left"/>
              <w:rPr>
                <w:rFonts w:ascii="仿宋" w:hAnsi="仿宋" w:eastAsia="仿宋" w:cs="仿宋"/>
                <w:bCs/>
                <w:kern w:val="0"/>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67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ascii="仿宋" w:hAnsi="仿宋" w:eastAsia="仿宋"/>
                <w:color w:val="000000" w:themeColor="text1"/>
                <w:sz w:val="24"/>
                <w14:textFill>
                  <w14:solidFill>
                    <w14:schemeClr w14:val="tx1"/>
                  </w14:solidFill>
                </w14:textFill>
              </w:rPr>
            </w:pPr>
          </w:p>
        </w:tc>
      </w:tr>
    </w:tbl>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三、质量或服务要求</w:t>
      </w:r>
    </w:p>
    <w:p>
      <w:pPr>
        <w:spacing w:line="360" w:lineRule="auto"/>
        <w:ind w:firstLine="465" w:firstLineChars="193"/>
        <w:jc w:val="left"/>
        <w:rPr>
          <w:rFonts w:ascii="仿宋" w:hAnsi="仿宋" w:eastAsia="仿宋" w:cs="Arial"/>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3.1质量要求：</w:t>
      </w:r>
      <w:r>
        <w:rPr>
          <w:rFonts w:hint="eastAsia" w:ascii="仿宋" w:hAnsi="仿宋" w:eastAsia="仿宋" w:cs="Arial"/>
          <w:color w:val="000000" w:themeColor="text1"/>
          <w:sz w:val="24"/>
          <w:u w:val="single"/>
          <w14:textFill>
            <w14:solidFill>
              <w14:schemeClr w14:val="tx1"/>
            </w14:solidFill>
          </w14:textFill>
        </w:rPr>
        <w:t>符合采购文件要求、投标承诺以及</w:t>
      </w:r>
      <w:r>
        <w:rPr>
          <w:rFonts w:ascii="仿宋" w:hAnsi="仿宋" w:eastAsia="仿宋" w:cs="Arial"/>
          <w:color w:val="000000" w:themeColor="text1"/>
          <w:sz w:val="24"/>
          <w:u w:val="single"/>
          <w14:textFill>
            <w14:solidFill>
              <w14:schemeClr w14:val="tx1"/>
            </w14:solidFill>
          </w14:textFill>
        </w:rPr>
        <w:t>国家</w:t>
      </w:r>
      <w:r>
        <w:rPr>
          <w:rFonts w:hint="eastAsia" w:ascii="仿宋" w:hAnsi="仿宋" w:eastAsia="仿宋" w:cs="Arial"/>
          <w:color w:val="000000" w:themeColor="text1"/>
          <w:sz w:val="24"/>
          <w:u w:val="single"/>
          <w14:textFill>
            <w14:solidFill>
              <w14:schemeClr w14:val="tx1"/>
            </w14:solidFill>
          </w14:textFill>
        </w:rPr>
        <w:t>、行业</w:t>
      </w:r>
      <w:r>
        <w:rPr>
          <w:rFonts w:ascii="仿宋" w:hAnsi="仿宋" w:eastAsia="仿宋" w:cs="Arial"/>
          <w:color w:val="000000" w:themeColor="text1"/>
          <w:sz w:val="24"/>
          <w:u w:val="single"/>
          <w14:textFill>
            <w14:solidFill>
              <w14:schemeClr w14:val="tx1"/>
            </w14:solidFill>
          </w14:textFill>
        </w:rPr>
        <w:t>有关技术规范和标准</w:t>
      </w:r>
    </w:p>
    <w:p>
      <w:pPr>
        <w:spacing w:line="360" w:lineRule="auto"/>
        <w:ind w:firstLine="463" w:firstLineChars="193"/>
        <w:jc w:val="left"/>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3.2售后服务：</w:t>
      </w:r>
      <w:r>
        <w:rPr>
          <w:rFonts w:hint="eastAsia" w:ascii="仿宋" w:hAnsi="仿宋" w:eastAsia="仿宋" w:cs="Arial"/>
          <w:color w:val="000000" w:themeColor="text1"/>
          <w:sz w:val="24"/>
          <w:u w:val="single"/>
          <w14:textFill>
            <w14:solidFill>
              <w14:schemeClr w14:val="tx1"/>
            </w14:solidFill>
          </w14:textFill>
        </w:rPr>
        <w:t xml:space="preserve">                                                         </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四</w:t>
      </w:r>
      <w:r>
        <w:rPr>
          <w:rFonts w:ascii="华文中宋" w:hAnsi="华文中宋" w:eastAsia="华文中宋"/>
          <w:b/>
          <w:bCs/>
          <w:color w:val="000000" w:themeColor="text1"/>
          <w:kern w:val="0"/>
          <w:sz w:val="30"/>
          <w14:textFill>
            <w14:solidFill>
              <w14:schemeClr w14:val="tx1"/>
            </w14:solidFill>
          </w14:textFill>
        </w:rPr>
        <w:t>、技术资料</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.1乙方应按《采购文件》规定的时间向甲方提供有关技术资料。</w:t>
      </w:r>
    </w:p>
    <w:p>
      <w:pPr>
        <w:spacing w:line="360" w:lineRule="auto"/>
        <w:ind w:left="1"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五</w:t>
      </w:r>
      <w:r>
        <w:rPr>
          <w:rFonts w:ascii="华文中宋" w:hAnsi="华文中宋" w:eastAsia="华文中宋"/>
          <w:b/>
          <w:bCs/>
          <w:color w:val="000000" w:themeColor="text1"/>
          <w:kern w:val="0"/>
          <w:sz w:val="30"/>
          <w14:textFill>
            <w14:solidFill>
              <w14:schemeClr w14:val="tx1"/>
            </w14:solidFill>
          </w14:textFill>
        </w:rPr>
        <w:t>、知识产权</w:t>
      </w:r>
      <w:r>
        <w:rPr>
          <w:rFonts w:hint="eastAsia" w:ascii="华文中宋" w:hAnsi="华文中宋" w:eastAsia="华文中宋"/>
          <w:b/>
          <w:bCs/>
          <w:color w:val="000000" w:themeColor="text1"/>
          <w:kern w:val="0"/>
          <w:sz w:val="30"/>
          <w14:textFill>
            <w14:solidFill>
              <w14:schemeClr w14:val="tx1"/>
            </w14:solidFill>
          </w14:textFill>
        </w:rPr>
        <w:t>与产权担保</w:t>
      </w:r>
    </w:p>
    <w:p>
      <w:pPr>
        <w:spacing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5.1</w:t>
      </w:r>
      <w:r>
        <w:rPr>
          <w:rFonts w:ascii="仿宋" w:hAnsi="仿宋" w:eastAsia="仿宋" w:cs="Arial"/>
          <w:color w:val="000000" w:themeColor="text1"/>
          <w:kern w:val="0"/>
          <w:sz w:val="24"/>
          <w14:textFill>
            <w14:solidFill>
              <w14:schemeClr w14:val="tx1"/>
            </w14:solidFill>
          </w14:textFill>
        </w:rPr>
        <w:t>乙方应保证所提供的</w:t>
      </w:r>
      <w:r>
        <w:rPr>
          <w:rFonts w:hint="eastAsia" w:ascii="仿宋" w:hAnsi="仿宋" w:eastAsia="仿宋" w:cs="Arial"/>
          <w:color w:val="000000" w:themeColor="text1"/>
          <w:kern w:val="0"/>
          <w:sz w:val="24"/>
          <w14:textFill>
            <w14:solidFill>
              <w14:schemeClr w14:val="tx1"/>
            </w14:solidFill>
          </w14:textFill>
        </w:rPr>
        <w:t>产品（服务/工程）</w:t>
      </w:r>
      <w:r>
        <w:rPr>
          <w:rFonts w:ascii="仿宋" w:hAnsi="仿宋" w:eastAsia="仿宋" w:cs="Arial"/>
          <w:color w:val="000000" w:themeColor="text1"/>
          <w:kern w:val="0"/>
          <w:sz w:val="24"/>
          <w14:textFill>
            <w14:solidFill>
              <w14:schemeClr w14:val="tx1"/>
            </w14:solidFill>
          </w14:textFill>
        </w:rPr>
        <w:t>其任何一部分均不会侵犯任何第三方的知识产权。</w:t>
      </w:r>
    </w:p>
    <w:p>
      <w:pPr>
        <w:spacing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5.2</w:t>
      </w:r>
      <w:r>
        <w:rPr>
          <w:rFonts w:ascii="仿宋" w:hAnsi="仿宋" w:eastAsia="仿宋" w:cs="Arial"/>
          <w:color w:val="000000" w:themeColor="text1"/>
          <w:kern w:val="0"/>
          <w:sz w:val="24"/>
          <w14:textFill>
            <w14:solidFill>
              <w14:schemeClr w14:val="tx1"/>
            </w14:solidFill>
          </w14:textFill>
        </w:rPr>
        <w:t>乙方保证所交付的</w:t>
      </w:r>
      <w:r>
        <w:rPr>
          <w:rFonts w:hint="eastAsia" w:ascii="仿宋" w:hAnsi="仿宋" w:eastAsia="仿宋" w:cs="Arial"/>
          <w:color w:val="000000" w:themeColor="text1"/>
          <w:kern w:val="0"/>
          <w:sz w:val="24"/>
          <w14:textFill>
            <w14:solidFill>
              <w14:schemeClr w14:val="tx1"/>
            </w14:solidFill>
          </w14:textFill>
        </w:rPr>
        <w:t>产品（服务/工程）</w:t>
      </w:r>
      <w:r>
        <w:rPr>
          <w:rFonts w:ascii="仿宋" w:hAnsi="仿宋" w:eastAsia="仿宋" w:cs="Arial"/>
          <w:color w:val="000000" w:themeColor="text1"/>
          <w:kern w:val="0"/>
          <w:sz w:val="24"/>
          <w14:textFill>
            <w14:solidFill>
              <w14:schemeClr w14:val="tx1"/>
            </w14:solidFill>
          </w14:textFill>
        </w:rPr>
        <w:t>的所有权完全属于乙方且无任何抵押、查封等产权瑕疵。</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六</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履约期限、地点和方式</w:t>
      </w:r>
    </w:p>
    <w:p>
      <w:pPr>
        <w:spacing w:line="360" w:lineRule="auto"/>
        <w:ind w:firstLine="465" w:firstLineChars="193"/>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6.1交付期限：</w:t>
      </w:r>
      <w:r>
        <w:rPr>
          <w:rFonts w:hint="eastAsia" w:ascii="仿宋" w:hAnsi="仿宋" w:eastAsia="仿宋" w:cs="Arial"/>
          <w:b/>
          <w:color w:val="000000" w:themeColor="text1"/>
          <w:kern w:val="0"/>
          <w:sz w:val="24"/>
          <w:u w:val="single"/>
          <w14:textFill>
            <w14:solidFill>
              <w14:schemeClr w14:val="tx1"/>
            </w14:solidFill>
          </w14:textFill>
        </w:rPr>
        <w:t xml:space="preserve">                    </w:t>
      </w:r>
    </w:p>
    <w:p>
      <w:pPr>
        <w:spacing w:line="360" w:lineRule="auto"/>
        <w:ind w:firstLine="465"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6.2地点（实施地点）：</w:t>
      </w:r>
      <w:r>
        <w:rPr>
          <w:rFonts w:hint="eastAsia" w:ascii="仿宋" w:hAnsi="仿宋" w:eastAsia="仿宋" w:cs="Arial"/>
          <w:color w:val="000000" w:themeColor="text1"/>
          <w:kern w:val="0"/>
          <w:sz w:val="24"/>
          <w:u w:val="single"/>
          <w14:textFill>
            <w14:solidFill>
              <w14:schemeClr w14:val="tx1"/>
            </w14:solidFill>
          </w14:textFill>
        </w:rPr>
        <w:t>甲方指定地点</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七、履约保证金</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w:t>
      </w:r>
      <w:r>
        <w:rPr>
          <w:rFonts w:ascii="仿宋" w:hAnsi="仿宋" w:eastAsia="仿宋" w:cs="Arial"/>
          <w:color w:val="000000" w:themeColor="text1"/>
          <w:kern w:val="0"/>
          <w:sz w:val="24"/>
          <w14:textFill>
            <w14:solidFill>
              <w14:schemeClr w14:val="tx1"/>
            </w14:solidFill>
          </w14:textFill>
        </w:rPr>
        <w:t>.1乙方</w:t>
      </w:r>
      <w:r>
        <w:rPr>
          <w:rFonts w:hint="eastAsia" w:ascii="仿宋" w:hAnsi="仿宋" w:eastAsia="仿宋" w:cs="Arial"/>
          <w:color w:val="000000" w:themeColor="text1"/>
          <w:kern w:val="0"/>
          <w:sz w:val="24"/>
          <w14:textFill>
            <w14:solidFill>
              <w14:schemeClr w14:val="tx1"/>
            </w14:solidFill>
          </w14:textFill>
        </w:rPr>
        <w:t>向甲方缴纳</w:t>
      </w:r>
      <w:r>
        <w:rPr>
          <w:rFonts w:ascii="仿宋" w:hAnsi="仿宋" w:eastAsia="仿宋" w:cs="Arial"/>
          <w:color w:val="000000" w:themeColor="text1"/>
          <w:kern w:val="0"/>
          <w:sz w:val="24"/>
          <w14:textFill>
            <w14:solidFill>
              <w14:schemeClr w14:val="tx1"/>
            </w14:solidFill>
          </w14:textFill>
        </w:rPr>
        <w:t>人民币</w:t>
      </w:r>
      <w:r>
        <w:rPr>
          <w:rFonts w:hint="eastAsia" w:ascii="仿宋" w:hAnsi="仿宋" w:eastAsia="仿宋" w:cs="Arial"/>
          <w:color w:val="000000" w:themeColor="text1"/>
          <w:kern w:val="0"/>
          <w:sz w:val="24"/>
          <w:u w:val="single"/>
          <w14:textFill>
            <w14:solidFill>
              <w14:schemeClr w14:val="tx1"/>
            </w14:solidFill>
          </w14:textFill>
        </w:rPr>
        <w:t xml:space="preserve">  /  </w:t>
      </w:r>
      <w:r>
        <w:rPr>
          <w:rFonts w:ascii="仿宋" w:hAnsi="仿宋" w:eastAsia="仿宋" w:cs="Arial"/>
          <w:color w:val="000000" w:themeColor="text1"/>
          <w:kern w:val="0"/>
          <w:sz w:val="24"/>
          <w14:textFill>
            <w14:solidFill>
              <w14:schemeClr w14:val="tx1"/>
            </w14:solidFill>
          </w14:textFill>
        </w:rPr>
        <w:t>元作为本合同的履约保证金</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7.2</w:t>
      </w:r>
      <w:r>
        <w:rPr>
          <w:rFonts w:hint="eastAsia" w:ascii="仿宋" w:hAnsi="仿宋" w:eastAsia="仿宋" w:cs="Arial"/>
          <w:color w:val="000000" w:themeColor="text1"/>
          <w:sz w:val="24"/>
          <w14:textFill>
            <w14:solidFill>
              <w14:schemeClr w14:val="tx1"/>
            </w14:solidFill>
          </w14:textFill>
        </w:rPr>
        <w:t>履约保证金缴纳形式：</w:t>
      </w:r>
      <w:r>
        <w:rPr>
          <w:rFonts w:hint="eastAsia" w:ascii="仿宋" w:hAnsi="仿宋" w:eastAsia="仿宋" w:cs="Arial"/>
          <w:color w:val="000000" w:themeColor="text1"/>
          <w:sz w:val="24"/>
          <w:u w:val="single"/>
          <w14:textFill>
            <w14:solidFill>
              <w14:schemeClr w14:val="tx1"/>
            </w14:solidFill>
          </w14:textFill>
        </w:rPr>
        <w:t>支票</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汇票</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电汇/保函等非现金形式</w:t>
      </w:r>
      <w:r>
        <w:rPr>
          <w:rFonts w:hint="eastAsia" w:ascii="仿宋" w:hAnsi="仿宋" w:eastAsia="仿宋" w:cs="Arial"/>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7.3履约保证金合同履行完毕前有效，合同履行完毕后一次性结清退还。</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八</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合同验收</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8.1本项目合同验收由采购人组织实施，验收过程中，中标供应商应派专业的技术人员协助采购人进行验收；</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8.2验收中发现软件、设备达不到验收标准或合同规定的性能指标，乙方必须修改相应内容，以满足甲方需求。</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8.3验收合格标准：</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（1）符合采购文件要求、投标承诺以及国家、行业有关技术规范和标准，提供合同的全部资料；</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（2）中标供应商完成采购代理服务费缴纳以及其他投标承诺事项。</w:t>
      </w:r>
    </w:p>
    <w:p>
      <w:pPr>
        <w:spacing w:line="360" w:lineRule="auto"/>
        <w:ind w:left="495" w:leftChars="228" w:hanging="16" w:hangingChars="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8.4验收过程中发生的第三方检测验收费用（商检、质检等）由中标供应商承担。8.5其他：______________________________________________________</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九</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合同款</w:t>
      </w:r>
      <w:r>
        <w:rPr>
          <w:rFonts w:ascii="华文中宋" w:hAnsi="华文中宋" w:eastAsia="华文中宋"/>
          <w:b/>
          <w:bCs/>
          <w:color w:val="000000" w:themeColor="text1"/>
          <w:kern w:val="0"/>
          <w:sz w:val="30"/>
          <w14:textFill>
            <w14:solidFill>
              <w14:schemeClr w14:val="tx1"/>
            </w14:solidFill>
          </w14:textFill>
        </w:rPr>
        <w:t>支付</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______________________________________________________</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十、违约责任</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10.1甲方违约责任</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甲方无正当理由拒收</w:t>
      </w:r>
      <w:r>
        <w:rPr>
          <w:rFonts w:hint="eastAsia" w:ascii="仿宋" w:hAnsi="仿宋" w:eastAsia="仿宋" w:cs="Arial"/>
          <w:color w:val="000000" w:themeColor="text1"/>
          <w:kern w:val="0"/>
          <w:sz w:val="24"/>
          <w14:textFill>
            <w14:solidFill>
              <w14:schemeClr w14:val="tx1"/>
            </w14:solidFill>
          </w14:textFill>
        </w:rPr>
        <w:t>乙方交付的合格产品（服务/工程）的</w:t>
      </w:r>
      <w:r>
        <w:rPr>
          <w:rFonts w:ascii="仿宋" w:hAnsi="仿宋" w:eastAsia="仿宋" w:cs="Arial"/>
          <w:color w:val="000000" w:themeColor="text1"/>
          <w:kern w:val="0"/>
          <w:sz w:val="24"/>
          <w14:textFill>
            <w14:solidFill>
              <w14:schemeClr w14:val="tx1"/>
            </w14:solidFill>
          </w14:textFill>
        </w:rPr>
        <w:t>，甲方向乙方偿付拒收货款总值的百分之五违约金</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（2）甲方无故逾期验收和办理合同款项支付手续的，甲方应按逾期付款总额每日万分之五向乙方支付违约金。</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10.2乙方违约责任</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乙方逾期交付</w:t>
      </w:r>
      <w:r>
        <w:rPr>
          <w:rFonts w:hint="eastAsia" w:ascii="仿宋" w:hAnsi="仿宋" w:eastAsia="仿宋" w:cs="Arial"/>
          <w:color w:val="000000" w:themeColor="text1"/>
          <w:kern w:val="0"/>
          <w:sz w:val="24"/>
          <w14:textFill>
            <w14:solidFill>
              <w14:schemeClr w14:val="tx1"/>
            </w14:solidFill>
          </w14:textFill>
        </w:rPr>
        <w:t>合格产品（服务/工程）</w:t>
      </w:r>
      <w:r>
        <w:rPr>
          <w:rFonts w:ascii="仿宋" w:hAnsi="仿宋" w:eastAsia="仿宋" w:cs="Arial"/>
          <w:color w:val="000000" w:themeColor="text1"/>
          <w:kern w:val="0"/>
          <w:sz w:val="24"/>
          <w14:textFill>
            <w14:solidFill>
              <w14:schemeClr w14:val="tx1"/>
            </w14:solidFill>
          </w14:textFill>
        </w:rPr>
        <w:t>的，乙方应按逾期交</w:t>
      </w:r>
      <w:r>
        <w:rPr>
          <w:rFonts w:hint="eastAsia" w:ascii="仿宋" w:hAnsi="仿宋" w:eastAsia="仿宋" w:cs="Arial"/>
          <w:color w:val="000000" w:themeColor="text1"/>
          <w:kern w:val="0"/>
          <w:sz w:val="24"/>
          <w14:textFill>
            <w14:solidFill>
              <w14:schemeClr w14:val="tx1"/>
            </w14:solidFill>
          </w14:textFill>
        </w:rPr>
        <w:t>付</w:t>
      </w:r>
      <w:r>
        <w:rPr>
          <w:rFonts w:ascii="仿宋" w:hAnsi="仿宋" w:eastAsia="仿宋" w:cs="Arial"/>
          <w:color w:val="000000" w:themeColor="text1"/>
          <w:kern w:val="0"/>
          <w:sz w:val="24"/>
          <w14:textFill>
            <w14:solidFill>
              <w14:schemeClr w14:val="tx1"/>
            </w14:solidFill>
          </w14:textFill>
        </w:rPr>
        <w:t>总额每日千分之六向甲方支付违约金，由甲方从待付货款中扣除。</w:t>
      </w:r>
      <w:r>
        <w:rPr>
          <w:rFonts w:hint="eastAsia" w:ascii="仿宋" w:hAnsi="仿宋" w:eastAsia="仿宋" w:cs="Arial"/>
          <w:color w:val="000000" w:themeColor="text1"/>
          <w:kern w:val="0"/>
          <w:sz w:val="24"/>
          <w14:textFill>
            <w14:solidFill>
              <w14:schemeClr w14:val="tx1"/>
            </w14:solidFill>
          </w14:textFill>
        </w:rPr>
        <w:t>乙方无正当理由</w:t>
      </w:r>
      <w:r>
        <w:rPr>
          <w:rFonts w:ascii="仿宋" w:hAnsi="仿宋" w:eastAsia="仿宋" w:cs="Arial"/>
          <w:color w:val="000000" w:themeColor="text1"/>
          <w:kern w:val="0"/>
          <w:sz w:val="24"/>
          <w14:textFill>
            <w14:solidFill>
              <w14:schemeClr w14:val="tx1"/>
            </w14:solidFill>
          </w14:textFill>
        </w:rPr>
        <w:t>逾期超过约定日期10日不能交付的，</w:t>
      </w:r>
      <w:r>
        <w:rPr>
          <w:rFonts w:hint="eastAsia" w:ascii="仿宋" w:hAnsi="仿宋" w:eastAsia="仿宋" w:cs="Arial"/>
          <w:color w:val="000000" w:themeColor="text1"/>
          <w:kern w:val="0"/>
          <w:sz w:val="24"/>
          <w14:textFill>
            <w14:solidFill>
              <w14:schemeClr w14:val="tx1"/>
            </w14:solidFill>
          </w14:textFill>
        </w:rPr>
        <w:t>视为“乙方不按合同约定履约”；</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w:t>
      </w:r>
      <w:r>
        <w:rPr>
          <w:rFonts w:ascii="仿宋" w:hAnsi="仿宋" w:eastAsia="仿宋" w:cs="Arial"/>
          <w:color w:val="000000" w:themeColor="text1"/>
          <w:kern w:val="0"/>
          <w:sz w:val="24"/>
          <w14:textFill>
            <w14:solidFill>
              <w14:schemeClr w14:val="tx1"/>
            </w14:solidFill>
          </w14:textFill>
        </w:rPr>
        <w:t>乙方所</w:t>
      </w:r>
      <w:r>
        <w:rPr>
          <w:rFonts w:hint="eastAsia" w:ascii="仿宋" w:hAnsi="仿宋" w:eastAsia="仿宋" w:cs="Arial"/>
          <w:color w:val="000000" w:themeColor="text1"/>
          <w:kern w:val="0"/>
          <w:sz w:val="24"/>
          <w14:textFill>
            <w14:solidFill>
              <w14:schemeClr w14:val="tx1"/>
            </w14:solidFill>
          </w14:textFill>
        </w:rPr>
        <w:t>交付</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产品（服务/工程）</w:t>
      </w:r>
      <w:r>
        <w:rPr>
          <w:rFonts w:ascii="仿宋" w:hAnsi="仿宋" w:eastAsia="仿宋" w:cs="Arial"/>
          <w:color w:val="000000" w:themeColor="text1"/>
          <w:kern w:val="0"/>
          <w:sz w:val="24"/>
          <w14:textFill>
            <w14:solidFill>
              <w14:schemeClr w14:val="tx1"/>
            </w14:solidFill>
          </w14:textFill>
        </w:rPr>
        <w:t>不符合合同规定及《采购文件》规定标准的，甲方有权拒收，乙方愿意更换</w:t>
      </w:r>
      <w:r>
        <w:rPr>
          <w:rFonts w:hint="eastAsia" w:ascii="仿宋" w:hAnsi="仿宋" w:eastAsia="仿宋" w:cs="Arial"/>
          <w:color w:val="000000" w:themeColor="text1"/>
          <w:kern w:val="0"/>
          <w:sz w:val="24"/>
          <w14:textFill>
            <w14:solidFill>
              <w14:schemeClr w14:val="tx1"/>
            </w14:solidFill>
          </w14:textFill>
        </w:rPr>
        <w:t>产品</w:t>
      </w:r>
      <w:r>
        <w:rPr>
          <w:rFonts w:ascii="仿宋" w:hAnsi="仿宋" w:eastAsia="仿宋" w:cs="Arial"/>
          <w:color w:val="000000" w:themeColor="text1"/>
          <w:kern w:val="0"/>
          <w:sz w:val="24"/>
          <w14:textFill>
            <w14:solidFill>
              <w14:schemeClr w14:val="tx1"/>
            </w14:solidFill>
          </w14:textFill>
        </w:rPr>
        <w:t>但逾期交货的，按乙方逾期交货处理。乙方拒绝更换</w:t>
      </w:r>
      <w:r>
        <w:rPr>
          <w:rFonts w:hint="eastAsia" w:ascii="仿宋" w:hAnsi="仿宋" w:eastAsia="仿宋" w:cs="Arial"/>
          <w:color w:val="000000" w:themeColor="text1"/>
          <w:kern w:val="0"/>
          <w:sz w:val="24"/>
          <w14:textFill>
            <w14:solidFill>
              <w14:schemeClr w14:val="tx1"/>
            </w14:solidFill>
          </w14:textFill>
        </w:rPr>
        <w:t>产品</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视为“乙方不按合同约定履约”；</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（3）乙方不按合同约定履约的，甲方可以解除采购合同，并对乙方已缴纳的履约保证金作“不予退还”处理。同时，乙方须按以下约定向甲方支付违约金：</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a.甲方已向乙方支付了合同款的，乙方须一次性退还甲方已支付的合同款，并向甲方支付等额违约金；</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b.甲方还未向乙方支付合同款的，乙方须一次性向甲方支付合同总额30%的违约金。</w:t>
      </w:r>
    </w:p>
    <w:p>
      <w:pPr>
        <w:keepNext/>
        <w:keepLines/>
        <w:spacing w:before="240" w:line="360" w:lineRule="auto"/>
        <w:jc w:val="left"/>
        <w:outlineLvl w:val="2"/>
        <w:rPr>
          <w:rFonts w:ascii="华文中宋" w:hAnsi="华文中宋" w:eastAsia="华文中宋"/>
          <w:b/>
          <w:bCs/>
          <w:color w:val="000000" w:themeColor="text1"/>
          <w:kern w:val="0"/>
          <w:sz w:val="30"/>
          <w:lang w:val="zh-TW" w:eastAsia="zh-TW"/>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十一、</w:t>
      </w:r>
      <w:r>
        <w:rPr>
          <w:rFonts w:hint="eastAsia" w:ascii="华文中宋" w:hAnsi="华文中宋" w:eastAsia="华文中宋"/>
          <w:b/>
          <w:bCs/>
          <w:color w:val="000000" w:themeColor="text1"/>
          <w:kern w:val="0"/>
          <w:sz w:val="30"/>
          <w:lang w:val="zh-TW" w:eastAsia="zh-TW"/>
          <w14:textFill>
            <w14:solidFill>
              <w14:schemeClr w14:val="tx1"/>
            </w14:solidFill>
          </w14:textFill>
        </w:rPr>
        <w:t>网络和数据安全责任及处罚</w:t>
      </w:r>
    </w:p>
    <w:p>
      <w:pPr>
        <w:spacing w:line="360" w:lineRule="auto"/>
        <w:ind w:firstLine="420" w:firstLineChars="175"/>
        <w:rPr>
          <w:rFonts w:ascii="仿宋" w:hAnsi="仿宋" w:eastAsia="仿宋" w:cs="Arial"/>
          <w:color w:val="000000" w:themeColor="text1"/>
          <w:kern w:val="0"/>
          <w:sz w:val="24"/>
          <w:lang w:val="zh-TW" w:eastAsia="zh-TW"/>
          <w14:textFill>
            <w14:solidFill>
              <w14:schemeClr w14:val="tx1"/>
            </w14:solidFill>
          </w14:textFill>
        </w:rPr>
      </w:pPr>
      <w:r>
        <w:rPr>
          <w:rFonts w:hint="eastAsia" w:ascii="仿宋" w:hAnsi="仿宋" w:eastAsia="仿宋" w:cs="Arial"/>
          <w:color w:val="000000" w:themeColor="text1"/>
          <w:kern w:val="0"/>
          <w:sz w:val="24"/>
          <w:lang w:val="zh-TW" w:eastAsia="zh-TW"/>
          <w14:textFill>
            <w14:solidFill>
              <w14:schemeClr w14:val="tx1"/>
            </w14:solidFill>
          </w14:textFill>
        </w:rPr>
        <w:t>1</w:t>
      </w:r>
      <w:r>
        <w:rPr>
          <w:rFonts w:hint="eastAsia" w:ascii="仿宋" w:hAnsi="仿宋" w:eastAsia="仿宋" w:cs="Arial"/>
          <w:color w:val="000000" w:themeColor="text1"/>
          <w:kern w:val="0"/>
          <w:sz w:val="24"/>
          <w14:textFill>
            <w14:solidFill>
              <w14:schemeClr w14:val="tx1"/>
            </w14:solidFill>
          </w14:textFill>
        </w:rPr>
        <w:t>1.1乙方</w:t>
      </w:r>
      <w:r>
        <w:rPr>
          <w:rFonts w:hint="eastAsia" w:ascii="仿宋" w:hAnsi="仿宋" w:eastAsia="仿宋" w:cs="Arial"/>
          <w:color w:val="000000" w:themeColor="text1"/>
          <w:kern w:val="0"/>
          <w:sz w:val="24"/>
          <w:lang w:val="zh-TW" w:eastAsia="zh-TW"/>
          <w14:textFill>
            <w14:solidFill>
              <w14:schemeClr w14:val="tx1"/>
            </w14:solidFill>
          </w14:textFill>
        </w:rPr>
        <w:t>应按照国家相关安全规定及《浙江省信息技术服务外包安全管理规范》做好安全管理，提供有关采购清单、涉及产品的证书及服务承接相应能力资格证书；</w:t>
      </w:r>
    </w:p>
    <w:p>
      <w:pPr>
        <w:spacing w:line="360" w:lineRule="auto"/>
        <w:ind w:firstLine="420" w:firstLineChars="175"/>
        <w:rPr>
          <w:rFonts w:ascii="仿宋" w:hAnsi="仿宋" w:eastAsia="仿宋" w:cs="Arial"/>
          <w:color w:val="000000" w:themeColor="text1"/>
          <w:kern w:val="0"/>
          <w:sz w:val="24"/>
          <w:lang w:val="zh-TW" w:eastAsia="zh-TW"/>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11.2乙方</w:t>
      </w:r>
      <w:r>
        <w:rPr>
          <w:rFonts w:hint="eastAsia" w:ascii="仿宋" w:hAnsi="仿宋" w:eastAsia="仿宋"/>
          <w:sz w:val="24"/>
          <w:lang w:val="zh-CN"/>
        </w:rPr>
        <w:t>在向</w:t>
      </w:r>
      <w:r>
        <w:rPr>
          <w:rFonts w:hint="eastAsia" w:ascii="仿宋" w:hAnsi="仿宋" w:eastAsia="仿宋"/>
          <w:sz w:val="24"/>
          <w:lang w:val="en-US" w:eastAsia="zh-CN"/>
        </w:rPr>
        <w:t>甲方</w:t>
      </w:r>
      <w:r>
        <w:rPr>
          <w:rFonts w:hint="eastAsia" w:ascii="仿宋" w:hAnsi="仿宋" w:eastAsia="仿宋"/>
          <w:sz w:val="24"/>
          <w:lang w:val="zh-CN"/>
        </w:rPr>
        <w:t>提供服务期间，因安全隐患或安全事故或运维事故造成</w:t>
      </w:r>
      <w:r>
        <w:rPr>
          <w:rFonts w:hint="eastAsia" w:ascii="仿宋" w:hAnsi="仿宋" w:eastAsia="仿宋"/>
          <w:sz w:val="24"/>
          <w:lang w:val="en-US" w:eastAsia="zh-CN"/>
        </w:rPr>
        <w:t>甲方</w:t>
      </w:r>
      <w:r>
        <w:rPr>
          <w:rFonts w:hint="eastAsia" w:ascii="仿宋" w:hAnsi="仿宋" w:eastAsia="仿宋"/>
          <w:sz w:val="24"/>
          <w:lang w:val="zh-CN"/>
        </w:rPr>
        <w:t>被相关网络安全监管部门通报批评的，按以下约定进行处罚：</w:t>
      </w:r>
    </w:p>
    <w:p>
      <w:pPr>
        <w:spacing w:line="360" w:lineRule="auto"/>
        <w:ind w:firstLine="420" w:firstLineChars="175"/>
        <w:rPr>
          <w:rFonts w:hint="eastAsia" w:ascii="仿宋" w:hAnsi="仿宋" w:eastAsia="仿宋" w:cs="Arial"/>
          <w:color w:val="000000" w:themeColor="text1"/>
          <w:kern w:val="0"/>
          <w:sz w:val="24"/>
          <w:lang w:val="zh-CN"/>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1、</w:t>
      </w:r>
      <w:r>
        <w:rPr>
          <w:rFonts w:hint="eastAsia" w:ascii="仿宋" w:hAnsi="仿宋" w:eastAsia="仿宋" w:cs="Arial"/>
          <w:color w:val="000000" w:themeColor="text1"/>
          <w:kern w:val="0"/>
          <w:sz w:val="24"/>
          <w:lang w:val="zh-CN"/>
          <w14:textFill>
            <w14:solidFill>
              <w14:schemeClr w14:val="tx1"/>
            </w14:solidFill>
          </w14:textFill>
        </w:rPr>
        <w:t>不影响系统正常运行的，采购人可扣除合同总金额的千分之五。</w:t>
      </w:r>
    </w:p>
    <w:p>
      <w:pPr>
        <w:spacing w:line="360" w:lineRule="auto"/>
        <w:ind w:firstLine="420" w:firstLineChars="175"/>
        <w:rPr>
          <w:rFonts w:hint="eastAsia" w:ascii="仿宋" w:hAnsi="仿宋" w:eastAsia="仿宋" w:cs="Arial"/>
          <w:color w:val="000000" w:themeColor="text1"/>
          <w:kern w:val="0"/>
          <w:sz w:val="24"/>
          <w:lang w:val="zh-CN"/>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2、</w:t>
      </w:r>
      <w:r>
        <w:rPr>
          <w:rFonts w:hint="eastAsia" w:ascii="仿宋" w:hAnsi="仿宋" w:eastAsia="仿宋" w:cs="Arial"/>
          <w:color w:val="000000" w:themeColor="text1"/>
          <w:kern w:val="0"/>
          <w:sz w:val="24"/>
          <w:lang w:val="zh-CN"/>
          <w14:textFill>
            <w14:solidFill>
              <w14:schemeClr w14:val="tx1"/>
            </w14:solidFill>
          </w14:textFill>
        </w:rPr>
        <w:t>影响系统正常运行的，采购人可扣除合同总金额的千分之十。</w:t>
      </w:r>
    </w:p>
    <w:p>
      <w:pPr>
        <w:spacing w:line="360" w:lineRule="auto"/>
        <w:ind w:firstLine="420" w:firstLineChars="175"/>
        <w:rPr>
          <w:rFonts w:hint="eastAsia" w:ascii="仿宋" w:hAnsi="仿宋" w:eastAsia="仿宋" w:cs="Arial"/>
          <w:color w:val="000000" w:themeColor="text1"/>
          <w:kern w:val="0"/>
          <w:sz w:val="24"/>
          <w:lang w:val="zh-CN"/>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3、</w:t>
      </w:r>
      <w:r>
        <w:rPr>
          <w:rFonts w:hint="eastAsia" w:ascii="仿宋" w:hAnsi="仿宋" w:eastAsia="仿宋" w:cs="Arial"/>
          <w:color w:val="000000" w:themeColor="text1"/>
          <w:kern w:val="0"/>
          <w:sz w:val="24"/>
          <w:lang w:val="zh-CN"/>
          <w14:textFill>
            <w14:solidFill>
              <w14:schemeClr w14:val="tx1"/>
            </w14:solidFill>
          </w14:textFill>
        </w:rPr>
        <w:t>严重影响系统运行的，如造成数据库数据丢失且无法恢复、未经采购人同意下载使用数据等，采购人可扣除合同总金额的千分之十五，并保留进一步追究相关责任的权利。</w:t>
      </w:r>
    </w:p>
    <w:p>
      <w:pPr>
        <w:spacing w:line="360" w:lineRule="auto"/>
        <w:ind w:firstLine="420" w:firstLineChars="175"/>
      </w:pPr>
      <w:r>
        <w:rPr>
          <w:rFonts w:hint="eastAsia" w:ascii="仿宋" w:hAnsi="仿宋" w:eastAsia="仿宋" w:cs="Arial"/>
          <w:color w:val="000000" w:themeColor="text1"/>
          <w:kern w:val="0"/>
          <w:sz w:val="24"/>
          <w14:textFill>
            <w14:solidFill>
              <w14:schemeClr w14:val="tx1"/>
            </w14:solidFill>
          </w14:textFill>
        </w:rPr>
        <w:t>11.3乙方</w:t>
      </w:r>
      <w:r>
        <w:rPr>
          <w:rFonts w:hint="eastAsia" w:ascii="仿宋" w:hAnsi="仿宋" w:eastAsia="仿宋" w:cs="Arial"/>
          <w:color w:val="000000" w:themeColor="text1"/>
          <w:kern w:val="0"/>
          <w:sz w:val="24"/>
          <w:lang w:val="zh-TW" w:eastAsia="zh-TW"/>
          <w14:textFill>
            <w14:solidFill>
              <w14:schemeClr w14:val="tx1"/>
            </w14:solidFill>
          </w14:textFill>
        </w:rPr>
        <w:t>需签订项目实施保密协议，加强服务人员保密意识管理及培训，提供核心运维人员背景审查材料、保密协议。</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w:t>
      </w:r>
      <w:r>
        <w:rPr>
          <w:rFonts w:hint="eastAsia" w:ascii="华文中宋" w:hAnsi="华文中宋" w:eastAsia="华文中宋"/>
          <w:b/>
          <w:bCs/>
          <w:color w:val="000000" w:themeColor="text1"/>
          <w:kern w:val="0"/>
          <w:sz w:val="30"/>
          <w14:textFill>
            <w14:solidFill>
              <w14:schemeClr w14:val="tx1"/>
            </w14:solidFill>
          </w14:textFill>
        </w:rPr>
        <w:t>二</w:t>
      </w:r>
      <w:r>
        <w:rPr>
          <w:rFonts w:ascii="华文中宋" w:hAnsi="华文中宋" w:eastAsia="华文中宋"/>
          <w:b/>
          <w:bCs/>
          <w:color w:val="000000" w:themeColor="text1"/>
          <w:kern w:val="0"/>
          <w:sz w:val="30"/>
          <w14:textFill>
            <w14:solidFill>
              <w14:schemeClr w14:val="tx1"/>
            </w14:solidFill>
          </w14:textFill>
        </w:rPr>
        <w:t>、不可抗力事件处理</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12.1</w:t>
      </w:r>
      <w:r>
        <w:rPr>
          <w:rFonts w:ascii="仿宋" w:hAnsi="仿宋" w:eastAsia="仿宋" w:cs="Arial"/>
          <w:color w:val="000000" w:themeColor="text1"/>
          <w:kern w:val="0"/>
          <w:sz w:val="24"/>
          <w14:textFill>
            <w14:solidFill>
              <w14:schemeClr w14:val="tx1"/>
            </w14:solidFill>
          </w14:textFill>
        </w:rPr>
        <w:t>在合同有效期内，任何一方因不可抗力事件导致不能履行合同，则合同履行期可延长，其延长期与不可抗力影响期相同。</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12.2</w:t>
      </w:r>
      <w:r>
        <w:rPr>
          <w:rFonts w:ascii="仿宋" w:hAnsi="仿宋" w:eastAsia="仿宋" w:cs="Arial"/>
          <w:color w:val="000000" w:themeColor="text1"/>
          <w:kern w:val="0"/>
          <w:sz w:val="24"/>
          <w14:textFill>
            <w14:solidFill>
              <w14:schemeClr w14:val="tx1"/>
            </w14:solidFill>
          </w14:textFill>
        </w:rPr>
        <w:t>不可抗力事件发生后，应立即通知对方，并寄送有关权威机构出具的证明。</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12.3</w:t>
      </w:r>
      <w:r>
        <w:rPr>
          <w:rFonts w:ascii="仿宋" w:hAnsi="仿宋" w:eastAsia="仿宋" w:cs="Arial"/>
          <w:color w:val="000000" w:themeColor="text1"/>
          <w:kern w:val="0"/>
          <w:sz w:val="24"/>
          <w14:textFill>
            <w14:solidFill>
              <w14:schemeClr w14:val="tx1"/>
            </w14:solidFill>
          </w14:textFill>
        </w:rPr>
        <w:t>不可抗力事件延续120天以上，双方应通过友好协商，确定是否继续履行合同。</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w:t>
      </w:r>
      <w:r>
        <w:rPr>
          <w:rFonts w:hint="eastAsia" w:ascii="华文中宋" w:hAnsi="华文中宋" w:eastAsia="华文中宋"/>
          <w:b/>
          <w:bCs/>
          <w:color w:val="000000" w:themeColor="text1"/>
          <w:kern w:val="0"/>
          <w:sz w:val="30"/>
          <w14:textFill>
            <w14:solidFill>
              <w14:schemeClr w14:val="tx1"/>
            </w14:solidFill>
          </w14:textFill>
        </w:rPr>
        <w:t>三</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争议解决与</w:t>
      </w:r>
      <w:r>
        <w:rPr>
          <w:rFonts w:ascii="华文中宋" w:hAnsi="华文中宋" w:eastAsia="华文中宋"/>
          <w:b/>
          <w:bCs/>
          <w:color w:val="000000" w:themeColor="text1"/>
          <w:kern w:val="0"/>
          <w:sz w:val="30"/>
          <w14:textFill>
            <w14:solidFill>
              <w14:schemeClr w14:val="tx1"/>
            </w14:solidFill>
          </w14:textFill>
        </w:rPr>
        <w:t>诉讼</w:t>
      </w:r>
    </w:p>
    <w:p>
      <w:pPr>
        <w:spacing w:line="360" w:lineRule="auto"/>
        <w:ind w:left="23" w:firstLine="439" w:firstLineChars="18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13.1</w:t>
      </w:r>
      <w:r>
        <w:rPr>
          <w:rFonts w:ascii="仿宋" w:hAnsi="仿宋" w:eastAsia="仿宋" w:cs="Arial"/>
          <w:color w:val="000000" w:themeColor="text1"/>
          <w:kern w:val="0"/>
          <w:sz w:val="24"/>
          <w14:textFill>
            <w14:solidFill>
              <w14:schemeClr w14:val="tx1"/>
            </w14:solidFill>
          </w14:textFill>
        </w:rPr>
        <w:t>双方在执行合同中所发生的一切争议，应通过协商解决。如协商不成，可向合同签订地法院起诉，合同签订地在此约定为</w:t>
      </w:r>
      <w:r>
        <w:rPr>
          <w:rFonts w:hint="eastAsia" w:ascii="仿宋" w:hAnsi="仿宋" w:eastAsia="仿宋" w:cs="Arial"/>
          <w:color w:val="000000" w:themeColor="text1"/>
          <w:kern w:val="0"/>
          <w:sz w:val="24"/>
          <w14:textFill>
            <w14:solidFill>
              <w14:schemeClr w14:val="tx1"/>
            </w14:solidFill>
          </w14:textFill>
        </w:rPr>
        <w:t>杭州</w:t>
      </w:r>
      <w:r>
        <w:rPr>
          <w:rFonts w:ascii="仿宋" w:hAnsi="仿宋" w:eastAsia="仿宋" w:cs="Arial"/>
          <w:color w:val="000000" w:themeColor="text1"/>
          <w:kern w:val="0"/>
          <w:sz w:val="24"/>
          <w:u w:val="single"/>
          <w14:textFill>
            <w14:solidFill>
              <w14:schemeClr w14:val="tx1"/>
            </w14:solidFill>
          </w14:textFill>
        </w:rPr>
        <w:t>市</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kern w:val="0"/>
          <w:sz w:val="24"/>
          <w:u w:val="single"/>
          <w14:textFill>
            <w14:solidFill>
              <w14:schemeClr w14:val="tx1"/>
            </w14:solidFill>
          </w14:textFill>
        </w:rPr>
        <w:t>（县/区）</w:t>
      </w:r>
      <w:r>
        <w:rPr>
          <w:rFonts w:ascii="仿宋" w:hAnsi="仿宋" w:eastAsia="仿宋" w:cs="Arial"/>
          <w:color w:val="000000" w:themeColor="text1"/>
          <w:kern w:val="0"/>
          <w:sz w:val="24"/>
          <w14:textFill>
            <w14:solidFill>
              <w14:schemeClr w14:val="tx1"/>
            </w14:solidFill>
          </w14:textFill>
        </w:rPr>
        <w:t>。</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w:t>
      </w:r>
      <w:r>
        <w:rPr>
          <w:rFonts w:hint="eastAsia" w:ascii="华文中宋" w:hAnsi="华文中宋" w:eastAsia="华文中宋"/>
          <w:b/>
          <w:bCs/>
          <w:color w:val="000000" w:themeColor="text1"/>
          <w:kern w:val="0"/>
          <w:sz w:val="30"/>
          <w14:textFill>
            <w14:solidFill>
              <w14:schemeClr w14:val="tx1"/>
            </w14:solidFill>
          </w14:textFill>
        </w:rPr>
        <w:t>四</w:t>
      </w:r>
      <w:r>
        <w:rPr>
          <w:rFonts w:ascii="华文中宋" w:hAnsi="华文中宋" w:eastAsia="华文中宋"/>
          <w:b/>
          <w:bCs/>
          <w:color w:val="000000" w:themeColor="text1"/>
          <w:kern w:val="0"/>
          <w:sz w:val="30"/>
          <w14:textFill>
            <w14:solidFill>
              <w14:schemeClr w14:val="tx1"/>
            </w14:solidFill>
          </w14:textFill>
        </w:rPr>
        <w:t>、合同生效及其它</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14.1</w:t>
      </w:r>
      <w:r>
        <w:rPr>
          <w:rFonts w:ascii="仿宋" w:hAnsi="仿宋" w:eastAsia="仿宋" w:cs="Arial"/>
          <w:color w:val="000000" w:themeColor="text1"/>
          <w:kern w:val="0"/>
          <w:sz w:val="24"/>
          <w14:textFill>
            <w14:solidFill>
              <w14:schemeClr w14:val="tx1"/>
            </w14:solidFill>
          </w14:textFill>
        </w:rPr>
        <w:t>合同经双方法定代表人或授权委托代理人签字并加盖单位公章后生效。</w:t>
      </w:r>
    </w:p>
    <w:p>
      <w:pPr>
        <w:spacing w:line="360" w:lineRule="auto"/>
        <w:ind w:firstLine="463" w:firstLineChars="193"/>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14.2合同组成部分：</w:t>
      </w:r>
      <w:r>
        <w:rPr>
          <w:rFonts w:hint="eastAsia" w:ascii="仿宋" w:hAnsi="仿宋" w:eastAsia="仿宋" w:cs="Arial"/>
          <w:color w:val="000000" w:themeColor="text1"/>
          <w:kern w:val="0"/>
          <w:sz w:val="24"/>
          <w:u w:val="single"/>
          <w14:textFill>
            <w14:solidFill>
              <w14:schemeClr w14:val="tx1"/>
            </w14:solidFill>
          </w14:textFill>
        </w:rPr>
        <w:t>本合同（含附件）、甲方采购文件、乙方投标文件、中标通知书、履约保证金、询标记录（如有）</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合同执行中涉及采购资金和采购内容修改或补充的，须经</w:t>
      </w:r>
      <w:r>
        <w:rPr>
          <w:rFonts w:hint="eastAsia" w:ascii="仿宋" w:hAnsi="仿宋" w:eastAsia="仿宋" w:cs="Arial"/>
          <w:color w:val="000000" w:themeColor="text1"/>
          <w:kern w:val="0"/>
          <w:sz w:val="24"/>
          <w14:textFill>
            <w14:solidFill>
              <w14:schemeClr w14:val="tx1"/>
            </w14:solidFill>
          </w14:textFill>
        </w:rPr>
        <w:t>同级</w:t>
      </w:r>
      <w:r>
        <w:rPr>
          <w:rFonts w:ascii="仿宋" w:hAnsi="仿宋" w:eastAsia="仿宋" w:cs="Arial"/>
          <w:color w:val="000000" w:themeColor="text1"/>
          <w:kern w:val="0"/>
          <w:sz w:val="24"/>
          <w14:textFill>
            <w14:solidFill>
              <w14:schemeClr w14:val="tx1"/>
            </w14:solidFill>
          </w14:textFill>
        </w:rPr>
        <w:t>财政部门审批，并签书面补充协议报</w:t>
      </w:r>
      <w:r>
        <w:rPr>
          <w:rFonts w:hint="eastAsia" w:ascii="仿宋" w:hAnsi="仿宋" w:eastAsia="仿宋" w:cs="Arial"/>
          <w:color w:val="000000" w:themeColor="text1"/>
          <w:kern w:val="0"/>
          <w:sz w:val="24"/>
          <w14:textFill>
            <w14:solidFill>
              <w14:schemeClr w14:val="tx1"/>
            </w14:solidFill>
          </w14:textFill>
        </w:rPr>
        <w:t>同级</w:t>
      </w:r>
      <w:r>
        <w:rPr>
          <w:rFonts w:ascii="仿宋" w:hAnsi="仿宋" w:eastAsia="仿宋" w:cs="Arial"/>
          <w:color w:val="000000" w:themeColor="text1"/>
          <w:kern w:val="0"/>
          <w:sz w:val="24"/>
          <w14:textFill>
            <w14:solidFill>
              <w14:schemeClr w14:val="tx1"/>
            </w14:solidFill>
          </w14:textFill>
        </w:rPr>
        <w:t>政府采购监督管理部门备案，方可作为主合同不可分割的一部分。</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14.4</w:t>
      </w:r>
      <w:r>
        <w:rPr>
          <w:rFonts w:ascii="仿宋" w:hAnsi="仿宋" w:eastAsia="仿宋" w:cs="Arial"/>
          <w:color w:val="000000" w:themeColor="text1"/>
          <w:kern w:val="0"/>
          <w:sz w:val="24"/>
          <w14:textFill>
            <w14:solidFill>
              <w14:schemeClr w14:val="tx1"/>
            </w14:solidFill>
          </w14:textFill>
        </w:rPr>
        <w:t>本合同未尽事宜，遵照《</w:t>
      </w:r>
      <w:r>
        <w:rPr>
          <w:rFonts w:hint="eastAsia" w:ascii="仿宋" w:hAnsi="仿宋" w:eastAsia="仿宋" w:cs="Arial"/>
          <w:color w:val="000000" w:themeColor="text1"/>
          <w:kern w:val="0"/>
          <w:sz w:val="24"/>
          <w14:textFill>
            <w14:solidFill>
              <w14:schemeClr w14:val="tx1"/>
            </w14:solidFill>
          </w14:textFill>
        </w:rPr>
        <w:t>民法典</w:t>
      </w:r>
      <w:r>
        <w:rPr>
          <w:rFonts w:ascii="仿宋" w:hAnsi="仿宋" w:eastAsia="仿宋" w:cs="Arial"/>
          <w:color w:val="000000" w:themeColor="text1"/>
          <w:kern w:val="0"/>
          <w:sz w:val="24"/>
          <w14:textFill>
            <w14:solidFill>
              <w14:schemeClr w14:val="tx1"/>
            </w14:solidFill>
          </w14:textFill>
        </w:rPr>
        <w:t>》有关条文执行。</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14.5</w:t>
      </w:r>
      <w:r>
        <w:rPr>
          <w:rFonts w:ascii="仿宋" w:hAnsi="仿宋" w:eastAsia="仿宋" w:cs="Arial"/>
          <w:color w:val="000000" w:themeColor="text1"/>
          <w:kern w:val="0"/>
          <w:sz w:val="24"/>
          <w14:textFill>
            <w14:solidFill>
              <w14:schemeClr w14:val="tx1"/>
            </w14:solidFill>
          </w14:textFill>
        </w:rPr>
        <w:t>本合同正本一式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份，具有同等法律效力，</w:t>
      </w:r>
      <w:r>
        <w:rPr>
          <w:rFonts w:hint="eastAsia" w:ascii="仿宋" w:hAnsi="仿宋" w:eastAsia="仿宋" w:cs="Arial"/>
          <w:color w:val="000000" w:themeColor="text1"/>
          <w:kern w:val="0"/>
          <w:sz w:val="24"/>
          <w14:textFill>
            <w14:solidFill>
              <w14:schemeClr w14:val="tx1"/>
            </w14:solidFill>
          </w14:textFill>
        </w:rPr>
        <w:t>甲方、乙方</w:t>
      </w:r>
      <w:r>
        <w:rPr>
          <w:rFonts w:ascii="仿宋" w:hAnsi="仿宋" w:eastAsia="仿宋" w:cs="Arial"/>
          <w:color w:val="000000" w:themeColor="text1"/>
          <w:kern w:val="0"/>
          <w:sz w:val="24"/>
          <w14:textFill>
            <w14:solidFill>
              <w14:schemeClr w14:val="tx1"/>
            </w14:solidFill>
          </w14:textFill>
        </w:rPr>
        <w:t>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份；副本</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份，____________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u w:val="single"/>
          <w14:textFill>
            <w14:solidFill>
              <w14:schemeClr w14:val="tx1"/>
            </w14:solidFill>
          </w14:textFill>
        </w:rPr>
        <w:t>用途</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w:t>
      </w:r>
    </w:p>
    <w:p>
      <w:pPr>
        <w:spacing w:line="360" w:lineRule="auto"/>
        <w:ind w:firstLine="405" w:firstLineChars="193"/>
        <w:rPr>
          <w:color w:val="000000" w:themeColor="text1"/>
          <w14:textFill>
            <w14:solidFill>
              <w14:schemeClr w14:val="tx1"/>
            </w14:solidFill>
          </w14:textFill>
        </w:rPr>
      </w:pPr>
    </w:p>
    <w:tbl>
      <w:tblPr>
        <w:tblStyle w:val="58"/>
        <w:tblW w:w="0" w:type="auto"/>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甲方（盖章）</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乙方（盖章）</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r>
    </w:tbl>
    <w:p>
      <w:pPr>
        <w:pStyle w:val="24"/>
        <w:rPr>
          <w:rFonts w:ascii="仿宋" w:hAnsi="仿宋" w:eastAsia="仿宋" w:cs="Arial"/>
          <w:color w:val="000000" w:themeColor="text1"/>
          <w:sz w:val="24"/>
          <w:lang w:val="zh-CN"/>
          <w14:textFill>
            <w14:solidFill>
              <w14:schemeClr w14:val="tx1"/>
            </w14:solidFill>
          </w14:textFill>
        </w:rPr>
        <w:sectPr>
          <w:headerReference r:id="rId20" w:type="default"/>
          <w:pgSz w:w="11906" w:h="16838"/>
          <w:pgMar w:top="1701" w:right="1276" w:bottom="1440" w:left="1559" w:header="709" w:footer="754" w:gutter="0"/>
          <w:pgNumType w:fmt="numberInDash"/>
          <w:cols w:space="720" w:num="1"/>
          <w:docGrid w:linePitch="312" w:charSpace="0"/>
        </w:sectPr>
      </w:pPr>
    </w:p>
    <w:p>
      <w:pPr>
        <w:pStyle w:val="54"/>
        <w:rPr>
          <w:rFonts w:ascii="Arial" w:hAnsi="新宋体" w:eastAsia="新宋体" w:cs="Arial"/>
          <w:color w:val="000000" w:themeColor="text1"/>
          <w:sz w:val="22"/>
          <w:szCs w:val="22"/>
          <w:u w:val="single"/>
          <w14:textFill>
            <w14:solidFill>
              <w14:schemeClr w14:val="tx1"/>
            </w14:solidFill>
          </w14:textFill>
        </w:rPr>
      </w:pPr>
      <w:bookmarkStart w:id="138" w:name="_Toc440162799"/>
      <w:bookmarkStart w:id="139" w:name="_Toc9164"/>
      <w:bookmarkStart w:id="140" w:name="_Toc424164166"/>
      <w:bookmarkStart w:id="141" w:name="_Toc30250"/>
      <w:bookmarkStart w:id="142" w:name="_Toc28219"/>
      <w:bookmarkStart w:id="143" w:name="_Toc15620"/>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投标文件格式</w:t>
      </w:r>
      <w:bookmarkEnd w:id="138"/>
      <w:bookmarkEnd w:id="139"/>
      <w:bookmarkEnd w:id="140"/>
      <w:bookmarkEnd w:id="141"/>
      <w:bookmarkEnd w:id="142"/>
      <w:bookmarkEnd w:id="143"/>
    </w:p>
    <w:p>
      <w:pPr>
        <w:spacing w:before="240" w:line="360" w:lineRule="auto"/>
        <w:jc w:val="center"/>
        <w:rPr>
          <w:color w:val="000000" w:themeColor="text1"/>
          <w14:textFill>
            <w14:solidFill>
              <w14:schemeClr w14:val="tx1"/>
            </w14:solidFill>
          </w14:textFill>
        </w:rPr>
      </w:pPr>
      <w:r>
        <w:rPr>
          <w:rFonts w:ascii="华文中宋" w:hAnsi="华文中宋" w:eastAsia="华文中宋"/>
          <w:b/>
          <w:color w:val="000000" w:themeColor="text1"/>
          <w:sz w:val="44"/>
          <w:szCs w:val="44"/>
          <w14:textFill>
            <w14:solidFill>
              <w14:schemeClr w14:val="tx1"/>
            </w14:solidFill>
          </w14:textFill>
        </w:rPr>
        <w:t>重要提示</w:t>
      </w:r>
    </w:p>
    <w:p>
      <w:pPr>
        <w:spacing w:line="360" w:lineRule="auto"/>
        <w:ind w:firstLine="485" w:firstLineChars="151"/>
        <w:jc w:val="left"/>
        <w:rPr>
          <w:rFonts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（1）</w:t>
      </w:r>
      <w:r>
        <w:rPr>
          <w:rFonts w:hint="eastAsia" w:ascii="仿宋" w:hAnsi="仿宋" w:eastAsia="仿宋"/>
          <w:b/>
          <w:color w:val="000000" w:themeColor="text1"/>
          <w:sz w:val="32"/>
          <w:szCs w:val="28"/>
          <w:u w:val="single"/>
          <w14:textFill>
            <w14:solidFill>
              <w14:schemeClr w14:val="tx1"/>
            </w14:solidFill>
          </w14:textFill>
        </w:rPr>
        <w:t>本章中有</w:t>
      </w:r>
      <w:r>
        <w:rPr>
          <w:rFonts w:ascii="仿宋" w:hAnsi="仿宋" w:eastAsia="仿宋"/>
          <w:b/>
          <w:color w:val="000000" w:themeColor="text1"/>
          <w:sz w:val="32"/>
          <w:szCs w:val="28"/>
          <w:u w:val="single"/>
          <w14:textFill>
            <w14:solidFill>
              <w14:schemeClr w14:val="tx1"/>
            </w14:solidFill>
          </w14:textFill>
        </w:rPr>
        <w:t>提供格式的，</w:t>
      </w:r>
      <w:r>
        <w:rPr>
          <w:rFonts w:hint="eastAsia" w:ascii="仿宋" w:hAnsi="仿宋" w:eastAsia="仿宋"/>
          <w:b/>
          <w:color w:val="000000" w:themeColor="text1"/>
          <w:sz w:val="32"/>
          <w:szCs w:val="28"/>
          <w:u w:val="single"/>
          <w14:textFill>
            <w14:solidFill>
              <w14:schemeClr w14:val="tx1"/>
            </w14:solidFill>
          </w14:textFill>
        </w:rPr>
        <w:t>供应商须按</w:t>
      </w:r>
      <w:r>
        <w:rPr>
          <w:rFonts w:ascii="仿宋" w:hAnsi="仿宋" w:eastAsia="仿宋"/>
          <w:b/>
          <w:color w:val="000000" w:themeColor="text1"/>
          <w:sz w:val="32"/>
          <w:szCs w:val="28"/>
          <w:u w:val="single"/>
          <w14:textFill>
            <w14:solidFill>
              <w14:schemeClr w14:val="tx1"/>
            </w14:solidFill>
          </w14:textFill>
        </w:rPr>
        <w:t>照格式</w:t>
      </w:r>
      <w:r>
        <w:rPr>
          <w:rFonts w:hint="eastAsia" w:ascii="仿宋" w:hAnsi="仿宋" w:eastAsia="仿宋"/>
          <w:b/>
          <w:color w:val="000000" w:themeColor="text1"/>
          <w:sz w:val="32"/>
          <w:szCs w:val="28"/>
          <w:u w:val="single"/>
          <w14:textFill>
            <w14:solidFill>
              <w14:schemeClr w14:val="tx1"/>
            </w14:solidFill>
          </w14:textFill>
        </w:rPr>
        <w:t>进行编制（格式中要求提供相关证明材料的还需后附相关有效证明材料），并按格式要求进行签、章，否则视为未提供。</w:t>
      </w:r>
    </w:p>
    <w:p>
      <w:pPr>
        <w:spacing w:line="360" w:lineRule="auto"/>
        <w:ind w:firstLine="485" w:firstLineChars="151"/>
        <w:jc w:val="left"/>
        <w:rPr>
          <w:rFonts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（2）</w:t>
      </w:r>
      <w:r>
        <w:rPr>
          <w:rFonts w:hint="eastAsia" w:ascii="仿宋" w:hAnsi="仿宋" w:eastAsia="仿宋"/>
          <w:b/>
          <w:color w:val="000000" w:themeColor="text1"/>
          <w:sz w:val="32"/>
          <w:szCs w:val="28"/>
          <w:u w:val="single"/>
          <w14:textFill>
            <w14:solidFill>
              <w14:schemeClr w14:val="tx1"/>
            </w14:solidFill>
          </w14:textFill>
        </w:rPr>
        <w:t>本章</w:t>
      </w:r>
      <w:r>
        <w:rPr>
          <w:rFonts w:ascii="仿宋" w:hAnsi="仿宋" w:eastAsia="仿宋"/>
          <w:b/>
          <w:color w:val="000000" w:themeColor="text1"/>
          <w:sz w:val="32"/>
          <w:szCs w:val="28"/>
          <w:u w:val="single"/>
          <w14:textFill>
            <w14:solidFill>
              <w14:schemeClr w14:val="tx1"/>
            </w14:solidFill>
          </w14:textFill>
        </w:rPr>
        <w:t>未提供格式的，请</w:t>
      </w:r>
      <w:r>
        <w:rPr>
          <w:rFonts w:hint="eastAsia" w:ascii="仿宋" w:hAnsi="仿宋" w:eastAsia="仿宋"/>
          <w:b/>
          <w:color w:val="000000" w:themeColor="text1"/>
          <w:sz w:val="32"/>
          <w:szCs w:val="28"/>
          <w:u w:val="single"/>
          <w14:textFill>
            <w14:solidFill>
              <w14:schemeClr w14:val="tx1"/>
            </w14:solidFill>
          </w14:textFill>
        </w:rPr>
        <w:t>供应商</w:t>
      </w:r>
      <w:r>
        <w:rPr>
          <w:rFonts w:ascii="仿宋" w:hAnsi="仿宋" w:eastAsia="仿宋"/>
          <w:b/>
          <w:color w:val="000000" w:themeColor="text1"/>
          <w:sz w:val="32"/>
          <w:szCs w:val="28"/>
          <w:u w:val="single"/>
          <w14:textFill>
            <w14:solidFill>
              <w14:schemeClr w14:val="tx1"/>
            </w14:solidFill>
          </w14:textFill>
        </w:rPr>
        <w:t>自行拟定格式</w:t>
      </w:r>
      <w:r>
        <w:rPr>
          <w:rFonts w:hint="eastAsia" w:ascii="仿宋" w:hAnsi="仿宋" w:eastAsia="仿宋"/>
          <w:b/>
          <w:color w:val="000000" w:themeColor="text1"/>
          <w:sz w:val="32"/>
          <w:szCs w:val="28"/>
          <w:u w:val="single"/>
          <w14:textFill>
            <w14:solidFill>
              <w14:schemeClr w14:val="tx1"/>
            </w14:solidFill>
          </w14:textFill>
        </w:rPr>
        <w:t>，并加盖单位公章，否则视为未提供。</w:t>
      </w:r>
    </w:p>
    <w:p>
      <w:pPr>
        <w:spacing w:line="360" w:lineRule="auto"/>
        <w:ind w:firstLine="485" w:firstLineChars="151"/>
        <w:jc w:val="left"/>
        <w:rPr>
          <w:rFonts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（3）</w:t>
      </w:r>
      <w:r>
        <w:rPr>
          <w:rFonts w:hint="eastAsia" w:ascii="仿宋" w:hAnsi="仿宋" w:eastAsia="仿宋"/>
          <w:b/>
          <w:color w:val="000000" w:themeColor="text1"/>
          <w:sz w:val="32"/>
          <w:szCs w:val="28"/>
          <w:u w:val="single"/>
          <w14:textFill>
            <w14:solidFill>
              <w14:schemeClr w14:val="tx1"/>
            </w14:solidFill>
          </w14:textFill>
        </w:rPr>
        <w:t>可以提供复印件的相关证明材料必须加盖供应商公章，否则视为未提供（例如：各类资格资质证书、业绩材料、许可材料、荣誉证书、产品注册登记材料、产品检测材料、验收材料等）。</w:t>
      </w:r>
    </w:p>
    <w:p>
      <w:pPr>
        <w:spacing w:line="360" w:lineRule="auto"/>
        <w:ind w:firstLine="485"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32"/>
          <w:szCs w:val="28"/>
          <w14:textFill>
            <w14:solidFill>
              <w14:schemeClr w14:val="tx1"/>
            </w14:solidFill>
          </w14:textFill>
        </w:rPr>
        <w:t>（4）</w:t>
      </w:r>
      <w:r>
        <w:rPr>
          <w:rFonts w:hint="eastAsia" w:ascii="仿宋" w:hAnsi="仿宋" w:eastAsia="仿宋" w:cs="Arial"/>
          <w:b/>
          <w:color w:val="000000" w:themeColor="text1"/>
          <w:kern w:val="0"/>
          <w:sz w:val="32"/>
          <w:szCs w:val="28"/>
          <w:u w:val="single"/>
          <w14:textFill>
            <w14:solidFill>
              <w14:schemeClr w14:val="tx1"/>
            </w14:solidFill>
          </w14:textFill>
        </w:rPr>
        <w:t>第三章投标须知第4.2.2款投标文件内容组成清单中标注“</w:t>
      </w:r>
      <w:r>
        <w:rPr>
          <w:rFonts w:hint="eastAsia" w:ascii="仿宋" w:hAnsi="仿宋" w:eastAsia="仿宋" w:cs="Arial"/>
          <w:color w:val="000000" w:themeColor="text1"/>
          <w:kern w:val="0"/>
          <w:sz w:val="32"/>
          <w:szCs w:val="28"/>
          <w:u w:val="single"/>
          <w14:textFill>
            <w14:solidFill>
              <w14:schemeClr w14:val="tx1"/>
            </w14:solidFill>
          </w14:textFill>
        </w:rPr>
        <w:t>▲</w:t>
      </w:r>
      <w:r>
        <w:rPr>
          <w:rFonts w:hint="eastAsia" w:ascii="仿宋" w:hAnsi="仿宋" w:eastAsia="仿宋" w:cs="Arial"/>
          <w:b/>
          <w:color w:val="000000" w:themeColor="text1"/>
          <w:kern w:val="0"/>
          <w:sz w:val="32"/>
          <w:szCs w:val="28"/>
          <w:u w:val="single"/>
          <w14:textFill>
            <w14:solidFill>
              <w14:schemeClr w14:val="tx1"/>
            </w14:solidFill>
          </w14:textFill>
        </w:rPr>
        <w:t>”的内容为必须提供的内容，未提供的投标无效。</w:t>
      </w:r>
    </w:p>
    <w:p>
      <w:pPr>
        <w:pStyle w:val="3"/>
        <w:rPr>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144" w:name="_Toc56055915"/>
      <w:bookmarkStart w:id="145" w:name="_Toc5224"/>
      <w:bookmarkStart w:id="146" w:name="_Toc46485598"/>
      <w:bookmarkStart w:id="147" w:name="_Toc9483"/>
      <w:bookmarkStart w:id="148" w:name="_Toc31740"/>
      <w:bookmarkStart w:id="149" w:name="_Toc44671433"/>
      <w:bookmarkStart w:id="150" w:name="_Toc17733"/>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44"/>
      <w:bookmarkEnd w:id="145"/>
      <w:bookmarkEnd w:id="146"/>
      <w:bookmarkEnd w:id="147"/>
      <w:bookmarkEnd w:id="148"/>
      <w:bookmarkEnd w:id="149"/>
      <w:bookmarkEnd w:id="150"/>
    </w:p>
    <w:p>
      <w:pPr>
        <w:pStyle w:val="8"/>
        <w:rPr>
          <w:rFonts w:ascii="Calibri" w:hAnsi="Calibri" w:eastAsia="宋体"/>
          <w:color w:val="000000" w:themeColor="text1"/>
          <w14:textFill>
            <w14:solidFill>
              <w14:schemeClr w14:val="tx1"/>
            </w14:solidFill>
          </w14:textFill>
        </w:rPr>
      </w:pPr>
    </w:p>
    <w:p>
      <w:pPr>
        <w:pStyle w:val="8"/>
        <w:rPr>
          <w:rFonts w:ascii="Calibri" w:hAnsi="Calibri" w:eastAsia="宋体"/>
          <w:color w:val="000000" w:themeColor="text1"/>
          <w14:textFill>
            <w14:solidFill>
              <w14:schemeClr w14:val="tx1"/>
            </w14:solidFill>
          </w14:textFill>
        </w:rPr>
      </w:pPr>
    </w:p>
    <w:p>
      <w:pPr>
        <w:pStyle w:val="8"/>
        <w:rPr>
          <w:rFonts w:ascii="Calibri" w:hAnsi="Calibri" w:eastAsia="宋体"/>
          <w:color w:val="000000" w:themeColor="text1"/>
          <w14:textFill>
            <w14:solidFill>
              <w14:schemeClr w14:val="tx1"/>
            </w14:solidFill>
          </w14:textFill>
        </w:rPr>
      </w:pPr>
    </w:p>
    <w:p>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pPr>
        <w:spacing w:line="360" w:lineRule="auto"/>
        <w:rPr>
          <w:rFonts w:ascii="仿宋" w:hAnsi="仿宋" w:eastAsia="仿宋"/>
          <w:color w:val="000000" w:themeColor="text1"/>
          <w:sz w:val="24"/>
          <w14:textFill>
            <w14:solidFill>
              <w14:schemeClr w14:val="tx1"/>
            </w14:solidFill>
          </w14:textFill>
        </w:rPr>
      </w:pPr>
    </w:p>
    <w:p>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（资格文件）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14:textFill>
                  <w14:solidFill>
                    <w14:schemeClr w14:val="tx1"/>
                  </w14:solidFill>
                </w14:textFill>
              </w:rPr>
              <w:t>浙江省城市运行安全数字化管理系统（被整合系统）运维项目</w:t>
            </w:r>
          </w:p>
        </w:tc>
      </w:tr>
      <w:tr>
        <w:tblPrEx>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CTZB-2024080141</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pPr>
        <w:pStyle w:val="5"/>
        <w:ind w:firstLine="151"/>
        <w:rPr>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1-1 ▲符合“申请人的资格要求”第1条规定的证明文件</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（1）▲资格承诺函</w:t>
      </w:r>
    </w:p>
    <w:p>
      <w:pPr>
        <w:spacing w:line="360" w:lineRule="auto"/>
        <w:jc w:val="center"/>
        <w:rPr>
          <w:rFonts w:ascii="华文中宋" w:hAnsi="华文中宋" w:eastAsia="华文中宋" w:cs="Arial"/>
          <w:b/>
          <w:color w:val="000000" w:themeColor="text1"/>
          <w:kern w:val="0"/>
          <w:sz w:val="24"/>
          <w:szCs w:val="28"/>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资格承诺函</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浙江省住房和城乡建设厅信息宣传中心、浙江省成套招标代理有限公司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82"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我方参加</w:t>
      </w:r>
      <w:r>
        <w:rPr>
          <w:rFonts w:hint="eastAsia" w:ascii="仿宋" w:hAnsi="仿宋" w:eastAsia="仿宋" w:cs="Arial"/>
          <w:b/>
          <w:color w:val="000000" w:themeColor="text1"/>
          <w:kern w:val="0"/>
          <w:sz w:val="24"/>
          <w:u w:val="single"/>
          <w14:textFill>
            <w14:solidFill>
              <w14:schemeClr w14:val="tx1"/>
            </w14:solidFill>
          </w14:textFill>
        </w:rPr>
        <w:t>浙江省城市运行安全数字化管理系统（被整合系统）运维项目（项目编号：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CTZB-2024080141</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的政府采购活动，依据采购文件相关规定，郑重承诺如下：</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（1）我方具有独立承担民事责任的能力（</w:t>
      </w:r>
      <w:r>
        <w:rPr>
          <w:rFonts w:hint="eastAsia" w:ascii="仿宋" w:hAnsi="仿宋" w:eastAsia="仿宋" w:cs="Arial"/>
          <w:b/>
          <w:color w:val="000000" w:themeColor="text1"/>
          <w:kern w:val="0"/>
          <w:sz w:val="24"/>
          <w:u w:val="single"/>
          <w14:textFill>
            <w14:solidFill>
              <w14:schemeClr w14:val="tx1"/>
            </w14:solidFill>
          </w14:textFill>
        </w:rPr>
        <w:t>后附营业执照</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（2）我方具有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（3）我方具有履行本项目合同所必需的设备和专业技术能力；</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（4）我方</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（5）我方在参加本次政府采购活动前三年内，经营活动中没有重大违法记录</w:t>
      </w:r>
      <w:r>
        <w:rPr>
          <w:rFonts w:hint="eastAsia" w:ascii="仿宋" w:hAnsi="仿宋" w:eastAsia="仿宋" w:cs="Arial"/>
          <w:color w:val="000000" w:themeColor="text1"/>
          <w:sz w:val="24"/>
          <w14:textFill>
            <w14:solidFill>
              <w14:schemeClr w14:val="tx1"/>
            </w14:solidFill>
          </w14:textFill>
        </w:rPr>
        <w:t>；</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（6）我方符合法律、行政法规规定的其他条件；</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r>
        <w:rPr>
          <w:rFonts w:hint="eastAsia" w:ascii="仿宋" w:hAnsi="仿宋" w:eastAsia="仿宋" w:cs="Arial"/>
          <w:color w:val="000000" w:themeColor="text1"/>
          <w:kern w:val="0"/>
          <w:sz w:val="24"/>
          <w14:textFill>
            <w14:solidFill>
              <w14:schemeClr w14:val="tx1"/>
            </w14:solidFill>
          </w14:textFill>
        </w:rPr>
        <w:t>我方在投标文件递交前，未被</w:t>
      </w:r>
      <w:r>
        <w:rPr>
          <w:rFonts w:ascii="仿宋" w:hAnsi="仿宋" w:eastAsia="仿宋" w:cs="Arial"/>
          <w:color w:val="000000" w:themeColor="text1"/>
          <w:kern w:val="0"/>
          <w:sz w:val="24"/>
          <w14:textFill>
            <w14:solidFill>
              <w14:schemeClr w14:val="tx1"/>
            </w14:solidFill>
          </w14:textFill>
        </w:rPr>
        <w:t>“信用中国”</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www.creditchina.gov.cn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中国政府采购网</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www.ccgp.gov.cn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列入失信被执行人</w:t>
      </w:r>
      <w:r>
        <w:rPr>
          <w:rFonts w:hint="eastAsia" w:ascii="仿宋" w:hAnsi="仿宋" w:eastAsia="仿宋" w:cs="Arial"/>
          <w:color w:val="000000" w:themeColor="text1"/>
          <w:kern w:val="0"/>
          <w:sz w:val="24"/>
          <w14:textFill>
            <w14:solidFill>
              <w14:schemeClr w14:val="tx1"/>
            </w14:solidFill>
          </w14:textFill>
        </w:rPr>
        <w:t>名单</w:t>
      </w:r>
      <w:r>
        <w:rPr>
          <w:rFonts w:ascii="仿宋" w:hAnsi="仿宋" w:eastAsia="仿宋" w:cs="Arial"/>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kern w:val="0"/>
          <w:sz w:val="24"/>
          <w14:textFill>
            <w14:solidFill>
              <w14:schemeClr w14:val="tx1"/>
            </w14:solidFill>
          </w14:textFill>
        </w:rPr>
        <w:t>（我方的信用信息记录以采购人或采购代理机构统一查询的结果为准）。</w:t>
      </w:r>
    </w:p>
    <w:p>
      <w:pPr>
        <w:spacing w:line="360" w:lineRule="auto"/>
        <w:ind w:firstLine="482"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以上承诺如有虚假或隐瞒，采购人可取消我方任何资格（投标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中标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签订合同），我方对此无任何异议，并愿意承担一切后果和责任。</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特此承诺</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日期：________年____月____日</w:t>
      </w:r>
    </w:p>
    <w:p>
      <w:pPr>
        <w:rPr>
          <w:rFonts w:ascii="仿宋" w:hAnsi="仿宋" w:eastAsia="仿宋" w:cs="Arial"/>
          <w:b/>
          <w:color w:val="000000" w:themeColor="text1"/>
          <w:kern w:val="0"/>
          <w:sz w:val="24"/>
          <w14:textFill>
            <w14:solidFill>
              <w14:schemeClr w14:val="tx1"/>
            </w14:solidFill>
          </w14:textFill>
        </w:rPr>
      </w:pPr>
    </w:p>
    <w:p>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编制说明：</w:t>
      </w:r>
      <w:r>
        <w:rPr>
          <w:rFonts w:hint="eastAsia" w:ascii="仿宋" w:hAnsi="仿宋" w:eastAsia="仿宋" w:cs="Arial"/>
          <w:b/>
          <w:color w:val="000000" w:themeColor="text1"/>
          <w:kern w:val="0"/>
          <w:sz w:val="24"/>
          <w:u w:val="single"/>
          <w14:textFill>
            <w14:solidFill>
              <w14:schemeClr w14:val="tx1"/>
            </w14:solidFill>
          </w14:textFill>
        </w:rPr>
        <w:t>接受联合体投标的项目，投标供应商为联合体的，联合体各方均须提供本承诺函，否则投标无效。</w:t>
      </w:r>
    </w:p>
    <w:p>
      <w:pPr>
        <w:pStyle w:val="6"/>
        <w:rPr>
          <w:rFonts w:ascii="微软雅黑" w:hAnsi="微软雅黑" w:eastAsia="微软雅黑"/>
          <w:b w:val="0"/>
          <w:color w:val="000000" w:themeColor="text1"/>
          <w:sz w:val="40"/>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（2）营业执照或其他同类证明文件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pPr>
              <w:spacing w:before="840" w:beforeLines="350" w:line="360" w:lineRule="auto"/>
              <w:jc w:val="center"/>
              <w:rPr>
                <w:rFonts w:ascii="仿宋" w:hAnsi="仿宋" w:eastAsia="仿宋"/>
                <w:color w:val="000000"/>
                <w:sz w:val="28"/>
              </w:rPr>
            </w:pPr>
            <w:r>
              <w:rPr>
                <w:rFonts w:hint="eastAsia" w:ascii="仿宋" w:hAnsi="仿宋" w:eastAsia="仿宋"/>
                <w:b/>
                <w:bCs/>
                <w:color w:val="000000"/>
                <w:sz w:val="28"/>
                <w:u w:val="single"/>
              </w:rPr>
              <w:t>营业执照（或事业单位法人证书或执业许可证或自然人有效身份证明）</w:t>
            </w:r>
          </w:p>
          <w:p>
            <w:pPr>
              <w:spacing w:line="360" w:lineRule="auto"/>
              <w:jc w:val="center"/>
              <w:rPr>
                <w:rFonts w:ascii="仿宋" w:hAnsi="仿宋" w:eastAsia="仿宋"/>
                <w:color w:val="000000"/>
                <w:sz w:val="28"/>
              </w:rPr>
            </w:pPr>
            <w:r>
              <w:rPr>
                <w:rFonts w:hint="eastAsia" w:ascii="仿宋" w:hAnsi="仿宋" w:eastAsia="仿宋"/>
                <w:color w:val="000000"/>
                <w:sz w:val="28"/>
              </w:rPr>
              <w:t>（提供复印件加盖投标供应商公章）</w:t>
            </w:r>
          </w:p>
          <w:p>
            <w:pPr>
              <w:spacing w:line="360" w:lineRule="auto"/>
              <w:jc w:val="center"/>
              <w:rPr>
                <w:rFonts w:ascii="仿宋" w:hAnsi="仿宋" w:eastAsia="仿宋"/>
                <w:color w:val="000000"/>
                <w:sz w:val="28"/>
              </w:rPr>
            </w:pPr>
          </w:p>
          <w:p>
            <w:pPr>
              <w:spacing w:line="360" w:lineRule="auto"/>
              <w:rPr>
                <w:rFonts w:ascii="仿宋" w:hAnsi="仿宋" w:eastAsia="仿宋"/>
                <w:color w:val="000000"/>
                <w:sz w:val="28"/>
              </w:rPr>
            </w:pPr>
          </w:p>
          <w:p>
            <w:pPr>
              <w:spacing w:line="360" w:lineRule="auto"/>
              <w:jc w:val="center"/>
              <w:rPr>
                <w:rFonts w:ascii="仿宋" w:hAnsi="仿宋" w:eastAsia="仿宋"/>
                <w:color w:val="000000"/>
                <w:sz w:val="28"/>
              </w:rPr>
            </w:pPr>
          </w:p>
          <w:p>
            <w:pPr>
              <w:spacing w:line="360" w:lineRule="auto"/>
              <w:jc w:val="center"/>
              <w:rPr>
                <w:rFonts w:ascii="仿宋" w:hAnsi="仿宋" w:eastAsia="仿宋"/>
                <w:color w:val="000000"/>
                <w:sz w:val="28"/>
              </w:rPr>
            </w:pPr>
          </w:p>
          <w:p>
            <w:pPr>
              <w:spacing w:line="360" w:lineRule="auto"/>
              <w:rPr>
                <w:rFonts w:ascii="仿宋" w:hAnsi="仿宋" w:eastAsia="仿宋"/>
                <w:b/>
                <w:bCs/>
                <w:color w:val="000000"/>
                <w:sz w:val="24"/>
              </w:rPr>
            </w:pPr>
            <w:r>
              <w:rPr>
                <w:rFonts w:hint="eastAsia" w:ascii="仿宋" w:hAnsi="仿宋" w:eastAsia="仿宋"/>
                <w:b/>
                <w:bCs/>
                <w:color w:val="000000"/>
                <w:sz w:val="24"/>
              </w:rPr>
              <w:t>编制说明：</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pPr>
              <w:spacing w:line="360" w:lineRule="auto"/>
              <w:ind w:firstLine="482" w:firstLineChars="200"/>
              <w:jc w:val="left"/>
              <w:rPr>
                <w:rFonts w:eastAsia="华文中宋"/>
              </w:rPr>
            </w:pPr>
            <w:r>
              <w:rPr>
                <w:rFonts w:hint="eastAsia" w:ascii="仿宋" w:hAnsi="仿宋" w:eastAsia="仿宋"/>
                <w:b/>
                <w:bCs/>
                <w:color w:val="000000"/>
                <w:sz w:val="24"/>
              </w:rPr>
              <w:t>C.</w:t>
            </w:r>
            <w:r>
              <w:rPr>
                <w:rFonts w:hint="eastAsia" w:ascii="仿宋" w:hAnsi="仿宋" w:eastAsia="仿宋"/>
                <w:b/>
                <w:bCs/>
                <w:color w:val="000000"/>
                <w:sz w:val="24"/>
                <w:u w:val="single"/>
              </w:rPr>
              <w:t>接受联合体投标的项目，投标供应商为联合体的，联合体各方均须提供。</w:t>
            </w:r>
          </w:p>
        </w:tc>
      </w:tr>
    </w:tbl>
    <w:p>
      <w:pPr>
        <w:spacing w:line="360" w:lineRule="auto"/>
        <w:ind w:firstLine="424" w:firstLineChars="193"/>
        <w:rPr>
          <w:rFonts w:ascii="Arial" w:hAnsi="Arial" w:eastAsia="新宋体" w:cs="Arial"/>
          <w:color w:val="000000" w:themeColor="text1"/>
          <w:sz w:val="22"/>
          <w:szCs w:val="22"/>
          <w:u w:val="single"/>
          <w14:textFill>
            <w14:solidFill>
              <w14:schemeClr w14:val="tx1"/>
            </w14:solidFill>
          </w14:textFill>
        </w:rPr>
      </w:pPr>
    </w:p>
    <w:p>
      <w:pPr>
        <w:pStyle w:val="5"/>
        <w:ind w:firstLine="110"/>
        <w:rPr>
          <w:rFonts w:ascii="微软雅黑" w:hAnsi="微软雅黑" w:eastAsia="微软雅黑"/>
          <w:color w:val="000000" w:themeColor="text1"/>
          <w:sz w:val="40"/>
          <w:szCs w:val="44"/>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1-2 ▲符合“申请人的资格要求”第2条“落实政府采购政策需满足的资格要求”规定的证明文件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604" w:firstLineChars="151"/>
              <w:jc w:val="center"/>
              <w:rPr>
                <w:rFonts w:ascii="仿宋" w:hAnsi="仿宋" w:eastAsia="仿宋" w:cs="Arial"/>
                <w:i/>
                <w:color w:val="000000" w:themeColor="text1"/>
                <w:kern w:val="0"/>
                <w:sz w:val="24"/>
                <w14:textFill>
                  <w14:solidFill>
                    <w14:schemeClr w14:val="tx1"/>
                  </w14:solidFill>
                </w14:textFill>
              </w:rPr>
            </w:pPr>
            <w:r>
              <w:rPr>
                <w:rFonts w:hint="eastAsia" w:ascii="仿宋" w:hAnsi="仿宋" w:eastAsia="仿宋"/>
                <w:i/>
                <w:color w:val="000000" w:themeColor="text1"/>
                <w:sz w:val="40"/>
                <w14:textFill>
                  <w14:solidFill>
                    <w14:schemeClr w14:val="tx1"/>
                  </w14:solidFill>
                </w14:textFill>
              </w:rPr>
              <w:t>（无要求，无需提供本页）</w:t>
            </w:r>
          </w:p>
        </w:tc>
      </w:tr>
    </w:tbl>
    <w:p>
      <w:pPr>
        <w:spacing w:line="360" w:lineRule="auto"/>
        <w:rPr>
          <w:rFonts w:ascii="Arial" w:hAnsi="Arial" w:eastAsia="新宋体" w:cs="Arial"/>
          <w:i/>
          <w:color w:val="000000" w:themeColor="text1"/>
          <w:sz w:val="22"/>
          <w:szCs w:val="22"/>
          <w14:textFill>
            <w14:solidFill>
              <w14:schemeClr w14:val="tx1"/>
            </w14:solidFill>
          </w14:textFill>
        </w:rPr>
      </w:pPr>
    </w:p>
    <w:p>
      <w:pPr>
        <w:spacing w:line="360" w:lineRule="auto"/>
        <w:jc w:val="left"/>
        <w:rPr>
          <w:rFonts w:ascii="新宋体" w:hAnsi="新宋体" w:eastAsia="新宋体" w:cs="宋体"/>
          <w:color w:val="000000" w:themeColor="text1"/>
          <w:kern w:val="0"/>
          <w14:textFill>
            <w14:solidFill>
              <w14:schemeClr w14:val="tx1"/>
            </w14:solidFill>
          </w14:textFill>
        </w:rPr>
      </w:pPr>
    </w:p>
    <w:p>
      <w:pPr>
        <w:pStyle w:val="5"/>
        <w:ind w:firstLine="151"/>
        <w:rPr>
          <w:color w:val="000000" w:themeColor="text1"/>
          <w14:textFill>
            <w14:solidFill>
              <w14:schemeClr w14:val="tx1"/>
            </w14:solidFill>
          </w14:textFill>
        </w:rPr>
      </w:pPr>
      <w:r>
        <w:rPr>
          <w:rFonts w:ascii="新宋体" w:hAnsi="新宋体" w:eastAsia="新宋体" w:cs="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1-3 ▲符合“申请人的资格要求”第3条“本项目的特定资格要求”的证明文件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604" w:firstLineChars="151"/>
              <w:jc w:val="center"/>
              <w:rPr>
                <w:rFonts w:ascii="仿宋" w:hAnsi="仿宋" w:eastAsia="仿宋" w:cs="Arial"/>
                <w:i/>
                <w:color w:val="000000" w:themeColor="text1"/>
                <w:kern w:val="0"/>
                <w:sz w:val="24"/>
                <w14:textFill>
                  <w14:solidFill>
                    <w14:schemeClr w14:val="tx1"/>
                  </w14:solidFill>
                </w14:textFill>
              </w:rPr>
            </w:pPr>
            <w:r>
              <w:rPr>
                <w:rFonts w:hint="eastAsia" w:ascii="仿宋" w:hAnsi="仿宋" w:eastAsia="仿宋"/>
                <w:i/>
                <w:color w:val="000000" w:themeColor="text1"/>
                <w:sz w:val="40"/>
                <w14:textFill>
                  <w14:solidFill>
                    <w14:schemeClr w14:val="tx1"/>
                  </w14:solidFill>
                </w14:textFill>
              </w:rPr>
              <w:t>（无要求，无需提供本页）</w:t>
            </w:r>
          </w:p>
        </w:tc>
      </w:tr>
    </w:tbl>
    <w:p>
      <w:pPr>
        <w:pStyle w:val="8"/>
        <w:ind w:firstLine="0" w:firstLineChars="0"/>
        <w:jc w:val="left"/>
        <w:rPr>
          <w:rFonts w:cs="Arial"/>
          <w:b/>
          <w:color w:val="000000" w:themeColor="text1"/>
          <w:w w:val="90"/>
          <w:kern w:val="0"/>
          <w:u w:val="single"/>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ascii="微软雅黑" w:hAnsi="微软雅黑" w:eastAsia="微软雅黑"/>
          <w:b/>
          <w:color w:val="000000" w:themeColor="text1"/>
          <w:sz w:val="32"/>
          <w14:textFill>
            <w14:solidFill>
              <w14:schemeClr w14:val="tx1"/>
            </w14:solidFill>
          </w14:textFill>
        </w:rPr>
        <w:t>附：政府采购活动现场确认声明书（开标后填写）</w:t>
      </w:r>
    </w:p>
    <w:p>
      <w:pPr>
        <w:spacing w:line="324" w:lineRule="auto"/>
        <w:jc w:val="center"/>
        <w:rPr>
          <w:rFonts w:ascii="新宋体" w:hAnsi="新宋体" w:eastAsia="新宋体" w:cs="Arial"/>
          <w:b/>
          <w:color w:val="000000" w:themeColor="text1"/>
          <w:kern w:val="0"/>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政府采购活动现场确认声明书</w:t>
      </w:r>
    </w:p>
    <w:p>
      <w:pPr>
        <w:spacing w:line="324" w:lineRule="auto"/>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Arial"/>
          <w:b/>
          <w:color w:val="000000" w:themeColor="text1"/>
          <w:kern w:val="0"/>
          <w:u w:val="single"/>
          <w14:textFill>
            <w14:solidFill>
              <w14:schemeClr w14:val="tx1"/>
            </w14:solidFill>
          </w14:textFill>
        </w:rPr>
        <w:t>浙江省住房和城乡建设厅信息宣传中心、浙江省成套招标代理有限公司</w:t>
      </w:r>
      <w:r>
        <w:rPr>
          <w:rFonts w:hint="eastAsia" w:ascii="新宋体" w:hAnsi="新宋体" w:eastAsia="新宋体" w:cs="Arial"/>
          <w:b/>
          <w:color w:val="000000" w:themeColor="text1"/>
          <w:kern w:val="0"/>
          <w14:textFill>
            <w14:solidFill>
              <w14:schemeClr w14:val="tx1"/>
            </w14:solidFill>
          </w14:textFill>
        </w:rPr>
        <w:t>：</w:t>
      </w:r>
    </w:p>
    <w:p>
      <w:pPr>
        <w:spacing w:line="324" w:lineRule="auto"/>
        <w:ind w:firstLine="371"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本人经由</w:t>
      </w:r>
      <w:r>
        <w:rPr>
          <w:rFonts w:ascii="新宋体" w:hAnsi="新宋体" w:eastAsia="新宋体" w:cs="Arial"/>
          <w:color w:val="000000" w:themeColor="text1"/>
          <w:kern w:val="0"/>
          <w14:textFill>
            <w14:solidFill>
              <w14:schemeClr w14:val="tx1"/>
            </w14:solidFill>
          </w14:textFill>
        </w:rPr>
        <w:t>_______________________________________</w:t>
      </w:r>
      <w:r>
        <w:rPr>
          <w:rFonts w:hint="eastAsia" w:ascii="新宋体" w:hAnsi="新宋体" w:eastAsia="新宋体" w:cs="宋体"/>
          <w:color w:val="000000" w:themeColor="text1"/>
          <w:kern w:val="0"/>
          <w:u w:val="single"/>
          <w14:textFill>
            <w14:solidFill>
              <w14:schemeClr w14:val="tx1"/>
            </w14:solidFill>
          </w14:textFill>
        </w:rPr>
        <w:t>（供应商名称）</w:t>
      </w:r>
      <w:r>
        <w:rPr>
          <w:rFonts w:hint="eastAsia" w:ascii="新宋体" w:hAnsi="新宋体" w:eastAsia="新宋体" w:cs="宋体"/>
          <w:color w:val="000000" w:themeColor="text1"/>
          <w:kern w:val="0"/>
          <w14:textFill>
            <w14:solidFill>
              <w14:schemeClr w14:val="tx1"/>
            </w14:solidFill>
          </w14:textFill>
        </w:rPr>
        <w:t>法定代表人</w:t>
      </w:r>
      <w:r>
        <w:rPr>
          <w:rFonts w:ascii="新宋体" w:hAnsi="新宋体" w:eastAsia="新宋体" w:cs="Arial"/>
          <w:color w:val="000000" w:themeColor="text1"/>
          <w:kern w:val="0"/>
          <w14:textFill>
            <w14:solidFill>
              <w14:schemeClr w14:val="tx1"/>
            </w14:solidFill>
          </w14:textFill>
        </w:rPr>
        <w:t>__________________</w:t>
      </w:r>
      <w:r>
        <w:rPr>
          <w:rFonts w:hint="eastAsia" w:ascii="新宋体" w:hAnsi="新宋体" w:eastAsia="新宋体" w:cs="宋体"/>
          <w:color w:val="000000" w:themeColor="text1"/>
          <w:kern w:val="0"/>
          <w:u w:val="single"/>
          <w14:textFill>
            <w14:solidFill>
              <w14:schemeClr w14:val="tx1"/>
            </w14:solidFill>
          </w14:textFill>
        </w:rPr>
        <w:t>（姓名）</w:t>
      </w:r>
      <w:r>
        <w:rPr>
          <w:rFonts w:hint="eastAsia" w:ascii="新宋体" w:hAnsi="新宋体" w:eastAsia="新宋体" w:cs="宋体"/>
          <w:color w:val="000000" w:themeColor="text1"/>
          <w:kern w:val="0"/>
          <w14:textFill>
            <w14:solidFill>
              <w14:schemeClr w14:val="tx1"/>
            </w14:solidFill>
          </w14:textFill>
        </w:rPr>
        <w:t>合法授权参加</w:t>
      </w:r>
      <w:r>
        <w:rPr>
          <w:rFonts w:hint="eastAsia" w:ascii="新宋体" w:hAnsi="新宋体" w:eastAsia="新宋体" w:cs="Arial"/>
          <w:b/>
          <w:color w:val="000000" w:themeColor="text1"/>
          <w:kern w:val="0"/>
          <w:u w:val="single"/>
          <w14:textFill>
            <w14:solidFill>
              <w14:schemeClr w14:val="tx1"/>
            </w14:solidFill>
          </w14:textFill>
        </w:rPr>
        <w:t>浙江省城市运行安全数字化管理系统（被整合系统）运维项目（项目编号：</w:t>
      </w:r>
      <w:r>
        <w:rPr>
          <w:rFonts w:hint="eastAsia" w:ascii="新宋体" w:hAnsi="新宋体" w:eastAsia="新宋体" w:cs="Arial"/>
          <w:b/>
          <w:color w:val="000000" w:themeColor="text1"/>
          <w:kern w:val="0"/>
          <w:u w:val="single"/>
          <w:lang w:eastAsia="zh-CN"/>
          <w14:textFill>
            <w14:solidFill>
              <w14:schemeClr w14:val="tx1"/>
            </w14:solidFill>
          </w14:textFill>
        </w:rPr>
        <w:t>CTZB-2024080141</w:t>
      </w:r>
      <w:r>
        <w:rPr>
          <w:rFonts w:hint="eastAsia" w:ascii="新宋体" w:hAnsi="新宋体" w:eastAsia="新宋体" w:cs="Arial"/>
          <w:b/>
          <w:color w:val="000000" w:themeColor="text1"/>
          <w:kern w:val="0"/>
          <w:u w:val="single"/>
          <w14:textFill>
            <w14:solidFill>
              <w14:schemeClr w14:val="tx1"/>
            </w14:solidFill>
          </w14:textFill>
        </w:rPr>
        <w:t>）</w:t>
      </w:r>
      <w:r>
        <w:rPr>
          <w:rFonts w:hint="eastAsia" w:ascii="新宋体" w:hAnsi="新宋体" w:eastAsia="新宋体" w:cs="Arial"/>
          <w:color w:val="000000" w:themeColor="text1"/>
          <w:kern w:val="0"/>
          <w14:textFill>
            <w14:solidFill>
              <w14:schemeClr w14:val="tx1"/>
            </w14:solidFill>
          </w14:textFill>
        </w:rPr>
        <w:t>的</w:t>
      </w:r>
      <w:r>
        <w:rPr>
          <w:rFonts w:hint="eastAsia" w:ascii="新宋体" w:hAnsi="新宋体" w:eastAsia="新宋体" w:cs="宋体"/>
          <w:color w:val="000000" w:themeColor="text1"/>
          <w:kern w:val="0"/>
          <w14:textFill>
            <w14:solidFill>
              <w14:schemeClr w14:val="tx1"/>
            </w14:solidFill>
          </w14:textFill>
        </w:rPr>
        <w:t>政府采购活动，</w:t>
      </w:r>
      <w:r>
        <w:rPr>
          <w:rFonts w:hint="eastAsia" w:ascii="新宋体" w:hAnsi="新宋体" w:eastAsia="新宋体" w:cs="宋体"/>
          <w:b/>
          <w:color w:val="000000" w:themeColor="text1"/>
          <w:kern w:val="0"/>
          <w14:textFill>
            <w14:solidFill>
              <w14:schemeClr w14:val="tx1"/>
            </w14:solidFill>
          </w14:textFill>
        </w:rPr>
        <w:t>经与本单位法定代表人（负责人）联系确认，现就有关公平竞争事项郑重声明如下：</w:t>
      </w:r>
    </w:p>
    <w:p>
      <w:pPr>
        <w:spacing w:line="324" w:lineRule="auto"/>
        <w:ind w:firstLine="373" w:firstLineChars="177"/>
        <w:jc w:val="left"/>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一、本单位与采购人之间：</w:t>
      </w:r>
      <w:r>
        <w:rPr>
          <w:rFonts w:hint="eastAsia" w:ascii="新宋体" w:hAnsi="新宋体" w:eastAsia="新宋体" w:cs="宋体"/>
          <w:b/>
          <w:bCs/>
          <w:color w:val="000000" w:themeColor="text1"/>
          <w:kern w:val="0"/>
          <w14:textFill>
            <w14:solidFill>
              <w14:schemeClr w14:val="tx1"/>
            </w14:solidFill>
          </w14:textFill>
        </w:rPr>
        <w:t>□不存在利害关系/□存在下列利害关系</w:t>
      </w:r>
      <w:r>
        <w:rPr>
          <w:rFonts w:ascii="新宋体" w:hAnsi="新宋体" w:eastAsia="新宋体" w:cs="Arial"/>
          <w:b/>
          <w:color w:val="000000" w:themeColor="text1"/>
          <w:kern w:val="0"/>
          <w14:textFill>
            <w14:solidFill>
              <w14:schemeClr w14:val="tx1"/>
            </w14:solidFill>
          </w14:textFill>
        </w:rPr>
        <w:t>_______</w:t>
      </w:r>
      <w:r>
        <w:rPr>
          <w:rFonts w:hint="eastAsia" w:ascii="新宋体" w:hAnsi="新宋体" w:eastAsia="新宋体" w:cs="宋体"/>
          <w:b/>
          <w:bCs/>
          <w:color w:val="000000" w:themeColor="text1"/>
          <w:kern w:val="0"/>
          <w14:textFill>
            <w14:solidFill>
              <w14:schemeClr w14:val="tx1"/>
            </w14:solidFill>
          </w14:textFill>
        </w:rPr>
        <w:t>：</w:t>
      </w:r>
    </w:p>
    <w:p>
      <w:pPr>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A.投资关系；B.行政隶属关系；C.业务指导关系；D.其他可能影响采购公正的利害关系（如有，请如实说明）：</w:t>
      </w:r>
      <w:r>
        <w:rPr>
          <w:rFonts w:ascii="新宋体" w:hAnsi="新宋体" w:eastAsia="新宋体" w:cs="Arial"/>
          <w:b/>
          <w:color w:val="000000" w:themeColor="text1"/>
          <w:kern w:val="0"/>
          <w14:textFill>
            <w14:solidFill>
              <w14:schemeClr w14:val="tx1"/>
            </w14:solidFill>
          </w14:textFill>
        </w:rPr>
        <w:t>__________________________________________</w:t>
      </w:r>
    </w:p>
    <w:p>
      <w:pPr>
        <w:spacing w:line="324" w:lineRule="auto"/>
        <w:ind w:firstLine="373"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二、现已清楚知道参加本项目采购活动的其他所有供应商名称，本单位:</w:t>
      </w:r>
    </w:p>
    <w:p>
      <w:pPr>
        <w:spacing w:line="324" w:lineRule="auto"/>
        <w:ind w:firstLine="373" w:firstLineChars="177"/>
        <w:jc w:val="left"/>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□与其他所有供应商之间均不存在利害关系；</w:t>
      </w:r>
    </w:p>
    <w:p>
      <w:pPr>
        <w:spacing w:line="324" w:lineRule="auto"/>
        <w:ind w:firstLine="373"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□与</w:t>
      </w:r>
      <w:r>
        <w:rPr>
          <w:rFonts w:ascii="新宋体" w:hAnsi="新宋体" w:eastAsia="新宋体" w:cs="Arial"/>
          <w:b/>
          <w:color w:val="000000" w:themeColor="text1"/>
          <w:kern w:val="0"/>
          <w14:textFill>
            <w14:solidFill>
              <w14:schemeClr w14:val="tx1"/>
            </w14:solidFill>
          </w14:textFill>
        </w:rPr>
        <w:t>____________________________________</w:t>
      </w:r>
      <w:r>
        <w:rPr>
          <w:rFonts w:hint="eastAsia" w:ascii="新宋体" w:hAnsi="新宋体" w:eastAsia="新宋体" w:cs="宋体"/>
          <w:b/>
          <w:bCs/>
          <w:color w:val="000000" w:themeColor="text1"/>
          <w:kern w:val="0"/>
          <w:u w:val="single"/>
          <w14:textFill>
            <w14:solidFill>
              <w14:schemeClr w14:val="tx1"/>
            </w14:solidFill>
          </w14:textFill>
        </w:rPr>
        <w:t>（供应商名称）</w:t>
      </w:r>
      <w:r>
        <w:rPr>
          <w:rFonts w:hint="eastAsia" w:ascii="新宋体" w:hAnsi="新宋体" w:eastAsia="新宋体" w:cs="宋体"/>
          <w:b/>
          <w:bCs/>
          <w:color w:val="000000" w:themeColor="text1"/>
          <w:kern w:val="0"/>
          <w14:textFill>
            <w14:solidFill>
              <w14:schemeClr w14:val="tx1"/>
            </w14:solidFill>
          </w14:textFill>
        </w:rPr>
        <w:t>之间存在下列利害关系</w:t>
      </w:r>
      <w:r>
        <w:rPr>
          <w:rFonts w:ascii="新宋体" w:hAnsi="新宋体" w:eastAsia="新宋体" w:cs="Arial"/>
          <w:b/>
          <w:color w:val="000000" w:themeColor="text1"/>
          <w:kern w:val="0"/>
          <w14:textFill>
            <w14:solidFill>
              <w14:schemeClr w14:val="tx1"/>
            </w14:solidFill>
          </w14:textFill>
        </w:rPr>
        <w:t>_______</w:t>
      </w:r>
      <w:r>
        <w:rPr>
          <w:rFonts w:hint="eastAsia" w:ascii="新宋体" w:hAnsi="新宋体" w:eastAsia="新宋体" w:cs="宋体"/>
          <w:color w:val="000000" w:themeColor="text1"/>
          <w:kern w:val="0"/>
          <w14:textFill>
            <w14:solidFill>
              <w14:schemeClr w14:val="tx1"/>
            </w14:solidFill>
          </w14:textFill>
        </w:rPr>
        <w:t>：</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A.法定代表人或负责人或实际控制人是同一人；</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B.法定代表人或负责人或实际控制人是夫妻关系；</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C.法定代表人或负责人或实际控制人是直系血亲关系；</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D.法定代表人或负责人或实际控制人存在三代以内旁系血亲关系；</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E.法定代表人或负责人或实际控制人存在近姻亲关系；</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F.法定代表人或负责人或实际控制人存在股份控制或实际控制关系；</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G.存在共同直接或间接投资设立子公司、联营企业和合营企业情况；</w:t>
      </w:r>
    </w:p>
    <w:p>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I.其他利害关系情况</w:t>
      </w:r>
      <w:r>
        <w:rPr>
          <w:rFonts w:ascii="新宋体" w:hAnsi="新宋体" w:eastAsia="新宋体" w:cs="Arial"/>
          <w:b/>
          <w:color w:val="000000" w:themeColor="text1"/>
          <w:kern w:val="0"/>
          <w14:textFill>
            <w14:solidFill>
              <w14:schemeClr w14:val="tx1"/>
            </w14:solidFill>
          </w14:textFill>
        </w:rPr>
        <w:t>_______________________________________________</w:t>
      </w:r>
      <w:r>
        <w:rPr>
          <w:rFonts w:hint="eastAsia" w:ascii="新宋体" w:hAnsi="新宋体" w:eastAsia="新宋体" w:cs="宋体"/>
          <w:color w:val="000000" w:themeColor="text1"/>
          <w:kern w:val="0"/>
          <w14:textFill>
            <w14:solidFill>
              <w14:schemeClr w14:val="tx1"/>
            </w14:solidFill>
          </w14:textFill>
        </w:rPr>
        <w:t>。</w:t>
      </w:r>
    </w:p>
    <w:p>
      <w:pPr>
        <w:widowControl/>
        <w:spacing w:line="324" w:lineRule="auto"/>
        <w:ind w:firstLine="373"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三、现已清楚知道并严格遵守政府采购法律法规和现场纪律。</w:t>
      </w:r>
    </w:p>
    <w:p>
      <w:pPr>
        <w:widowControl/>
        <w:spacing w:line="324" w:lineRule="auto"/>
        <w:ind w:firstLine="373"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四、我发现</w:t>
      </w:r>
      <w:r>
        <w:rPr>
          <w:rFonts w:ascii="新宋体" w:hAnsi="新宋体" w:eastAsia="新宋体" w:cs="Arial"/>
          <w:b/>
          <w:color w:val="000000" w:themeColor="text1"/>
          <w:kern w:val="0"/>
          <w14:textFill>
            <w14:solidFill>
              <w14:schemeClr w14:val="tx1"/>
            </w14:solidFill>
          </w14:textFill>
        </w:rPr>
        <w:t>____________________________________________________________________</w:t>
      </w:r>
      <w:r>
        <w:rPr>
          <w:rFonts w:hint="eastAsia" w:ascii="新宋体" w:hAnsi="新宋体" w:eastAsia="新宋体" w:cs="宋体"/>
          <w:b/>
          <w:color w:val="000000" w:themeColor="text1"/>
          <w:kern w:val="0"/>
          <w14:textFill>
            <w14:solidFill>
              <w14:schemeClr w14:val="tx1"/>
            </w14:solidFill>
          </w14:textFill>
        </w:rPr>
        <w:t>供应商之间存在或可能存在上述第二条第</w:t>
      </w:r>
      <w:r>
        <w:rPr>
          <w:rFonts w:ascii="新宋体" w:hAnsi="新宋体" w:eastAsia="新宋体" w:cs="Arial"/>
          <w:b/>
          <w:color w:val="000000" w:themeColor="text1"/>
          <w:kern w:val="0"/>
          <w14:textFill>
            <w14:solidFill>
              <w14:schemeClr w14:val="tx1"/>
            </w14:solidFill>
          </w14:textFill>
        </w:rPr>
        <w:t>__________________</w:t>
      </w:r>
      <w:r>
        <w:rPr>
          <w:rFonts w:hint="eastAsia" w:ascii="新宋体" w:hAnsi="新宋体" w:eastAsia="新宋体" w:cs="宋体"/>
          <w:b/>
          <w:color w:val="000000" w:themeColor="text1"/>
          <w:kern w:val="0"/>
          <w14:textFill>
            <w14:solidFill>
              <w14:schemeClr w14:val="tx1"/>
            </w14:solidFill>
          </w14:textFill>
        </w:rPr>
        <w:t>项利害关系。</w:t>
      </w:r>
    </w:p>
    <w:p>
      <w:pPr>
        <w:snapToGrid w:val="0"/>
        <w:spacing w:line="324" w:lineRule="auto"/>
        <w:jc w:val="right"/>
        <w:rPr>
          <w:rFonts w:ascii="新宋体" w:hAnsi="新宋体" w:eastAsia="新宋体" w:cs="宋体"/>
          <w:b/>
          <w:color w:val="000000" w:themeColor="text1"/>
          <w:kern w:val="0"/>
          <w14:textFill>
            <w14:solidFill>
              <w14:schemeClr w14:val="tx1"/>
            </w14:solidFill>
          </w14:textFill>
        </w:rPr>
      </w:pPr>
    </w:p>
    <w:p>
      <w:pPr>
        <w:snapToGrid w:val="0"/>
        <w:spacing w:line="324" w:lineRule="auto"/>
        <w:jc w:val="righ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投标供应商盖章或法定代表人（或授权代表）签字（或盖章）：</w:t>
      </w:r>
      <w:r>
        <w:rPr>
          <w:rFonts w:ascii="新宋体" w:hAnsi="新宋体" w:eastAsia="新宋体" w:cs="Arial"/>
          <w:b/>
          <w:color w:val="000000" w:themeColor="text1"/>
          <w:kern w:val="0"/>
          <w14:textFill>
            <w14:solidFill>
              <w14:schemeClr w14:val="tx1"/>
            </w14:solidFill>
          </w14:textFill>
        </w:rPr>
        <w:t>_______________</w:t>
      </w:r>
    </w:p>
    <w:p>
      <w:pPr>
        <w:pStyle w:val="8"/>
        <w:spacing w:line="324" w:lineRule="auto"/>
        <w:jc w:val="righ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日期：</w:t>
      </w:r>
      <w:r>
        <w:rPr>
          <w:rFonts w:ascii="新宋体" w:hAnsi="新宋体" w:eastAsia="新宋体" w:cs="宋体"/>
          <w:color w:val="000000" w:themeColor="text1"/>
          <w:kern w:val="0"/>
          <w14:textFill>
            <w14:solidFill>
              <w14:schemeClr w14:val="tx1"/>
            </w14:solidFill>
          </w14:textFill>
        </w:rPr>
        <w:t>________</w:t>
      </w:r>
      <w:r>
        <w:rPr>
          <w:rFonts w:hint="eastAsia" w:ascii="新宋体" w:hAnsi="新宋体" w:eastAsia="新宋体" w:cs="宋体"/>
          <w:color w:val="000000" w:themeColor="text1"/>
          <w:kern w:val="0"/>
          <w14:textFill>
            <w14:solidFill>
              <w14:schemeClr w14:val="tx1"/>
            </w14:solidFill>
          </w14:textFill>
        </w:rPr>
        <w:t>年</w:t>
      </w:r>
      <w:r>
        <w:rPr>
          <w:rFonts w:ascii="新宋体" w:hAnsi="新宋体" w:eastAsia="新宋体" w:cs="宋体"/>
          <w:color w:val="000000" w:themeColor="text1"/>
          <w:kern w:val="0"/>
          <w14:textFill>
            <w14:solidFill>
              <w14:schemeClr w14:val="tx1"/>
            </w14:solidFill>
          </w14:textFill>
        </w:rPr>
        <w:t>____</w:t>
      </w:r>
      <w:r>
        <w:rPr>
          <w:rFonts w:hint="eastAsia" w:ascii="新宋体" w:hAnsi="新宋体" w:eastAsia="新宋体" w:cs="宋体"/>
          <w:color w:val="000000" w:themeColor="text1"/>
          <w:kern w:val="0"/>
          <w14:textFill>
            <w14:solidFill>
              <w14:schemeClr w14:val="tx1"/>
            </w14:solidFill>
          </w14:textFill>
        </w:rPr>
        <w:t>月</w:t>
      </w:r>
      <w:r>
        <w:rPr>
          <w:rFonts w:ascii="新宋体" w:hAnsi="新宋体" w:eastAsia="新宋体" w:cs="宋体"/>
          <w:color w:val="000000" w:themeColor="text1"/>
          <w:kern w:val="0"/>
          <w14:textFill>
            <w14:solidFill>
              <w14:schemeClr w14:val="tx1"/>
            </w14:solidFill>
          </w14:textFill>
        </w:rPr>
        <w:t>____</w:t>
      </w:r>
      <w:r>
        <w:rPr>
          <w:rFonts w:hint="eastAsia" w:ascii="新宋体" w:hAnsi="新宋体" w:eastAsia="新宋体" w:cs="宋体"/>
          <w:color w:val="000000" w:themeColor="text1"/>
          <w:kern w:val="0"/>
          <w14:textFill>
            <w14:solidFill>
              <w14:schemeClr w14:val="tx1"/>
            </w14:solidFill>
          </w14:textFill>
        </w:rPr>
        <w:t>日</w:t>
      </w:r>
    </w:p>
    <w:p>
      <w:pPr>
        <w:widowControl/>
        <w:spacing w:line="288" w:lineRule="auto"/>
        <w:ind w:firstLine="373" w:firstLineChars="177"/>
        <w:jc w:val="left"/>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备注：（1）供应商应当在投标文件解密结束后30分钟内，完成《政府采购活动现场确认声明书》的签署（盖章或签字），并提交至采购组织机构指定邮箱（87631191@zjsct.cn）。未按规定提交有效的《政府采购活动现场确认声明书》的投标无效。（2）本声明书也可以由法人（单位）授权代表签署，但授权代表应当提供有效的法人（单位）授权委托书，否则签署无效。</w:t>
      </w:r>
    </w:p>
    <w:p>
      <w:pPr>
        <w:pStyle w:val="3"/>
        <w:rPr>
          <w:rFonts w:ascii="Calibri" w:hAnsi="Calibri" w:eastAsia="宋体"/>
          <w:color w:val="000000" w:themeColor="text1"/>
          <w14:textFill>
            <w14:solidFill>
              <w14:schemeClr w14:val="tx1"/>
            </w14:solidFill>
          </w14:textFill>
        </w:rPr>
        <w:sectPr>
          <w:headerReference r:id="rId23" w:type="first"/>
          <w:headerReference r:id="rId21" w:type="default"/>
          <w:headerReference r:id="rId22" w:type="even"/>
          <w:pgSz w:w="11906" w:h="16838"/>
          <w:pgMar w:top="1701" w:right="1418" w:bottom="1440" w:left="1559" w:header="709" w:footer="992" w:gutter="0"/>
          <w:pgNumType w:fmt="numberInDash"/>
          <w:cols w:space="720" w:num="1"/>
          <w:docGrid w:linePitch="312" w:charSpace="0"/>
        </w:sectPr>
      </w:pPr>
    </w:p>
    <w:p>
      <w:pPr>
        <w:pStyle w:val="6"/>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附：联合投标协议书</w:t>
      </w:r>
    </w:p>
    <w:p>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联合体各方全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w:t>
      </w:r>
      <w:r>
        <w:rPr>
          <w:rFonts w:ascii="仿宋" w:hAnsi="仿宋" w:eastAsia="仿宋" w:cs="Arial"/>
          <w:color w:val="000000" w:themeColor="text1"/>
          <w:sz w:val="24"/>
          <w14:textFill>
            <w14:solidFill>
              <w14:schemeClr w14:val="tx1"/>
            </w14:solidFill>
          </w14:textFill>
        </w:rPr>
        <w:t>自愿组成联合体</w:t>
      </w:r>
      <w:r>
        <w:rPr>
          <w:rFonts w:hint="eastAsia" w:ascii="仿宋" w:hAnsi="仿宋" w:eastAsia="仿宋" w:cs="Arial"/>
          <w:color w:val="000000" w:themeColor="text1"/>
          <w:sz w:val="24"/>
          <w14:textFill>
            <w14:solidFill>
              <w14:schemeClr w14:val="tx1"/>
            </w14:solidFill>
          </w14:textFill>
        </w:rPr>
        <w:t>，以一个供应商的身份</w:t>
      </w:r>
      <w:r>
        <w:rPr>
          <w:rFonts w:ascii="仿宋" w:hAnsi="仿宋" w:eastAsia="仿宋" w:cs="Arial"/>
          <w:color w:val="000000" w:themeColor="text1"/>
          <w:sz w:val="24"/>
          <w14:textFill>
            <w14:solidFill>
              <w14:schemeClr w14:val="tx1"/>
            </w14:solidFill>
          </w14:textFill>
        </w:rPr>
        <w:t>参加</w:t>
      </w:r>
      <w:r>
        <w:rPr>
          <w:rFonts w:hint="eastAsia" w:ascii="仿宋" w:hAnsi="仿宋" w:eastAsia="仿宋" w:cs="Arial"/>
          <w:b/>
          <w:color w:val="000000" w:themeColor="text1"/>
          <w:kern w:val="0"/>
          <w:sz w:val="24"/>
          <w:u w:val="single"/>
          <w14:textFill>
            <w14:solidFill>
              <w14:schemeClr w14:val="tx1"/>
            </w14:solidFill>
          </w14:textFill>
        </w:rPr>
        <w:t>浙江省城市运行安全数字化管理系统（被整合系统）运维项目（项目编号：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CTZB-2024080141</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政府采购活动</w:t>
      </w:r>
      <w:r>
        <w:rPr>
          <w:rFonts w:ascii="仿宋" w:hAnsi="仿宋" w:eastAsia="仿宋" w:cs="Arial"/>
          <w:color w:val="000000" w:themeColor="text1"/>
          <w:sz w:val="24"/>
          <w14:textFill>
            <w14:solidFill>
              <w14:schemeClr w14:val="tx1"/>
            </w14:solidFill>
          </w14:textFill>
        </w:rPr>
        <w:t>。现就有关</w:t>
      </w:r>
      <w:r>
        <w:rPr>
          <w:rFonts w:hint="eastAsia" w:ascii="仿宋" w:hAnsi="仿宋" w:eastAsia="仿宋" w:cs="Arial"/>
          <w:color w:val="000000" w:themeColor="text1"/>
          <w:sz w:val="24"/>
          <w14:textFill>
            <w14:solidFill>
              <w14:schemeClr w14:val="tx1"/>
            </w14:solidFill>
          </w14:textFill>
        </w:rPr>
        <w:t>联合投标（响应）</w:t>
      </w:r>
      <w:r>
        <w:rPr>
          <w:rFonts w:ascii="仿宋" w:hAnsi="仿宋" w:eastAsia="仿宋" w:cs="Arial"/>
          <w:color w:val="000000" w:themeColor="text1"/>
          <w:sz w:val="24"/>
          <w14:textFill>
            <w14:solidFill>
              <w14:schemeClr w14:val="tx1"/>
            </w14:solidFill>
          </w14:textFill>
        </w:rPr>
        <w:t>事宜订立协议如下：</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联合体牵头方全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牵头方，</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联合体成员放全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2、联合体内部有关事项规定如下：</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（1）由牵头方</w:t>
      </w:r>
      <w:r>
        <w:rPr>
          <w:rFonts w:hint="eastAsia" w:ascii="仿宋" w:hAnsi="仿宋" w:eastAsia="仿宋" w:cs="Arial"/>
          <w:color w:val="000000" w:themeColor="text1"/>
          <w:sz w:val="24"/>
          <w14:textFill>
            <w14:solidFill>
              <w14:schemeClr w14:val="tx1"/>
            </w14:solidFill>
          </w14:textFill>
        </w:rPr>
        <w:t>代表本联合体</w:t>
      </w:r>
      <w:r>
        <w:rPr>
          <w:rFonts w:ascii="仿宋" w:hAnsi="仿宋" w:eastAsia="仿宋" w:cs="Arial"/>
          <w:color w:val="000000" w:themeColor="text1"/>
          <w:sz w:val="24"/>
          <w14:textFill>
            <w14:solidFill>
              <w14:schemeClr w14:val="tx1"/>
            </w14:solidFill>
          </w14:textFill>
        </w:rPr>
        <w:t>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联系</w:t>
      </w:r>
      <w:r>
        <w:rPr>
          <w:rFonts w:hint="eastAsia" w:ascii="仿宋" w:hAnsi="仿宋" w:eastAsia="仿宋" w:cs="Arial"/>
          <w:color w:val="000000" w:themeColor="text1"/>
          <w:sz w:val="24"/>
          <w14:textFill>
            <w14:solidFill>
              <w14:schemeClr w14:val="tx1"/>
            </w14:solidFill>
          </w14:textFill>
        </w:rPr>
        <w:t>，负责协调工作</w:t>
      </w:r>
      <w:r>
        <w:rPr>
          <w:rFonts w:ascii="仿宋" w:hAnsi="仿宋" w:eastAsia="仿宋" w:cs="Arial"/>
          <w:color w:val="000000" w:themeColor="text1"/>
          <w:sz w:val="24"/>
          <w14:textFill>
            <w14:solidFill>
              <w14:schemeClr w14:val="tx1"/>
            </w14:solidFill>
          </w14:textFill>
        </w:rPr>
        <w:t>。</w:t>
      </w:r>
    </w:p>
    <w:p>
      <w:pPr>
        <w:spacing w:line="360" w:lineRule="auto"/>
        <w:ind w:firstLine="465" w:firstLineChars="193"/>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工作由联合体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牵头方负责，由</w:t>
      </w:r>
      <w:r>
        <w:rPr>
          <w:rFonts w:hint="eastAsia" w:ascii="仿宋" w:hAnsi="仿宋" w:eastAsia="仿宋" w:cs="Arial"/>
          <w:b/>
          <w:color w:val="000000" w:themeColor="text1"/>
          <w:sz w:val="24"/>
          <w14:textFill>
            <w14:solidFill>
              <w14:schemeClr w14:val="tx1"/>
            </w14:solidFill>
          </w14:textFill>
        </w:rPr>
        <w:t>各</w:t>
      </w:r>
      <w:r>
        <w:rPr>
          <w:rFonts w:ascii="仿宋" w:hAnsi="仿宋" w:eastAsia="仿宋" w:cs="Arial"/>
          <w:b/>
          <w:color w:val="000000" w:themeColor="text1"/>
          <w:sz w:val="24"/>
          <w14:textFill>
            <w14:solidFill>
              <w14:schemeClr w14:val="tx1"/>
            </w14:solidFill>
          </w14:textFill>
        </w:rPr>
        <w:t>方组成的</w:t>
      </w:r>
      <w:r>
        <w:rPr>
          <w:rFonts w:hint="eastAsia" w:ascii="仿宋" w:hAnsi="仿宋" w:eastAsia="仿宋" w:cs="Arial"/>
          <w:b/>
          <w:color w:val="000000" w:themeColor="text1"/>
          <w:sz w:val="24"/>
          <w14:textFill>
            <w14:solidFill>
              <w14:schemeClr w14:val="tx1"/>
            </w14:solidFill>
          </w14:textFill>
        </w:rPr>
        <w:t>工作</w:t>
      </w:r>
      <w:r>
        <w:rPr>
          <w:rFonts w:ascii="仿宋" w:hAnsi="仿宋" w:eastAsia="仿宋" w:cs="Arial"/>
          <w:b/>
          <w:color w:val="000000" w:themeColor="text1"/>
          <w:sz w:val="24"/>
          <w14:textFill>
            <w14:solidFill>
              <w14:schemeClr w14:val="tx1"/>
            </w14:solidFill>
          </w14:textFill>
        </w:rPr>
        <w:t>小组具体实施；联合体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牵头方代表联合体办理</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事宜，联合体牵头方在</w:t>
      </w:r>
      <w:r>
        <w:rPr>
          <w:rFonts w:hint="eastAsia" w:ascii="仿宋" w:hAnsi="仿宋" w:eastAsia="仿宋" w:cs="Arial"/>
          <w:b/>
          <w:color w:val="000000" w:themeColor="text1"/>
          <w:sz w:val="24"/>
          <w14:textFill>
            <w14:solidFill>
              <w14:schemeClr w14:val="tx1"/>
            </w14:solidFill>
          </w14:textFill>
        </w:rPr>
        <w:t>响应文件及招标过程</w:t>
      </w:r>
      <w:r>
        <w:rPr>
          <w:rFonts w:ascii="仿宋" w:hAnsi="仿宋" w:eastAsia="仿宋" w:cs="Arial"/>
          <w:b/>
          <w:color w:val="000000" w:themeColor="text1"/>
          <w:sz w:val="24"/>
          <w14:textFill>
            <w14:solidFill>
              <w14:schemeClr w14:val="tx1"/>
            </w14:solidFill>
          </w14:textFill>
        </w:rPr>
        <w:t>中的所有承诺均代表了联合体各成员</w:t>
      </w:r>
      <w:r>
        <w:rPr>
          <w:rFonts w:hint="eastAsia" w:ascii="仿宋" w:hAnsi="仿宋" w:eastAsia="仿宋" w:cs="Arial"/>
          <w:b/>
          <w:color w:val="000000" w:themeColor="text1"/>
          <w:sz w:val="24"/>
          <w14:textFill>
            <w14:solidFill>
              <w14:schemeClr w14:val="tx1"/>
            </w14:solidFill>
          </w14:textFill>
        </w:rPr>
        <w:t>的真实意愿</w:t>
      </w:r>
      <w:r>
        <w:rPr>
          <w:rFonts w:ascii="仿宋" w:hAnsi="仿宋" w:eastAsia="仿宋" w:cs="Arial"/>
          <w:b/>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（3）联合体将严格按照</w:t>
      </w:r>
      <w:r>
        <w:rPr>
          <w:rFonts w:hint="eastAsia" w:ascii="仿宋" w:hAnsi="仿宋" w:eastAsia="仿宋" w:cs="Arial"/>
          <w:color w:val="000000" w:themeColor="text1"/>
          <w:sz w:val="24"/>
          <w14:textFill>
            <w14:solidFill>
              <w14:schemeClr w14:val="tx1"/>
            </w14:solidFill>
          </w14:textFill>
        </w:rPr>
        <w:t>招标文件</w:t>
      </w:r>
      <w:r>
        <w:rPr>
          <w:rFonts w:ascii="仿宋" w:hAnsi="仿宋" w:eastAsia="仿宋" w:cs="Arial"/>
          <w:color w:val="000000" w:themeColor="text1"/>
          <w:sz w:val="24"/>
          <w14:textFill>
            <w14:solidFill>
              <w14:schemeClr w14:val="tx1"/>
            </w14:solidFill>
          </w14:textFill>
        </w:rPr>
        <w:t>的各项要求，递交</w:t>
      </w:r>
      <w:r>
        <w:rPr>
          <w:rFonts w:hint="eastAsia" w:ascii="仿宋" w:hAnsi="仿宋" w:eastAsia="仿宋" w:cs="Arial"/>
          <w:color w:val="000000" w:themeColor="text1"/>
          <w:sz w:val="24"/>
          <w14:textFill>
            <w14:solidFill>
              <w14:schemeClr w14:val="tx1"/>
            </w14:solidFill>
          </w14:textFill>
        </w:rPr>
        <w:t>响应文件</w:t>
      </w:r>
      <w:r>
        <w:rPr>
          <w:rFonts w:ascii="仿宋" w:hAnsi="仿宋" w:eastAsia="仿宋" w:cs="Arial"/>
          <w:color w:val="000000" w:themeColor="text1"/>
          <w:sz w:val="24"/>
          <w14:textFill>
            <w14:solidFill>
              <w14:schemeClr w14:val="tx1"/>
            </w14:solidFill>
          </w14:textFill>
        </w:rPr>
        <w:t>，切实执行一切合同文件，共同承担合同规定的一切义务和责任，同时按照内部职责的划分，承担自身所负的责任和风险，在法律上承担连带责任。</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，联合体内部将遵守以下规定：</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a．联合体牵头方和成员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共同与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签订</w:t>
      </w:r>
      <w:r>
        <w:rPr>
          <w:rFonts w:hint="eastAsia" w:ascii="仿宋" w:hAnsi="仿宋" w:eastAsia="仿宋" w:cs="Arial"/>
          <w:color w:val="000000" w:themeColor="text1"/>
          <w:sz w:val="24"/>
          <w14:textFill>
            <w14:solidFill>
              <w14:schemeClr w14:val="tx1"/>
            </w14:solidFill>
          </w14:textFill>
        </w:rPr>
        <w:t>采购合同</w:t>
      </w:r>
      <w:r>
        <w:rPr>
          <w:rFonts w:ascii="仿宋" w:hAnsi="仿宋" w:eastAsia="仿宋" w:cs="Arial"/>
          <w:color w:val="000000" w:themeColor="text1"/>
          <w:sz w:val="24"/>
          <w14:textFill>
            <w14:solidFill>
              <w14:schemeClr w14:val="tx1"/>
            </w14:solidFill>
          </w14:textFill>
        </w:rPr>
        <w:t>，并就中标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项目向</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负责有连带的和各自的法律责任；</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b．联合体牵头方代表联合体成员</w:t>
      </w:r>
      <w:r>
        <w:rPr>
          <w:rFonts w:hint="eastAsia" w:ascii="仿宋" w:hAnsi="仿宋" w:eastAsia="仿宋" w:cs="Arial"/>
          <w:color w:val="000000" w:themeColor="text1"/>
          <w:sz w:val="24"/>
          <w14:textFill>
            <w14:solidFill>
              <w14:schemeClr w14:val="tx1"/>
            </w14:solidFill>
          </w14:textFill>
        </w:rPr>
        <w:t>接收采购人</w:t>
      </w:r>
      <w:r>
        <w:rPr>
          <w:rFonts w:ascii="仿宋" w:hAnsi="仿宋" w:eastAsia="仿宋" w:cs="Arial"/>
          <w:color w:val="000000" w:themeColor="text1"/>
          <w:sz w:val="24"/>
          <w14:textFill>
            <w14:solidFill>
              <w14:schemeClr w14:val="tx1"/>
            </w14:solidFill>
          </w14:textFill>
        </w:rPr>
        <w:t>的指令、指示和通知，并且在整个合同实施过程中的全部事宜（包括</w:t>
      </w:r>
      <w:r>
        <w:rPr>
          <w:rFonts w:hint="eastAsia" w:ascii="仿宋" w:hAnsi="仿宋" w:eastAsia="仿宋" w:cs="Arial"/>
          <w:color w:val="000000" w:themeColor="text1"/>
          <w:sz w:val="24"/>
          <w14:textFill>
            <w14:solidFill>
              <w14:schemeClr w14:val="tx1"/>
            </w14:solidFill>
          </w14:textFill>
        </w:rPr>
        <w:t>合同款</w:t>
      </w:r>
      <w:r>
        <w:rPr>
          <w:rFonts w:ascii="仿宋" w:hAnsi="仿宋" w:eastAsia="仿宋" w:cs="Arial"/>
          <w:color w:val="000000" w:themeColor="text1"/>
          <w:sz w:val="24"/>
          <w14:textFill>
            <w14:solidFill>
              <w14:schemeClr w14:val="tx1"/>
            </w14:solidFill>
          </w14:textFill>
        </w:rPr>
        <w:t>支付）均由联合体牵头方负责；</w:t>
      </w:r>
    </w:p>
    <w:p>
      <w:pPr>
        <w:spacing w:line="360" w:lineRule="auto"/>
        <w:ind w:firstLine="465" w:firstLineChars="193"/>
        <w:jc w:val="left"/>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c．联合体</w:t>
      </w:r>
      <w:r>
        <w:rPr>
          <w:rFonts w:hint="eastAsia" w:ascii="仿宋" w:hAnsi="仿宋" w:eastAsia="仿宋" w:cs="Arial"/>
          <w:b/>
          <w:color w:val="000000" w:themeColor="text1"/>
          <w:sz w:val="24"/>
          <w14:textFill>
            <w14:solidFill>
              <w14:schemeClr w14:val="tx1"/>
            </w14:solidFill>
          </w14:textFill>
        </w:rPr>
        <w:t>各方承担的工作和义务详细安排如下：</w:t>
      </w:r>
    </w:p>
    <w:p>
      <w:pPr>
        <w:spacing w:line="360" w:lineRule="auto"/>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____________________________________________________________________________________________________________________________________________________</w:t>
      </w:r>
    </w:p>
    <w:p>
      <w:pPr>
        <w:spacing w:line="360" w:lineRule="auto"/>
        <w:ind w:firstLine="465" w:firstLineChars="193"/>
        <w:jc w:val="left"/>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（5）投标</w:t>
      </w:r>
      <w:r>
        <w:rPr>
          <w:rFonts w:hint="eastAsia" w:ascii="仿宋" w:hAnsi="仿宋" w:eastAsia="仿宋" w:cs="Arial"/>
          <w:b/>
          <w:color w:val="000000" w:themeColor="text1"/>
          <w:sz w:val="24"/>
          <w14:textFill>
            <w14:solidFill>
              <w14:schemeClr w14:val="tx1"/>
            </w14:solidFill>
          </w14:textFill>
        </w:rPr>
        <w:t>（响应）</w:t>
      </w:r>
      <w:r>
        <w:rPr>
          <w:rFonts w:ascii="仿宋" w:hAnsi="仿宋" w:eastAsia="仿宋" w:cs="Arial"/>
          <w:b/>
          <w:color w:val="000000" w:themeColor="text1"/>
          <w:sz w:val="24"/>
          <w14:textFill>
            <w14:solidFill>
              <w14:schemeClr w14:val="tx1"/>
            </w14:solidFill>
          </w14:textFill>
        </w:rPr>
        <w:t>工作和联合体在中标</w:t>
      </w:r>
      <w:r>
        <w:rPr>
          <w:rFonts w:hint="eastAsia" w:ascii="仿宋" w:hAnsi="仿宋" w:eastAsia="仿宋" w:cs="Arial"/>
          <w:b/>
          <w:color w:val="000000" w:themeColor="text1"/>
          <w:sz w:val="24"/>
          <w14:textFill>
            <w14:solidFill>
              <w14:schemeClr w14:val="tx1"/>
            </w14:solidFill>
          </w14:textFill>
        </w:rPr>
        <w:t>（成交）</w:t>
      </w:r>
      <w:r>
        <w:rPr>
          <w:rFonts w:ascii="仿宋" w:hAnsi="仿宋" w:eastAsia="仿宋" w:cs="Arial"/>
          <w:b/>
          <w:color w:val="000000" w:themeColor="text1"/>
          <w:sz w:val="24"/>
          <w14:textFill>
            <w14:solidFill>
              <w14:schemeClr w14:val="tx1"/>
            </w14:solidFill>
          </w14:textFill>
        </w:rPr>
        <w:t>后工程实施过程中的有关费用按各自承担的工作量分摊</w:t>
      </w:r>
      <w:r>
        <w:rPr>
          <w:rFonts w:hint="eastAsia" w:ascii="仿宋" w:hAnsi="仿宋" w:eastAsia="仿宋" w:cs="Arial"/>
          <w:b/>
          <w:color w:val="000000" w:themeColor="text1"/>
          <w:sz w:val="24"/>
          <w14:textFill>
            <w14:solidFill>
              <w14:schemeClr w14:val="tx1"/>
            </w14:solidFill>
          </w14:textFill>
        </w:rPr>
        <w:t>，具体说明如下：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pPr>
        <w:spacing w:line="360" w:lineRule="auto"/>
        <w:ind w:firstLine="465" w:firstLineChars="193"/>
        <w:jc w:val="left"/>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如中标（成交），采购代理服务费支付承诺如下：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w:t>
      </w:r>
      <w:r>
        <w:rPr>
          <w:rFonts w:hint="eastAsia" w:ascii="仿宋" w:hAnsi="仿宋" w:eastAsia="仿宋" w:cs="Arial"/>
          <w:color w:val="000000" w:themeColor="text1"/>
          <w:sz w:val="24"/>
          <w14:textFill>
            <w14:solidFill>
              <w14:schemeClr w14:val="tx1"/>
            </w14:solidFill>
          </w14:textFill>
        </w:rPr>
        <w:t>我们承诺各</w:t>
      </w:r>
      <w:r>
        <w:rPr>
          <w:rFonts w:ascii="仿宋" w:hAnsi="仿宋" w:eastAsia="仿宋" w:cs="Arial"/>
          <w:color w:val="000000" w:themeColor="text1"/>
          <w:sz w:val="24"/>
          <w14:textFill>
            <w14:solidFill>
              <w14:schemeClr w14:val="tx1"/>
            </w14:solidFill>
          </w14:textFill>
        </w:rPr>
        <w:t>成员不再以自己的名义单独投标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，也</w:t>
      </w:r>
      <w:r>
        <w:rPr>
          <w:rFonts w:hint="eastAsia" w:ascii="仿宋" w:hAnsi="仿宋" w:eastAsia="仿宋" w:cs="Arial"/>
          <w:color w:val="000000" w:themeColor="text1"/>
          <w:sz w:val="24"/>
          <w14:textFill>
            <w14:solidFill>
              <w14:schemeClr w14:val="tx1"/>
            </w14:solidFill>
          </w14:textFill>
        </w:rPr>
        <w:t>不再与其他供应商组成联合体参加本项目的</w:t>
      </w:r>
      <w:r>
        <w:rPr>
          <w:rFonts w:ascii="仿宋" w:hAnsi="仿宋" w:eastAsia="仿宋" w:cs="Arial"/>
          <w:color w:val="000000" w:themeColor="text1"/>
          <w:sz w:val="24"/>
          <w14:textFill>
            <w14:solidFill>
              <w14:schemeClr w14:val="tx1"/>
            </w14:solidFill>
          </w14:textFill>
        </w:rPr>
        <w:t>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4、本协议书自签署之日起生效，在上述（4）a所述的合同书规定的期限之后自行失效；如中标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后，联合体内部另有协议的，联合体牵头方应将该协议书送交业主。</w:t>
      </w:r>
    </w:p>
    <w:p>
      <w:pPr>
        <w:spacing w:line="360" w:lineRule="auto"/>
        <w:ind w:firstLine="463" w:firstLineChars="193"/>
        <w:rPr>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5、本协议书正本一式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投标时使用</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联合体成员各</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，如中标（成交）</w:t>
      </w:r>
      <w:r>
        <w:rPr>
          <w:rFonts w:ascii="仿宋" w:hAnsi="仿宋" w:eastAsia="仿宋" w:cs="Arial"/>
          <w:color w:val="000000" w:themeColor="text1"/>
          <w:sz w:val="24"/>
          <w14:textFill>
            <w14:solidFill>
              <w14:schemeClr w14:val="tx1"/>
            </w14:solidFill>
          </w14:textFill>
        </w:rPr>
        <w:t>送</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份；副本一式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份，联合体成员各执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p>
    <w:p>
      <w:pPr>
        <w:widowControl/>
        <w:jc w:val="left"/>
        <w:rPr>
          <w:color w:val="000000" w:themeColor="text1"/>
          <w:sz w:val="24"/>
          <w14:textFill>
            <w14:solidFill>
              <w14:schemeClr w14:val="tx1"/>
            </w14:solidFill>
          </w14:textFill>
        </w:rPr>
      </w:pPr>
    </w:p>
    <w:tbl>
      <w:tblPr>
        <w:tblStyle w:val="58"/>
        <w:tblW w:w="0" w:type="auto"/>
        <w:tblInd w:w="0" w:type="dxa"/>
        <w:tblLayout w:type="fixed"/>
        <w:tblCellMar>
          <w:top w:w="0" w:type="dxa"/>
          <w:left w:w="108" w:type="dxa"/>
          <w:bottom w:w="0" w:type="dxa"/>
          <w:right w:w="108" w:type="dxa"/>
        </w:tblCellMar>
      </w:tblPr>
      <w:tblGrid>
        <w:gridCol w:w="4572"/>
        <w:gridCol w:w="4573"/>
      </w:tblGrid>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c>
          <w:tcPr>
            <w:tcW w:w="4573" w:type="dxa"/>
            <w:vAlign w:val="center"/>
          </w:tcPr>
          <w:p>
            <w:pPr>
              <w:widowControl/>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r>
    </w:tbl>
    <w:p>
      <w:pPr>
        <w:pStyle w:val="8"/>
        <w:ind w:firstLine="421" w:firstLineChars="195"/>
        <w:jc w:val="left"/>
        <w:rPr>
          <w:i/>
          <w:color w:val="000000"/>
          <w:w w:val="90"/>
          <w:szCs w:val="28"/>
        </w:rPr>
        <w:sectPr>
          <w:pgSz w:w="11906" w:h="16838"/>
          <w:pgMar w:top="1440" w:right="1416" w:bottom="1440" w:left="1560" w:header="851" w:footer="850" w:gutter="0"/>
          <w:cols w:space="720" w:num="1"/>
          <w:docGrid w:linePitch="312" w:charSpace="0"/>
        </w:sectPr>
      </w:pPr>
    </w:p>
    <w:p>
      <w:pPr>
        <w:pStyle w:val="6"/>
        <w:rPr>
          <w:color w:val="auto"/>
        </w:rPr>
      </w:pPr>
      <w:r>
        <w:rPr>
          <w:rFonts w:hint="eastAsia"/>
          <w:color w:val="auto"/>
        </w:rPr>
        <w:t>附：分包意向协议</w:t>
      </w:r>
    </w:p>
    <w:p>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pPr>
        <w:spacing w:line="360" w:lineRule="auto"/>
        <w:ind w:firstLine="465" w:firstLineChars="193"/>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（中标或成交后以分包方式履行合同的，提供分包意向协议；采购人不同意分包或者供应商中标（成交）后不以分包方式履行合同的，则不需要提供。）</w:t>
      </w:r>
    </w:p>
    <w:p>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若成为</w:t>
      </w:r>
      <w:r>
        <w:rPr>
          <w:rFonts w:hint="eastAsia" w:ascii="仿宋" w:hAnsi="仿宋" w:eastAsia="仿宋" w:cs="Arial"/>
          <w:b/>
          <w:bCs/>
          <w:color w:val="000000" w:themeColor="text1"/>
          <w:sz w:val="24"/>
          <w:u w:val="single"/>
          <w14:textFill>
            <w14:solidFill>
              <w14:schemeClr w14:val="tx1"/>
            </w14:solidFill>
          </w14:textFill>
        </w:rPr>
        <w:t>浙江省城市运行安全数字化管理系统（被整合系统）运维项目（项目编号：</w:t>
      </w:r>
      <w:r>
        <w:rPr>
          <w:rFonts w:hint="eastAsia" w:ascii="仿宋" w:hAnsi="仿宋" w:eastAsia="仿宋" w:cs="Arial"/>
          <w:b/>
          <w:bCs/>
          <w:color w:val="000000" w:themeColor="text1"/>
          <w:sz w:val="24"/>
          <w:u w:val="single"/>
          <w:lang w:eastAsia="zh-CN"/>
          <w14:textFill>
            <w14:solidFill>
              <w14:schemeClr w14:val="tx1"/>
            </w14:solidFill>
          </w14:textFill>
        </w:rPr>
        <w:t>CTZB-2024080141</w:t>
      </w:r>
      <w:r>
        <w:rPr>
          <w:rFonts w:hint="eastAsia" w:ascii="仿宋" w:hAnsi="仿宋" w:eastAsia="仿宋" w:cs="Arial"/>
          <w:b/>
          <w:bCs/>
          <w:color w:val="000000" w:themeColor="text1"/>
          <w:sz w:val="24"/>
          <w:u w:val="single"/>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中标（成交）</w:t>
      </w:r>
      <w:r>
        <w:rPr>
          <w:rFonts w:hint="eastAsia" w:ascii="仿宋" w:hAnsi="仿宋" w:eastAsia="仿宋" w:cs="Arial"/>
          <w:color w:val="000000" w:themeColor="text1"/>
          <w:sz w:val="24"/>
          <w:lang w:val="zh-CN"/>
          <w14:textFill>
            <w14:solidFill>
              <w14:schemeClr w14:val="tx1"/>
            </w14:solidFill>
          </w14:textFill>
        </w:rPr>
        <w:t>供应商，将依法采取分包方式履行合同。</w:t>
      </w: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14:textFill>
            <w14:solidFill>
              <w14:schemeClr w14:val="tx1"/>
            </w14:solidFill>
          </w14:textFill>
        </w:rPr>
        <w:t>与</w:t>
      </w:r>
      <w:r>
        <w:rPr>
          <w:rFonts w:hint="eastAsia" w:ascii="仿宋" w:hAnsi="仿宋" w:eastAsia="仿宋" w:cs="Arial"/>
          <w:b/>
          <w:bCs/>
          <w:color w:val="000000" w:themeColor="text1"/>
          <w:sz w:val="24"/>
          <w:u w:val="single"/>
          <w14:textFill>
            <w14:solidFill>
              <w14:schemeClr w14:val="tx1"/>
            </w14:solidFill>
          </w14:textFill>
        </w:rPr>
        <w:t>（所有分包供应商名称）</w:t>
      </w:r>
      <w:r>
        <w:rPr>
          <w:rFonts w:hint="eastAsia" w:ascii="仿宋" w:hAnsi="仿宋" w:eastAsia="仿宋" w:cs="Arial"/>
          <w:color w:val="000000" w:themeColor="text1"/>
          <w:sz w:val="24"/>
          <w14:textFill>
            <w14:solidFill>
              <w14:schemeClr w14:val="tx1"/>
            </w14:solidFill>
          </w14:textFill>
        </w:rPr>
        <w:t>达成分包意向协议</w:t>
      </w:r>
      <w:r>
        <w:rPr>
          <w:rFonts w:hint="eastAsia" w:ascii="仿宋" w:hAnsi="仿宋" w:eastAsia="仿宋" w:cs="Arial"/>
          <w:color w:val="000000" w:themeColor="text1"/>
          <w:sz w:val="24"/>
          <w:lang w:val="zh-CN"/>
          <w14:textFill>
            <w14:solidFill>
              <w14:schemeClr w14:val="tx1"/>
            </w14:solidFill>
          </w14:textFill>
        </w:rPr>
        <w:t>。</w:t>
      </w:r>
      <w:r>
        <w:rPr>
          <w:rFonts w:ascii="仿宋" w:hAnsi="仿宋" w:eastAsia="仿宋" w:cs="Arial"/>
          <w:color w:val="000000" w:themeColor="text1"/>
          <w:sz w:val="24"/>
          <w:lang w:val="zh-CN"/>
          <w14:textFill>
            <w14:solidFill>
              <w14:schemeClr w14:val="tx1"/>
            </w14:solidFill>
          </w14:textFill>
        </w:rPr>
        <w:t xml:space="preserve"> </w:t>
      </w:r>
    </w:p>
    <w:p>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lang w:val="zh-CN"/>
          <w14:textFill>
            <w14:solidFill>
              <w14:schemeClr w14:val="tx1"/>
            </w14:solidFill>
          </w14:textFill>
        </w:rPr>
        <w:t>一、分包标的及数量</w:t>
      </w:r>
    </w:p>
    <w:p>
      <w:pPr>
        <w:spacing w:line="360" w:lineRule="auto"/>
        <w:ind w:firstLine="465"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将</w:t>
      </w:r>
      <w:r>
        <w:rPr>
          <w:rFonts w:hint="eastAsia" w:ascii="仿宋" w:hAnsi="仿宋" w:eastAsia="仿宋" w:cs="Arial"/>
          <w:b/>
          <w:bCs/>
          <w:color w:val="000000" w:themeColor="text1"/>
          <w:sz w:val="24"/>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lang w:val="zh-CN"/>
          <w14:textFill>
            <w14:solidFill>
              <w14:schemeClr w14:val="tx1"/>
            </w14:solidFill>
          </w14:textFill>
        </w:rPr>
        <w:t>，</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具备承</w:t>
      </w:r>
      <w:r>
        <w:rPr>
          <w:rFonts w:hint="eastAsia" w:ascii="仿宋" w:hAnsi="仿宋" w:eastAsia="仿宋" w:cs="Arial"/>
          <w:color w:val="000000" w:themeColor="text1"/>
          <w:sz w:val="24"/>
          <w14:textFill>
            <w14:solidFill>
              <w14:schemeClr w14:val="tx1"/>
            </w14:solidFill>
          </w14:textFill>
        </w:rPr>
        <w:t>担</w:t>
      </w:r>
      <w:r>
        <w:rPr>
          <w:rFonts w:hint="eastAsia" w:ascii="仿宋" w:hAnsi="仿宋" w:eastAsia="仿宋" w:cs="Arial"/>
          <w:b/>
          <w:bCs/>
          <w:color w:val="000000" w:themeColor="text1"/>
          <w:sz w:val="24"/>
          <w:u w:val="single"/>
          <w:lang w:val="zh-CN"/>
          <w14:textFill>
            <w14:solidFill>
              <w14:schemeClr w14:val="tx1"/>
            </w14:solidFill>
          </w14:textFill>
        </w:rPr>
        <w:t>XX工作内容</w:t>
      </w:r>
      <w:r>
        <w:rPr>
          <w:rFonts w:hint="eastAsia" w:ascii="仿宋" w:hAnsi="仿宋" w:eastAsia="仿宋" w:cs="Arial"/>
          <w:color w:val="000000" w:themeColor="text1"/>
          <w:sz w:val="24"/>
          <w:lang w:val="zh-CN"/>
          <w14:textFill>
            <w14:solidFill>
              <w14:schemeClr w14:val="tx1"/>
            </w14:solidFill>
          </w14:textFill>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二、</w:t>
      </w:r>
      <w:r>
        <w:rPr>
          <w:rFonts w:hint="eastAsia" w:ascii="仿宋" w:hAnsi="仿宋" w:eastAsia="仿宋" w:cs="Arial"/>
          <w:color w:val="000000" w:themeColor="text1"/>
          <w:sz w:val="24"/>
          <w:lang w:val="zh-CN"/>
          <w14:textFill>
            <w14:solidFill>
              <w14:schemeClr w14:val="tx1"/>
            </w14:solidFill>
          </w14:textFill>
        </w:rPr>
        <w:t>分包工作履行期限、地点、方式</w:t>
      </w:r>
    </w:p>
    <w:p>
      <w:pPr>
        <w:spacing w:line="360" w:lineRule="auto"/>
        <w:rPr>
          <w:rFonts w:eastAsia="仿宋"/>
        </w:rPr>
      </w:pPr>
      <w:r>
        <w:rPr>
          <w:rFonts w:ascii="仿宋" w:hAnsi="仿宋" w:eastAsia="仿宋" w:cs="Arial"/>
          <w:color w:val="000000" w:themeColor="text1"/>
          <w:sz w:val="24"/>
          <w14:textFill>
            <w14:solidFill>
              <w14:schemeClr w14:val="tx1"/>
            </w14:solidFill>
          </w14:textFill>
        </w:rPr>
        <w:t>___________________________________________________________________</w:t>
      </w:r>
      <w:r>
        <w:rPr>
          <w:rFonts w:hint="eastAsia" w:ascii="仿宋" w:hAnsi="仿宋" w:eastAsia="仿宋" w:cs="Arial"/>
          <w:color w:val="000000" w:themeColor="text1"/>
          <w:sz w:val="24"/>
          <w14:textFill>
            <w14:solidFill>
              <w14:schemeClr w14:val="tx1"/>
            </w14:solidFill>
          </w14:textFill>
        </w:rPr>
        <w:t xml:space="preserve">    </w:t>
      </w:r>
    </w:p>
    <w:p>
      <w:pPr>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w:t>
      </w:r>
    </w:p>
    <w:p>
      <w:pPr>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p>
    <w:p>
      <w:pPr>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_____________________________________________________________________</w:t>
      </w:r>
    </w:p>
    <w:p>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pPr>
        <w:snapToGrid w:val="0"/>
        <w:spacing w:line="360" w:lineRule="auto"/>
        <w:rPr>
          <w:rFonts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 xml:space="preserve">____________________________________________________________________                                                                            </w:t>
      </w:r>
      <w:r>
        <w:rPr>
          <w:rFonts w:ascii="仿宋_GB2312" w:hAnsi="仿宋" w:eastAsia="仿宋_GB2312"/>
          <w:u w:val="single"/>
        </w:rPr>
        <w:t xml:space="preserve">  </w:t>
      </w:r>
    </w:p>
    <w:p>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pPr>
        <w:snapToGrid w:val="0"/>
        <w:spacing w:line="360" w:lineRule="auto"/>
        <w:ind w:left="5760" w:hanging="5760" w:hangingChars="2400"/>
        <w:rPr>
          <w:rFonts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投标供应商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 w:hAnsi="仿宋" w:eastAsia="仿宋"/>
          <w:i/>
          <w:color w:val="000000"/>
          <w:w w:val="90"/>
          <w:sz w:val="24"/>
          <w:szCs w:val="28"/>
        </w:rPr>
        <w:sectPr>
          <w:pgSz w:w="11906" w:h="16838"/>
          <w:pgMar w:top="1440" w:right="1416" w:bottom="1440" w:left="1560" w:header="851" w:footer="850" w:gutter="0"/>
          <w:cols w:space="720" w:num="1"/>
          <w:docGrid w:linePitch="312" w:charSpace="0"/>
        </w:sectPr>
      </w:pPr>
      <w:r>
        <w:rPr>
          <w:rFonts w:ascii="仿宋_GB2312" w:hAnsi="仿宋" w:eastAsia="仿宋_GB2312" w:cs="仿宋_GB2312"/>
          <w:kern w:val="0"/>
          <w:sz w:val="24"/>
          <w:lang w:val="zh-CN"/>
        </w:rPr>
        <w:t xml:space="preserve">                                        日期：  年  月   日</w:t>
      </w:r>
    </w:p>
    <w:p>
      <w:pPr>
        <w:pStyle w:val="3"/>
        <w:rPr>
          <w:color w:val="000000" w:themeColor="text1"/>
          <w14:textFill>
            <w14:solidFill>
              <w14:schemeClr w14:val="tx1"/>
            </w14:solidFill>
          </w14:textFill>
        </w:rPr>
      </w:pPr>
      <w:bookmarkStart w:id="151" w:name="_Toc7988468"/>
      <w:bookmarkStart w:id="152" w:name="_Toc29630"/>
      <w:bookmarkStart w:id="153" w:name="_Toc46485599"/>
      <w:bookmarkStart w:id="154" w:name="_Toc7988414"/>
      <w:bookmarkStart w:id="155" w:name="_Toc11870"/>
      <w:bookmarkStart w:id="156" w:name="_Toc16429"/>
      <w:bookmarkStart w:id="157" w:name="_Toc424164168"/>
      <w:bookmarkStart w:id="158" w:name="_Toc56055916"/>
      <w:bookmarkStart w:id="159" w:name="_Toc440162800"/>
      <w:bookmarkStart w:id="160" w:name="_Toc8008423"/>
      <w:bookmarkStart w:id="161" w:name="_Toc44671434"/>
      <w:bookmarkStart w:id="162" w:name="_Toc12448"/>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51"/>
      <w:bookmarkEnd w:id="152"/>
      <w:bookmarkEnd w:id="153"/>
      <w:bookmarkEnd w:id="154"/>
      <w:bookmarkEnd w:id="155"/>
      <w:bookmarkEnd w:id="156"/>
      <w:bookmarkEnd w:id="157"/>
      <w:bookmarkEnd w:id="158"/>
      <w:bookmarkEnd w:id="159"/>
      <w:bookmarkEnd w:id="160"/>
      <w:bookmarkEnd w:id="161"/>
      <w:bookmarkEnd w:id="162"/>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pPr>
        <w:pStyle w:val="8"/>
        <w:rPr>
          <w:rFonts w:ascii="Calibri" w:hAnsi="Calibri" w:eastAsia="宋体"/>
          <w:color w:val="000000" w:themeColor="text1"/>
          <w14:textFill>
            <w14:solidFill>
              <w14:schemeClr w14:val="tx1"/>
            </w14:solidFill>
          </w14:textFill>
        </w:rPr>
      </w:pPr>
    </w:p>
    <w:p>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pPr>
        <w:spacing w:line="360" w:lineRule="auto"/>
        <w:rPr>
          <w:rFonts w:ascii="仿宋" w:hAnsi="仿宋" w:eastAsia="仿宋"/>
          <w:color w:val="000000" w:themeColor="text1"/>
          <w:sz w:val="24"/>
          <w14:textFill>
            <w14:solidFill>
              <w14:schemeClr w14:val="tx1"/>
            </w14:solidFill>
          </w14:textFill>
        </w:rPr>
      </w:pPr>
    </w:p>
    <w:p>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（商务技术文件）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14:textFill>
                  <w14:solidFill>
                    <w14:schemeClr w14:val="tx1"/>
                  </w14:solidFill>
                </w14:textFill>
              </w:rPr>
              <w:t>浙江省城市运行安全数字化管理系统（被整合系统）运维项目</w:t>
            </w:r>
          </w:p>
        </w:tc>
      </w:tr>
      <w:tr>
        <w:tblPrEx>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CTZB-2024080141</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pPr>
        <w:pStyle w:val="5"/>
        <w:ind w:firstLine="150"/>
        <w:rPr>
          <w:rFonts w:cs="Arial"/>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▲关于投标文件所有内容真实有效的承诺函</w:t>
      </w:r>
    </w:p>
    <w:p>
      <w:pPr>
        <w:spacing w:line="360" w:lineRule="auto"/>
        <w:jc w:val="center"/>
        <w:rPr>
          <w:rFonts w:ascii="华文中宋" w:hAnsi="华文中宋" w:eastAsia="华文中宋" w:cs="Arial"/>
          <w:b/>
          <w:color w:val="000000" w:themeColor="text1"/>
          <w:kern w:val="0"/>
          <w:sz w:val="36"/>
          <w:szCs w:val="32"/>
          <w14:textFill>
            <w14:solidFill>
              <w14:schemeClr w14:val="tx1"/>
            </w14:solidFill>
          </w14:textFill>
        </w:rPr>
      </w:pPr>
    </w:p>
    <w:p>
      <w:pPr>
        <w:spacing w:line="360" w:lineRule="auto"/>
        <w:jc w:val="center"/>
        <w:rPr>
          <w:rFonts w:ascii="微软雅黑" w:hAnsi="微软雅黑"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关于投标文件所有内容真实、有效的承诺函</w:t>
      </w:r>
    </w:p>
    <w:p>
      <w:pPr>
        <w:spacing w:line="360" w:lineRule="auto"/>
        <w:rPr>
          <w:rFonts w:ascii="Arial" w:hAnsi="新宋体" w:eastAsia="新宋体" w:cs="Arial"/>
          <w:b/>
          <w:color w:val="000000" w:themeColor="text1"/>
          <w:kern w:val="0"/>
          <w:sz w:val="28"/>
          <w:szCs w:val="28"/>
          <w:u w:val="single"/>
          <w14:textFill>
            <w14:solidFill>
              <w14:schemeClr w14:val="tx1"/>
            </w14:solidFill>
          </w14:textFill>
        </w:rPr>
      </w:pPr>
    </w:p>
    <w:p>
      <w:pPr>
        <w:spacing w:line="360" w:lineRule="auto"/>
        <w:rPr>
          <w:rFonts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浙江省住房和城乡建设厅信息宣传中心、浙江省成套招标代理有限公司</w:t>
      </w:r>
      <w:r>
        <w:rPr>
          <w:rFonts w:hint="eastAsia" w:ascii="仿宋" w:hAnsi="仿宋" w:eastAsia="仿宋" w:cs="Arial"/>
          <w:b/>
          <w:color w:val="000000" w:themeColor="text1"/>
          <w:w w:val="90"/>
          <w:kern w:val="0"/>
          <w:sz w:val="28"/>
          <w:szCs w:val="22"/>
          <w14:textFill>
            <w14:solidFill>
              <w14:schemeClr w14:val="tx1"/>
            </w14:solidFill>
          </w14:textFill>
        </w:rPr>
        <w:t>：</w:t>
      </w:r>
    </w:p>
    <w:p>
      <w:pPr>
        <w:spacing w:line="360" w:lineRule="auto"/>
        <w:rPr>
          <w:rFonts w:ascii="仿宋" w:hAnsi="仿宋" w:eastAsia="仿宋" w:cs="Arial"/>
          <w:color w:val="000000" w:themeColor="text1"/>
          <w:kern w:val="0"/>
          <w:sz w:val="32"/>
          <w:szCs w:val="28"/>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我</w:t>
      </w:r>
      <w:r>
        <w:rPr>
          <w:rFonts w:hint="eastAsia" w:ascii="仿宋" w:hAnsi="仿宋" w:eastAsia="仿宋" w:cs="Arial"/>
          <w:color w:val="000000" w:themeColor="text1"/>
          <w:kern w:val="0"/>
          <w:sz w:val="28"/>
          <w:szCs w:val="28"/>
          <w14:textFill>
            <w14:solidFill>
              <w14:schemeClr w14:val="tx1"/>
            </w14:solidFill>
          </w14:textFill>
        </w:rPr>
        <w:t>方</w:t>
      </w:r>
      <w:r>
        <w:rPr>
          <w:rFonts w:hint="eastAsia" w:ascii="仿宋" w:hAnsi="仿宋" w:eastAsia="仿宋" w:cs="Arial"/>
          <w:color w:val="000000" w:themeColor="text1"/>
          <w:kern w:val="0"/>
          <w:sz w:val="28"/>
          <w:szCs w:val="22"/>
          <w14:textFill>
            <w14:solidFill>
              <w14:schemeClr w14:val="tx1"/>
            </w14:solidFill>
          </w14:textFill>
        </w:rPr>
        <w:t>参加</w:t>
      </w:r>
      <w:r>
        <w:rPr>
          <w:rFonts w:hint="eastAsia" w:ascii="仿宋" w:hAnsi="仿宋" w:eastAsia="仿宋" w:cs="Arial"/>
          <w:b/>
          <w:color w:val="000000" w:themeColor="text1"/>
          <w:kern w:val="0"/>
          <w:sz w:val="28"/>
          <w:szCs w:val="22"/>
          <w:u w:val="single"/>
          <w14:textFill>
            <w14:solidFill>
              <w14:schemeClr w14:val="tx1"/>
            </w14:solidFill>
          </w14:textFill>
        </w:rPr>
        <w:t>浙江省城市运行安全数字化管理系统（被整合系统）运维项目（项目编号：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CTZB-2024080141</w:t>
      </w:r>
      <w:r>
        <w:rPr>
          <w:rFonts w:hint="eastAsia" w:ascii="仿宋" w:hAnsi="仿宋" w:eastAsia="仿宋" w:cs="Arial"/>
          <w:b/>
          <w:color w:val="000000" w:themeColor="text1"/>
          <w:kern w:val="0"/>
          <w:sz w:val="28"/>
          <w:szCs w:val="22"/>
          <w:u w:val="single"/>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谈判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中标（成交）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签订合同），我方对此无任何异议，并愿意承担一切后果和责任。</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特此</w:t>
      </w:r>
      <w:r>
        <w:rPr>
          <w:rFonts w:hint="eastAsia" w:ascii="仿宋" w:hAnsi="仿宋" w:eastAsia="仿宋" w:cs="Arial"/>
          <w:color w:val="000000" w:themeColor="text1"/>
          <w:kern w:val="0"/>
          <w:sz w:val="28"/>
          <w:szCs w:val="28"/>
          <w14:textFill>
            <w14:solidFill>
              <w14:schemeClr w14:val="tx1"/>
            </w14:solidFill>
          </w14:textFill>
        </w:rPr>
        <w:t>承诺</w:t>
      </w:r>
      <w:r>
        <w:rPr>
          <w:rFonts w:hint="eastAsia" w:ascii="仿宋" w:hAnsi="仿宋" w:eastAsia="仿宋" w:cs="Arial"/>
          <w:color w:val="000000" w:themeColor="text1"/>
          <w:kern w:val="0"/>
          <w:sz w:val="28"/>
          <w:szCs w:val="22"/>
          <w14:textFill>
            <w14:solidFill>
              <w14:schemeClr w14:val="tx1"/>
            </w14:solidFill>
          </w14:textFill>
        </w:rPr>
        <w:t>！</w:t>
      </w:r>
    </w:p>
    <w:p>
      <w:pPr>
        <w:spacing w:line="360" w:lineRule="auto"/>
        <w:ind w:firstLine="420" w:firstLineChars="200"/>
        <w:rPr>
          <w:rFonts w:ascii="仿宋" w:hAnsi="仿宋" w:eastAsia="仿宋" w:cs="Arial"/>
          <w:color w:val="000000" w:themeColor="text1"/>
          <w:kern w:val="0"/>
          <w:szCs w:val="22"/>
          <w14:textFill>
            <w14:solidFill>
              <w14:schemeClr w14:val="tx1"/>
            </w14:solidFill>
          </w14:textFill>
        </w:rPr>
      </w:pPr>
    </w:p>
    <w:p>
      <w:pPr>
        <w:snapToGrid w:val="0"/>
        <w:spacing w:line="360" w:lineRule="auto"/>
        <w:ind w:left="567" w:leftChars="27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8"/>
          <w:szCs w:val="28"/>
          <w14:textFill>
            <w14:solidFill>
              <w14:schemeClr w14:val="tx1"/>
            </w14:solidFill>
          </w14:textFill>
        </w:rPr>
        <w:t>__________________________________</w:t>
      </w:r>
    </w:p>
    <w:p>
      <w:pPr>
        <w:spacing w:line="360" w:lineRule="auto"/>
        <w:ind w:firstLine="560" w:firstLineChars="200"/>
        <w:rPr>
          <w:rFonts w:ascii="仿宋" w:hAnsi="仿宋" w:eastAsia="仿宋" w:cs="Arial"/>
          <w:color w:val="000000" w:themeColor="text1"/>
          <w:kern w:val="0"/>
          <w:szCs w:val="2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8"/>
          <w:szCs w:val="28"/>
          <w14:textFill>
            <w14:solidFill>
              <w14:schemeClr w14:val="tx1"/>
            </w14:solidFill>
          </w14:textFill>
        </w:rPr>
        <w:t>________</w:t>
      </w:r>
      <w:r>
        <w:rPr>
          <w:rFonts w:hint="eastAsia" w:ascii="仿宋" w:hAnsi="仿宋" w:eastAsia="仿宋" w:cs="Arial"/>
          <w:color w:val="000000" w:themeColor="text1"/>
          <w:w w:val="90"/>
          <w:kern w:val="0"/>
          <w:sz w:val="28"/>
          <w:szCs w:val="28"/>
          <w14:textFill>
            <w14:solidFill>
              <w14:schemeClr w14:val="tx1"/>
            </w14:solidFill>
          </w14:textFill>
        </w:rPr>
        <w:t>年</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月</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日</w:t>
      </w:r>
    </w:p>
    <w:p>
      <w:pPr>
        <w:spacing w:line="360" w:lineRule="auto"/>
        <w:ind w:firstLine="420" w:firstLineChars="200"/>
        <w:rPr>
          <w:rFonts w:ascii="仿宋" w:hAnsi="仿宋" w:eastAsia="仿宋" w:cs="Arial"/>
          <w:color w:val="000000" w:themeColor="text1"/>
          <w:kern w:val="0"/>
          <w:szCs w:val="22"/>
          <w14:textFill>
            <w14:solidFill>
              <w14:schemeClr w14:val="tx1"/>
            </w14:solidFill>
          </w14:textFill>
        </w:rPr>
      </w:pPr>
    </w:p>
    <w:p>
      <w:pPr>
        <w:pStyle w:val="5"/>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▲投标函</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投标函</w:t>
      </w:r>
    </w:p>
    <w:p>
      <w:pPr>
        <w:spacing w:line="360" w:lineRule="auto"/>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浙江省住房和城乡建设厅信息宣传中心、浙江省成套招标代理有限公司</w:t>
      </w:r>
      <w:r>
        <w:rPr>
          <w:rFonts w:ascii="仿宋" w:hAnsi="仿宋" w:eastAsia="仿宋" w:cs="Arial"/>
          <w:b/>
          <w:color w:val="000000" w:themeColor="text1"/>
          <w:kern w:val="0"/>
          <w:sz w:val="28"/>
          <w:szCs w:val="28"/>
          <w14:textFill>
            <w14:solidFill>
              <w14:schemeClr w14:val="tx1"/>
            </w14:solidFill>
          </w14:textFill>
        </w:rPr>
        <w:t>：</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根据贵方为</w:t>
      </w:r>
      <w:r>
        <w:rPr>
          <w:rFonts w:hint="eastAsia" w:ascii="仿宋" w:hAnsi="仿宋" w:eastAsia="仿宋" w:cs="Arial"/>
          <w:b/>
          <w:color w:val="000000" w:themeColor="text1"/>
          <w:kern w:val="0"/>
          <w:sz w:val="28"/>
          <w:szCs w:val="28"/>
          <w:u w:val="single"/>
          <w14:textFill>
            <w14:solidFill>
              <w14:schemeClr w14:val="tx1"/>
            </w14:solidFill>
          </w14:textFill>
        </w:rPr>
        <w:t>浙江省城市运行安全数字化管理系统（被整合系统）运维项目</w:t>
      </w:r>
      <w:r>
        <w:rPr>
          <w:rFonts w:ascii="仿宋" w:hAnsi="仿宋" w:eastAsia="仿宋" w:cs="Arial"/>
          <w:color w:val="000000" w:themeColor="text1"/>
          <w:kern w:val="0"/>
          <w:sz w:val="28"/>
          <w:szCs w:val="28"/>
          <w14:textFill>
            <w14:solidFill>
              <w14:schemeClr w14:val="tx1"/>
            </w14:solidFill>
          </w14:textFill>
        </w:rPr>
        <w:t>的</w:t>
      </w:r>
      <w:r>
        <w:rPr>
          <w:rFonts w:hint="eastAsia" w:ascii="仿宋" w:hAnsi="仿宋" w:eastAsia="仿宋" w:cs="Arial"/>
          <w:color w:val="000000" w:themeColor="text1"/>
          <w:kern w:val="0"/>
          <w:sz w:val="28"/>
          <w:szCs w:val="28"/>
          <w14:textFill>
            <w14:solidFill>
              <w14:schemeClr w14:val="tx1"/>
            </w14:solidFill>
          </w14:textFill>
        </w:rPr>
        <w:t>公开招标采购</w:t>
      </w:r>
      <w:r>
        <w:rPr>
          <w:rFonts w:ascii="仿宋" w:hAnsi="仿宋" w:eastAsia="仿宋" w:cs="Arial"/>
          <w:color w:val="000000" w:themeColor="text1"/>
          <w:kern w:val="0"/>
          <w:sz w:val="28"/>
          <w:szCs w:val="28"/>
          <w14:textFill>
            <w14:solidFill>
              <w14:schemeClr w14:val="tx1"/>
            </w14:solidFill>
          </w14:textFill>
        </w:rPr>
        <w:t>公告（项目编号：</w:t>
      </w:r>
      <w:r>
        <w:rPr>
          <w:rFonts w:hint="eastAsia" w:ascii="仿宋" w:hAnsi="仿宋" w:eastAsia="仿宋" w:cs="Arial"/>
          <w:b/>
          <w:color w:val="000000" w:themeColor="text1"/>
          <w:kern w:val="0"/>
          <w:sz w:val="28"/>
          <w:szCs w:val="28"/>
          <w:u w:val="single"/>
          <w:lang w:eastAsia="zh-CN"/>
          <w14:textFill>
            <w14:solidFill>
              <w14:schemeClr w14:val="tx1"/>
            </w14:solidFill>
          </w14:textFill>
        </w:rPr>
        <w:t>CTZB-2024080141</w:t>
      </w:r>
      <w:r>
        <w:rPr>
          <w:rFonts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color w:val="000000" w:themeColor="text1"/>
          <w:kern w:val="0"/>
          <w:sz w:val="28"/>
          <w:szCs w:val="28"/>
          <w14:textFill>
            <w14:solidFill>
              <w14:schemeClr w14:val="tx1"/>
            </w14:solidFill>
          </w14:textFill>
        </w:rPr>
        <w:t>我方</w:t>
      </w:r>
      <w:r>
        <w:rPr>
          <w:rFonts w:ascii="仿宋" w:hAnsi="仿宋" w:eastAsia="仿宋" w:cs="Arial"/>
          <w:color w:val="000000" w:themeColor="text1"/>
          <w:kern w:val="0"/>
          <w:sz w:val="28"/>
          <w:szCs w:val="28"/>
          <w14:textFill>
            <w14:solidFill>
              <w14:schemeClr w14:val="tx1"/>
            </w14:solidFill>
          </w14:textFill>
        </w:rPr>
        <w:t>签字代表_______________（全名）经正式授权并代表投标供应商________________</w:t>
      </w:r>
      <w:r>
        <w:rPr>
          <w:rFonts w:ascii="仿宋" w:hAnsi="仿宋" w:eastAsia="仿宋" w:cs="Arial"/>
          <w:color w:val="000000" w:themeColor="text1"/>
          <w:kern w:val="0"/>
          <w:sz w:val="28"/>
          <w:szCs w:val="28"/>
          <w:u w:val="single"/>
          <w14:textFill>
            <w14:solidFill>
              <w14:schemeClr w14:val="tx1"/>
            </w14:solidFill>
          </w14:textFill>
        </w:rPr>
        <w:t>（投标供应商名称）</w:t>
      </w:r>
      <w:r>
        <w:rPr>
          <w:rFonts w:ascii="仿宋" w:hAnsi="仿宋" w:eastAsia="仿宋" w:cs="Arial"/>
          <w:color w:val="000000" w:themeColor="text1"/>
          <w:kern w:val="0"/>
          <w:sz w:val="28"/>
          <w:szCs w:val="28"/>
          <w14:textFill>
            <w14:solidFill>
              <w14:schemeClr w14:val="tx1"/>
            </w14:solidFill>
          </w14:textFill>
        </w:rPr>
        <w:t>参与本次项目的投标，同时按采购文件要求提交</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投标文件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（包括</w:t>
      </w:r>
      <w:r>
        <w:rPr>
          <w:rFonts w:hint="eastAsia" w:ascii="仿宋" w:hAnsi="仿宋" w:eastAsia="仿宋" w:cs="Arial"/>
          <w:b/>
          <w:color w:val="000000" w:themeColor="text1"/>
          <w:kern w:val="0"/>
          <w:sz w:val="28"/>
          <w:szCs w:val="28"/>
          <w14:textFill>
            <w14:solidFill>
              <w14:schemeClr w14:val="tx1"/>
            </w14:solidFill>
          </w14:textFill>
        </w:rPr>
        <w:t>资格文件、</w:t>
      </w:r>
      <w:r>
        <w:rPr>
          <w:rFonts w:ascii="仿宋" w:hAnsi="仿宋" w:eastAsia="仿宋" w:cs="Arial"/>
          <w:b/>
          <w:color w:val="000000" w:themeColor="text1"/>
          <w:kern w:val="0"/>
          <w:sz w:val="28"/>
          <w:szCs w:val="28"/>
          <w14:textFill>
            <w14:solidFill>
              <w14:schemeClr w14:val="tx1"/>
            </w14:solidFill>
          </w14:textFill>
        </w:rPr>
        <w:t>商务技术文件</w:t>
      </w:r>
      <w:r>
        <w:rPr>
          <w:rFonts w:hint="eastAsia" w:ascii="仿宋" w:hAnsi="仿宋" w:eastAsia="仿宋" w:cs="Arial"/>
          <w:b/>
          <w:color w:val="000000" w:themeColor="text1"/>
          <w:kern w:val="0"/>
          <w:sz w:val="28"/>
          <w:szCs w:val="28"/>
          <w14:textFill>
            <w14:solidFill>
              <w14:schemeClr w14:val="tx1"/>
            </w14:solidFill>
          </w14:textFill>
        </w:rPr>
        <w:t>、报价文件</w:t>
      </w:r>
      <w:r>
        <w:rPr>
          <w:rFonts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据此函，签字代表宣布同意如下：</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1、我方已详细</w:t>
      </w:r>
      <w:r>
        <w:rPr>
          <w:rFonts w:hint="eastAsia" w:ascii="仿宋" w:hAnsi="仿宋" w:eastAsia="仿宋" w:cs="Arial"/>
          <w:b/>
          <w:color w:val="000000" w:themeColor="text1"/>
          <w:kern w:val="0"/>
          <w:sz w:val="28"/>
          <w:szCs w:val="28"/>
          <w14:textFill>
            <w14:solidFill>
              <w14:schemeClr w14:val="tx1"/>
            </w14:solidFill>
          </w14:textFill>
        </w:rPr>
        <w:t>阅读</w:t>
      </w:r>
      <w:r>
        <w:rPr>
          <w:rFonts w:ascii="仿宋" w:hAnsi="仿宋" w:eastAsia="仿宋" w:cs="Arial"/>
          <w:b/>
          <w:color w:val="000000" w:themeColor="text1"/>
          <w:kern w:val="0"/>
          <w:sz w:val="28"/>
          <w:szCs w:val="28"/>
          <w14:textFill>
            <w14:solidFill>
              <w14:schemeClr w14:val="tx1"/>
            </w14:solidFill>
          </w14:textFill>
        </w:rPr>
        <w:t>全部采购文件，包括</w:t>
      </w:r>
      <w:r>
        <w:rPr>
          <w:rFonts w:hint="eastAsia" w:ascii="仿宋" w:hAnsi="仿宋" w:eastAsia="仿宋" w:cs="Arial"/>
          <w:b/>
          <w:color w:val="000000" w:themeColor="text1"/>
          <w:kern w:val="0"/>
          <w:sz w:val="28"/>
          <w:szCs w:val="28"/>
          <w14:textFill>
            <w14:solidFill>
              <w14:schemeClr w14:val="tx1"/>
            </w14:solidFill>
          </w14:textFill>
        </w:rPr>
        <w:t>澄清、修改文件（如有）</w:t>
      </w:r>
      <w:r>
        <w:rPr>
          <w:rFonts w:ascii="仿宋" w:hAnsi="仿宋" w:eastAsia="仿宋" w:cs="Arial"/>
          <w:b/>
          <w:color w:val="000000" w:themeColor="text1"/>
          <w:kern w:val="0"/>
          <w:sz w:val="28"/>
          <w:szCs w:val="28"/>
          <w14:textFill>
            <w14:solidFill>
              <w14:schemeClr w14:val="tx1"/>
            </w14:solidFill>
          </w14:textFill>
        </w:rPr>
        <w:t>以及全部参考资料和有关附件，我方已经了解对于采购文件、</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过程、</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结果有依法进行询问、质疑、投诉的权利及相关渠道和要求</w:t>
      </w:r>
      <w:r>
        <w:rPr>
          <w:rFonts w:hint="eastAsia" w:ascii="仿宋" w:hAnsi="仿宋" w:eastAsia="仿宋" w:cs="Arial"/>
          <w:b/>
          <w:color w:val="000000" w:themeColor="text1"/>
          <w:kern w:val="0"/>
          <w:sz w:val="28"/>
          <w:szCs w:val="28"/>
          <w14:textFill>
            <w14:solidFill>
              <w14:schemeClr w14:val="tx1"/>
            </w14:solidFill>
          </w14:textFill>
        </w:rPr>
        <w:t>；</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2、我方向贵方提交的所有《投标文件》、资料都是准确</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真实的；</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3、我方不是</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人的附属机构</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在获知本项目采购信息后，与</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人聘请的为此项目提供咨询服务的公司及其附属机构没有任何</w:t>
      </w:r>
      <w:r>
        <w:rPr>
          <w:rFonts w:hint="eastAsia" w:ascii="仿宋" w:hAnsi="仿宋" w:eastAsia="仿宋" w:cs="Arial"/>
          <w:b/>
          <w:color w:val="000000" w:themeColor="text1"/>
          <w:kern w:val="0"/>
          <w:sz w:val="28"/>
          <w:szCs w:val="28"/>
          <w14:textFill>
            <w14:solidFill>
              <w14:schemeClr w14:val="tx1"/>
            </w14:solidFill>
          </w14:textFill>
        </w:rPr>
        <w:t>关系；</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4、我方在投标之前已经与贵方进行了充分的沟通，完全理解并接受采购文件的各项规定和要求，对采购文件的合理性、合法性不再有异议；</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5、我方将按采购文件的规定履行合同责任和义务；</w:t>
      </w:r>
    </w:p>
    <w:p>
      <w:pPr>
        <w:spacing w:line="360" w:lineRule="auto"/>
        <w:ind w:firstLine="540" w:firstLineChars="192"/>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6、我方此次报价以我方“报价文件”</w:t>
      </w:r>
      <w:r>
        <w:rPr>
          <w:rFonts w:hint="eastAsia" w:ascii="仿宋" w:hAnsi="仿宋" w:eastAsia="仿宋" w:cs="Arial"/>
          <w:b/>
          <w:color w:val="000000" w:themeColor="text1"/>
          <w:kern w:val="0"/>
          <w:sz w:val="28"/>
          <w:szCs w:val="28"/>
          <w14:textFill>
            <w14:solidFill>
              <w14:schemeClr w14:val="tx1"/>
            </w14:solidFill>
          </w14:textFill>
        </w:rPr>
        <w:t>中</w:t>
      </w:r>
      <w:r>
        <w:rPr>
          <w:rFonts w:ascii="仿宋" w:hAnsi="仿宋" w:eastAsia="仿宋" w:cs="Arial"/>
          <w:b/>
          <w:color w:val="000000" w:themeColor="text1"/>
          <w:kern w:val="0"/>
          <w:sz w:val="28"/>
          <w:szCs w:val="28"/>
          <w14:textFill>
            <w14:solidFill>
              <w14:schemeClr w14:val="tx1"/>
            </w14:solidFill>
          </w14:textFill>
        </w:rPr>
        <w:t>《开标一览表》所列</w:t>
      </w:r>
      <w:r>
        <w:rPr>
          <w:rFonts w:hint="eastAsia" w:ascii="仿宋" w:hAnsi="仿宋" w:eastAsia="仿宋" w:cs="Arial"/>
          <w:b/>
          <w:color w:val="000000" w:themeColor="text1"/>
          <w:kern w:val="0"/>
          <w:sz w:val="28"/>
          <w:szCs w:val="28"/>
          <w14:textFill>
            <w14:solidFill>
              <w14:schemeClr w14:val="tx1"/>
            </w14:solidFill>
          </w14:textFill>
        </w:rPr>
        <w:t>投标报价（大写）</w:t>
      </w:r>
      <w:r>
        <w:rPr>
          <w:rFonts w:ascii="仿宋" w:hAnsi="仿宋" w:eastAsia="仿宋" w:cs="Arial"/>
          <w:b/>
          <w:color w:val="000000" w:themeColor="text1"/>
          <w:kern w:val="0"/>
          <w:sz w:val="28"/>
          <w:szCs w:val="28"/>
          <w14:textFill>
            <w14:solidFill>
              <w14:schemeClr w14:val="tx1"/>
            </w14:solidFill>
          </w14:textFill>
        </w:rPr>
        <w:t>为准；</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7、本</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投标</w:t>
      </w:r>
      <w:r>
        <w:rPr>
          <w:rFonts w:hint="eastAsia" w:ascii="仿宋" w:hAnsi="仿宋" w:eastAsia="仿宋" w:cs="Arial"/>
          <w:b/>
          <w:color w:val="000000" w:themeColor="text1"/>
          <w:kern w:val="0"/>
          <w:sz w:val="28"/>
          <w:szCs w:val="28"/>
          <w14:textFill>
            <w14:solidFill>
              <w14:schemeClr w14:val="tx1"/>
            </w14:solidFill>
          </w14:textFill>
        </w:rPr>
        <w:t>文件》</w:t>
      </w:r>
      <w:r>
        <w:rPr>
          <w:rFonts w:ascii="仿宋" w:hAnsi="仿宋" w:eastAsia="仿宋" w:cs="Arial"/>
          <w:b/>
          <w:color w:val="000000" w:themeColor="text1"/>
          <w:kern w:val="0"/>
          <w:sz w:val="28"/>
          <w:szCs w:val="28"/>
          <w14:textFill>
            <w14:solidFill>
              <w14:schemeClr w14:val="tx1"/>
            </w14:solidFill>
          </w14:textFill>
        </w:rPr>
        <w:t>有效期</w:t>
      </w:r>
      <w:r>
        <w:rPr>
          <w:rFonts w:hint="eastAsia" w:ascii="仿宋" w:hAnsi="仿宋" w:eastAsia="仿宋" w:cs="Arial"/>
          <w:b/>
          <w:color w:val="000000" w:themeColor="text1"/>
          <w:kern w:val="0"/>
          <w:sz w:val="28"/>
          <w:szCs w:val="28"/>
          <w14:textFill>
            <w14:solidFill>
              <w14:schemeClr w14:val="tx1"/>
            </w14:solidFill>
          </w14:textFill>
        </w:rPr>
        <w:t>为</w:t>
      </w:r>
      <w:r>
        <w:rPr>
          <w:rFonts w:ascii="仿宋" w:hAnsi="仿宋" w:eastAsia="仿宋" w:cs="Arial"/>
          <w:b/>
          <w:color w:val="000000" w:themeColor="text1"/>
          <w:kern w:val="0"/>
          <w:sz w:val="28"/>
          <w:szCs w:val="28"/>
          <w14:textFill>
            <w14:solidFill>
              <w14:schemeClr w14:val="tx1"/>
            </w14:solidFill>
          </w14:textFill>
        </w:rPr>
        <w:t>自投标截止之日起</w:t>
      </w:r>
      <w:r>
        <w:rPr>
          <w:rFonts w:ascii="仿宋" w:hAnsi="仿宋" w:eastAsia="仿宋" w:cs="Arial"/>
          <w:b/>
          <w:color w:val="000000" w:themeColor="text1"/>
          <w:kern w:val="0"/>
          <w:sz w:val="28"/>
          <w:szCs w:val="28"/>
          <w:u w:val="single"/>
          <w14:textFill>
            <w14:solidFill>
              <w14:schemeClr w14:val="tx1"/>
            </w14:solidFill>
          </w14:textFill>
        </w:rPr>
        <w:t>120</w:t>
      </w:r>
      <w:r>
        <w:rPr>
          <w:rFonts w:ascii="仿宋" w:hAnsi="仿宋" w:eastAsia="仿宋" w:cs="Arial"/>
          <w:b/>
          <w:color w:val="000000" w:themeColor="text1"/>
          <w:kern w:val="0"/>
          <w:sz w:val="28"/>
          <w:szCs w:val="28"/>
          <w14:textFill>
            <w14:solidFill>
              <w14:schemeClr w14:val="tx1"/>
            </w14:solidFill>
          </w14:textFill>
        </w:rPr>
        <w:t>个日历日。</w:t>
      </w:r>
      <w:r>
        <w:rPr>
          <w:rFonts w:hint="eastAsia" w:ascii="仿宋" w:hAnsi="仿宋" w:eastAsia="仿宋" w:cs="Arial"/>
          <w:b/>
          <w:color w:val="000000" w:themeColor="text1"/>
          <w:kern w:val="0"/>
          <w:sz w:val="28"/>
          <w:szCs w:val="28"/>
          <w14:textFill>
            <w14:solidFill>
              <w14:schemeClr w14:val="tx1"/>
            </w14:solidFill>
          </w14:textFill>
        </w:rPr>
        <w:t>我方承诺：</w:t>
      </w:r>
      <w:r>
        <w:rPr>
          <w:rFonts w:hint="eastAsia" w:ascii="仿宋" w:hAnsi="仿宋" w:eastAsia="仿宋"/>
          <w:color w:val="000000" w:themeColor="text1"/>
          <w:sz w:val="28"/>
          <w:szCs w:val="28"/>
          <w14:textFill>
            <w14:solidFill>
              <w14:schemeClr w14:val="tx1"/>
            </w14:solidFill>
          </w14:textFill>
        </w:rPr>
        <w:t>投标有效期内不撤回（撤销）《投标文件》；如撤回（撤销），承诺按采购文件第三章投标供应商须知第4.6.5款相关规定进行赔偿，并无条件接受同级政府采购监督管理部门依法所作出的任何处理意见。</w:t>
      </w:r>
    </w:p>
    <w:p>
      <w:pPr>
        <w:spacing w:line="360" w:lineRule="auto"/>
        <w:ind w:firstLine="562" w:firstLineChars="200"/>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8、如中标，</w:t>
      </w:r>
      <w:r>
        <w:rPr>
          <w:rFonts w:hint="eastAsia" w:ascii="仿宋" w:hAnsi="仿宋" w:eastAsia="仿宋" w:cs="Arial"/>
          <w:b/>
          <w:color w:val="000000" w:themeColor="text1"/>
          <w:kern w:val="0"/>
          <w:sz w:val="28"/>
          <w:szCs w:val="28"/>
          <w14:textFill>
            <w14:solidFill>
              <w14:schemeClr w14:val="tx1"/>
            </w14:solidFill>
          </w14:textFill>
        </w:rPr>
        <w:t>我方承诺如下：</w:t>
      </w:r>
    </w:p>
    <w:p>
      <w:pPr>
        <w:spacing w:line="360" w:lineRule="auto"/>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w:t>
      </w:r>
      <w:r>
        <w:rPr>
          <w:rFonts w:ascii="仿宋" w:hAnsi="仿宋" w:eastAsia="仿宋" w:cs="Arial"/>
          <w:color w:val="000000" w:themeColor="text1"/>
          <w:kern w:val="0"/>
          <w:sz w:val="28"/>
          <w:szCs w:val="28"/>
          <w14:textFill>
            <w14:solidFill>
              <w14:schemeClr w14:val="tx1"/>
            </w14:solidFill>
          </w14:textFill>
        </w:rPr>
        <w:t>本《投标文件》</w:t>
      </w:r>
      <w:r>
        <w:rPr>
          <w:rFonts w:hint="eastAsia" w:ascii="仿宋" w:hAnsi="仿宋" w:eastAsia="仿宋" w:cs="Arial"/>
          <w:color w:val="000000" w:themeColor="text1"/>
          <w:kern w:val="0"/>
          <w:sz w:val="28"/>
          <w:szCs w:val="28"/>
          <w14:textFill>
            <w14:solidFill>
              <w14:schemeClr w14:val="tx1"/>
            </w14:solidFill>
          </w14:textFill>
        </w:rPr>
        <w:t>有效期将自动延长自</w:t>
      </w:r>
      <w:r>
        <w:rPr>
          <w:rFonts w:ascii="仿宋" w:hAnsi="仿宋" w:eastAsia="仿宋" w:cs="Arial"/>
          <w:color w:val="000000" w:themeColor="text1"/>
          <w:kern w:val="0"/>
          <w:sz w:val="28"/>
          <w:szCs w:val="28"/>
          <w14:textFill>
            <w14:solidFill>
              <w14:schemeClr w14:val="tx1"/>
            </w14:solidFill>
          </w14:textFill>
        </w:rPr>
        <w:t>本项目合同履行完毕止</w:t>
      </w:r>
      <w:r>
        <w:rPr>
          <w:rFonts w:hint="eastAsia" w:ascii="仿宋" w:hAnsi="仿宋" w:eastAsia="仿宋" w:cs="Arial"/>
          <w:color w:val="000000" w:themeColor="text1"/>
          <w:kern w:val="0"/>
          <w:sz w:val="28"/>
          <w:szCs w:val="28"/>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（2）</w:t>
      </w:r>
      <w:r>
        <w:rPr>
          <w:rFonts w:hint="eastAsia" w:ascii="仿宋" w:hAnsi="仿宋" w:eastAsia="仿宋"/>
          <w:b/>
          <w:color w:val="000000" w:themeColor="text1"/>
          <w:sz w:val="28"/>
          <w:szCs w:val="28"/>
          <w:u w:val="single"/>
          <w14:textFill>
            <w14:solidFill>
              <w14:schemeClr w14:val="tx1"/>
            </w14:solidFill>
          </w14:textFill>
        </w:rPr>
        <w:t>按</w:t>
      </w:r>
      <w:r>
        <w:rPr>
          <w:rFonts w:hint="eastAsia" w:ascii="仿宋" w:hAnsi="仿宋" w:eastAsia="仿宋" w:cs="Arial"/>
          <w:b/>
          <w:color w:val="000000" w:themeColor="text1"/>
          <w:kern w:val="0"/>
          <w:sz w:val="28"/>
          <w:szCs w:val="28"/>
          <w:u w:val="single"/>
          <w14:textFill>
            <w14:solidFill>
              <w14:schemeClr w14:val="tx1"/>
            </w14:solidFill>
          </w14:textFill>
        </w:rPr>
        <w:t>采购文件《</w:t>
      </w:r>
      <w:r>
        <w:rPr>
          <w:rFonts w:hint="eastAsia" w:ascii="仿宋" w:hAnsi="仿宋" w:eastAsia="仿宋"/>
          <w:b/>
          <w:color w:val="000000" w:themeColor="text1"/>
          <w:sz w:val="28"/>
          <w:szCs w:val="28"/>
          <w:u w:val="single"/>
          <w14:textFill>
            <w14:solidFill>
              <w14:schemeClr w14:val="tx1"/>
            </w14:solidFill>
          </w14:textFill>
        </w:rPr>
        <w:t>第三章 投标须知》“十、采购代理服务费”相关规定，按时向采购代理机构缴纳采购代理服务费</w:t>
      </w:r>
      <w:r>
        <w:rPr>
          <w:rFonts w:hint="eastAsia" w:ascii="仿宋" w:hAnsi="仿宋" w:eastAsia="仿宋"/>
          <w:b/>
          <w:color w:val="000000" w:themeColor="text1"/>
          <w:sz w:val="28"/>
          <w:szCs w:val="28"/>
          <w14:textFill>
            <w14:solidFill>
              <w14:schemeClr w14:val="tx1"/>
            </w14:solidFill>
          </w14:textFill>
        </w:rPr>
        <w:t>。</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（3）按采购文件</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第三章 投标须知》第11.1.2款规定与采购人签订合同，并</w:t>
      </w:r>
      <w:r>
        <w:rPr>
          <w:rFonts w:ascii="仿宋" w:hAnsi="仿宋" w:eastAsia="仿宋" w:cs="Arial"/>
          <w:color w:val="000000" w:themeColor="text1"/>
          <w:kern w:val="0"/>
          <w:sz w:val="28"/>
          <w:szCs w:val="28"/>
          <w14:textFill>
            <w14:solidFill>
              <w14:schemeClr w14:val="tx1"/>
            </w14:solidFill>
          </w14:textFill>
        </w:rPr>
        <w:t>将按采购文件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政府采购法律、法规的规定</w:t>
      </w:r>
      <w:r>
        <w:rPr>
          <w:rFonts w:hint="eastAsia" w:ascii="仿宋" w:hAnsi="仿宋" w:eastAsia="仿宋" w:cs="Arial"/>
          <w:color w:val="000000" w:themeColor="text1"/>
          <w:kern w:val="0"/>
          <w:sz w:val="28"/>
          <w:szCs w:val="28"/>
          <w14:textFill>
            <w14:solidFill>
              <w14:schemeClr w14:val="tx1"/>
            </w14:solidFill>
          </w14:textFill>
        </w:rPr>
        <w:t>以及我方《投标文件》承诺</w:t>
      </w:r>
      <w:r>
        <w:rPr>
          <w:rFonts w:ascii="仿宋" w:hAnsi="仿宋" w:eastAsia="仿宋" w:cs="Arial"/>
          <w:color w:val="000000" w:themeColor="text1"/>
          <w:kern w:val="0"/>
          <w:sz w:val="28"/>
          <w:szCs w:val="28"/>
          <w14:textFill>
            <w14:solidFill>
              <w14:schemeClr w14:val="tx1"/>
            </w14:solidFill>
          </w14:textFill>
        </w:rPr>
        <w:t>履行合同责任和义务。</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（4）</w:t>
      </w:r>
      <w:r>
        <w:rPr>
          <w:rFonts w:hint="eastAsia" w:ascii="仿宋" w:hAnsi="仿宋" w:eastAsia="仿宋" w:cs="Arial"/>
          <w:b/>
          <w:color w:val="000000" w:themeColor="text1"/>
          <w:kern w:val="0"/>
          <w:sz w:val="28"/>
          <w:szCs w:val="28"/>
          <w:u w:val="single"/>
          <w14:textFill>
            <w14:solidFill>
              <w14:schemeClr w14:val="tx1"/>
            </w14:solidFill>
          </w14:textFill>
        </w:rPr>
        <w:t>如我方拒绝签订合同，承诺按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11.1</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3款相关规定进行赔偿</w:t>
      </w:r>
      <w:r>
        <w:rPr>
          <w:rFonts w:hint="eastAsia" w:ascii="仿宋" w:hAnsi="仿宋" w:eastAsia="仿宋" w:cs="Arial"/>
          <w:color w:val="000000" w:themeColor="text1"/>
          <w:kern w:val="0"/>
          <w:sz w:val="28"/>
          <w:szCs w:val="28"/>
          <w14:textFill>
            <w14:solidFill>
              <w14:schemeClr w14:val="tx1"/>
            </w14:solidFill>
          </w14:textFill>
        </w:rPr>
        <w:t>；</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（5）</w:t>
      </w:r>
      <w:r>
        <w:rPr>
          <w:rFonts w:hint="eastAsia" w:ascii="仿宋" w:hAnsi="仿宋" w:eastAsia="仿宋" w:cs="Arial"/>
          <w:b/>
          <w:color w:val="000000" w:themeColor="text1"/>
          <w:kern w:val="0"/>
          <w:sz w:val="28"/>
          <w:szCs w:val="28"/>
          <w:u w:val="single"/>
          <w14:textFill>
            <w14:solidFill>
              <w14:schemeClr w14:val="tx1"/>
            </w14:solidFill>
          </w14:textFill>
        </w:rPr>
        <w:t>如我方不按合同履约，承诺接受采购人按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11.2</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2款相关规定所作出的所有处理意见</w:t>
      </w:r>
      <w:r>
        <w:rPr>
          <w:rFonts w:hint="eastAsia" w:ascii="仿宋" w:hAnsi="仿宋" w:eastAsia="仿宋" w:cs="Arial"/>
          <w:color w:val="000000" w:themeColor="text1"/>
          <w:kern w:val="0"/>
          <w:sz w:val="28"/>
          <w:szCs w:val="28"/>
          <w14:textFill>
            <w14:solidFill>
              <w14:schemeClr w14:val="tx1"/>
            </w14:solidFill>
          </w14:textFill>
        </w:rPr>
        <w:t>。</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9、我方同意按照贵方要求提供与投标有关的一切数据或资料。</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p>
    <w:p>
      <w:pPr>
        <w:spacing w:line="360" w:lineRule="auto"/>
        <w:rPr>
          <w:rFonts w:ascii="仿宋" w:hAnsi="仿宋" w:eastAsia="仿宋" w:cs="Arial"/>
          <w:b/>
          <w:color w:val="000000" w:themeColor="text1"/>
          <w:kern w:val="0"/>
          <w:sz w:val="28"/>
          <w:szCs w:val="28"/>
          <w:u w:val="single"/>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投标供应商名称</w:t>
      </w:r>
      <w:r>
        <w:rPr>
          <w:rFonts w:ascii="仿宋" w:hAnsi="仿宋" w:eastAsia="仿宋" w:cs="Arial"/>
          <w:b/>
          <w:color w:val="000000" w:themeColor="text1"/>
          <w:sz w:val="28"/>
          <w:szCs w:val="28"/>
          <w14:textFill>
            <w14:solidFill>
              <w14:schemeClr w14:val="tx1"/>
            </w14:solidFill>
          </w14:textFill>
        </w:rPr>
        <w:t>（</w:t>
      </w:r>
      <w:r>
        <w:rPr>
          <w:rFonts w:hint="eastAsia" w:ascii="仿宋" w:hAnsi="仿宋" w:eastAsia="仿宋" w:cs="Arial"/>
          <w:b/>
          <w:color w:val="000000" w:themeColor="text1"/>
          <w:sz w:val="28"/>
          <w:szCs w:val="28"/>
          <w14:textFill>
            <w14:solidFill>
              <w14:schemeClr w14:val="tx1"/>
            </w14:solidFill>
          </w14:textFill>
        </w:rPr>
        <w:t>盖</w:t>
      </w:r>
      <w:r>
        <w:rPr>
          <w:rFonts w:ascii="仿宋" w:hAnsi="仿宋" w:eastAsia="仿宋" w:cs="Arial"/>
          <w:b/>
          <w:color w:val="000000" w:themeColor="text1"/>
          <w:sz w:val="28"/>
          <w:szCs w:val="28"/>
          <w14:textFill>
            <w14:solidFill>
              <w14:schemeClr w14:val="tx1"/>
            </w14:solidFill>
          </w14:textFill>
        </w:rPr>
        <w:t>章）</w:t>
      </w:r>
      <w:r>
        <w:rPr>
          <w:rFonts w:ascii="仿宋" w:hAnsi="仿宋" w:eastAsia="仿宋" w:cs="Arial"/>
          <w:b/>
          <w:color w:val="000000" w:themeColor="text1"/>
          <w:kern w:val="0"/>
          <w:sz w:val="28"/>
          <w:szCs w:val="28"/>
          <w14:textFill>
            <w14:solidFill>
              <w14:schemeClr w14:val="tx1"/>
            </w14:solidFill>
          </w14:textFill>
        </w:rPr>
        <w:t>：______________________________________</w:t>
      </w:r>
    </w:p>
    <w:p>
      <w:pPr>
        <w:spacing w:line="360" w:lineRule="auto"/>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姓名</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：__________________________________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手机号码</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单位地址：________________________</w:t>
      </w:r>
      <w:r>
        <w:rPr>
          <w:rFonts w:ascii="仿宋" w:hAnsi="仿宋" w:eastAsia="仿宋" w:cs="Arial"/>
          <w:color w:val="000000" w:themeColor="text1"/>
          <w:w w:val="90"/>
          <w:kern w:val="0"/>
          <w:sz w:val="28"/>
          <w:szCs w:val="28"/>
          <w14:textFill>
            <w14:solidFill>
              <w14:schemeClr w14:val="tx1"/>
            </w14:solidFill>
          </w14:textFill>
        </w:rPr>
        <w:t>_</w:t>
      </w:r>
      <w:r>
        <w:rPr>
          <w:rFonts w:ascii="仿宋" w:hAnsi="仿宋" w:eastAsia="仿宋" w:cs="Arial"/>
          <w:color w:val="000000" w:themeColor="text1"/>
          <w:kern w:val="0"/>
          <w:sz w:val="28"/>
          <w:szCs w:val="28"/>
          <w14:textFill>
            <w14:solidFill>
              <w14:schemeClr w14:val="tx1"/>
            </w14:solidFill>
          </w14:textFill>
        </w:rPr>
        <w:t>邮编：_______________________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单位电话：____________________</w:t>
      </w:r>
      <w:r>
        <w:rPr>
          <w:rFonts w:ascii="仿宋" w:hAnsi="仿宋" w:eastAsia="仿宋" w:cs="Arial"/>
          <w:color w:val="000000" w:themeColor="text1"/>
          <w:w w:val="90"/>
          <w:kern w:val="0"/>
          <w:sz w:val="28"/>
          <w:szCs w:val="28"/>
          <w14:textFill>
            <w14:solidFill>
              <w14:schemeClr w14:val="tx1"/>
            </w14:solidFill>
          </w14:textFill>
        </w:rPr>
        <w:t>__</w:t>
      </w:r>
      <w:r>
        <w:rPr>
          <w:rFonts w:ascii="仿宋" w:hAnsi="仿宋" w:eastAsia="仿宋" w:cs="Arial"/>
          <w:color w:val="000000" w:themeColor="text1"/>
          <w:kern w:val="0"/>
          <w:sz w:val="28"/>
          <w:szCs w:val="28"/>
          <w14:textFill>
            <w14:solidFill>
              <w14:schemeClr w14:val="tx1"/>
            </w14:solidFill>
          </w14:textFill>
        </w:rPr>
        <w:t>_单位传真：___________________</w:t>
      </w:r>
      <w:r>
        <w:rPr>
          <w:rFonts w:ascii="仿宋" w:hAnsi="仿宋" w:eastAsia="仿宋" w:cs="Arial"/>
          <w:b/>
          <w:color w:val="000000" w:themeColor="text1"/>
          <w:kern w:val="0"/>
          <w:sz w:val="28"/>
          <w:szCs w:val="28"/>
          <w14:textFill>
            <w14:solidFill>
              <w14:schemeClr w14:val="tx1"/>
            </w14:solidFill>
          </w14:textFill>
        </w:rPr>
        <w:t>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开户银行：_______________________银行帐号：___________________</w:t>
      </w:r>
      <w:r>
        <w:rPr>
          <w:rFonts w:ascii="仿宋" w:hAnsi="仿宋" w:eastAsia="仿宋" w:cs="Arial"/>
          <w:b/>
          <w:color w:val="000000" w:themeColor="text1"/>
          <w:kern w:val="0"/>
          <w:sz w:val="28"/>
          <w:szCs w:val="28"/>
          <w14:textFill>
            <w14:solidFill>
              <w14:schemeClr w14:val="tx1"/>
            </w14:solidFill>
          </w14:textFill>
        </w:rPr>
        <w:t>__</w:t>
      </w:r>
    </w:p>
    <w:p>
      <w:pPr>
        <w:spacing w:line="360" w:lineRule="auto"/>
        <w:jc w:val="left"/>
        <w:rPr>
          <w:rFonts w:ascii="Arial" w:hAnsi="新宋体" w:eastAsia="新宋体" w:cs="Arial"/>
          <w:color w:val="000000" w:themeColor="text1"/>
          <w:w w:val="90"/>
          <w:kern w:val="0"/>
          <w:sz w:val="22"/>
          <w:szCs w:val="22"/>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日</w:t>
      </w:r>
      <w:r>
        <w:rPr>
          <w:rFonts w:hint="eastAsia" w:ascii="仿宋" w:hAnsi="仿宋" w:eastAsia="仿宋" w:cs="Arial"/>
          <w:color w:val="000000" w:themeColor="text1"/>
          <w:kern w:val="0"/>
          <w:sz w:val="28"/>
          <w:szCs w:val="28"/>
          <w14:textFill>
            <w14:solidFill>
              <w14:schemeClr w14:val="tx1"/>
            </w14:solidFill>
          </w14:textFill>
        </w:rPr>
        <w:t xml:space="preserve">    </w:t>
      </w:r>
      <w:r>
        <w:rPr>
          <w:rFonts w:ascii="仿宋" w:hAnsi="仿宋" w:eastAsia="仿宋" w:cs="Arial"/>
          <w:color w:val="000000" w:themeColor="text1"/>
          <w:kern w:val="0"/>
          <w:sz w:val="28"/>
          <w:szCs w:val="28"/>
          <w14:textFill>
            <w14:solidFill>
              <w14:schemeClr w14:val="tx1"/>
            </w14:solidFill>
          </w14:textFill>
        </w:rPr>
        <w:t>期：_______年____月____日</w:t>
      </w:r>
    </w:p>
    <w:p>
      <w:pPr>
        <w:ind w:firstLine="283" w:firstLineChars="143"/>
        <w:jc w:val="left"/>
        <w:rPr>
          <w:rFonts w:ascii="Arial" w:hAnsi="Arial" w:eastAsia="新宋体" w:cs="Arial"/>
          <w:color w:val="000000" w:themeColor="text1"/>
          <w:w w:val="90"/>
          <w:kern w:val="0"/>
          <w:sz w:val="22"/>
          <w:szCs w:val="22"/>
          <w14:textFill>
            <w14:solidFill>
              <w14:schemeClr w14:val="tx1"/>
            </w14:solidFill>
          </w14:textFill>
        </w:rPr>
      </w:pPr>
    </w:p>
    <w:p>
      <w:pPr>
        <w:pStyle w:val="5"/>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2-4 ▲法人（或单位）授权委托书（投标供应商授权其单位正式职工代表其全权处理投标事项或签署相关文件时须提供）</w:t>
      </w:r>
    </w:p>
    <w:p>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法人</w:t>
      </w:r>
      <w:r>
        <w:rPr>
          <w:rFonts w:hint="eastAsia" w:ascii="微软雅黑" w:hAnsi="微软雅黑" w:eastAsia="微软雅黑"/>
          <w:b/>
          <w:color w:val="000000" w:themeColor="text1"/>
          <w:sz w:val="40"/>
          <w:szCs w:val="44"/>
          <w14:textFill>
            <w14:solidFill>
              <w14:schemeClr w14:val="tx1"/>
            </w14:solidFill>
          </w14:textFill>
        </w:rPr>
        <w:t>（或单位）</w:t>
      </w:r>
      <w:r>
        <w:rPr>
          <w:rFonts w:ascii="微软雅黑" w:hAnsi="微软雅黑" w:eastAsia="微软雅黑"/>
          <w:b/>
          <w:color w:val="000000" w:themeColor="text1"/>
          <w:sz w:val="40"/>
          <w:szCs w:val="44"/>
          <w14:textFill>
            <w14:solidFill>
              <w14:schemeClr w14:val="tx1"/>
            </w14:solidFill>
          </w14:textFill>
        </w:rPr>
        <w:t>授权委托书</w:t>
      </w:r>
    </w:p>
    <w:p>
      <w:pPr>
        <w:spacing w:line="360" w:lineRule="auto"/>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浙江省住房和城乡建设厅信息宣传中心、浙江省成套招标代理有限公司</w:t>
      </w:r>
      <w:r>
        <w:rPr>
          <w:rFonts w:ascii="仿宋" w:hAnsi="仿宋" w:eastAsia="仿宋" w:cs="Arial"/>
          <w:b/>
          <w:color w:val="000000" w:themeColor="text1"/>
          <w:kern w:val="0"/>
          <w:sz w:val="28"/>
          <w:szCs w:val="22"/>
          <w14:textFill>
            <w14:solidFill>
              <w14:schemeClr w14:val="tx1"/>
            </w14:solidFill>
          </w14:textFill>
        </w:rPr>
        <w:t>：</w:t>
      </w:r>
    </w:p>
    <w:p>
      <w:pPr>
        <w:spacing w:line="360" w:lineRule="auto"/>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现授权委托本单位在职职工</w:t>
      </w:r>
      <w:r>
        <w:rPr>
          <w:rFonts w:ascii="仿宋" w:hAnsi="仿宋" w:eastAsia="仿宋" w:cs="Arial"/>
          <w:color w:val="000000" w:themeColor="text1"/>
          <w:kern w:val="0"/>
          <w:sz w:val="28"/>
          <w:szCs w:val="22"/>
          <w:u w:val="single"/>
          <w14:textFill>
            <w14:solidFill>
              <w14:schemeClr w14:val="tx1"/>
            </w14:solidFill>
          </w14:textFill>
        </w:rPr>
        <w:t>（姓名</w:t>
      </w:r>
      <w:r>
        <w:rPr>
          <w:rFonts w:hint="eastAsia" w:ascii="仿宋" w:hAnsi="仿宋" w:eastAsia="仿宋" w:cs="Arial"/>
          <w:color w:val="000000" w:themeColor="text1"/>
          <w:kern w:val="0"/>
          <w:sz w:val="28"/>
          <w:szCs w:val="22"/>
          <w:u w:val="single"/>
          <w14:textFill>
            <w14:solidFill>
              <w14:schemeClr w14:val="tx1"/>
            </w14:solidFill>
          </w14:textFill>
        </w:rPr>
        <w:t>、身份证号码</w:t>
      </w:r>
      <w:r>
        <w:rPr>
          <w:rFonts w:ascii="仿宋" w:hAnsi="仿宋" w:eastAsia="仿宋" w:cs="Arial"/>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以我方的名义参加</w:t>
      </w:r>
      <w:r>
        <w:rPr>
          <w:rFonts w:hint="eastAsia" w:ascii="仿宋" w:hAnsi="仿宋" w:eastAsia="仿宋" w:cs="Arial"/>
          <w:b/>
          <w:color w:val="000000" w:themeColor="text1"/>
          <w:kern w:val="0"/>
          <w:sz w:val="28"/>
          <w:szCs w:val="22"/>
          <w:u w:val="single"/>
          <w14:textFill>
            <w14:solidFill>
              <w14:schemeClr w14:val="tx1"/>
            </w14:solidFill>
          </w14:textFill>
        </w:rPr>
        <w:t>浙江省城市运行安全数字化管理系统（被整合系统）运维项目</w:t>
      </w:r>
      <w:r>
        <w:rPr>
          <w:rFonts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CTZB-2024080141</w:t>
      </w:r>
      <w:r>
        <w:rPr>
          <w:rFonts w:ascii="仿宋" w:hAnsi="仿宋" w:eastAsia="仿宋" w:cs="Arial"/>
          <w:b/>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的投标活动，并代表我方全权办理针对上述项目的投标、开标、评标、签约等具体事务和签署相关文件</w:t>
      </w:r>
      <w:r>
        <w:rPr>
          <w:rFonts w:hint="eastAsia" w:ascii="仿宋" w:hAnsi="仿宋" w:eastAsia="仿宋" w:cs="Arial"/>
          <w:color w:val="000000" w:themeColor="text1"/>
          <w:kern w:val="0"/>
          <w:sz w:val="28"/>
          <w:szCs w:val="22"/>
          <w14:textFill>
            <w14:solidFill>
              <w14:schemeClr w14:val="tx1"/>
            </w14:solidFill>
          </w14:textFill>
        </w:rPr>
        <w:t>、材料</w:t>
      </w:r>
      <w:r>
        <w:rPr>
          <w:rFonts w:ascii="仿宋" w:hAnsi="仿宋" w:eastAsia="仿宋" w:cs="Arial"/>
          <w:color w:val="000000" w:themeColor="text1"/>
          <w:kern w:val="0"/>
          <w:sz w:val="28"/>
          <w:szCs w:val="22"/>
          <w14:textFill>
            <w14:solidFill>
              <w14:schemeClr w14:val="tx1"/>
            </w14:solidFill>
          </w14:textFill>
        </w:rPr>
        <w:t>。</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我方对被授权人的签名负全部责任。在撤销授权的书面通知以前，本授权书一直有效。被授权人在授权书有效期内签署的所有文件不因授权的撤销而失效。</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被授权人无转委托权，特此委托。</w:t>
      </w:r>
    </w:p>
    <w:p>
      <w:pPr>
        <w:spacing w:line="360" w:lineRule="auto"/>
        <w:ind w:firstLine="562" w:firstLineChars="200"/>
        <w:rPr>
          <w:rFonts w:ascii="仿宋" w:hAnsi="仿宋" w:eastAsia="仿宋" w:cs="Arial"/>
          <w:b/>
          <w:color w:val="000000" w:themeColor="text1"/>
          <w:kern w:val="0"/>
          <w:sz w:val="28"/>
          <w:szCs w:val="22"/>
          <w14:textFill>
            <w14:solidFill>
              <w14:schemeClr w14:val="tx1"/>
            </w14:solidFill>
          </w14:textFill>
        </w:rPr>
      </w:pPr>
    </w:p>
    <w:p>
      <w:pPr>
        <w:spacing w:line="360" w:lineRule="auto"/>
        <w:ind w:firstLine="562"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b/>
          <w:color w:val="000000" w:themeColor="text1"/>
          <w:kern w:val="0"/>
          <w:sz w:val="28"/>
          <w:szCs w:val="22"/>
          <w14:textFill>
            <w14:solidFill>
              <w14:schemeClr w14:val="tx1"/>
            </w14:solidFill>
          </w14:textFill>
        </w:rPr>
        <w:t>投标供应商</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b/>
          <w:color w:val="000000" w:themeColor="text1"/>
          <w:kern w:val="0"/>
          <w:sz w:val="28"/>
          <w:szCs w:val="22"/>
          <w14:textFill>
            <w14:solidFill>
              <w14:schemeClr w14:val="tx1"/>
            </w14:solidFill>
          </w14:textFill>
        </w:rPr>
        <w:t>盖章</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：__________________________________________</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日期</w:t>
      </w:r>
      <w:r>
        <w:rPr>
          <w:rFonts w:ascii="仿宋" w:hAnsi="仿宋" w:eastAsia="仿宋" w:cs="Arial"/>
          <w:color w:val="000000" w:themeColor="text1"/>
          <w:kern w:val="0"/>
          <w:sz w:val="28"/>
          <w:szCs w:val="22"/>
          <w14:textFill>
            <w14:solidFill>
              <w14:schemeClr w14:val="tx1"/>
            </w14:solidFill>
          </w14:textFill>
        </w:rPr>
        <w:t>：______年______月______日</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后附证明材料（证明材料不齐全的，视为无效授权）：</w:t>
      </w:r>
    </w:p>
    <w:p>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1、被授权人（授权代表）身份证复印件（正反面均须提供）；</w:t>
      </w:r>
    </w:p>
    <w:p>
      <w:pPr>
        <w:spacing w:line="360" w:lineRule="auto"/>
        <w:ind w:firstLine="482" w:firstLineChars="200"/>
        <w:rPr>
          <w:rFonts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2、被授权人（授权代表）距离投标截止日最近一期个人社保缴纳证明。</w:t>
      </w:r>
    </w:p>
    <w:p>
      <w:pPr>
        <w:pStyle w:val="5"/>
        <w:ind w:firstLine="110"/>
        <w:rPr>
          <w:color w:val="000000" w:themeColor="text1"/>
          <w14:textFill>
            <w14:solidFill>
              <w14:schemeClr w14:val="tx1"/>
            </w14:solidFill>
          </w14:textFill>
        </w:rPr>
      </w:pPr>
      <w:r>
        <w:rPr>
          <w:rFonts w:ascii="Arial" w:hAnsi="新宋体"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2-5 供应商履约能力评价证明材料</w:t>
      </w:r>
    </w:p>
    <w:p>
      <w:pPr>
        <w:pStyle w:val="6"/>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（1）投标供应商履约能力评价证明材料</w:t>
      </w:r>
    </w:p>
    <w:p>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投标供应商履约能力评价证明材料</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pPr>
              <w:spacing w:line="360" w:lineRule="auto"/>
              <w:jc w:val="center"/>
              <w:rPr>
                <w:rFonts w:ascii="仿宋" w:hAnsi="仿宋" w:eastAsia="仿宋" w:cs="Arial"/>
                <w:i/>
                <w:color w:val="000000" w:themeColor="text1"/>
                <w:kern w:val="0"/>
                <w:sz w:val="36"/>
                <w:szCs w:val="22"/>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对照评分要求提供</w:t>
            </w:r>
          </w:p>
          <w:p>
            <w:pPr>
              <w:spacing w:line="360" w:lineRule="auto"/>
              <w:jc w:val="center"/>
              <w:rPr>
                <w:rFonts w:ascii="Arial" w:hAnsi="新宋体" w:eastAsia="新宋体" w:cs="Arial"/>
                <w:i/>
                <w:color w:val="000000" w:themeColor="text1"/>
                <w:sz w:val="32"/>
                <w:szCs w:val="21"/>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（加盖投标供应商公章，否则视为未提供）</w:t>
            </w:r>
          </w:p>
        </w:tc>
      </w:tr>
    </w:tbl>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r>
        <w:rPr>
          <w:rFonts w:ascii="Calibri" w:hAnsi="Calibri"/>
          <w:color w:val="000000" w:themeColor="text1"/>
          <w14:textFill>
            <w14:solidFill>
              <w14:schemeClr w14:val="tx1"/>
            </w14:solidFill>
          </w14:textFill>
        </w:rPr>
        <w:br w:type="page"/>
      </w:r>
      <w:r>
        <w:rPr>
          <w:rFonts w:hint="eastAsia"/>
          <w:color w:val="000000" w:themeColor="text1"/>
          <w14:textFill>
            <w14:solidFill>
              <w14:schemeClr w14:val="tx1"/>
            </w14:solidFill>
          </w14:textFill>
        </w:rPr>
        <w:t>（2）投标供应商类似项目业绩及证明材料</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投标供应商类似业绩汇总表及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p>
      <w:pPr>
        <w:jc w:val="center"/>
        <w:rPr>
          <w:rFonts w:ascii="华文中宋" w:hAnsi="华文中宋" w:eastAsia="华文中宋"/>
          <w:b/>
          <w:color w:val="000000" w:themeColor="text1"/>
          <w:kern w:val="0"/>
          <w:sz w:val="20"/>
          <w:szCs w:val="28"/>
          <w14:textFill>
            <w14:solidFill>
              <w14:schemeClr w14:val="tx1"/>
            </w14:solidFill>
          </w14:textFill>
        </w:rPr>
      </w:pPr>
    </w:p>
    <w:p>
      <w:pPr>
        <w:spacing w:line="360" w:lineRule="auto"/>
        <w:ind w:right="-2"/>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w:t>
      </w:r>
      <w:r>
        <w:rPr>
          <w:rFonts w:ascii="仿宋" w:hAnsi="仿宋" w:eastAsia="仿宋" w:cs="Arial"/>
          <w:b/>
          <w:color w:val="000000" w:themeColor="text1"/>
          <w:sz w:val="24"/>
          <w14:textFill>
            <w14:solidFill>
              <w14:schemeClr w14:val="tx1"/>
            </w14:solidFill>
          </w14:textFill>
        </w:rPr>
        <w:t>名称：</w:t>
      </w:r>
      <w:r>
        <w:rPr>
          <w:rFonts w:hint="eastAsia" w:ascii="仿宋" w:hAnsi="仿宋" w:eastAsia="仿宋" w:cs="Arial"/>
          <w:b/>
          <w:color w:val="000000" w:themeColor="text1"/>
          <w:sz w:val="24"/>
          <w:u w:val="single"/>
          <w14:textFill>
            <w14:solidFill>
              <w14:schemeClr w14:val="tx1"/>
            </w14:solidFill>
          </w14:textFill>
        </w:rPr>
        <w:t>浙江省城市运行安全数字化管理系统（被整合系统）运维项目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CTZB-2024080141</w:t>
      </w:r>
    </w:p>
    <w:tbl>
      <w:tblPr>
        <w:tblStyle w:val="58"/>
        <w:tblW w:w="9102" w:type="dxa"/>
        <w:tblInd w:w="-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11"/>
        <w:gridCol w:w="1431"/>
        <w:gridCol w:w="2200"/>
        <w:gridCol w:w="1840"/>
        <w:gridCol w:w="1547"/>
        <w:gridCol w:w="137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序号</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用户单位</w:t>
            </w: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合同主要内容</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合同签订时间</w:t>
            </w: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用户</w:t>
            </w:r>
            <w:r>
              <w:rPr>
                <w:rFonts w:ascii="仿宋" w:hAnsi="仿宋" w:eastAsia="仿宋" w:cs="Arial"/>
                <w:b/>
                <w:color w:val="000000" w:themeColor="text1"/>
                <w:kern w:val="0"/>
                <w:sz w:val="24"/>
                <w14:textFill>
                  <w14:solidFill>
                    <w14:schemeClr w14:val="tx1"/>
                  </w14:solidFill>
                </w14:textFill>
              </w:rPr>
              <w:t>联系</w:t>
            </w:r>
            <w:r>
              <w:rPr>
                <w:rFonts w:hint="eastAsia" w:ascii="仿宋" w:hAnsi="仿宋" w:eastAsia="仿宋" w:cs="Arial"/>
                <w:b/>
                <w:color w:val="000000" w:themeColor="text1"/>
                <w:kern w:val="0"/>
                <w:sz w:val="24"/>
                <w14:textFill>
                  <w14:solidFill>
                    <w14:schemeClr w14:val="tx1"/>
                  </w14:solidFill>
                </w14:textFill>
              </w:rPr>
              <w:t>人及</w:t>
            </w:r>
            <w:r>
              <w:rPr>
                <w:rFonts w:ascii="仿宋" w:hAnsi="仿宋" w:eastAsia="仿宋" w:cs="Arial"/>
                <w:b/>
                <w:color w:val="000000" w:themeColor="text1"/>
                <w:kern w:val="0"/>
                <w:sz w:val="24"/>
                <w14:textFill>
                  <w14:solidFill>
                    <w14:schemeClr w14:val="tx1"/>
                  </w14:solidFill>
                </w14:textFill>
              </w:rPr>
              <w:t>电话</w:t>
            </w: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证明材料页码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备注：证明材料见评审要求。</w:t>
      </w:r>
    </w:p>
    <w:p>
      <w:pPr>
        <w:spacing w:line="360" w:lineRule="auto"/>
        <w:rPr>
          <w:rFonts w:ascii="仿宋" w:hAnsi="仿宋" w:eastAsia="仿宋" w:cs="Arial"/>
          <w:color w:val="000000" w:themeColor="text1"/>
          <w:sz w:val="24"/>
          <w:szCs w:val="22"/>
          <w14:textFill>
            <w14:solidFill>
              <w14:schemeClr w14:val="tx1"/>
            </w14:solidFill>
          </w14:textFill>
        </w:rPr>
      </w:pPr>
    </w:p>
    <w:p>
      <w:pPr>
        <w:spacing w:line="360" w:lineRule="auto"/>
        <w:rPr>
          <w:rFonts w:ascii="仿宋" w:hAnsi="仿宋" w:eastAsia="仿宋" w:cs="Arial"/>
          <w:color w:val="000000" w:themeColor="text1"/>
          <w:sz w:val="24"/>
          <w:szCs w:val="22"/>
          <w14:textFill>
            <w14:solidFill>
              <w14:schemeClr w14:val="tx1"/>
            </w14:solidFill>
          </w14:textFill>
        </w:rPr>
      </w:pPr>
    </w:p>
    <w:p>
      <w:pPr>
        <w:spacing w:line="360" w:lineRule="auto"/>
        <w:rPr>
          <w:rFonts w:ascii="仿宋" w:hAnsi="仿宋" w:eastAsia="仿宋" w:cs="Arial"/>
          <w:color w:val="000000" w:themeColor="text1"/>
          <w:sz w:val="22"/>
          <w:szCs w:val="22"/>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napToGrid w:val="0"/>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snapToGrid w:val="0"/>
        <w:spacing w:line="360" w:lineRule="auto"/>
        <w:rPr>
          <w:rFonts w:ascii="仿宋" w:hAnsi="仿宋" w:eastAsia="仿宋" w:cs="Arial"/>
          <w:color w:val="000000" w:themeColor="text1"/>
          <w:kern w:val="0"/>
          <w:sz w:val="24"/>
          <w14:textFill>
            <w14:solidFill>
              <w14:schemeClr w14:val="tx1"/>
            </w14:solidFill>
          </w14:textFill>
        </w:rPr>
      </w:pPr>
    </w:p>
    <w:p>
      <w:pPr>
        <w:snapToGrid w:val="0"/>
        <w:spacing w:line="360" w:lineRule="auto"/>
        <w:rPr>
          <w:rFonts w:ascii="仿宋" w:hAnsi="仿宋" w:eastAsia="仿宋" w:cs="Arial"/>
          <w:color w:val="000000" w:themeColor="text1"/>
          <w:w w:val="90"/>
          <w:kern w:val="0"/>
          <w:sz w:val="24"/>
          <w14:textFill>
            <w14:solidFill>
              <w14:schemeClr w14:val="tx1"/>
            </w14:solidFill>
          </w14:textFill>
        </w:rPr>
        <w:sectPr>
          <w:pgSz w:w="11906" w:h="16838"/>
          <w:pgMar w:top="1701" w:right="1418" w:bottom="1440" w:left="1559" w:header="709" w:footer="992" w:gutter="0"/>
          <w:pgNumType w:fmt="numberInDash"/>
          <w:cols w:space="720" w:num="1"/>
          <w:docGrid w:linePitch="312" w:charSpace="0"/>
        </w:sectPr>
      </w:pP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2-6 ▲商务技术偏离表</w:t>
      </w:r>
    </w:p>
    <w:p>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▲商务技术偏离表</w:t>
      </w:r>
    </w:p>
    <w:p>
      <w:pPr>
        <w:spacing w:line="360" w:lineRule="auto"/>
        <w:ind w:right="-643" w:rightChars="-30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浙江省城市运行安全数字化管理系统（被整合系统）运维项目</w:t>
      </w:r>
      <w:r>
        <w:rPr>
          <w:rFonts w:hint="eastAsia" w:ascii="仿宋" w:hAnsi="仿宋" w:eastAsia="仿宋" w:cs="Arial"/>
          <w:b/>
          <w:color w:val="000000" w:themeColor="text1"/>
          <w:sz w:val="24"/>
          <w:szCs w:val="22"/>
          <w14:textFill>
            <w14:solidFill>
              <w14:schemeClr w14:val="tx1"/>
            </w14:solidFill>
          </w14:textFill>
        </w:rPr>
        <w:t xml:space="preserve">            </w:t>
      </w:r>
    </w:p>
    <w:p>
      <w:pPr>
        <w:spacing w:line="360" w:lineRule="auto"/>
        <w:ind w:right="-643" w:rightChars="-306"/>
        <w:rPr>
          <w:rFonts w:hint="eastAsia" w:ascii="仿宋" w:hAnsi="仿宋" w:eastAsia="仿宋" w:cs="Arial"/>
          <w:b/>
          <w:color w:val="000000" w:themeColor="text1"/>
          <w:kern w:val="0"/>
          <w:sz w:val="24"/>
          <w:szCs w:val="22"/>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CTZB-2024080141</w:t>
      </w:r>
    </w:p>
    <w:tbl>
      <w:tblPr>
        <w:tblStyle w:val="58"/>
        <w:tblW w:w="9162" w:type="dxa"/>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3516"/>
        <w:gridCol w:w="3399"/>
        <w:gridCol w:w="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trPr>
        <w:tc>
          <w:tcPr>
            <w:tcW w:w="725"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3516"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招标文件章节及具体内容</w:t>
            </w:r>
          </w:p>
        </w:tc>
        <w:tc>
          <w:tcPr>
            <w:tcW w:w="3399"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投标文件章节及具体内容</w:t>
            </w:r>
          </w:p>
        </w:tc>
        <w:tc>
          <w:tcPr>
            <w:tcW w:w="1522"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pPr>
              <w:spacing w:line="276" w:lineRule="auto"/>
              <w:jc w:val="center"/>
              <w:rPr>
                <w:rFonts w:ascii="仿宋" w:hAnsi="仿宋" w:eastAsia="仿宋"/>
                <w:color w:val="000000"/>
                <w:w w:val="90"/>
                <w:sz w:val="24"/>
              </w:rPr>
            </w:pPr>
          </w:p>
        </w:tc>
        <w:tc>
          <w:tcPr>
            <w:tcW w:w="3516" w:type="dxa"/>
            <w:vAlign w:val="center"/>
          </w:tcPr>
          <w:p>
            <w:pPr>
              <w:spacing w:line="276" w:lineRule="auto"/>
              <w:jc w:val="left"/>
              <w:rPr>
                <w:rFonts w:ascii="仿宋" w:hAnsi="仿宋" w:eastAsia="仿宋"/>
                <w:b/>
                <w:color w:val="000000"/>
                <w:w w:val="90"/>
                <w:sz w:val="24"/>
              </w:rPr>
            </w:pPr>
          </w:p>
        </w:tc>
        <w:tc>
          <w:tcPr>
            <w:tcW w:w="3399" w:type="dxa"/>
            <w:vAlign w:val="center"/>
          </w:tcPr>
          <w:p>
            <w:pPr>
              <w:spacing w:line="276" w:lineRule="auto"/>
              <w:jc w:val="center"/>
              <w:rPr>
                <w:rFonts w:ascii="仿宋" w:hAnsi="仿宋" w:eastAsia="仿宋"/>
                <w:color w:val="000000"/>
                <w:w w:val="90"/>
                <w:sz w:val="24"/>
              </w:rPr>
            </w:pPr>
          </w:p>
        </w:tc>
        <w:tc>
          <w:tcPr>
            <w:tcW w:w="1522"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pPr>
              <w:spacing w:line="276" w:lineRule="auto"/>
              <w:jc w:val="center"/>
              <w:rPr>
                <w:rFonts w:ascii="仿宋" w:hAnsi="仿宋" w:eastAsia="仿宋"/>
                <w:color w:val="000000"/>
                <w:w w:val="90"/>
                <w:sz w:val="24"/>
              </w:rPr>
            </w:pPr>
          </w:p>
        </w:tc>
        <w:tc>
          <w:tcPr>
            <w:tcW w:w="3516" w:type="dxa"/>
            <w:vAlign w:val="center"/>
          </w:tcPr>
          <w:p>
            <w:pPr>
              <w:spacing w:line="276" w:lineRule="auto"/>
              <w:jc w:val="left"/>
              <w:rPr>
                <w:rFonts w:ascii="仿宋" w:hAnsi="仿宋" w:eastAsia="仿宋"/>
                <w:b/>
                <w:color w:val="000000"/>
                <w:w w:val="90"/>
                <w:sz w:val="24"/>
              </w:rPr>
            </w:pPr>
          </w:p>
        </w:tc>
        <w:tc>
          <w:tcPr>
            <w:tcW w:w="3399" w:type="dxa"/>
            <w:vAlign w:val="center"/>
          </w:tcPr>
          <w:p>
            <w:pPr>
              <w:spacing w:line="276" w:lineRule="auto"/>
              <w:jc w:val="center"/>
              <w:rPr>
                <w:rFonts w:ascii="仿宋" w:hAnsi="仿宋" w:eastAsia="仿宋"/>
                <w:color w:val="000000"/>
                <w:w w:val="90"/>
                <w:sz w:val="24"/>
              </w:rPr>
            </w:pPr>
          </w:p>
        </w:tc>
        <w:tc>
          <w:tcPr>
            <w:tcW w:w="1522"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pPr>
              <w:spacing w:line="276" w:lineRule="auto"/>
              <w:jc w:val="center"/>
              <w:rPr>
                <w:rFonts w:ascii="仿宋" w:hAnsi="仿宋" w:eastAsia="仿宋"/>
                <w:color w:val="000000"/>
                <w:w w:val="90"/>
                <w:sz w:val="24"/>
              </w:rPr>
            </w:pPr>
          </w:p>
        </w:tc>
        <w:tc>
          <w:tcPr>
            <w:tcW w:w="3516" w:type="dxa"/>
            <w:vAlign w:val="center"/>
          </w:tcPr>
          <w:p>
            <w:pPr>
              <w:spacing w:line="276" w:lineRule="auto"/>
              <w:jc w:val="left"/>
              <w:rPr>
                <w:rFonts w:ascii="仿宋" w:hAnsi="仿宋" w:eastAsia="仿宋"/>
                <w:b/>
                <w:color w:val="000000"/>
                <w:w w:val="90"/>
                <w:sz w:val="24"/>
              </w:rPr>
            </w:pPr>
          </w:p>
        </w:tc>
        <w:tc>
          <w:tcPr>
            <w:tcW w:w="3399" w:type="dxa"/>
            <w:vAlign w:val="center"/>
          </w:tcPr>
          <w:p>
            <w:pPr>
              <w:spacing w:line="276" w:lineRule="auto"/>
              <w:jc w:val="center"/>
              <w:rPr>
                <w:rFonts w:ascii="仿宋" w:hAnsi="仿宋" w:eastAsia="仿宋"/>
                <w:color w:val="000000"/>
                <w:w w:val="90"/>
                <w:sz w:val="24"/>
              </w:rPr>
            </w:pPr>
          </w:p>
        </w:tc>
        <w:tc>
          <w:tcPr>
            <w:tcW w:w="1522"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pPr>
              <w:spacing w:line="276" w:lineRule="auto"/>
              <w:jc w:val="center"/>
              <w:rPr>
                <w:rFonts w:ascii="仿宋" w:hAnsi="仿宋" w:eastAsia="仿宋"/>
                <w:color w:val="000000"/>
                <w:w w:val="90"/>
                <w:sz w:val="24"/>
              </w:rPr>
            </w:pPr>
          </w:p>
        </w:tc>
        <w:tc>
          <w:tcPr>
            <w:tcW w:w="3516" w:type="dxa"/>
            <w:vAlign w:val="center"/>
          </w:tcPr>
          <w:p>
            <w:pPr>
              <w:spacing w:line="276" w:lineRule="auto"/>
              <w:jc w:val="left"/>
              <w:rPr>
                <w:rFonts w:ascii="仿宋" w:hAnsi="仿宋" w:eastAsia="仿宋"/>
                <w:b/>
                <w:color w:val="000000"/>
                <w:w w:val="90"/>
                <w:sz w:val="24"/>
              </w:rPr>
            </w:pPr>
          </w:p>
        </w:tc>
        <w:tc>
          <w:tcPr>
            <w:tcW w:w="3399" w:type="dxa"/>
            <w:vAlign w:val="center"/>
          </w:tcPr>
          <w:p>
            <w:pPr>
              <w:spacing w:line="276" w:lineRule="auto"/>
              <w:jc w:val="center"/>
              <w:rPr>
                <w:rFonts w:ascii="仿宋" w:hAnsi="仿宋" w:eastAsia="仿宋"/>
                <w:color w:val="000000"/>
                <w:w w:val="90"/>
                <w:sz w:val="24"/>
              </w:rPr>
            </w:pPr>
          </w:p>
        </w:tc>
        <w:tc>
          <w:tcPr>
            <w:tcW w:w="1522"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725" w:type="dxa"/>
            <w:vAlign w:val="center"/>
          </w:tcPr>
          <w:p>
            <w:pPr>
              <w:spacing w:line="276" w:lineRule="auto"/>
              <w:jc w:val="center"/>
              <w:rPr>
                <w:rFonts w:ascii="仿宋" w:hAnsi="仿宋" w:eastAsia="仿宋"/>
                <w:color w:val="000000"/>
                <w:w w:val="90"/>
                <w:sz w:val="24"/>
              </w:rPr>
            </w:pPr>
          </w:p>
        </w:tc>
        <w:tc>
          <w:tcPr>
            <w:tcW w:w="3516" w:type="dxa"/>
            <w:vAlign w:val="center"/>
          </w:tcPr>
          <w:p>
            <w:pPr>
              <w:spacing w:line="276" w:lineRule="auto"/>
              <w:jc w:val="left"/>
              <w:rPr>
                <w:rFonts w:ascii="仿宋" w:hAnsi="仿宋" w:eastAsia="仿宋"/>
                <w:b/>
                <w:color w:val="000000"/>
                <w:w w:val="90"/>
                <w:sz w:val="24"/>
              </w:rPr>
            </w:pPr>
          </w:p>
        </w:tc>
        <w:tc>
          <w:tcPr>
            <w:tcW w:w="3399" w:type="dxa"/>
            <w:vAlign w:val="center"/>
          </w:tcPr>
          <w:p>
            <w:pPr>
              <w:spacing w:line="276" w:lineRule="auto"/>
              <w:jc w:val="center"/>
              <w:rPr>
                <w:rFonts w:ascii="仿宋" w:hAnsi="仿宋" w:eastAsia="仿宋"/>
                <w:color w:val="000000"/>
                <w:w w:val="90"/>
                <w:sz w:val="24"/>
              </w:rPr>
            </w:pPr>
          </w:p>
        </w:tc>
        <w:tc>
          <w:tcPr>
            <w:tcW w:w="1522" w:type="dxa"/>
            <w:vAlign w:val="center"/>
          </w:tcPr>
          <w:p>
            <w:pPr>
              <w:spacing w:line="276" w:lineRule="auto"/>
              <w:jc w:val="center"/>
              <w:rPr>
                <w:rFonts w:ascii="仿宋" w:hAnsi="仿宋" w:eastAsia="仿宋"/>
                <w:color w:val="000000"/>
                <w:w w:val="90"/>
                <w:sz w:val="24"/>
              </w:rPr>
            </w:pPr>
          </w:p>
        </w:tc>
      </w:tr>
    </w:tbl>
    <w:p>
      <w:pPr>
        <w:snapToGrid w:val="0"/>
        <w:spacing w:line="360" w:lineRule="auto"/>
        <w:ind w:right="-19" w:rightChars="-9"/>
        <w:rPr>
          <w:rFonts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kern w:val="0"/>
          <w:sz w:val="24"/>
        </w:rPr>
        <w:t>投标供应商保证：除偏离表列出的偏离外，供应商响应招标文件的全部要求。</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投标供应商名称（盖章）：</w:t>
      </w:r>
      <w:r>
        <w:rPr>
          <w:rFonts w:ascii="仿宋" w:hAnsi="仿宋" w:eastAsia="仿宋"/>
          <w:color w:val="000000" w:themeColor="text1"/>
          <w:sz w:val="24"/>
          <w14:textFill>
            <w14:solidFill>
              <w14:schemeClr w14:val="tx1"/>
            </w14:solidFill>
          </w14:textFill>
        </w:rPr>
        <w:t>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pPr>
        <w:snapToGrid w:val="0"/>
        <w:spacing w:line="360" w:lineRule="auto"/>
        <w:rPr>
          <w:rFonts w:ascii="新宋体" w:hAnsi="新宋体" w:eastAsia="新宋体" w:cs="Arial"/>
          <w:b/>
          <w:i/>
          <w:color w:val="000000"/>
          <w:sz w:val="24"/>
        </w:rPr>
      </w:pPr>
      <w:r>
        <w:rPr>
          <w:rFonts w:hint="eastAsia" w:ascii="新宋体" w:hAnsi="新宋体" w:eastAsia="新宋体" w:cs="Arial"/>
          <w:b/>
          <w:i/>
          <w:color w:val="000000"/>
          <w:sz w:val="24"/>
        </w:rPr>
        <w:t>『编制说明』</w:t>
      </w:r>
      <w:r>
        <w:rPr>
          <w:rFonts w:ascii="新宋体" w:hAnsi="新宋体" w:eastAsia="新宋体" w:cs="Arial"/>
          <w:b/>
          <w:i/>
          <w:color w:val="000000"/>
          <w:sz w:val="24"/>
        </w:rPr>
        <w:t>：</w:t>
      </w:r>
    </w:p>
    <w:p>
      <w:pPr>
        <w:snapToGrid w:val="0"/>
        <w:spacing w:line="360" w:lineRule="auto"/>
        <w:ind w:firstLine="566" w:firstLineChars="235"/>
        <w:rPr>
          <w:rFonts w:ascii="新宋体" w:hAnsi="新宋体" w:eastAsia="新宋体" w:cs="Arial"/>
          <w:b/>
          <w:i/>
          <w:color w:val="000000"/>
          <w:sz w:val="24"/>
        </w:rPr>
      </w:pPr>
      <w:r>
        <w:rPr>
          <w:rFonts w:hint="eastAsia" w:ascii="新宋体" w:hAnsi="新宋体" w:eastAsia="新宋体" w:cs="Arial"/>
          <w:b/>
          <w:i/>
          <w:color w:val="000000"/>
          <w:sz w:val="24"/>
        </w:rPr>
        <w:t>1.如有偏离，内容对照第二章招标采购需求有关技术和商务要求内容填写并进行偏离说明。</w:t>
      </w:r>
    </w:p>
    <w:p>
      <w:pPr>
        <w:snapToGrid w:val="0"/>
        <w:spacing w:line="360" w:lineRule="auto"/>
        <w:ind w:firstLine="566" w:firstLineChars="235"/>
        <w:rPr>
          <w:rFonts w:ascii="新宋体" w:hAnsi="新宋体" w:eastAsia="新宋体" w:cs="Arial"/>
          <w:b/>
          <w:i/>
          <w:color w:val="000000"/>
          <w:kern w:val="0"/>
          <w:sz w:val="24"/>
          <w:szCs w:val="28"/>
        </w:rPr>
      </w:pPr>
      <w:r>
        <w:rPr>
          <w:rFonts w:hint="eastAsia" w:ascii="新宋体" w:hAnsi="新宋体" w:eastAsia="新宋体" w:cs="Arial"/>
          <w:b/>
          <w:i/>
          <w:color w:val="000000"/>
          <w:sz w:val="24"/>
        </w:rPr>
        <w:t>2.</w:t>
      </w:r>
      <w:r>
        <w:rPr>
          <w:rFonts w:hint="eastAsia" w:ascii="新宋体" w:hAnsi="新宋体" w:eastAsia="新宋体" w:cs="Arial"/>
          <w:b/>
          <w:i/>
          <w:color w:val="000000"/>
          <w:kern w:val="0"/>
          <w:sz w:val="24"/>
          <w:szCs w:val="28"/>
          <w:u w:val="single"/>
        </w:rPr>
        <w:t>供应商须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本格式和要求提供本表，否则投标无效</w:t>
      </w:r>
      <w:r>
        <w:rPr>
          <w:rFonts w:hint="eastAsia" w:ascii="新宋体" w:hAnsi="新宋体" w:eastAsia="新宋体" w:cs="Arial"/>
          <w:b/>
          <w:i/>
          <w:color w:val="000000"/>
          <w:kern w:val="0"/>
          <w:sz w:val="24"/>
          <w:szCs w:val="28"/>
        </w:rPr>
        <w:t>。</w:t>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2-7技术服务实施方案</w:t>
      </w:r>
    </w:p>
    <w:p>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技术服务实施方案</w:t>
      </w:r>
    </w:p>
    <w:p>
      <w:pPr>
        <w:spacing w:before="240" w:line="360" w:lineRule="auto"/>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浙江省城市运行安全数字化管理系统（被整合系统）运维项目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CTZB-2024080141</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060" w:hRule="atLeast"/>
        </w:trPr>
        <w:tc>
          <w:tcPr>
            <w:tcW w:w="9356" w:type="dxa"/>
            <w:vAlign w:val="center"/>
          </w:tcPr>
          <w:p>
            <w:pPr>
              <w:spacing w:line="360" w:lineRule="auto"/>
              <w:jc w:val="left"/>
              <w:rPr>
                <w:rFonts w:ascii="Arial" w:hAnsi="新宋体" w:eastAsia="新宋体" w:cs="Arial"/>
                <w:i/>
                <w:color w:val="000000" w:themeColor="text1"/>
                <w:sz w:val="28"/>
                <w:szCs w:val="32"/>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内容要求见评分细则但不仅限于</w:t>
            </w: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pStyle w:val="24"/>
        <w:sectPr>
          <w:headerReference r:id="rId24" w:type="default"/>
          <w:pgSz w:w="11906" w:h="16838"/>
          <w:pgMar w:top="1667" w:right="1418" w:bottom="1440" w:left="1559" w:header="709" w:footer="992" w:gutter="0"/>
          <w:pgNumType w:fmt="numberInDash"/>
          <w:cols w:space="720" w:num="1"/>
          <w:docGrid w:linePitch="312" w:charSpace="0"/>
        </w:sectPr>
      </w:pP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2-8拟派项目团队人员情况</w:t>
      </w:r>
    </w:p>
    <w:p>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拟派项目团队人员情况</w:t>
      </w:r>
    </w:p>
    <w:p>
      <w:pPr>
        <w:spacing w:before="240" w:line="360" w:lineRule="auto"/>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浙江省城市运行安全数字化管理系统（被整合系统）运维项目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CTZB-2024080141</w:t>
      </w:r>
    </w:p>
    <w:tbl>
      <w:tblPr>
        <w:tblStyle w:val="59"/>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72"/>
        <w:gridCol w:w="1608"/>
        <w:gridCol w:w="1368"/>
        <w:gridCol w:w="1344"/>
        <w:gridCol w:w="816"/>
        <w:gridCol w:w="88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序号</w:t>
            </w: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姓名</w:t>
            </w: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专业、资质</w:t>
            </w: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职称</w:t>
            </w: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分工</w:t>
            </w: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工作经验</w:t>
            </w: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是否驻场</w:t>
            </w: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说明：表格可自行延展，但内容不可缺失</w:t>
      </w:r>
      <w:r>
        <w:rPr>
          <w:rFonts w:hint="eastAsia" w:ascii="仿宋" w:hAnsi="仿宋" w:eastAsia="仿宋" w:cs="Arial"/>
          <w:b/>
          <w:iCs/>
          <w:color w:val="000000" w:themeColor="text1"/>
          <w:sz w:val="24"/>
          <w:szCs w:val="22"/>
          <w14:textFill>
            <w14:solidFill>
              <w14:schemeClr w14:val="tx1"/>
            </w14:solidFill>
          </w14:textFill>
        </w:rPr>
        <w:t>；证明材料见评审细则。</w:t>
      </w:r>
    </w:p>
    <w:p>
      <w:pPr>
        <w:snapToGrid w:val="0"/>
        <w:spacing w:line="360" w:lineRule="auto"/>
        <w:rPr>
          <w:rFonts w:ascii="仿宋" w:hAnsi="仿宋" w:eastAsia="仿宋" w:cs="Arial"/>
          <w:color w:val="000000" w:themeColor="text1"/>
          <w:sz w:val="24"/>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pStyle w:val="24"/>
        <w:sectPr>
          <w:pgSz w:w="11906" w:h="16838"/>
          <w:pgMar w:top="1667" w:right="1418" w:bottom="1440" w:left="1559" w:header="709" w:footer="992" w:gutter="0"/>
          <w:pgNumType w:fmt="numberInDash"/>
          <w:cols w:space="720" w:num="1"/>
          <w:docGrid w:linePitch="312" w:charSpace="0"/>
        </w:sectPr>
      </w:pP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2-9 关于对采购文件中有关条款的拒绝声明</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关于对采购文件中有关条款的拒绝声明</w:t>
      </w:r>
    </w:p>
    <w:p>
      <w:pPr>
        <w:spacing w:line="360" w:lineRule="auto"/>
        <w:ind w:right="-426" w:rightChars="-203"/>
        <w:jc w:val="left"/>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浙江省城市运行安全数字化管理系统（被整合系统）运维项目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CTZB-2024080141</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918" w:hRule="atLeast"/>
        </w:trPr>
        <w:tc>
          <w:tcPr>
            <w:tcW w:w="9356" w:type="dxa"/>
            <w:vAlign w:val="center"/>
          </w:tcPr>
          <w:p>
            <w:pPr>
              <w:spacing w:line="360" w:lineRule="auto"/>
              <w:jc w:val="center"/>
              <w:rPr>
                <w:rFonts w:ascii="Arial" w:hAnsi="新宋体" w:eastAsia="新宋体" w:cs="Arial"/>
                <w:i/>
                <w:color w:val="000000" w:themeColor="text1"/>
                <w:szCs w:val="21"/>
                <w14:textFill>
                  <w14:solidFill>
                    <w14:schemeClr w14:val="tx1"/>
                  </w14:solidFill>
                </w14:textFill>
              </w:rPr>
            </w:pPr>
            <w:r>
              <w:rPr>
                <w:rFonts w:hint="eastAsia" w:ascii="仿宋" w:hAnsi="仿宋" w:eastAsia="仿宋" w:cs="Arial"/>
                <w:i/>
                <w:color w:val="000000" w:themeColor="text1"/>
                <w:kern w:val="0"/>
                <w:sz w:val="28"/>
                <w:szCs w:val="22"/>
                <w14:textFill>
                  <w14:solidFill>
                    <w14:schemeClr w14:val="tx1"/>
                  </w14:solidFill>
                </w14:textFill>
              </w:rPr>
              <w:t>（标注“▲”的实质性条款不得拒绝，否则投标无效）</w:t>
            </w: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pStyle w:val="5"/>
        <w:ind w:firstLine="120"/>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2-10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与技术服务有关的资料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356" w:type="dxa"/>
            <w:vAlign w:val="center"/>
          </w:tcPr>
          <w:p>
            <w:pPr>
              <w:spacing w:line="360" w:lineRule="auto"/>
              <w:jc w:val="center"/>
              <w:rPr>
                <w:rFonts w:ascii="Arial" w:hAnsi="新宋体" w:eastAsia="新宋体" w:cs="Arial"/>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pPr>
        <w:spacing w:line="360" w:lineRule="auto"/>
        <w:rPr>
          <w:rFonts w:ascii="Arial" w:hAnsi="Arial" w:eastAsia="新宋体" w:cs="Arial"/>
          <w:color w:val="000000" w:themeColor="text1"/>
          <w:kern w:val="0"/>
          <w:szCs w:val="21"/>
          <w:u w:val="single"/>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63" w:name="_Toc8008424"/>
      <w:bookmarkStart w:id="164" w:name="_Toc7988415"/>
      <w:bookmarkStart w:id="165" w:name="_Toc11261"/>
      <w:bookmarkStart w:id="166" w:name="_Toc44671435"/>
      <w:bookmarkStart w:id="167" w:name="_Toc32298"/>
      <w:bookmarkStart w:id="168" w:name="_Toc7988469"/>
      <w:bookmarkStart w:id="169" w:name="_Toc56055917"/>
      <w:bookmarkStart w:id="170" w:name="_Toc5728"/>
      <w:bookmarkStart w:id="171" w:name="_Toc28906"/>
      <w:bookmarkStart w:id="172" w:name="_Toc46485600"/>
      <w:bookmarkStart w:id="173" w:name="_Toc440162801"/>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63"/>
      <w:bookmarkEnd w:id="164"/>
      <w:bookmarkEnd w:id="165"/>
      <w:bookmarkEnd w:id="166"/>
      <w:bookmarkEnd w:id="167"/>
      <w:bookmarkEnd w:id="168"/>
      <w:bookmarkEnd w:id="169"/>
      <w:bookmarkEnd w:id="170"/>
      <w:bookmarkEnd w:id="171"/>
      <w:bookmarkEnd w:id="172"/>
      <w:bookmarkEnd w:id="173"/>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pPr>
        <w:pStyle w:val="8"/>
        <w:rPr>
          <w:rFonts w:ascii="Calibri" w:hAnsi="Calibri" w:eastAsia="宋体"/>
          <w:color w:val="000000" w:themeColor="text1"/>
          <w14:textFill>
            <w14:solidFill>
              <w14:schemeClr w14:val="tx1"/>
            </w14:solidFill>
          </w14:textFill>
        </w:rPr>
      </w:pPr>
    </w:p>
    <w:p>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pPr>
        <w:spacing w:line="360" w:lineRule="auto"/>
        <w:rPr>
          <w:rFonts w:ascii="仿宋" w:hAnsi="仿宋" w:eastAsia="仿宋"/>
          <w:color w:val="000000" w:themeColor="text1"/>
          <w:sz w:val="24"/>
          <w14:textFill>
            <w14:solidFill>
              <w14:schemeClr w14:val="tx1"/>
            </w14:solidFill>
          </w14:textFill>
        </w:rPr>
      </w:pPr>
    </w:p>
    <w:p>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（报价文件）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58"/>
        <w:tblW w:w="9498" w:type="dxa"/>
        <w:tblInd w:w="108" w:type="dxa"/>
        <w:tblLayout w:type="fixed"/>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14:textFill>
                  <w14:solidFill>
                    <w14:schemeClr w14:val="tx1"/>
                  </w14:solidFill>
                </w14:textFill>
              </w:rPr>
              <w:t>浙江省城市运行安全数字化管理系统（被整合系统）运维项目</w:t>
            </w:r>
          </w:p>
        </w:tc>
      </w:tr>
      <w:tr>
        <w:tblPrEx>
          <w:tblCellMar>
            <w:top w:w="0" w:type="dxa"/>
            <w:left w:w="108" w:type="dxa"/>
            <w:bottom w:w="0" w:type="dxa"/>
            <w:right w:w="108" w:type="dxa"/>
          </w:tblCellMar>
        </w:tblPrEx>
        <w:trPr>
          <w:trHeight w:val="680" w:hRule="atLeast"/>
        </w:trPr>
        <w:tc>
          <w:tcPr>
            <w:tcW w:w="9498"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CTZB-2024080141</w:t>
            </w:r>
          </w:p>
        </w:tc>
      </w:tr>
      <w:tr>
        <w:tblPrEx>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tblPrEx>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tblPrEx>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tblPrEx>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498"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pPr>
        <w:rPr>
          <w:color w:val="000000" w:themeColor="text1"/>
          <w14:textFill>
            <w14:solidFill>
              <w14:schemeClr w14:val="tx1"/>
            </w14:solidFill>
          </w14:textFill>
        </w:rPr>
      </w:pPr>
    </w:p>
    <w:p>
      <w:pPr>
        <w:pStyle w:val="5"/>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3-2 ▲开标一览表</w:t>
      </w:r>
    </w:p>
    <w:p>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w:t>
      </w:r>
    </w:p>
    <w:p>
      <w:pPr>
        <w:spacing w:line="360" w:lineRule="auto"/>
        <w:ind w:right="-283" w:rightChars="-135"/>
        <w:jc w:val="left"/>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浙江省城市运行安全数字化管理系统（被整合系统）运维项目</w:t>
      </w:r>
    </w:p>
    <w:p>
      <w:pPr>
        <w:spacing w:line="360" w:lineRule="auto"/>
        <w:ind w:right="-283" w:rightChars="-135"/>
        <w:rPr>
          <w:rFonts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CTZB-2024080141</w:t>
      </w:r>
      <w:r>
        <w:rPr>
          <w:rFonts w:hint="eastAsia" w:ascii="仿宋" w:hAnsi="仿宋" w:eastAsia="仿宋" w:cs="Arial"/>
          <w:b/>
          <w:color w:val="000000" w:themeColor="text1"/>
          <w:kern w:val="0"/>
          <w:sz w:val="24"/>
          <w:u w:val="single"/>
          <w14:textFill>
            <w14:solidFill>
              <w14:schemeClr w14:val="tx1"/>
            </w14:solidFill>
          </w14:textFill>
        </w:rPr>
        <w:t xml:space="preserve"> </w:t>
      </w:r>
    </w:p>
    <w:tbl>
      <w:tblPr>
        <w:tblStyle w:val="58"/>
        <w:tblW w:w="9214"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722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项目名称</w:t>
            </w:r>
          </w:p>
        </w:tc>
        <w:tc>
          <w:tcPr>
            <w:tcW w:w="7229" w:type="dxa"/>
            <w:vAlign w:val="center"/>
          </w:tcPr>
          <w:p>
            <w:pPr>
              <w:spacing w:line="276" w:lineRule="auto"/>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浙江省城市运行安全数字化管理系统（被整合系统）运维项目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restart"/>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报价</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（总价，元）</w:t>
            </w:r>
          </w:p>
        </w:tc>
        <w:tc>
          <w:tcPr>
            <w:tcW w:w="7229" w:type="dxa"/>
            <w:vAlign w:val="center"/>
          </w:tcPr>
          <w:p>
            <w:pPr>
              <w:spacing w:line="276" w:lineRule="auto"/>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人民币，</w:t>
            </w:r>
            <w:r>
              <w:rPr>
                <w:rFonts w:ascii="仿宋" w:hAnsi="仿宋" w:eastAsia="仿宋" w:cs="Arial"/>
                <w:color w:val="000000" w:themeColor="text1"/>
                <w:sz w:val="24"/>
                <w14:textFill>
                  <w14:solidFill>
                    <w14:schemeClr w14:val="tx1"/>
                  </w14:solidFill>
                </w14:textFill>
              </w:rPr>
              <w:t>小写）：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continue"/>
            <w:vAlign w:val="center"/>
          </w:tcPr>
          <w:p>
            <w:pPr>
              <w:spacing w:line="276" w:lineRule="auto"/>
              <w:jc w:val="center"/>
              <w:rPr>
                <w:rFonts w:ascii="仿宋" w:hAnsi="仿宋" w:eastAsia="仿宋" w:cs="Arial"/>
                <w:b/>
                <w:color w:val="000000" w:themeColor="text1"/>
                <w:sz w:val="24"/>
                <w14:textFill>
                  <w14:solidFill>
                    <w14:schemeClr w14:val="tx1"/>
                  </w14:solidFill>
                </w14:textFill>
              </w:rPr>
            </w:pPr>
          </w:p>
        </w:tc>
        <w:tc>
          <w:tcPr>
            <w:tcW w:w="7229" w:type="dxa"/>
            <w:vAlign w:val="center"/>
          </w:tcPr>
          <w:p>
            <w:pPr>
              <w:spacing w:line="276" w:lineRule="auto"/>
              <w:jc w:val="left"/>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人民币，</w:t>
            </w:r>
            <w:r>
              <w:rPr>
                <w:rFonts w:ascii="仿宋" w:hAnsi="仿宋" w:eastAsia="仿宋" w:cs="Arial"/>
                <w:b/>
                <w:color w:val="000000" w:themeColor="text1"/>
                <w:sz w:val="24"/>
                <w14:textFill>
                  <w14:solidFill>
                    <w14:schemeClr w14:val="tx1"/>
                  </w14:solidFill>
                </w14:textFill>
              </w:rPr>
              <w:t>大写）：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备注</w:t>
            </w:r>
          </w:p>
        </w:tc>
        <w:tc>
          <w:tcPr>
            <w:tcW w:w="7229" w:type="dxa"/>
            <w:vAlign w:val="center"/>
          </w:tcPr>
          <w:p>
            <w:pPr>
              <w:spacing w:line="276" w:lineRule="auto"/>
              <w:jc w:val="left"/>
              <w:rPr>
                <w:rFonts w:ascii="仿宋" w:hAnsi="仿宋" w:eastAsia="仿宋" w:cs="Arial"/>
                <w:i/>
                <w:color w:val="000000" w:themeColor="text1"/>
                <w:sz w:val="24"/>
                <w14:textFill>
                  <w14:solidFill>
                    <w14:schemeClr w14:val="tx1"/>
                  </w14:solidFill>
                </w14:textFill>
              </w:rPr>
            </w:pPr>
            <w:r>
              <w:rPr>
                <w:rFonts w:hint="eastAsia" w:ascii="仿宋" w:hAnsi="仿宋" w:eastAsia="仿宋" w:cs="Arial"/>
                <w:i/>
                <w:color w:val="000000" w:themeColor="text1"/>
                <w:sz w:val="24"/>
                <w14:textFill>
                  <w14:solidFill>
                    <w14:schemeClr w14:val="tx1"/>
                  </w14:solidFill>
                </w14:textFill>
              </w:rPr>
              <w:t>没有可不填</w:t>
            </w:r>
          </w:p>
        </w:tc>
      </w:tr>
    </w:tbl>
    <w:p>
      <w:pPr>
        <w:spacing w:line="360" w:lineRule="auto"/>
        <w:ind w:right="-283" w:rightChars="-135"/>
        <w:rPr>
          <w:rFonts w:ascii="仿宋" w:hAnsi="仿宋" w:eastAsia="仿宋" w:cs="Arial"/>
          <w:b/>
          <w:iCs/>
          <w:color w:val="000000" w:themeColor="text1"/>
          <w:sz w:val="24"/>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spacing w:line="360" w:lineRule="auto"/>
        <w:rPr>
          <w:rFonts w:ascii="仿宋" w:hAnsi="仿宋" w:eastAsia="仿宋" w:cs="Arial"/>
          <w:color w:val="000000" w:themeColor="text1"/>
          <w:kern w:val="0"/>
          <w:sz w:val="24"/>
          <w14:textFill>
            <w14:solidFill>
              <w14:schemeClr w14:val="tx1"/>
            </w14:solidFill>
          </w14:textFill>
        </w:rPr>
      </w:pPr>
    </w:p>
    <w:p>
      <w:pPr>
        <w:spacing w:line="360" w:lineRule="auto"/>
        <w:rPr>
          <w:rFonts w:ascii="仿宋" w:hAnsi="仿宋" w:eastAsia="仿宋" w:cs="Arial"/>
          <w:color w:val="000000" w:themeColor="text1"/>
          <w:kern w:val="0"/>
          <w:sz w:val="24"/>
          <w14:textFill>
            <w14:solidFill>
              <w14:schemeClr w14:val="tx1"/>
            </w14:solidFill>
          </w14:textFill>
        </w:rPr>
      </w:pPr>
    </w:p>
    <w:p>
      <w:pPr>
        <w:spacing w:line="360" w:lineRule="auto"/>
        <w:rPr>
          <w:rFonts w:ascii="仿宋" w:hAnsi="仿宋" w:eastAsia="仿宋" w:cs="Arial"/>
          <w:color w:val="000000" w:themeColor="text1"/>
          <w:kern w:val="0"/>
          <w:sz w:val="24"/>
          <w14:textFill>
            <w14:solidFill>
              <w14:schemeClr w14:val="tx1"/>
            </w14:solidFill>
          </w14:textFill>
        </w:rPr>
      </w:pPr>
    </w:p>
    <w:p>
      <w:pPr>
        <w:spacing w:line="360" w:lineRule="auto"/>
        <w:rPr>
          <w:rFonts w:ascii="仿宋" w:hAnsi="仿宋" w:eastAsia="仿宋" w:cs="Arial"/>
          <w:color w:val="000000" w:themeColor="text1"/>
          <w:kern w:val="0"/>
          <w:sz w:val="24"/>
          <w14:textFill>
            <w14:solidFill>
              <w14:schemeClr w14:val="tx1"/>
            </w14:solidFill>
          </w14:textFill>
        </w:rPr>
      </w:pP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说明：</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pPr>
        <w:pStyle w:val="5"/>
        <w:ind w:firstLine="110"/>
        <w:rPr>
          <w:color w:val="000000" w:themeColor="text1"/>
          <w14:textFill>
            <w14:solidFill>
              <w14:schemeClr w14:val="tx1"/>
            </w14:solidFill>
          </w14:textFill>
        </w:rPr>
      </w:pPr>
      <w:r>
        <w:rPr>
          <w:rFonts w:ascii="Arial" w:hAnsi="Arial"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3-3 ▲投标报价明细表</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投标报价明细表</w:t>
      </w:r>
    </w:p>
    <w:p>
      <w:pPr>
        <w:spacing w:line="360" w:lineRule="auto"/>
        <w:ind w:right="-283" w:rightChars="-135"/>
        <w:jc w:val="left"/>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浙江省城市运行安全数字化管理系统（被整合系统）运维项目</w:t>
      </w:r>
    </w:p>
    <w:p>
      <w:pPr>
        <w:spacing w:line="360" w:lineRule="auto"/>
        <w:ind w:right="-426" w:rightChars="-203"/>
        <w:rPr>
          <w:rFonts w:hint="eastAsia" w:ascii="仿宋" w:hAnsi="仿宋" w:eastAsia="仿宋" w:cs="Arial"/>
          <w:b/>
          <w:color w:val="000000" w:themeColor="text1"/>
          <w:kern w:val="0"/>
          <w:sz w:val="24"/>
          <w:szCs w:val="22"/>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CTZB-2024080141</w:t>
      </w:r>
    </w:p>
    <w:tbl>
      <w:tblPr>
        <w:tblStyle w:val="58"/>
        <w:tblW w:w="9192" w:type="dxa"/>
        <w:tblInd w:w="-17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2835"/>
        <w:gridCol w:w="1240"/>
        <w:gridCol w:w="2162"/>
        <w:gridCol w:w="210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blHeader/>
        </w:trPr>
        <w:tc>
          <w:tcPr>
            <w:tcW w:w="851" w:type="dxa"/>
            <w:shd w:val="clear" w:color="auto" w:fill="auto"/>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835" w:type="dxa"/>
            <w:shd w:val="clear" w:color="auto" w:fill="auto"/>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240" w:type="dxa"/>
            <w:shd w:val="clear" w:color="auto" w:fill="auto"/>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2162" w:type="dxa"/>
            <w:shd w:val="clear" w:color="auto" w:fill="auto"/>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综合单价</w:t>
            </w:r>
          </w:p>
        </w:tc>
        <w:tc>
          <w:tcPr>
            <w:tcW w:w="2104" w:type="dxa"/>
            <w:shd w:val="clear" w:color="auto" w:fill="auto"/>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88" w:type="dxa"/>
            <w:gridSpan w:val="4"/>
            <w:shd w:val="clear" w:color="auto" w:fill="auto"/>
            <w:vAlign w:val="center"/>
          </w:tcPr>
          <w:p>
            <w:pPr>
              <w:spacing w:line="276"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104" w:type="dxa"/>
            <w:shd w:val="clear" w:color="auto" w:fill="auto"/>
            <w:vAlign w:val="center"/>
          </w:tcPr>
          <w:p>
            <w:pPr>
              <w:jc w:val="center"/>
              <w:rPr>
                <w:rFonts w:ascii="仿宋" w:hAnsi="仿宋" w:eastAsia="仿宋"/>
                <w:color w:val="000000" w:themeColor="text1"/>
                <w:sz w:val="24"/>
                <w14:textFill>
                  <w14:solidFill>
                    <w14:schemeClr w14:val="tx1"/>
                  </w14:solidFill>
                </w14:textFill>
              </w:rPr>
            </w:pPr>
          </w:p>
        </w:tc>
      </w:tr>
    </w:tbl>
    <w:p>
      <w:pPr>
        <w:snapToGrid w:val="0"/>
        <w:spacing w:line="360" w:lineRule="auto"/>
        <w:rPr>
          <w:rFonts w:ascii="仿宋" w:hAnsi="仿宋" w:eastAsia="仿宋" w:cs="Arial"/>
          <w:b/>
          <w:color w:val="000000" w:themeColor="text1"/>
          <w:sz w:val="24"/>
          <w14:textFill>
            <w14:solidFill>
              <w14:schemeClr w14:val="tx1"/>
            </w14:solidFill>
          </w14:textFill>
        </w:rPr>
      </w:pPr>
    </w:p>
    <w:p>
      <w:pPr>
        <w:spacing w:line="360" w:lineRule="auto"/>
        <w:ind w:firstLine="426" w:firstLineChars="177"/>
        <w:rPr>
          <w:rFonts w:ascii="仿宋" w:hAnsi="仿宋" w:eastAsia="仿宋" w:cs="Arial"/>
          <w:i/>
          <w:color w:val="000000"/>
          <w:kern w:val="0"/>
          <w:sz w:val="24"/>
        </w:rPr>
      </w:pPr>
      <w:r>
        <w:rPr>
          <w:rFonts w:hint="eastAsia" w:ascii="仿宋" w:hAnsi="仿宋" w:eastAsia="仿宋" w:cs="Arial"/>
          <w:b/>
          <w:color w:val="000000" w:themeColor="text1"/>
          <w:sz w:val="24"/>
          <w14:textFill>
            <w14:solidFill>
              <w14:schemeClr w14:val="tx1"/>
            </w14:solidFill>
          </w14:textFill>
        </w:rPr>
        <w:t>说明：1、表格可自行延展，但内容不可缺失</w:t>
      </w:r>
      <w:r>
        <w:rPr>
          <w:rFonts w:hint="eastAsia" w:ascii="仿宋" w:hAnsi="仿宋" w:eastAsia="仿宋" w:cs="Arial"/>
          <w:b/>
          <w:iCs/>
          <w:color w:val="000000" w:themeColor="text1"/>
          <w:sz w:val="24"/>
          <w:szCs w:val="22"/>
          <w14:textFill>
            <w14:solidFill>
              <w14:schemeClr w14:val="tx1"/>
            </w14:solidFill>
          </w14:textFill>
        </w:rPr>
        <w:t>；2、</w:t>
      </w:r>
      <w:r>
        <w:rPr>
          <w:rFonts w:hint="eastAsia" w:ascii="仿宋" w:hAnsi="仿宋" w:eastAsia="仿宋"/>
          <w:b/>
          <w:color w:val="000000" w:themeColor="text1"/>
          <w:sz w:val="24"/>
          <w:u w:val="single"/>
          <w14:textFill>
            <w14:solidFill>
              <w14:schemeClr w14:val="tx1"/>
            </w14:solidFill>
          </w14:textFill>
        </w:rPr>
        <w:t>采购人不接受投标供应商给予的任何赠品、回扣或者与采购无关的其他商品、服务。“0元报价”视同为“赠送”，按无效标处理。</w:t>
      </w:r>
      <w:r>
        <w:rPr>
          <w:rFonts w:hint="eastAsia" w:ascii="仿宋" w:hAnsi="仿宋" w:eastAsia="仿宋"/>
          <w:b/>
          <w:color w:val="000000" w:themeColor="text1"/>
          <w:sz w:val="24"/>
          <w14:textFill>
            <w14:solidFill>
              <w14:schemeClr w14:val="tx1"/>
            </w14:solidFill>
          </w14:textFill>
        </w:rPr>
        <w:t>3、供应商在“政府采购云平台”进行标书关联时，在“政府采购云平台”上单独填报的开标一览表内容与加密的报价文件中提交的开标一览表内容不一致时，以加密的报价文件中提交的开标一览表为准进行修正。</w:t>
      </w:r>
    </w:p>
    <w:p>
      <w:pPr>
        <w:snapToGrid w:val="0"/>
        <w:spacing w:line="360" w:lineRule="auto"/>
        <w:rPr>
          <w:rFonts w:ascii="仿宋" w:hAnsi="仿宋" w:eastAsia="仿宋" w:cs="Arial"/>
          <w:color w:val="000000" w:themeColor="text1"/>
          <w:sz w:val="24"/>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widowControl/>
        <w:jc w:val="left"/>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p>
    <w:p>
      <w:pPr>
        <w:pStyle w:val="5"/>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3-4 符合政府采购价格扶持政策的证明材料（如是）</w:t>
      </w:r>
    </w:p>
    <w:p>
      <w:pPr>
        <w:pStyle w:val="6"/>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（1）中小企业声明函及相关证明材料（如是）</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中小企业声明函</w:t>
      </w:r>
      <w:r>
        <w:rPr>
          <w:rFonts w:hint="eastAsia" w:ascii="微软雅黑" w:hAnsi="微软雅黑" w:eastAsia="微软雅黑"/>
          <w:b/>
          <w:sz w:val="40"/>
          <w:szCs w:val="44"/>
        </w:rPr>
        <w:t>（服务）</w:t>
      </w:r>
    </w:p>
    <w:p>
      <w:pPr>
        <w:autoSpaceDE w:val="0"/>
        <w:autoSpaceDN w:val="0"/>
        <w:adjustRightInd w:val="0"/>
        <w:spacing w:line="360" w:lineRule="auto"/>
        <w:ind w:firstLine="426" w:firstLineChars="177"/>
        <w:jc w:val="left"/>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宋体"/>
          <w:b/>
          <w:bCs/>
          <w:color w:val="000000" w:themeColor="text1"/>
          <w:kern w:val="0"/>
          <w:sz w:val="24"/>
          <w:szCs w:val="28"/>
          <w14:textFill>
            <w14:solidFill>
              <w14:schemeClr w14:val="tx1"/>
            </w14:solidFill>
          </w14:textFill>
        </w:rPr>
        <w:t>本公司（联合体）郑重声明</w:t>
      </w:r>
      <w:r>
        <w:rPr>
          <w:rFonts w:hint="eastAsia" w:ascii="仿宋" w:hAnsi="仿宋" w:eastAsia="仿宋" w:cs="宋体"/>
          <w:color w:val="000000" w:themeColor="text1"/>
          <w:kern w:val="0"/>
          <w:sz w:val="24"/>
          <w:szCs w:val="28"/>
          <w14:textFill>
            <w14:solidFill>
              <w14:schemeClr w14:val="tx1"/>
            </w14:solidFill>
          </w14:textFill>
        </w:rPr>
        <w:t>，根据《政府采购促进中小企业发展管理办法》（财库</w:t>
      </w:r>
      <w:r>
        <w:rPr>
          <w:rFonts w:ascii="仿宋" w:hAnsi="仿宋" w:eastAsia="仿宋" w:cs="Arial"/>
          <w:color w:val="000000" w:themeColor="text1"/>
          <w:kern w:val="0"/>
          <w:sz w:val="24"/>
          <w:szCs w:val="28"/>
          <w14:textFill>
            <w14:solidFill>
              <w14:schemeClr w14:val="tx1"/>
            </w14:solidFill>
          </w14:textFill>
        </w:rPr>
        <w:t>[20</w:t>
      </w:r>
      <w:r>
        <w:rPr>
          <w:rFonts w:hint="eastAsia" w:ascii="仿宋" w:hAnsi="仿宋" w:eastAsia="仿宋" w:cs="Arial"/>
          <w:color w:val="000000" w:themeColor="text1"/>
          <w:kern w:val="0"/>
          <w:sz w:val="24"/>
          <w:szCs w:val="28"/>
          <w14:textFill>
            <w14:solidFill>
              <w14:schemeClr w14:val="tx1"/>
            </w14:solidFill>
          </w14:textFill>
        </w:rPr>
        <w:t>20</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46</w:t>
      </w:r>
      <w:r>
        <w:rPr>
          <w:rFonts w:hint="eastAsia" w:ascii="仿宋" w:hAnsi="仿宋" w:eastAsia="仿宋" w:cs="宋体"/>
          <w:color w:val="000000" w:themeColor="text1"/>
          <w:kern w:val="0"/>
          <w:sz w:val="24"/>
          <w:szCs w:val="28"/>
          <w14:textFill>
            <w14:solidFill>
              <w14:schemeClr w14:val="tx1"/>
            </w14:solidFill>
          </w14:textFill>
        </w:rPr>
        <w:t>号）的规定，本公司参加</w:t>
      </w:r>
      <w:r>
        <w:rPr>
          <w:rFonts w:hint="eastAsia" w:ascii="仿宋" w:hAnsi="仿宋" w:eastAsia="仿宋" w:cs="Arial"/>
          <w:b/>
          <w:color w:val="000000" w:themeColor="text1"/>
          <w:kern w:val="0"/>
          <w:sz w:val="24"/>
          <w:szCs w:val="28"/>
          <w:u w:val="single"/>
          <w14:textFill>
            <w14:solidFill>
              <w14:schemeClr w14:val="tx1"/>
            </w14:solidFill>
          </w14:textFill>
        </w:rPr>
        <w:t>浙江省城市运行安全数字化管理系统（被整合系统）运维项目（项目编号：</w:t>
      </w:r>
      <w:r>
        <w:rPr>
          <w:rFonts w:hint="eastAsia" w:ascii="仿宋" w:hAnsi="仿宋" w:eastAsia="仿宋" w:cs="Arial"/>
          <w:b/>
          <w:color w:val="000000" w:themeColor="text1"/>
          <w:kern w:val="0"/>
          <w:sz w:val="24"/>
          <w:szCs w:val="28"/>
          <w:u w:val="single"/>
          <w:lang w:eastAsia="zh-CN"/>
          <w14:textFill>
            <w14:solidFill>
              <w14:schemeClr w14:val="tx1"/>
            </w14:solidFill>
          </w14:textFill>
        </w:rPr>
        <w:t>CTZB-2024080141</w:t>
      </w:r>
      <w:r>
        <w:rPr>
          <w:rFonts w:hint="eastAsia" w:ascii="仿宋" w:hAnsi="仿宋" w:eastAsia="仿宋" w:cs="Arial"/>
          <w:b/>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采购活动，提供的服务全部由符合政策要求的中小企业承接。相关企业（含联合体中的中小企业、签订分包意向协议的中小企业）的具体情况如下：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6"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14:textFill>
            <w14:solidFill>
              <w14:schemeClr w14:val="tx1"/>
            </w14:solidFill>
          </w14:textFill>
        </w:rPr>
        <w:t>浙江省城市运行安全数字化管理系统（被整合系统）运维项目（采购标的名称）</w:t>
      </w:r>
      <w:r>
        <w:rPr>
          <w:rFonts w:hint="eastAsia" w:ascii="仿宋" w:hAnsi="仿宋" w:eastAsia="仿宋" w:cs="Arial"/>
          <w:color w:val="000000" w:themeColor="text1"/>
          <w:kern w:val="0"/>
          <w:sz w:val="24"/>
          <w:szCs w:val="28"/>
          <w14:textFill>
            <w14:solidFill>
              <w14:schemeClr w14:val="tx1"/>
            </w14:solidFill>
          </w14:textFill>
        </w:rPr>
        <w:t>，属于</w:t>
      </w:r>
      <w:r>
        <w:rPr>
          <w:rFonts w:hint="eastAsia" w:ascii="仿宋" w:hAnsi="仿宋" w:eastAsia="仿宋" w:cs="Arial"/>
          <w:b/>
          <w:color w:val="000000" w:themeColor="text1"/>
          <w:kern w:val="0"/>
          <w:sz w:val="24"/>
          <w:szCs w:val="28"/>
          <w:u w:val="single"/>
          <w14:textFill>
            <w14:solidFill>
              <w14:schemeClr w14:val="tx1"/>
            </w14:solidFill>
          </w14:textFill>
        </w:rPr>
        <w:t>软件和信息技术服务业</w:t>
      </w:r>
      <w:r>
        <w:rPr>
          <w:rFonts w:hint="eastAsia" w:ascii="仿宋" w:hAnsi="仿宋" w:eastAsia="仿宋" w:cs="Arial"/>
          <w:color w:val="000000" w:themeColor="text1"/>
          <w:kern w:val="0"/>
          <w:sz w:val="24"/>
          <w:szCs w:val="28"/>
          <w14:textFill>
            <w14:solidFill>
              <w14:schemeClr w14:val="tx1"/>
            </w14:solidFill>
          </w14:textFill>
        </w:rPr>
        <w:t>；承接企业为</w:t>
      </w:r>
      <w:r>
        <w:rPr>
          <w:rFonts w:hint="eastAsia" w:ascii="仿宋" w:hAnsi="仿宋" w:eastAsia="仿宋" w:cs="Arial"/>
          <w:i/>
          <w:color w:val="000000" w:themeColor="text1"/>
          <w:kern w:val="0"/>
          <w:sz w:val="24"/>
          <w:szCs w:val="28"/>
          <w:u w:val="single"/>
          <w14:textFill>
            <w14:solidFill>
              <w14:schemeClr w14:val="tx1"/>
            </w14:solidFill>
          </w14:textFill>
        </w:rPr>
        <w:t>（企业名称）</w:t>
      </w:r>
      <w:r>
        <w:rPr>
          <w:rFonts w:hint="eastAsia" w:ascii="仿宋" w:hAnsi="仿宋" w:eastAsia="仿宋" w:cs="Arial"/>
          <w:color w:val="000000" w:themeColor="text1"/>
          <w:kern w:val="0"/>
          <w:sz w:val="24"/>
          <w:szCs w:val="28"/>
          <w14:textFill>
            <w14:solidFill>
              <w14:schemeClr w14:val="tx1"/>
            </w14:solidFill>
          </w14:textFill>
        </w:rPr>
        <w:t>，从业人员</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人，营业收入为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万元，资产总额为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万元，属于</w:t>
      </w:r>
      <w:r>
        <w:rPr>
          <w:rFonts w:hint="eastAsia" w:ascii="仿宋" w:hAnsi="仿宋" w:eastAsia="仿宋" w:cs="Arial"/>
          <w:i/>
          <w:color w:val="000000" w:themeColor="text1"/>
          <w:kern w:val="0"/>
          <w:sz w:val="24"/>
          <w:szCs w:val="28"/>
          <w:u w:val="single"/>
          <w14:textFill>
            <w14:solidFill>
              <w14:schemeClr w14:val="tx1"/>
            </w14:solidFill>
          </w14:textFill>
        </w:rPr>
        <w:t>（中型企业或小型企业或微型企业）</w:t>
      </w:r>
      <w:r>
        <w:rPr>
          <w:rFonts w:hint="eastAsia" w:ascii="仿宋" w:hAnsi="仿宋" w:eastAsia="仿宋" w:cs="Arial"/>
          <w:color w:val="000000" w:themeColor="text1"/>
          <w:kern w:val="0"/>
          <w:sz w:val="24"/>
          <w:szCs w:val="28"/>
          <w14:textFill>
            <w14:solidFill>
              <w14:schemeClr w14:val="tx1"/>
            </w14:solidFill>
          </w14:textFill>
        </w:rPr>
        <w:t>；</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本企业对上述声明内容的真实性负责。如有虚假，将依法承担相应责任。</w:t>
      </w:r>
    </w:p>
    <w:p>
      <w:pPr>
        <w:snapToGrid w:val="0"/>
        <w:spacing w:before="360" w:beforeLines="150" w:line="360" w:lineRule="auto"/>
        <w:rPr>
          <w:rFonts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企业名称（盖章）：</w:t>
      </w:r>
      <w:r>
        <w:rPr>
          <w:rFonts w:ascii="仿宋" w:hAnsi="仿宋" w:eastAsia="仿宋" w:cs="Arial"/>
          <w:color w:val="000000" w:themeColor="text1"/>
          <w:w w:val="90"/>
          <w:kern w:val="0"/>
          <w:sz w:val="24"/>
          <w:szCs w:val="28"/>
          <w14:textFill>
            <w14:solidFill>
              <w14:schemeClr w14:val="tx1"/>
            </w14:solidFill>
          </w14:textFill>
        </w:rPr>
        <w:t>____________________________________________</w:t>
      </w:r>
    </w:p>
    <w:p>
      <w:pPr>
        <w:spacing w:line="360" w:lineRule="auto"/>
        <w:rPr>
          <w:rFonts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w w:val="90"/>
          <w:kern w:val="0"/>
          <w:sz w:val="24"/>
          <w:szCs w:val="28"/>
          <w14:textFill>
            <w14:solidFill>
              <w14:schemeClr w14:val="tx1"/>
            </w14:solidFill>
          </w14:textFill>
        </w:rPr>
        <w:t>________</w:t>
      </w:r>
      <w:r>
        <w:rPr>
          <w:rFonts w:hint="eastAsia" w:ascii="仿宋" w:hAnsi="仿宋" w:eastAsia="仿宋" w:cs="Arial"/>
          <w:color w:val="000000" w:themeColor="text1"/>
          <w:w w:val="90"/>
          <w:kern w:val="0"/>
          <w:sz w:val="24"/>
          <w:szCs w:val="28"/>
          <w14:textFill>
            <w14:solidFill>
              <w14:schemeClr w14:val="tx1"/>
            </w14:solidFill>
          </w14:textFill>
        </w:rPr>
        <w:t>年</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月</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日</w:t>
      </w:r>
    </w:p>
    <w:p>
      <w:pPr>
        <w:autoSpaceDE w:val="0"/>
        <w:autoSpaceDN w:val="0"/>
        <w:adjustRightInd w:val="0"/>
        <w:spacing w:line="360" w:lineRule="auto"/>
        <w:jc w:val="left"/>
        <w:rPr>
          <w:rFonts w:ascii="仿宋" w:hAnsi="仿宋" w:eastAsia="仿宋" w:cs="宋体"/>
          <w:b/>
          <w:color w:val="000000" w:themeColor="text1"/>
          <w:kern w:val="0"/>
          <w:sz w:val="24"/>
          <w:szCs w:val="22"/>
          <w14:textFill>
            <w14:solidFill>
              <w14:schemeClr w14:val="tx1"/>
            </w14:solidFill>
          </w14:textFill>
        </w:rPr>
      </w:pPr>
    </w:p>
    <w:p>
      <w:pPr>
        <w:autoSpaceDE w:val="0"/>
        <w:autoSpaceDN w:val="0"/>
        <w:adjustRightInd w:val="0"/>
        <w:spacing w:line="360" w:lineRule="auto"/>
        <w:jc w:val="left"/>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提示：</w:t>
      </w:r>
    </w:p>
    <w:p>
      <w:pPr>
        <w:autoSpaceDE w:val="0"/>
        <w:autoSpaceDN w:val="0"/>
        <w:adjustRightInd w:val="0"/>
        <w:spacing w:line="360" w:lineRule="auto"/>
        <w:ind w:firstLine="422" w:firstLineChars="175"/>
        <w:jc w:val="left"/>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（1）投标供应商应实事求是填写并提供本表，不属于中小企业的可不提供；</w:t>
      </w:r>
    </w:p>
    <w:p>
      <w:pPr>
        <w:pStyle w:val="24"/>
        <w:spacing w:line="360" w:lineRule="auto"/>
        <w:ind w:firstLine="422" w:firstLineChars="175"/>
        <w:rPr>
          <w:rFonts w:ascii="仿宋" w:hAnsi="仿宋" w:eastAsia="仿宋" w:cs="宋体"/>
          <w:b/>
          <w:color w:val="000000" w:themeColor="text1"/>
          <w:sz w:val="24"/>
          <w:szCs w:val="22"/>
          <w14:textFill>
            <w14:solidFill>
              <w14:schemeClr w14:val="tx1"/>
            </w14:solidFill>
          </w14:textFill>
        </w:rPr>
      </w:pPr>
      <w:r>
        <w:rPr>
          <w:rFonts w:hint="eastAsia" w:ascii="仿宋" w:hAnsi="仿宋" w:eastAsia="仿宋" w:cs="宋体"/>
          <w:b/>
          <w:color w:val="000000" w:themeColor="text1"/>
          <w:sz w:val="24"/>
          <w:szCs w:val="22"/>
          <w14:textFill>
            <w14:solidFill>
              <w14:schemeClr w14:val="tx1"/>
            </w14:solidFill>
          </w14:textFill>
        </w:rPr>
        <w:t>（2）从业人员、营业收入、资产总额填报上一年度数据，无上一年度数据的新成立企业可不填报；</w:t>
      </w:r>
    </w:p>
    <w:p>
      <w:pPr>
        <w:autoSpaceDE w:val="0"/>
        <w:autoSpaceDN w:val="0"/>
        <w:adjustRightInd w:val="0"/>
        <w:spacing w:line="360" w:lineRule="auto"/>
        <w:ind w:firstLine="422" w:firstLineChars="175"/>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中小型企业划型标准：详见《工业和信息化部、国家统计局、国家发展和改革委员会、财政部</w:t>
      </w:r>
      <w:r>
        <w:rPr>
          <w:rFonts w:ascii="仿宋" w:hAnsi="仿宋" w:eastAsia="仿宋" w:cs="Arial"/>
          <w:b/>
          <w:color w:val="000000" w:themeColor="text1"/>
          <w:sz w:val="24"/>
          <w14:textFill>
            <w14:solidFill>
              <w14:schemeClr w14:val="tx1"/>
            </w14:solidFill>
          </w14:textFill>
        </w:rPr>
        <w:t>关于印发中小企业划型标准规定的通知</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工信部联企业[2011]300号</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w:t>
      </w:r>
    </w:p>
    <w:p>
      <w:pPr>
        <w:pStyle w:val="6"/>
        <w:rPr>
          <w:color w:val="000000" w:themeColor="text1"/>
          <w14:textFill>
            <w14:solidFill>
              <w14:schemeClr w14:val="tx1"/>
            </w14:solidFill>
          </w14:textFill>
        </w:rPr>
      </w:pPr>
      <w:r>
        <w:rPr>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（2）残疾人福利性单位声明函（如是）</w:t>
      </w:r>
    </w:p>
    <w:p>
      <w:pPr>
        <w:spacing w:before="240"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残疾人福利性单位声明函</w:t>
      </w:r>
    </w:p>
    <w:p>
      <w:pPr>
        <w:spacing w:line="360" w:lineRule="auto"/>
        <w:ind w:firstLine="584" w:firstLineChars="200"/>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kern w:val="0"/>
          <w:sz w:val="28"/>
          <w:szCs w:val="28"/>
          <w:u w:val="single"/>
          <w14:textFill>
            <w14:solidFill>
              <w14:schemeClr w14:val="tx1"/>
            </w14:solidFill>
          </w14:textFill>
        </w:rPr>
        <w:t>浙江省城市运行安全数字化管理系统（被整合系统）运维项目（项目编号：</w:t>
      </w:r>
      <w:r>
        <w:rPr>
          <w:rFonts w:hint="eastAsia" w:ascii="仿宋" w:hAnsi="仿宋" w:eastAsia="仿宋" w:cs="Arial"/>
          <w:b/>
          <w:color w:val="000000" w:themeColor="text1"/>
          <w:kern w:val="0"/>
          <w:sz w:val="28"/>
          <w:szCs w:val="28"/>
          <w:u w:val="single"/>
          <w:lang w:eastAsia="zh-CN"/>
          <w14:textFill>
            <w14:solidFill>
              <w14:schemeClr w14:val="tx1"/>
            </w14:solidFill>
          </w14:textFill>
        </w:rPr>
        <w:t>CTZB-2024080141</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tabs>
          <w:tab w:val="left" w:pos="4860"/>
        </w:tabs>
        <w:spacing w:line="360" w:lineRule="auto"/>
        <w:ind w:right="1560"/>
        <w:jc w:val="left"/>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kern w:val="0"/>
          <w:sz w:val="28"/>
          <w14:textFill>
            <w14:solidFill>
              <w14:schemeClr w14:val="tx1"/>
            </w14:solidFill>
          </w14:textFill>
        </w:rPr>
        <w:t>__________________________________</w:t>
      </w:r>
    </w:p>
    <w:p>
      <w:pPr>
        <w:spacing w:line="360" w:lineRule="auto"/>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pPr>
        <w:spacing w:line="360" w:lineRule="auto"/>
        <w:rPr>
          <w:rFonts w:ascii="仿宋" w:hAnsi="仿宋" w:eastAsia="仿宋" w:cs="Arial"/>
          <w:color w:val="000000" w:themeColor="text1"/>
          <w:w w:val="90"/>
          <w:kern w:val="0"/>
          <w:sz w:val="28"/>
          <w14:textFill>
            <w14:solidFill>
              <w14:schemeClr w14:val="tx1"/>
            </w14:solidFill>
          </w14:textFill>
        </w:rPr>
      </w:pPr>
    </w:p>
    <w:p>
      <w:pPr>
        <w:spacing w:line="360" w:lineRule="auto"/>
        <w:rPr>
          <w:rFonts w:ascii="仿宋" w:hAnsi="仿宋" w:eastAsia="仿宋" w:cs="Arial"/>
          <w:color w:val="000000" w:themeColor="text1"/>
          <w:w w:val="90"/>
          <w:kern w:val="0"/>
          <w:sz w:val="28"/>
          <w14:textFill>
            <w14:solidFill>
              <w14:schemeClr w14:val="tx1"/>
            </w14:solidFill>
          </w14:textFill>
        </w:rPr>
      </w:pPr>
    </w:p>
    <w:p>
      <w:pPr>
        <w:spacing w:line="360" w:lineRule="auto"/>
        <w:rPr>
          <w:rFonts w:ascii="仿宋" w:hAnsi="仿宋" w:eastAsia="仿宋" w:cs="宋体"/>
          <w:b/>
          <w:color w:val="000000" w:themeColor="text1"/>
          <w:kern w:val="0"/>
          <w:sz w:val="28"/>
          <w:szCs w:val="22"/>
          <w14:textFill>
            <w14:solidFill>
              <w14:schemeClr w14:val="tx1"/>
            </w14:solidFill>
          </w14:textFill>
        </w:rPr>
      </w:pPr>
      <w:r>
        <w:rPr>
          <w:rFonts w:hint="eastAsia" w:ascii="仿宋" w:hAnsi="仿宋" w:eastAsia="仿宋" w:cs="宋体"/>
          <w:b/>
          <w:color w:val="000000" w:themeColor="text1"/>
          <w:kern w:val="0"/>
          <w:sz w:val="28"/>
          <w:szCs w:val="22"/>
          <w14:textFill>
            <w14:solidFill>
              <w14:schemeClr w14:val="tx1"/>
            </w14:solidFill>
          </w14:textFill>
        </w:rPr>
        <w:t>提示：投标供应商应实事求是填写并提供本表，不符合的可不提供。</w:t>
      </w:r>
    </w:p>
    <w:p>
      <w:pPr>
        <w:pStyle w:val="6"/>
        <w:ind w:firstLine="427"/>
        <w:rPr>
          <w:color w:val="000000" w:themeColor="text1"/>
          <w14:textFill>
            <w14:solidFill>
              <w14:schemeClr w14:val="tx1"/>
            </w14:solidFill>
          </w14:textFill>
        </w:rPr>
      </w:pPr>
      <w:r>
        <w:rPr>
          <w:rFonts w:ascii="仿宋" w:hAnsi="仿宋" w:eastAsia="仿宋" w:cs="宋体"/>
          <w:color w:val="000000" w:themeColor="text1"/>
          <w:kern w:val="0"/>
          <w:szCs w:val="22"/>
          <w14:textFill>
            <w14:solidFill>
              <w14:schemeClr w14:val="tx1"/>
            </w14:solidFill>
          </w14:textFill>
        </w:rPr>
        <w:br w:type="page"/>
      </w:r>
      <w:r>
        <w:rPr>
          <w:rFonts w:hint="eastAsia"/>
          <w:color w:val="000000" w:themeColor="text1"/>
          <w14:textFill>
            <w14:solidFill>
              <w14:schemeClr w14:val="tx1"/>
            </w14:solidFill>
          </w14:textFill>
        </w:rPr>
        <w:t>（3）监狱企业证明文件</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监狱企业证明文件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jc w:val="center"/>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相关部门出具的监狱企业证明文件</w:t>
            </w:r>
          </w:p>
          <w:p>
            <w:pPr>
              <w:spacing w:line="360" w:lineRule="auto"/>
              <w:jc w:val="center"/>
              <w:rPr>
                <w:rFonts w:ascii="仿宋" w:hAnsi="仿宋" w:eastAsia="仿宋" w:cs="Arial"/>
                <w:b/>
                <w:i/>
                <w:color w:val="000000" w:themeColor="text1"/>
                <w:kern w:val="0"/>
                <w:sz w:val="28"/>
                <w14:textFill>
                  <w14:solidFill>
                    <w14:schemeClr w14:val="tx1"/>
                  </w14:solidFill>
                </w14:textFill>
              </w:rPr>
            </w:pPr>
            <w:r>
              <w:rPr>
                <w:rFonts w:hint="eastAsia" w:ascii="仿宋" w:hAnsi="仿宋" w:eastAsia="仿宋"/>
                <w:i/>
                <w:color w:val="000000" w:themeColor="text1"/>
                <w:sz w:val="28"/>
                <w14:textFill>
                  <w14:solidFill>
                    <w14:schemeClr w14:val="tx1"/>
                  </w14:solidFill>
                </w14:textFill>
              </w:rPr>
              <w:t>（如是，提供</w:t>
            </w:r>
            <w:r>
              <w:rPr>
                <w:rFonts w:hint="eastAsia" w:ascii="仿宋" w:hAnsi="仿宋" w:eastAsia="仿宋" w:cs="Arial"/>
                <w:i/>
                <w:color w:val="000000" w:themeColor="text1"/>
                <w:kern w:val="0"/>
                <w:sz w:val="28"/>
                <w14:textFill>
                  <w14:solidFill>
                    <w14:schemeClr w14:val="tx1"/>
                  </w14:solidFill>
                </w14:textFill>
              </w:rPr>
              <w:t>复印件加盖投标供应商公章）</w:t>
            </w:r>
          </w:p>
        </w:tc>
      </w:tr>
    </w:tbl>
    <w:p>
      <w:pPr>
        <w:spacing w:line="360" w:lineRule="auto"/>
        <w:rPr>
          <w:rFonts w:ascii="Arial" w:hAnsi="Arial" w:eastAsia="新宋体" w:cs="Arial"/>
          <w:i/>
          <w:color w:val="000000" w:themeColor="text1"/>
          <w:sz w:val="22"/>
          <w:szCs w:val="22"/>
          <w14:textFill>
            <w14:solidFill>
              <w14:schemeClr w14:val="tx1"/>
            </w14:solidFill>
          </w14:textFill>
        </w:rPr>
      </w:pP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pStyle w:val="5"/>
        <w:ind w:firstLine="120"/>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与报价有关的资料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58"/>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pPr>
              <w:spacing w:line="360" w:lineRule="auto"/>
              <w:jc w:val="center"/>
              <w:rPr>
                <w:rFonts w:ascii="仿宋" w:hAnsi="仿宋" w:eastAsia="仿宋" w:cs="Arial"/>
                <w:i/>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widowControl/>
        <w:jc w:val="left"/>
        <w:rPr>
          <w:color w:val="000000" w:themeColor="text1"/>
          <w:kern w:val="0"/>
          <w:sz w:val="20"/>
          <w:szCs w:val="20"/>
          <w14:textFill>
            <w14:solidFill>
              <w14:schemeClr w14:val="tx1"/>
            </w14:solidFill>
          </w14:textFill>
        </w:rPr>
        <w:sectPr>
          <w:pgSz w:w="11906" w:h="16838"/>
          <w:pgMar w:top="1667" w:right="1418" w:bottom="1440" w:left="1559" w:header="709" w:footer="992" w:gutter="0"/>
          <w:pgNumType w:fmt="numberInDash"/>
          <w:cols w:space="720" w:num="1"/>
          <w:docGrid w:linePitch="312" w:charSpace="0"/>
        </w:sectPr>
      </w:pPr>
    </w:p>
    <w:p>
      <w:pPr>
        <w:pStyle w:val="54"/>
        <w:rPr>
          <w:color w:val="000000" w:themeColor="text1"/>
          <w14:textFill>
            <w14:solidFill>
              <w14:schemeClr w14:val="tx1"/>
            </w14:solidFill>
          </w14:textFill>
        </w:rPr>
      </w:pPr>
      <w:bookmarkStart w:id="174" w:name="_Toc21942"/>
      <w:bookmarkStart w:id="175" w:name="_Toc522830350"/>
      <w:bookmarkStart w:id="176" w:name="_Toc6867"/>
      <w:bookmarkStart w:id="177" w:name="_Toc7988416"/>
      <w:bookmarkStart w:id="178" w:name="_Toc4309"/>
      <w:bookmarkStart w:id="179" w:name="_Toc27467"/>
      <w:r>
        <w:rPr>
          <w:rFonts w:hint="eastAsia"/>
          <w:color w:val="000000" w:themeColor="text1"/>
          <w14:textFill>
            <w14:solidFill>
              <w14:schemeClr w14:val="tx1"/>
            </w14:solidFill>
          </w14:textFill>
        </w:rPr>
        <w:t>第七章 附件</w:t>
      </w:r>
      <w:bookmarkEnd w:id="174"/>
      <w:bookmarkEnd w:id="175"/>
      <w:bookmarkEnd w:id="176"/>
      <w:bookmarkEnd w:id="177"/>
      <w:bookmarkEnd w:id="178"/>
      <w:bookmarkEnd w:id="179"/>
    </w:p>
    <w:p>
      <w:pPr>
        <w:pStyle w:val="5"/>
        <w:ind w:firstLine="150"/>
        <w:rPr>
          <w:color w:val="000000" w:themeColor="text1"/>
          <w14:textFill>
            <w14:solidFill>
              <w14:schemeClr w14:val="tx1"/>
            </w14:solidFill>
          </w14:textFill>
        </w:rPr>
      </w:pPr>
      <w:bookmarkStart w:id="180" w:name="_Toc4294376"/>
      <w:bookmarkStart w:id="181" w:name="_Toc17428250"/>
      <w:bookmarkStart w:id="182" w:name="_Toc7574701"/>
      <w:bookmarkStart w:id="183" w:name="_Toc7542912"/>
      <w:bookmarkStart w:id="184" w:name="_Toc10432454"/>
      <w:bookmarkStart w:id="185" w:name="_Toc7668946"/>
      <w:bookmarkStart w:id="186" w:name="_Toc7663593"/>
      <w:bookmarkStart w:id="187" w:name="_Toc8007001"/>
      <w:bookmarkStart w:id="188" w:name="_Toc7492524"/>
      <w:bookmarkStart w:id="189" w:name="_Toc7988417"/>
      <w:bookmarkStart w:id="190" w:name="_Toc17428345"/>
      <w:bookmarkStart w:id="191" w:name="_Toc7488755"/>
      <w:bookmarkStart w:id="192" w:name="_Toc24471814"/>
      <w:bookmarkStart w:id="193" w:name="_Toc7993637"/>
      <w:bookmarkStart w:id="194" w:name="_Toc25765006"/>
      <w:bookmarkStart w:id="195" w:name="_Toc7664193"/>
      <w:bookmarkStart w:id="196" w:name="_Toc7988471"/>
      <w:bookmarkStart w:id="197" w:name="_Toc20358288"/>
      <w:bookmarkStart w:id="198" w:name="_Toc532440701"/>
      <w:bookmarkStart w:id="199" w:name="_Toc2002574"/>
      <w:bookmarkStart w:id="200" w:name="_Toc4649580"/>
      <w:bookmarkStart w:id="201" w:name="_Toc522830351"/>
      <w:bookmarkStart w:id="202" w:name="_Toc522417531"/>
      <w:r>
        <w:rPr>
          <w:rFonts w:hint="eastAsia"/>
          <w:color w:val="000000" w:themeColor="text1"/>
          <w14:textFill>
            <w14:solidFill>
              <w14:schemeClr w14:val="tx1"/>
            </w14:solidFill>
          </w14:textFill>
        </w:rPr>
        <w:t>附件1、</w:t>
      </w:r>
      <w:bookmarkEnd w:id="180"/>
      <w:r>
        <w:rPr>
          <w:rFonts w:hint="eastAsia"/>
          <w:color w:val="000000" w:themeColor="text1"/>
          <w14:textFill>
            <w14:solidFill>
              <w14:schemeClr w14:val="tx1"/>
            </w14:solidFill>
          </w14:textFill>
        </w:rPr>
        <w:t>政府采购支持中小企业信用融资相关事项通知</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Style w:val="58"/>
        <w:tblW w:w="916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6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c>
          <w:tcPr>
            <w:tcW w:w="9160" w:type="dxa"/>
          </w:tcPr>
          <w:p>
            <w:pPr>
              <w:spacing w:line="360" w:lineRule="auto"/>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36"/>
                <w14:textFill>
                  <w14:solidFill>
                    <w14:schemeClr w14:val="tx1"/>
                  </w14:solidFill>
                </w14:textFill>
              </w:rPr>
              <w:t>政府采购支持中小企业信用融资相关事项通知</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在杭州市政府采购网上注册入库，并取得杭州市政府采购合同的杭州市内中小企业供应商。</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请登陆杭州市政府采购网（http://cg.hzft.gov.cn）“中小企业信用融资”专栏，可查看信用融资政策文件及各相关银行服务方案。</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三、申请方式和步骤</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1、供应商若有融资意向，需先与六家合作银行对接，办理相关融资前期手续；</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2、中标后，供应商应与采购单位或者采购代理机构及时联系，告知融资需求；</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3、采购单位或者采购代理机构在政府采购信息系统录入中标合同信息时，须在合同备案页“是否为可融资合同”前打勾，并选择相应的信用融资合作银行，录入账号信息；</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4、相关信息录入后，相关合作银行将在政府采购信息系统查询到合同备案信息，经审核，与供应商联系并办理相关融资事宜。</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pPr>
              <w:spacing w:line="360" w:lineRule="auto"/>
              <w:jc w:val="center"/>
              <w:rPr>
                <w:rFonts w:ascii="华文中宋" w:hAnsi="华文中宋" w:eastAsia="华文中宋"/>
                <w:b/>
                <w:color w:val="000000" w:themeColor="text1"/>
                <w:sz w:val="36"/>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请各采购单位和采购代理机构积极支持和配合政府采购信用融资工作，在合同备案环节务必请仔细核对收款银行、账号信息等内容，一旦录入将无法修改。</w:t>
            </w:r>
          </w:p>
        </w:tc>
      </w:tr>
    </w:tbl>
    <w:p>
      <w:pPr>
        <w:spacing w:line="360" w:lineRule="auto"/>
        <w:ind w:firstLine="420" w:firstLineChars="175"/>
        <w:rPr>
          <w:rFonts w:ascii="仿宋" w:hAnsi="仿宋" w:eastAsia="仿宋"/>
          <w:color w:val="000000" w:themeColor="text1"/>
          <w:sz w:val="24"/>
          <w14:textFill>
            <w14:solidFill>
              <w14:schemeClr w14:val="tx1"/>
            </w14:solidFill>
          </w14:textFill>
        </w:rPr>
      </w:pPr>
    </w:p>
    <w:p>
      <w:pPr>
        <w:spacing w:line="360" w:lineRule="auto"/>
        <w:jc w:val="center"/>
        <w:rPr>
          <w:color w:val="000000" w:themeColor="text1"/>
          <w14:textFill>
            <w14:solidFill>
              <w14:schemeClr w14:val="tx1"/>
            </w14:solidFill>
          </w14:textFill>
        </w:rPr>
        <w:sectPr>
          <w:headerReference r:id="rId25" w:type="default"/>
          <w:pgSz w:w="11906" w:h="16838"/>
          <w:pgMar w:top="1675" w:right="1418" w:bottom="1440" w:left="1559" w:header="709" w:footer="992" w:gutter="0"/>
          <w:pgNumType w:fmt="numberInDash"/>
          <w:cols w:space="720" w:num="1"/>
          <w:docGrid w:linePitch="312" w:charSpace="0"/>
        </w:sectPr>
      </w:pPr>
      <w:r>
        <w:rPr>
          <w:color w:val="000000" w:themeColor="text1"/>
          <w14:textFill>
            <w14:solidFill>
              <w14:schemeClr w14:val="tx1"/>
            </w14:solidFill>
          </w14:textFill>
        </w:rPr>
        <w:br w:type="page"/>
      </w:r>
      <w:bookmarkEnd w:id="198"/>
      <w:bookmarkEnd w:id="199"/>
      <w:bookmarkEnd w:id="200"/>
      <w:bookmarkEnd w:id="201"/>
      <w:bookmarkEnd w:id="202"/>
    </w:p>
    <w:p>
      <w:pPr>
        <w:pStyle w:val="5"/>
        <w:ind w:firstLine="150"/>
      </w:pPr>
      <w:r>
        <w:rPr>
          <w:rFonts w:hint="eastAsia"/>
        </w:rPr>
        <w:t>附件2、</w:t>
      </w:r>
      <w: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ascii="仿宋" w:hAnsi="仿宋" w:eastAsia="仿宋" w:cs="仿宋"/>
          <w:color w:val="000000"/>
          <w:sz w:val="24"/>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ascii="仿宋" w:hAnsi="仿宋" w:eastAsia="仿宋" w:cs="仿宋"/>
          <w:color w:val="000000"/>
          <w:sz w:val="24"/>
          <w:u w:val="dotted"/>
        </w:rPr>
        <w:t xml:space="preserve">               </w:t>
      </w:r>
      <w:r>
        <w:rPr>
          <w:rFonts w:hint="eastAsia" w:ascii="仿宋" w:hAnsi="仿宋" w:eastAsia="仿宋" w:cs="仿宋"/>
          <w:color w:val="000000"/>
          <w:sz w:val="24"/>
        </w:rPr>
        <w:t>包号：</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1：</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ascii="仿宋" w:hAnsi="仿宋" w:eastAsia="仿宋" w:cs="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_GB2312" w:hAnsi="仿宋" w:eastAsia="仿宋_GB2312"/>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jc w:val="center"/>
        <w:rPr>
          <w:rFonts w:ascii="仿宋_GB2312" w:hAnsi="仿宋" w:eastAsia="仿宋_GB2312" w:cs="仿宋"/>
          <w:b/>
          <w:bCs/>
          <w:color w:val="000000"/>
          <w:sz w:val="24"/>
        </w:rPr>
      </w:pPr>
    </w:p>
    <w:p>
      <w:pPr>
        <w:spacing w:line="360" w:lineRule="auto"/>
        <w:rPr>
          <w:rFonts w:ascii="仿宋_GB2312" w:hAnsi="仿宋" w:eastAsia="仿宋_GB2312"/>
          <w:b/>
          <w:color w:val="000000"/>
          <w:sz w:val="24"/>
        </w:rPr>
      </w:pPr>
    </w:p>
    <w:p>
      <w:pPr>
        <w:spacing w:line="360" w:lineRule="auto"/>
        <w:rPr>
          <w:rFonts w:ascii="仿宋" w:hAnsi="仿宋" w:eastAsia="仿宋"/>
          <w:b/>
          <w:i/>
          <w:color w:val="000000"/>
          <w:sz w:val="28"/>
        </w:rPr>
      </w:pPr>
      <w:r>
        <w:rPr>
          <w:rFonts w:hint="eastAsia" w:ascii="仿宋" w:hAnsi="仿宋" w:eastAsia="仿宋"/>
          <w:b/>
          <w:i/>
          <w:color w:val="000000"/>
          <w:sz w:val="28"/>
        </w:rPr>
        <w:t>质疑函制作说明：</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1.供应商提出质疑时，应提交质疑函和必要的证明材料。</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2.质疑供应商若委托代理人进行质疑的，</w:t>
      </w:r>
      <w:r>
        <w:rPr>
          <w:rFonts w:hint="eastAsia" w:ascii="仿宋" w:hAnsi="仿宋" w:eastAsia="仿宋"/>
          <w:i/>
          <w:color w:val="000000"/>
          <w:sz w:val="28"/>
        </w:rPr>
        <w:t>质疑函应按要求列明“授权代表”的有关内容，并在附件中提交由质疑</w:t>
      </w:r>
      <w:r>
        <w:rPr>
          <w:rFonts w:hint="eastAsia" w:ascii="仿宋" w:hAnsi="仿宋" w:eastAsia="仿宋" w:cs="宋体"/>
          <w:i/>
          <w:color w:val="000000"/>
          <w:kern w:val="0"/>
          <w:sz w:val="28"/>
        </w:rPr>
        <w:t>供应商签署的授权委托书。授权委托书应载明代理人的姓名或者名称、代理事项、具体权限、期限和相关事项。</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3.质疑供应商若对项目的某一分包进行质疑，质疑函中应列明具体分包号。</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4.质疑函的质疑事项应具体、明确，并有必要的事实依据和法律依据。</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5.质疑函的质疑请求应与质疑事项相关。</w:t>
      </w:r>
    </w:p>
    <w:p>
      <w:pPr>
        <w:widowControl/>
        <w:spacing w:line="360" w:lineRule="auto"/>
        <w:ind w:firstLine="560" w:firstLineChars="200"/>
        <w:jc w:val="left"/>
        <w:rPr>
          <w:rFonts w:ascii="仿宋_GB2312" w:hAnsi="仿宋" w:eastAsia="仿宋_GB2312"/>
          <w:color w:val="000000"/>
          <w:sz w:val="24"/>
        </w:rPr>
      </w:pPr>
      <w:r>
        <w:rPr>
          <w:rFonts w:ascii="仿宋" w:hAnsi="仿宋" w:eastAsia="仿宋"/>
          <w:i/>
          <w:color w:val="000000"/>
          <w:sz w:val="28"/>
        </w:rPr>
        <w:t>6.质疑供应商为自然人的，</w:t>
      </w:r>
      <w:r>
        <w:rPr>
          <w:rFonts w:hint="eastAsia" w:ascii="仿宋" w:hAnsi="仿宋" w:eastAsia="仿宋"/>
          <w:i/>
          <w:color w:val="000000"/>
          <w:sz w:val="28"/>
        </w:rPr>
        <w:t>质疑函应由本人签字；质疑供应商为法人或者其他组织的，质疑函应由法定代表人、主要负责人，或者其授权代表签字或者盖章，并加盖公章。</w:t>
      </w:r>
    </w:p>
    <w:p>
      <w:pPr>
        <w:pStyle w:val="5"/>
        <w:ind w:firstLine="150"/>
      </w:pPr>
      <w:r>
        <w:rPr>
          <w:szCs w:val="30"/>
        </w:rPr>
        <w:br w:type="page"/>
      </w:r>
      <w:r>
        <w:rPr>
          <w:rFonts w:hint="eastAsia"/>
          <w:szCs w:val="30"/>
        </w:rPr>
        <w:t>附件3、</w:t>
      </w:r>
      <w:r>
        <w:t>投诉书范本及制作说明</w:t>
      </w:r>
    </w:p>
    <w:p>
      <w:pPr>
        <w:spacing w:line="360" w:lineRule="auto"/>
        <w:jc w:val="center"/>
        <w:rPr>
          <w:rFonts w:ascii="仿宋_GB2312" w:hAnsi="仿宋" w:eastAsia="仿宋_GB2312"/>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/主要负责人：</w:t>
      </w:r>
      <w:r>
        <w:rPr>
          <w:rFonts w:ascii="仿宋" w:hAnsi="仿宋" w:eastAsia="仿宋"/>
          <w:color w:val="000000"/>
          <w:sz w:val="24"/>
          <w:u w:val="dotted"/>
        </w:rPr>
        <w:t xml:space="preserve">                                   </w:t>
      </w:r>
      <w:r>
        <w:rPr>
          <w:rFonts w:ascii="仿宋" w:hAnsi="仿宋" w:eastAsia="仿宋"/>
          <w:color w:val="000000"/>
          <w:sz w:val="24"/>
        </w:rPr>
        <w:t xml:space="preserve">  </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授权代表：</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被投诉人</w:t>
      </w:r>
      <w:r>
        <w:rPr>
          <w:rFonts w:ascii="仿宋" w:hAnsi="仿宋" w:eastAsia="仿宋"/>
          <w:color w:val="000000"/>
          <w:sz w:val="24"/>
        </w:rPr>
        <w:t>1：</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被投诉人</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w:t>
      </w:r>
      <w:r>
        <w:rPr>
          <w:rFonts w:ascii="仿宋" w:hAnsi="仿宋" w:eastAsia="仿宋"/>
          <w:color w:val="000000"/>
          <w:sz w:val="24"/>
          <w:u w:val="dotted"/>
        </w:rPr>
        <w:t xml:space="preserve">                 </w:t>
      </w:r>
      <w:r>
        <w:rPr>
          <w:rFonts w:hint="eastAsia" w:ascii="仿宋" w:hAnsi="仿宋" w:eastAsia="仿宋"/>
          <w:color w:val="000000"/>
          <w:sz w:val="24"/>
        </w:rPr>
        <w:t>包号：</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采购人名称：</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,向</w:t>
      </w:r>
      <w:r>
        <w:rPr>
          <w:rFonts w:ascii="仿宋" w:hAnsi="仿宋" w:eastAsia="仿宋"/>
          <w:color w:val="000000"/>
          <w:sz w:val="24"/>
          <w:u w:val="dotted"/>
        </w:rPr>
        <w:t xml:space="preserve">                   </w:t>
      </w:r>
      <w:r>
        <w:rPr>
          <w:rFonts w:hint="eastAsia" w:ascii="仿宋" w:hAnsi="仿宋" w:eastAsia="仿宋"/>
          <w:color w:val="000000"/>
          <w:sz w:val="24"/>
        </w:rPr>
        <w:t>提出质疑，质疑事项为：</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w:t>
      </w:r>
      <w:r>
        <w:rPr>
          <w:rFonts w:ascii="仿宋" w:hAnsi="仿宋" w:eastAsia="仿宋"/>
          <w:color w:val="000000"/>
          <w:sz w:val="24"/>
          <w:u w:val="dotted"/>
        </w:rPr>
        <w:t>/代理机构</w:t>
      </w:r>
      <w:r>
        <w:rPr>
          <w:rFonts w:hint="eastAsia" w:ascii="仿宋" w:hAnsi="仿宋" w:eastAsia="仿宋"/>
          <w:color w:val="000000"/>
          <w:sz w:val="24"/>
        </w:rPr>
        <w:t>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,就质疑事项</w:t>
      </w:r>
      <w:r>
        <w:rPr>
          <w:rFonts w:hint="eastAsia" w:ascii="仿宋" w:hAnsi="仿宋" w:eastAsia="仿宋"/>
          <w:color w:val="000000"/>
          <w:sz w:val="24"/>
        </w:rPr>
        <w:t>作出了答复</w:t>
      </w:r>
      <w:r>
        <w:rPr>
          <w:rFonts w:ascii="仿宋" w:hAnsi="仿宋" w:eastAsia="仿宋"/>
          <w:color w:val="000000"/>
          <w:sz w:val="24"/>
        </w:rPr>
        <w:t>/没有在法定期限内</w:t>
      </w:r>
      <w:r>
        <w:rPr>
          <w:rFonts w:hint="eastAsia" w:ascii="仿宋" w:hAnsi="仿宋" w:eastAsia="仿宋"/>
          <w:color w:val="000000"/>
          <w:sz w:val="24"/>
        </w:rPr>
        <w:t>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w:t>
      </w:r>
      <w:r>
        <w:rPr>
          <w:rFonts w:ascii="仿宋" w:hAnsi="仿宋" w:eastAsia="仿宋"/>
          <w:color w:val="000000"/>
          <w:sz w:val="24"/>
        </w:rPr>
        <w:t xml:space="preserve"> 1：</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事实依据：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投诉事项</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rPr>
          <w:rFonts w:ascii="仿宋" w:hAnsi="仿宋" w:eastAsia="仿宋"/>
          <w:color w:val="000000"/>
          <w:sz w:val="24"/>
          <w:u w:val="single"/>
        </w:rPr>
      </w:pPr>
      <w:r>
        <w:rPr>
          <w:rFonts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rPr>
          <w:rFonts w:ascii="仿宋" w:hAnsi="仿宋" w:eastAsia="仿宋"/>
          <w:b/>
          <w:color w:val="000000"/>
          <w:sz w:val="24"/>
        </w:rPr>
      </w:pPr>
    </w:p>
    <w:p>
      <w:pPr>
        <w:spacing w:line="360" w:lineRule="auto"/>
        <w:rPr>
          <w:rFonts w:ascii="仿宋" w:hAnsi="仿宋" w:eastAsia="仿宋"/>
          <w:b/>
          <w:i/>
          <w:color w:val="000000"/>
          <w:sz w:val="24"/>
        </w:rPr>
      </w:pPr>
      <w:r>
        <w:rPr>
          <w:rFonts w:hint="eastAsia" w:ascii="仿宋" w:hAnsi="仿宋" w:eastAsia="仿宋"/>
          <w:b/>
          <w:i/>
          <w:color w:val="000000"/>
          <w:sz w:val="24"/>
        </w:rPr>
        <w:t>投诉书制作说明：</w:t>
      </w:r>
    </w:p>
    <w:p>
      <w:pPr>
        <w:widowControl/>
        <w:spacing w:line="360" w:lineRule="auto"/>
        <w:ind w:firstLine="480" w:firstLineChars="200"/>
        <w:rPr>
          <w:rFonts w:ascii="仿宋" w:hAnsi="仿宋" w:eastAsia="仿宋" w:cs="宋体"/>
          <w:i/>
          <w:color w:val="000000"/>
          <w:kern w:val="0"/>
          <w:sz w:val="24"/>
        </w:rPr>
      </w:pPr>
      <w:r>
        <w:rPr>
          <w:rFonts w:ascii="仿宋" w:hAnsi="仿宋" w:eastAsia="仿宋"/>
          <w:i/>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i/>
          <w:color w:val="000000"/>
          <w:kern w:val="0"/>
          <w:sz w:val="24"/>
        </w:rPr>
      </w:pPr>
      <w:r>
        <w:rPr>
          <w:rFonts w:ascii="仿宋" w:hAnsi="仿宋" w:eastAsia="仿宋"/>
          <w:i/>
          <w:color w:val="000000"/>
          <w:sz w:val="24"/>
        </w:rPr>
        <w:t>2.投诉人若委托代理人进行投诉的，投诉书应按照要求列明“授权代表”的有关内容，并在附件中提交由</w:t>
      </w:r>
      <w:r>
        <w:rPr>
          <w:rFonts w:hint="eastAsia" w:ascii="仿宋" w:hAnsi="仿宋" w:eastAsia="仿宋" w:cs="宋体"/>
          <w:i/>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6.投诉书的投诉请求应与投诉事项相关。</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sz w:val="24"/>
          <w:szCs w:val="20"/>
        </w:rPr>
      </w:pPr>
      <w:r>
        <w:rPr>
          <w:rFonts w:ascii="仿宋_GB2312" w:eastAsia="仿宋_GB2312"/>
          <w:color w:val="000000"/>
        </w:rPr>
        <w:br w:type="page"/>
      </w:r>
    </w:p>
    <w:p>
      <w:pPr>
        <w:pStyle w:val="5"/>
        <w:ind w:firstLine="150"/>
      </w:pPr>
      <w:r>
        <w:rPr>
          <w:rFonts w:hint="eastAsia"/>
        </w:rPr>
        <w:t>附件4、《业务专用章使用说明函》</w:t>
      </w:r>
    </w:p>
    <w:p>
      <w:pPr>
        <w:snapToGrid w:val="0"/>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业务专用章使用说明函</w:t>
      </w:r>
    </w:p>
    <w:p>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w w:val="90"/>
          <w:kern w:val="0"/>
          <w:sz w:val="28"/>
          <w:szCs w:val="28"/>
          <w:u w:val="single"/>
        </w:rPr>
        <w:t>浙江省住房和城乡建设厅信息宣传中心、浙江省成套招标代理有限公司</w:t>
      </w:r>
      <w:r>
        <w:rPr>
          <w:rFonts w:hint="eastAsia" w:ascii="仿宋" w:hAnsi="仿宋" w:eastAsia="仿宋" w:cs="Arial"/>
          <w:b/>
          <w:color w:val="000000"/>
          <w:w w:val="90"/>
          <w:kern w:val="0"/>
          <w:sz w:val="28"/>
          <w:szCs w:val="28"/>
        </w:rPr>
        <w:t>：</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投标人</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color w:val="000000"/>
          <w:kern w:val="0"/>
          <w:sz w:val="28"/>
          <w:szCs w:val="28"/>
          <w:u w:val="single"/>
        </w:rPr>
        <w:t>浙江省城市运行安全数字化管理系统（被整合系统）运维项目（项目编号：</w:t>
      </w:r>
      <w:r>
        <w:rPr>
          <w:rFonts w:hint="eastAsia" w:ascii="仿宋" w:hAnsi="仿宋" w:eastAsia="仿宋" w:cs="Arial"/>
          <w:b/>
          <w:color w:val="000000"/>
          <w:kern w:val="0"/>
          <w:sz w:val="28"/>
          <w:szCs w:val="28"/>
          <w:u w:val="single"/>
          <w:lang w:eastAsia="zh-CN"/>
        </w:rPr>
        <w:t>CTZB-2024080141</w:t>
      </w:r>
      <w:r>
        <w:rPr>
          <w:rFonts w:hint="eastAsia" w:ascii="仿宋" w:hAnsi="仿宋" w:eastAsia="仿宋" w:cs="Arial"/>
          <w:b/>
          <w:color w:val="000000"/>
          <w:kern w:val="0"/>
          <w:sz w:val="28"/>
          <w:szCs w:val="28"/>
          <w:u w:val="single"/>
        </w:rPr>
        <w:t>）</w:t>
      </w:r>
      <w:r>
        <w:rPr>
          <w:rFonts w:hint="eastAsia" w:ascii="仿宋" w:hAnsi="仿宋" w:eastAsia="仿宋" w:cs="宋体"/>
          <w:bCs/>
          <w:color w:val="000000" w:themeColor="text1"/>
          <w:sz w:val="28"/>
          <w14:textFill>
            <w14:solidFill>
              <w14:schemeClr w14:val="tx1"/>
            </w14:solidFill>
          </w14:textFill>
        </w:rPr>
        <w:t>投标活动中作如下说明：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pPr>
        <w:snapToGrid w:val="0"/>
        <w:spacing w:line="480" w:lineRule="auto"/>
        <w:ind w:firstLine="56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pPr>
        <w:tabs>
          <w:tab w:val="left" w:pos="4860"/>
        </w:tabs>
        <w:spacing w:line="360" w:lineRule="auto"/>
        <w:ind w:right="1560" w:firstLine="566" w:firstLineChars="194"/>
        <w:jc w:val="left"/>
        <w:rPr>
          <w:rFonts w:ascii="仿宋" w:hAnsi="仿宋" w:eastAsia="仿宋"/>
          <w:color w:val="000000"/>
          <w:spacing w:val="6"/>
          <w:sz w:val="28"/>
        </w:rPr>
      </w:pPr>
      <w:r>
        <w:rPr>
          <w:rFonts w:hint="eastAsia" w:ascii="仿宋" w:hAnsi="仿宋" w:eastAsia="仿宋"/>
          <w:color w:val="000000"/>
          <w:spacing w:val="6"/>
          <w:sz w:val="28"/>
        </w:rPr>
        <w:t>投标供应商（法定名称章）：</w:t>
      </w:r>
      <w:r>
        <w:rPr>
          <w:rFonts w:ascii="仿宋" w:hAnsi="仿宋" w:eastAsia="仿宋" w:cs="Arial"/>
          <w:color w:val="000000"/>
          <w:w w:val="90"/>
          <w:kern w:val="0"/>
          <w:sz w:val="28"/>
        </w:rPr>
        <w:t>_______________________</w:t>
      </w:r>
    </w:p>
    <w:p>
      <w:pPr>
        <w:snapToGrid w:val="0"/>
        <w:spacing w:line="360" w:lineRule="auto"/>
        <w:ind w:firstLine="566" w:firstLineChars="194"/>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snapToGrid w:val="0"/>
        <w:spacing w:line="360" w:lineRule="auto"/>
        <w:rPr>
          <w:rFonts w:ascii="仿宋" w:hAnsi="仿宋" w:eastAsia="仿宋" w:cs="宋体"/>
          <w:b/>
          <w:bCs/>
          <w:color w:val="000000" w:themeColor="text1"/>
          <w:sz w:val="24"/>
          <w14:textFill>
            <w14:solidFill>
              <w14:schemeClr w14:val="tx1"/>
            </w14:solidFill>
          </w14:textFill>
        </w:rPr>
      </w:pPr>
    </w:p>
    <w:p>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4572" w:type="dxa"/>
          </w:tcPr>
          <w:p>
            <w:pPr>
              <w:snapToGrid w:val="0"/>
              <w:spacing w:line="360" w:lineRule="auto"/>
              <w:jc w:val="center"/>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投标单位法定名称章（印模）</w:t>
            </w:r>
          </w:p>
        </w:tc>
        <w:tc>
          <w:tcPr>
            <w:tcW w:w="4573" w:type="dxa"/>
          </w:tcPr>
          <w:p>
            <w:pPr>
              <w:snapToGrid w:val="0"/>
              <w:spacing w:line="360" w:lineRule="auto"/>
              <w:jc w:val="center"/>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w:t>
            </w:r>
            <w:r>
              <w:rPr>
                <w:rFonts w:ascii="仿宋" w:hAnsi="仿宋" w:eastAsia="仿宋" w:cs="仿宋_GB2312"/>
                <w:color w:val="000000" w:themeColor="text1"/>
                <w:sz w:val="28"/>
                <w14:textFill>
                  <w14:solidFill>
                    <w14:schemeClr w14:val="tx1"/>
                  </w14:solidFill>
                </w14:textFill>
              </w:rPr>
              <w:t>XX</w:t>
            </w:r>
            <w:r>
              <w:rPr>
                <w:rFonts w:hint="eastAsia" w:ascii="仿宋" w:hAnsi="仿宋" w:eastAsia="仿宋" w:cs="宋体"/>
                <w:color w:val="000000" w:themeColor="text1"/>
                <w:sz w:val="28"/>
                <w14:textFill>
                  <w14:solidFill>
                    <w14:schemeClr w14:val="tx1"/>
                  </w14:solidFill>
                </w14:textFill>
              </w:rPr>
              <w:t>专用章”（印模）</w:t>
            </w:r>
          </w:p>
        </w:tc>
      </w:tr>
    </w:tbl>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rFonts w:ascii="Arial" w:hAnsi="Arial" w:eastAsia="新宋体" w:cs="Arial"/>
          <w:color w:val="000000" w:themeColor="text1"/>
          <w:kern w:val="0"/>
          <w:sz w:val="32"/>
          <w:szCs w:val="32"/>
          <w14:textFill>
            <w14:solidFill>
              <w14:schemeClr w14:val="tx1"/>
            </w14:solidFill>
          </w14:textFill>
        </w:rPr>
      </w:pP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1983740" cy="1961515"/>
            <wp:effectExtent l="0" t="0" r="16510" b="635"/>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png"/>
                    <pic:cNvPicPr>
                      <a:picLocks noChangeAspect="1"/>
                    </pic:cNvPicPr>
                  </pic:nvPicPr>
                  <pic:blipFill>
                    <a:blip r:embed="rId29" cstate="print"/>
                    <a:stretch>
                      <a:fillRect/>
                    </a:stretch>
                  </pic:blipFill>
                  <pic:spPr>
                    <a:xfrm>
                      <a:off x="0" y="0"/>
                      <a:ext cx="1983948" cy="1961904"/>
                    </a:xfrm>
                    <a:prstGeom prst="rect">
                      <a:avLst/>
                    </a:prstGeom>
                  </pic:spPr>
                </pic:pic>
              </a:graphicData>
            </a:graphic>
          </wp:inline>
        </w:drawing>
      </w: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3867150" cy="1038225"/>
            <wp:effectExtent l="0" t="0" r="0" b="9525"/>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png"/>
                    <pic:cNvPicPr>
                      <a:picLocks noChangeAspect="1"/>
                    </pic:cNvPicPr>
                  </pic:nvPicPr>
                  <pic:blipFill>
                    <a:blip r:embed="rId30" cstate="print"/>
                    <a:stretch>
                      <a:fillRect/>
                    </a:stretch>
                  </pic:blipFill>
                  <pic:spPr>
                    <a:xfrm>
                      <a:off x="0" y="0"/>
                      <a:ext cx="3867150" cy="1038574"/>
                    </a:xfrm>
                    <a:prstGeom prst="rect">
                      <a:avLst/>
                    </a:prstGeom>
                  </pic:spPr>
                </pic:pic>
              </a:graphicData>
            </a:graphic>
          </wp:inline>
        </w:drawing>
      </w:r>
    </w:p>
    <w:p>
      <w:pPr>
        <w:widowControl/>
        <w:jc w:val="left"/>
        <w:rPr>
          <w:color w:val="000000" w:themeColor="text1"/>
          <w14:textFill>
            <w14:solidFill>
              <w14:schemeClr w14:val="tx1"/>
            </w14:solidFill>
          </w14:textFill>
        </w:rPr>
      </w:pPr>
    </w:p>
    <w:sectPr>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2OcuAe">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華康細圓體">
    <w:altName w:val="Microsoft JhengHe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華康粗圓體">
    <w:altName w:val="Microsoft JhengHei"/>
    <w:panose1 w:val="00000000000000000000"/>
    <w:charset w:val="88"/>
    <w:family w:val="auto"/>
    <w:pitch w:val="default"/>
    <w:sig w:usb0="00000000" w:usb1="00000000" w:usb2="00000010" w:usb3="00000000" w:csb0="00100000"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 w:hAnsi="仿宋" w:eastAsia="仿宋"/>
      </w:rPr>
    </w:pPr>
    <w:r>
      <w:rPr>
        <w:rFonts w:ascii="仿宋" w:hAnsi="仿宋" w:eastAsia="仿宋"/>
        <w:b/>
        <w:sz w:val="24"/>
        <w:szCs w:val="24"/>
      </w:rPr>
      <w:fldChar w:fldCharType="begin"/>
    </w:r>
    <w:r>
      <w:rPr>
        <w:rStyle w:val="68"/>
        <w:rFonts w:ascii="仿宋" w:hAnsi="仿宋" w:eastAsia="仿宋"/>
        <w:b/>
        <w:sz w:val="24"/>
        <w:szCs w:val="24"/>
      </w:rPr>
      <w:instrText xml:space="preserve"> PAGE </w:instrText>
    </w:r>
    <w:r>
      <w:rPr>
        <w:rFonts w:ascii="仿宋" w:hAnsi="仿宋" w:eastAsia="仿宋"/>
        <w:b/>
        <w:sz w:val="24"/>
        <w:szCs w:val="24"/>
      </w:rPr>
      <w:fldChar w:fldCharType="separate"/>
    </w:r>
    <w:r>
      <w:rPr>
        <w:rStyle w:val="68"/>
        <w:rFonts w:ascii="仿宋" w:hAnsi="仿宋" w:eastAsia="仿宋"/>
        <w:b/>
        <w:sz w:val="24"/>
        <w:szCs w:val="24"/>
      </w:rPr>
      <w:t>- 64 -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1" o:spid="_x0000_s1065"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6" name="WordArt 4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40" o:spid="_x0000_s1026" o:spt="202" type="#_x0000_t202" style="position:absolute;left:0pt;height:44.95pt;width:584.4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PX+3VRkCAAA4BAAA&#10;DgAAAAAAAAABACAAAAAjAQAAZHJzL2Uyb0RvYy54bWxQSwUGAAAAAAYABgBZAQAArgU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2" o:spid="_x0000_s1042"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5"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height:44.95pt;width:584.4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eg1GH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1" o:spid="_x0000_s1038"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3"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DYlQtv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1067" o:spid="_x0000_s1067"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0" t="0" r="0" b="1905"/>
          <wp:docPr id="1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7421880" cy="570865"/>
              <wp:effectExtent l="0" t="0" r="0" b="0"/>
              <wp:wrapNone/>
              <wp:docPr id="17"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height:44.95pt;width:584.4pt;mso-position-horizontal:center;mso-position-horizontal-relative:margin;mso-position-vertical:center;mso-position-vertical-relative:margin;rotation:-2949120f;z-index:-25164288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FXqnSEXAgAAOAQAAA4A&#10;AAAAAAAAAQAgAAAAIwEAAGRycy9lMm9Eb2MueG1sUEsFBgAAAAAGAAYAWQEAAKwFA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「第四章 评审方法和标准」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1066" o:spid="_x0000_s1066"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0" t="0" r="0" b="1905"/>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7421880" cy="570865"/>
              <wp:effectExtent l="0" t="0" r="0" b="0"/>
              <wp:wrapNone/>
              <wp:docPr id="12"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height:44.95pt;width:584.4pt;mso-position-horizontal:center;mso-position-horizontal-relative:margin;mso-position-vertical:center;mso-position-vertical-relative:margin;rotation:-2949120f;z-index:-25164288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B/q87A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「第五章 合同主要条款」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drawing>
        <wp:inline distT="0" distB="0" distL="0" distR="0">
          <wp:extent cx="1714500" cy="360045"/>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7"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44.95pt;width:584.4pt;mso-position-horizontal:center;mso-position-horizontal-relative:margin;mso-position-vertical:center;mso-position-vertical-relative:margin;rotation:-2949120f;z-index:-25164697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Irj6M0XAgAANgQAAA4A&#10;AAAAAAAAAQAgAAAAIwEAAGRycy9lMm9Eb2MueG1sUEsFBgAAAAAGAAYAWQEAAKwFA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「第六章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21" o:spid="_x0000_s1030"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20" o:spid="_x0000_s1027"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421880" cy="570865"/>
              <wp:effectExtent l="0" t="2465705" r="0" b="246888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E5B8B7"/>
                              <w:kern w:val="0"/>
                              <w:sz w:val="16"/>
                              <w:szCs w:val="16"/>
                              <w14:textFill>
                                <w14:solidFill>
                                  <w14:srgbClr w14:val="E5B8B7">
                                    <w14:alpha w14:val="50000"/>
                                  </w14:srgbClr>
                                </w14:solidFill>
                              </w14:textFill>
                            </w:rPr>
                          </w:pPr>
                          <w:r>
                            <w:rPr>
                              <w:rFonts w:hint="eastAsia" w:ascii="华文中宋" w:hAnsi="华文中宋" w:eastAsia="华文中宋"/>
                              <w:color w:val="E5B8B7"/>
                              <w:sz w:val="16"/>
                              <w:szCs w:val="16"/>
                              <w14:textFill>
                                <w14:solidFill>
                                  <w14:srgbClr w14:val="E5B8B7">
                                    <w14:alpha w14:val="50000"/>
                                  </w14:srgbClr>
                                </w14:solidFill>
                              </w14:textFill>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44.95pt;width:584.4pt;mso-position-horizontal:center;mso-position-horizontal-relative:margin;mso-position-vertical:center;mso-position-vertical-relative:margin;rotation:-2949120f;z-index:-25164390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y+F71AAAAAUBAAAPAAAAAAAA&#10;AAEAIAAAACIAAABkcnMvZG93bnJldi54bWxQSwECFAAUAAAACACHTuJAAw7+khYCAAA2BAAADgAA&#10;AAAAAAABACAAAAAjAQAAZHJzL2Uyb0RvYy54bWxQSwUGAAAAAAYABgBZAQAAqwUAAAAA&#10;" adj="10800">
              <v:fill on="f" focussize="0,0"/>
              <v:stroke on="f"/>
              <v:imagedata o:title=""/>
              <o:lock v:ext="edit" text="t" aspectratio="f"/>
              <v:textbox style="mso-fit-shape-to-text:t;">
                <w:txbxContent>
                  <w:p>
                    <w:pPr>
                      <w:jc w:val="center"/>
                      <w:rPr>
                        <w:rFonts w:ascii="华文中宋" w:hAnsi="华文中宋" w:eastAsia="华文中宋"/>
                        <w:color w:val="E5B8B7"/>
                        <w:kern w:val="0"/>
                        <w:sz w:val="16"/>
                        <w:szCs w:val="16"/>
                        <w14:textFill>
                          <w14:solidFill>
                            <w14:srgbClr w14:val="E5B8B7">
                              <w14:alpha w14:val="50000"/>
                            </w14:srgbClr>
                          </w14:solidFill>
                        </w14:textFill>
                      </w:rPr>
                    </w:pPr>
                    <w:r>
                      <w:rPr>
                        <w:rFonts w:hint="eastAsia" w:ascii="华文中宋" w:hAnsi="华文中宋" w:eastAsia="华文中宋"/>
                        <w:color w:val="E5B8B7"/>
                        <w:sz w:val="16"/>
                        <w:szCs w:val="16"/>
                        <w14:textFill>
                          <w14:solidFill>
                            <w14:srgbClr w14:val="E5B8B7">
                              <w14:alpha w14:val="50000"/>
                            </w14:srgbClr>
                          </w14:solidFill>
                        </w14:textFill>
                      </w:rPr>
                      <w:t>浙江省成套招标代理有限公司</w:t>
                    </w:r>
                  </w:p>
                </w:txbxContent>
              </v:textbox>
            </v:shape>
          </w:pict>
        </mc:Fallback>
      </mc:AlternateContent>
    </w:r>
    <w:r>
      <w:drawing>
        <wp:inline distT="0" distB="0" distL="0" distR="0">
          <wp:extent cx="1714500" cy="360045"/>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7421880" cy="570865"/>
              <wp:effectExtent l="0" t="2494280" r="0" b="2497455"/>
              <wp:wrapNone/>
              <wp:docPr id="3"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44.95pt;width:584.4pt;mso-position-horizontal:center;mso-position-horizontal-relative:margin;mso-position-vertical:center;mso-position-vertical-relative:margin;rotation:-2949120f;z-index:-25164492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Eg8J88aAgAANgQA&#10;AA4AAAAAAAAAAQAgAAAAIwEAAGRycy9lMm9Eb2MueG1sUEsFBgAAAAAGAAYAWQEAAK8FA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「第六章 投标文件格式」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7421880" cy="570865"/>
              <wp:effectExtent l="0" t="0" r="0" b="0"/>
              <wp:wrapNone/>
              <wp:docPr id="18"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E5B8B7"/>
                              <w:kern w:val="0"/>
                              <w:sz w:val="16"/>
                              <w:szCs w:val="16"/>
                              <w14:textFill>
                                <w14:solidFill>
                                  <w14:srgbClr w14:val="E5B8B7">
                                    <w14:alpha w14:val="50000"/>
                                  </w14:srgbClr>
                                </w14:solidFill>
                              </w14:textFill>
                            </w:rPr>
                          </w:pP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44.95pt;width:584.4pt;mso-position-horizontal:center;mso-position-horizontal-relative:margin;mso-position-vertical:center;mso-position-vertical-relative:margin;rotation:-2949120f;z-index:-25164083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JbAueYXAgAANwQAAA4A&#10;AAAAAAAAAQAgAAAAIwEAAGRycy9lMm9Eb2MueG1sUEsFBgAAAAAGAAYAWQEAAKwFAAAAAA==&#10;" adj="10800">
              <v:fill on="f" focussize="0,0"/>
              <v:stroke on="f"/>
              <v:imagedata o:title=""/>
              <o:lock v:ext="edit" text="t" aspectratio="f"/>
              <v:textbox style="mso-fit-shape-to-text:t;">
                <w:txbxContent>
                  <w:p>
                    <w:pPr>
                      <w:jc w:val="center"/>
                      <w:rPr>
                        <w:rFonts w:ascii="华文中宋" w:hAnsi="华文中宋" w:eastAsia="华文中宋"/>
                        <w:color w:val="E5B8B7"/>
                        <w:kern w:val="0"/>
                        <w:sz w:val="16"/>
                        <w:szCs w:val="16"/>
                        <w14:textFill>
                          <w14:solidFill>
                            <w14:srgbClr w14:val="E5B8B7">
                              <w14:alpha w14:val="50000"/>
                            </w14:srgbClr>
                          </w14:solidFill>
                        </w14:textFill>
                      </w:rPr>
                    </w:pPr>
                  </w:p>
                </w:txbxContent>
              </v:textbox>
            </v:shape>
          </w:pict>
        </mc:Fallback>
      </mc:AlternateContent>
    </w:r>
    <w:r>
      <w:drawing>
        <wp:inline distT="0" distB="0" distL="0" distR="0">
          <wp:extent cx="1714500" cy="360045"/>
          <wp:effectExtent l="0" t="0" r="0" b="1905"/>
          <wp:docPr id="2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7421880" cy="570865"/>
              <wp:effectExtent l="0" t="0" r="0" b="0"/>
              <wp:wrapNone/>
              <wp:docPr id="29"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44.95pt;width:584.4pt;mso-position-horizontal:center;mso-position-horizontal-relative:margin;mso-position-vertical:center;mso-position-vertical-relative:margin;rotation:-2949120f;z-index:-25164185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4XvUAAAABQEAAA8A&#10;AAAAAAAAAQAgAAAAIgAAAGRycy9kb3ducmV2LnhtbFBLAQIUABQAAAAIAIdO4kC+C0wSGwIAADcE&#10;AAAOAAAAAAAAAAEAIAAAACMBAABkcnMvZTJvRG9jLnhtbFBLBQYAAAAABgAGAFkBAACw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p>
                </w:txbxContent>
              </v:textbox>
            </v:shape>
          </w:pict>
        </mc:Fallback>
      </mc:AlternateContent>
    </w:r>
    <w:r>
      <w:rPr>
        <w:rFonts w:hint="eastAsia"/>
      </w:rPr>
      <w:t xml:space="preserve">  Tel:0571-87631191/85830297                             「第七章 附件」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8306"/>
      </w:tabs>
      <w:jc w:val="both"/>
    </w:pPr>
    <w:r>
      <w:drawing>
        <wp:inline distT="0" distB="0" distL="0" distR="0">
          <wp:extent cx="1714500" cy="360045"/>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4" name="WordArt 3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5" o:spid="_x0000_s1026" o:spt="202" type="#_x0000_t202" style="position:absolute;left:0pt;height:44.95pt;width:584.4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BVF9wv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1062"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5" name="WordArt 3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7" o:spid="_x0000_s1026" o:spt="202" type="#_x0000_t202" style="position:absolute;left:0pt;height:44.95pt;width:584.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599CJRkCAAA4BAAA&#10;DgAAAAAAAAABACAAAAAjAQAAZHJzL2Uyb0RvYy54bWxQSwUGAAAAAAYABgBZAQAArgU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1058"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3" name="WordArt 3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3" o:spid="_x0000_s1026" o:spt="202" type="#_x0000_t202" style="position:absolute;left:0pt;height:44.95pt;width:584.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ockYzRkCAAA4BAAA&#10;DgAAAAAAAAABACAAAAAjAQAAZHJzL2Uyb0RvYy54bWxQSwUGAAAAAAYABgBZAQAArgU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drawing>
        <wp:inline distT="0" distB="0" distL="0" distR="0">
          <wp:extent cx="1714500" cy="360045"/>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21"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height:44.95pt;width:584.4pt;mso-position-horizontal:center;mso-position-horizontal-relative:margin;mso-position-vertical:center;mso-position-vertical-relative:margin;rotation:-2949120f;z-index:-25165107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AgZnv5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「第一章 公开招标采购公告」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1056"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2"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height:44.95pt;width:584.4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4XvUAAAABQEAAA8A&#10;AAAAAAAAAQAgAAAAIgAAAGRycy9kb3ducmV2LnhtbFBLAQIUABQAAAAIAIdO4kATAYbHGwIAADgE&#10;AAAOAAAAAAAAAAEAIAAAACMBAABkcnMvZTJvRG9jLnhtbFBLBQYAAAAABgAGAFkBAACw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1052"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0"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height:44.95pt;width:584.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NWXdP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drawing>
        <wp:inline distT="0" distB="0" distL="0" distR="0">
          <wp:extent cx="1714500" cy="360045"/>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19"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height:44.95pt;width:584.4pt;mso-position-horizontal:center;mso-position-horizontal-relative:margin;mso-position-vertical:center;mso-position-vertical-relative:margin;rotation:-2949120f;z-index:-25164595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AMCIk0XAgAAOAQAAA4A&#10;AAAAAAAAAQAgAAAAIwEAAGRycy9lMm9Eb2MueG1sUEsFBgAAAAAGAAYAWQEAAKwFA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「第二章 招标采购需求」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drawing>
        <wp:inline distT="0" distB="0" distL="0" distR="0">
          <wp:extent cx="1714500" cy="360045"/>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14"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height:44.95pt;width:584.4pt;mso-position-horizontal:center;mso-position-horizontal-relative:margin;mso-position-vertical:center;mso-position-vertical-relative:margin;rotation:-2949120f;z-index:-25164800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AsS8+NGAIAADgEAAAO&#10;AAAAAAAAAAEAIAAAACMBAABkcnMvZTJvRG9jLnhtbFBLBQYAAAAABgAGAFkBAACtBQAAAAA=&#10;" adj="10800">
              <v:fill on="f" focussize="0,0"/>
              <v:stroke on="f"/>
              <v:imagedata o:title=""/>
              <o:lock v:ext="edit" text="t" aspectratio="f"/>
              <v:textbox style="mso-fit-shape-to-text:t;">
                <w:txbxContent>
                  <w:p>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「第三章 投标须知」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33"/>
      <w:lvlText w:val="%1."/>
      <w:lvlJc w:val="left"/>
      <w:pPr>
        <w:tabs>
          <w:tab w:val="left" w:pos="1620"/>
        </w:tabs>
        <w:ind w:left="1620" w:hanging="360"/>
      </w:pPr>
    </w:lvl>
  </w:abstractNum>
  <w:abstractNum w:abstractNumId="1">
    <w:nsid w:val="0000000D"/>
    <w:multiLevelType w:val="multilevel"/>
    <w:tmpl w:val="0000000D"/>
    <w:lvl w:ilvl="0" w:tentative="0">
      <w:start w:val="1"/>
      <w:numFmt w:val="decimal"/>
      <w:lvlText w:val="%1."/>
      <w:lvlJc w:val="left"/>
      <w:pPr>
        <w:tabs>
          <w:tab w:val="left" w:pos="902"/>
        </w:tabs>
        <w:ind w:left="902" w:hanging="420"/>
      </w:pPr>
      <w:rPr>
        <w:rFonts w:cs="Times New Roman"/>
      </w:rPr>
    </w:lvl>
    <w:lvl w:ilvl="1" w:tentative="0">
      <w:start w:val="1"/>
      <w:numFmt w:val="lowerLetter"/>
      <w:lvlText w:val="%2)"/>
      <w:lvlJc w:val="left"/>
      <w:pPr>
        <w:tabs>
          <w:tab w:val="left" w:pos="1322"/>
        </w:tabs>
        <w:ind w:left="1322" w:hanging="420"/>
      </w:pPr>
      <w:rPr>
        <w:rFonts w:cs="Times New Roman"/>
      </w:rPr>
    </w:lvl>
    <w:lvl w:ilvl="2" w:tentative="0">
      <w:start w:val="1"/>
      <w:numFmt w:val="lowerRoman"/>
      <w:pStyle w:val="430"/>
      <w:lvlText w:val="%3."/>
      <w:lvlJc w:val="left"/>
      <w:pPr>
        <w:tabs>
          <w:tab w:val="left" w:pos="1742"/>
        </w:tabs>
        <w:ind w:left="1742" w:hanging="420"/>
      </w:pPr>
      <w:rPr>
        <w:rFonts w:cs="Times New Roman"/>
      </w:rPr>
    </w:lvl>
    <w:lvl w:ilvl="3" w:tentative="0">
      <w:start w:val="1"/>
      <w:numFmt w:val="decimal"/>
      <w:lvlText w:val="%4."/>
      <w:lvlJc w:val="left"/>
      <w:pPr>
        <w:tabs>
          <w:tab w:val="left" w:pos="2162"/>
        </w:tabs>
        <w:ind w:left="2162" w:hanging="420"/>
      </w:pPr>
      <w:rPr>
        <w:rFonts w:cs="Times New Roman"/>
      </w:rPr>
    </w:lvl>
    <w:lvl w:ilvl="4" w:tentative="0">
      <w:start w:val="1"/>
      <w:numFmt w:val="lowerLetter"/>
      <w:lvlText w:val="%5)"/>
      <w:lvlJc w:val="left"/>
      <w:pPr>
        <w:tabs>
          <w:tab w:val="left" w:pos="2582"/>
        </w:tabs>
        <w:ind w:left="2582" w:hanging="420"/>
      </w:pPr>
      <w:rPr>
        <w:rFonts w:cs="Times New Roman"/>
      </w:rPr>
    </w:lvl>
    <w:lvl w:ilvl="5" w:tentative="0">
      <w:start w:val="1"/>
      <w:numFmt w:val="lowerRoman"/>
      <w:lvlText w:val="%6."/>
      <w:lvlJc w:val="left"/>
      <w:pPr>
        <w:tabs>
          <w:tab w:val="left" w:pos="3002"/>
        </w:tabs>
        <w:ind w:left="3002" w:hanging="420"/>
      </w:pPr>
      <w:rPr>
        <w:rFonts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left"/>
      <w:pPr>
        <w:tabs>
          <w:tab w:val="left" w:pos="4262"/>
        </w:tabs>
        <w:ind w:left="4262" w:hanging="420"/>
      </w:pPr>
      <w:rPr>
        <w:rFonts w:cs="Times New Roman"/>
      </w:rPr>
    </w:lvl>
  </w:abstractNum>
  <w:abstractNum w:abstractNumId="2">
    <w:nsid w:val="0000000E"/>
    <w:multiLevelType w:val="multilevel"/>
    <w:tmpl w:val="0000000E"/>
    <w:lvl w:ilvl="0" w:tentative="0">
      <w:start w:val="1"/>
      <w:numFmt w:val="decimal"/>
      <w:pStyle w:val="44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dit="readOnly"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172A27"/>
    <w:rsid w:val="0000033B"/>
    <w:rsid w:val="00000613"/>
    <w:rsid w:val="00000E44"/>
    <w:rsid w:val="0000102C"/>
    <w:rsid w:val="000012E5"/>
    <w:rsid w:val="000016D8"/>
    <w:rsid w:val="0000200E"/>
    <w:rsid w:val="000020F5"/>
    <w:rsid w:val="00002406"/>
    <w:rsid w:val="00002F5E"/>
    <w:rsid w:val="00003139"/>
    <w:rsid w:val="00003432"/>
    <w:rsid w:val="00003A64"/>
    <w:rsid w:val="00003F05"/>
    <w:rsid w:val="00003FC9"/>
    <w:rsid w:val="00003FE2"/>
    <w:rsid w:val="000043CB"/>
    <w:rsid w:val="00004438"/>
    <w:rsid w:val="00004470"/>
    <w:rsid w:val="000045B2"/>
    <w:rsid w:val="00004FBD"/>
    <w:rsid w:val="00005136"/>
    <w:rsid w:val="00005376"/>
    <w:rsid w:val="00005388"/>
    <w:rsid w:val="000054AB"/>
    <w:rsid w:val="00005657"/>
    <w:rsid w:val="00005DC7"/>
    <w:rsid w:val="00005E97"/>
    <w:rsid w:val="000063F9"/>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148"/>
    <w:rsid w:val="00013318"/>
    <w:rsid w:val="00013837"/>
    <w:rsid w:val="00013CA2"/>
    <w:rsid w:val="000142F8"/>
    <w:rsid w:val="000146AB"/>
    <w:rsid w:val="000148A7"/>
    <w:rsid w:val="00014BDE"/>
    <w:rsid w:val="00014BEB"/>
    <w:rsid w:val="00014D85"/>
    <w:rsid w:val="00015268"/>
    <w:rsid w:val="00015348"/>
    <w:rsid w:val="00015565"/>
    <w:rsid w:val="0001583E"/>
    <w:rsid w:val="00015B09"/>
    <w:rsid w:val="00015F1D"/>
    <w:rsid w:val="00016031"/>
    <w:rsid w:val="000161FE"/>
    <w:rsid w:val="00016322"/>
    <w:rsid w:val="00016828"/>
    <w:rsid w:val="000168D8"/>
    <w:rsid w:val="0001690C"/>
    <w:rsid w:val="000169C6"/>
    <w:rsid w:val="0001740A"/>
    <w:rsid w:val="00017729"/>
    <w:rsid w:val="00017D6F"/>
    <w:rsid w:val="00017DBC"/>
    <w:rsid w:val="00020287"/>
    <w:rsid w:val="00020295"/>
    <w:rsid w:val="000202F7"/>
    <w:rsid w:val="00020304"/>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F4C"/>
    <w:rsid w:val="0004434B"/>
    <w:rsid w:val="00044CC3"/>
    <w:rsid w:val="00045143"/>
    <w:rsid w:val="00045297"/>
    <w:rsid w:val="000456B7"/>
    <w:rsid w:val="00045B9E"/>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3E74"/>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560"/>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5C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41E0"/>
    <w:rsid w:val="000B42F6"/>
    <w:rsid w:val="000B489C"/>
    <w:rsid w:val="000B4B2A"/>
    <w:rsid w:val="000B4D53"/>
    <w:rsid w:val="000B4E84"/>
    <w:rsid w:val="000B4E99"/>
    <w:rsid w:val="000B56EC"/>
    <w:rsid w:val="000B57FA"/>
    <w:rsid w:val="000B5B09"/>
    <w:rsid w:val="000B62B3"/>
    <w:rsid w:val="000B6436"/>
    <w:rsid w:val="000B65E8"/>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6FD1"/>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1F44"/>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3B4"/>
    <w:rsid w:val="000F179E"/>
    <w:rsid w:val="000F1898"/>
    <w:rsid w:val="000F1B31"/>
    <w:rsid w:val="000F1FA1"/>
    <w:rsid w:val="000F202E"/>
    <w:rsid w:val="000F22DD"/>
    <w:rsid w:val="000F2531"/>
    <w:rsid w:val="000F327E"/>
    <w:rsid w:val="000F33B5"/>
    <w:rsid w:val="000F378B"/>
    <w:rsid w:val="000F3A91"/>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326"/>
    <w:rsid w:val="000F6714"/>
    <w:rsid w:val="000F6926"/>
    <w:rsid w:val="000F6EDF"/>
    <w:rsid w:val="000F7316"/>
    <w:rsid w:val="000F7358"/>
    <w:rsid w:val="000F7852"/>
    <w:rsid w:val="000F7920"/>
    <w:rsid w:val="0010006B"/>
    <w:rsid w:val="001000F4"/>
    <w:rsid w:val="00100194"/>
    <w:rsid w:val="00100243"/>
    <w:rsid w:val="0010040A"/>
    <w:rsid w:val="00100B61"/>
    <w:rsid w:val="00100FE6"/>
    <w:rsid w:val="00101B0E"/>
    <w:rsid w:val="00101BCF"/>
    <w:rsid w:val="00101C62"/>
    <w:rsid w:val="00101C98"/>
    <w:rsid w:val="00101CBC"/>
    <w:rsid w:val="00101CE8"/>
    <w:rsid w:val="0010203B"/>
    <w:rsid w:val="00102050"/>
    <w:rsid w:val="0010258D"/>
    <w:rsid w:val="00102704"/>
    <w:rsid w:val="0010274B"/>
    <w:rsid w:val="001028AE"/>
    <w:rsid w:val="001032A6"/>
    <w:rsid w:val="0010339A"/>
    <w:rsid w:val="00103690"/>
    <w:rsid w:val="00103E4F"/>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1DF"/>
    <w:rsid w:val="0012321A"/>
    <w:rsid w:val="001237D2"/>
    <w:rsid w:val="001239C5"/>
    <w:rsid w:val="00123E4D"/>
    <w:rsid w:val="00123F75"/>
    <w:rsid w:val="00124A42"/>
    <w:rsid w:val="00124CC2"/>
    <w:rsid w:val="00124D71"/>
    <w:rsid w:val="00125416"/>
    <w:rsid w:val="0012562C"/>
    <w:rsid w:val="00125A8F"/>
    <w:rsid w:val="00125B47"/>
    <w:rsid w:val="00125CFF"/>
    <w:rsid w:val="00126344"/>
    <w:rsid w:val="0012648F"/>
    <w:rsid w:val="001266E2"/>
    <w:rsid w:val="00126CF8"/>
    <w:rsid w:val="00126E9C"/>
    <w:rsid w:val="00126FDE"/>
    <w:rsid w:val="001273AE"/>
    <w:rsid w:val="001278EB"/>
    <w:rsid w:val="00127D0B"/>
    <w:rsid w:val="0013007C"/>
    <w:rsid w:val="001300D6"/>
    <w:rsid w:val="00130365"/>
    <w:rsid w:val="001305E3"/>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9D7"/>
    <w:rsid w:val="00136AC5"/>
    <w:rsid w:val="00136D1F"/>
    <w:rsid w:val="00137232"/>
    <w:rsid w:val="001375B8"/>
    <w:rsid w:val="0013777E"/>
    <w:rsid w:val="00137A7A"/>
    <w:rsid w:val="001400C8"/>
    <w:rsid w:val="0014049E"/>
    <w:rsid w:val="00140DB0"/>
    <w:rsid w:val="0014108D"/>
    <w:rsid w:val="001413D3"/>
    <w:rsid w:val="0014143E"/>
    <w:rsid w:val="001417CD"/>
    <w:rsid w:val="0014193D"/>
    <w:rsid w:val="00141AE9"/>
    <w:rsid w:val="00142017"/>
    <w:rsid w:val="0014260C"/>
    <w:rsid w:val="00142720"/>
    <w:rsid w:val="00142736"/>
    <w:rsid w:val="0014288A"/>
    <w:rsid w:val="001429D0"/>
    <w:rsid w:val="00142CCD"/>
    <w:rsid w:val="00142DC4"/>
    <w:rsid w:val="00142E3F"/>
    <w:rsid w:val="00142F6C"/>
    <w:rsid w:val="0014308A"/>
    <w:rsid w:val="0014335F"/>
    <w:rsid w:val="0014344D"/>
    <w:rsid w:val="001438BA"/>
    <w:rsid w:val="00143A62"/>
    <w:rsid w:val="00143BFF"/>
    <w:rsid w:val="001447C4"/>
    <w:rsid w:val="001449EE"/>
    <w:rsid w:val="00144D5A"/>
    <w:rsid w:val="00144DC2"/>
    <w:rsid w:val="00144DEB"/>
    <w:rsid w:val="00144E1F"/>
    <w:rsid w:val="00144F11"/>
    <w:rsid w:val="00145649"/>
    <w:rsid w:val="001456F6"/>
    <w:rsid w:val="001459A5"/>
    <w:rsid w:val="0014662A"/>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31"/>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6CA4"/>
    <w:rsid w:val="001672CE"/>
    <w:rsid w:val="00167ECC"/>
    <w:rsid w:val="00167FF6"/>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BC0"/>
    <w:rsid w:val="001748F8"/>
    <w:rsid w:val="0017499D"/>
    <w:rsid w:val="00174C54"/>
    <w:rsid w:val="00174DA3"/>
    <w:rsid w:val="00174EF6"/>
    <w:rsid w:val="00174F23"/>
    <w:rsid w:val="00175720"/>
    <w:rsid w:val="001758D5"/>
    <w:rsid w:val="00175BCA"/>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0FD8"/>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9B2"/>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B77"/>
    <w:rsid w:val="001A1EFE"/>
    <w:rsid w:val="001A2115"/>
    <w:rsid w:val="001A2237"/>
    <w:rsid w:val="001A22AD"/>
    <w:rsid w:val="001A2776"/>
    <w:rsid w:val="001A27C1"/>
    <w:rsid w:val="001A27EA"/>
    <w:rsid w:val="001A2832"/>
    <w:rsid w:val="001A285A"/>
    <w:rsid w:val="001A28A4"/>
    <w:rsid w:val="001A28CB"/>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778"/>
    <w:rsid w:val="001A6961"/>
    <w:rsid w:val="001A6CA5"/>
    <w:rsid w:val="001A6CA6"/>
    <w:rsid w:val="001A7431"/>
    <w:rsid w:val="001A74D7"/>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1B"/>
    <w:rsid w:val="001B5B78"/>
    <w:rsid w:val="001B61BE"/>
    <w:rsid w:val="001B6242"/>
    <w:rsid w:val="001B640E"/>
    <w:rsid w:val="001B6810"/>
    <w:rsid w:val="001B6813"/>
    <w:rsid w:val="001B6A89"/>
    <w:rsid w:val="001B6AE7"/>
    <w:rsid w:val="001B6F01"/>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49F"/>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DA8"/>
    <w:rsid w:val="001E6DF4"/>
    <w:rsid w:val="001E7478"/>
    <w:rsid w:val="001E7916"/>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522"/>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082"/>
    <w:rsid w:val="002154C4"/>
    <w:rsid w:val="00215A0A"/>
    <w:rsid w:val="00215AF8"/>
    <w:rsid w:val="00215BB9"/>
    <w:rsid w:val="00216153"/>
    <w:rsid w:val="002163BE"/>
    <w:rsid w:val="00216CBF"/>
    <w:rsid w:val="00216DDD"/>
    <w:rsid w:val="00216E6B"/>
    <w:rsid w:val="00217031"/>
    <w:rsid w:val="00217116"/>
    <w:rsid w:val="00217276"/>
    <w:rsid w:val="00217537"/>
    <w:rsid w:val="002175FE"/>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170"/>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8E5"/>
    <w:rsid w:val="0023799C"/>
    <w:rsid w:val="00237BAC"/>
    <w:rsid w:val="00237C98"/>
    <w:rsid w:val="0024012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A56"/>
    <w:rsid w:val="00250FB6"/>
    <w:rsid w:val="002511F3"/>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7EE"/>
    <w:rsid w:val="00262BDB"/>
    <w:rsid w:val="00263146"/>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F1"/>
    <w:rsid w:val="002675C9"/>
    <w:rsid w:val="00267649"/>
    <w:rsid w:val="00267687"/>
    <w:rsid w:val="0026769D"/>
    <w:rsid w:val="0026789C"/>
    <w:rsid w:val="00267C11"/>
    <w:rsid w:val="00267C6A"/>
    <w:rsid w:val="00267C84"/>
    <w:rsid w:val="00267F52"/>
    <w:rsid w:val="002700A5"/>
    <w:rsid w:val="00270136"/>
    <w:rsid w:val="00270385"/>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6CD"/>
    <w:rsid w:val="0028783C"/>
    <w:rsid w:val="00287F2B"/>
    <w:rsid w:val="00290133"/>
    <w:rsid w:val="00290288"/>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A9"/>
    <w:rsid w:val="002939E1"/>
    <w:rsid w:val="00293C31"/>
    <w:rsid w:val="00293D66"/>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2DE"/>
    <w:rsid w:val="002A335F"/>
    <w:rsid w:val="002A3539"/>
    <w:rsid w:val="002A3868"/>
    <w:rsid w:val="002A4007"/>
    <w:rsid w:val="002A43ED"/>
    <w:rsid w:val="002A4783"/>
    <w:rsid w:val="002A4C6D"/>
    <w:rsid w:val="002A4F9B"/>
    <w:rsid w:val="002A53F1"/>
    <w:rsid w:val="002A5959"/>
    <w:rsid w:val="002A5C1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297"/>
    <w:rsid w:val="002B43E8"/>
    <w:rsid w:val="002B47AF"/>
    <w:rsid w:val="002B49D9"/>
    <w:rsid w:val="002B4B9E"/>
    <w:rsid w:val="002B517A"/>
    <w:rsid w:val="002B517D"/>
    <w:rsid w:val="002B5493"/>
    <w:rsid w:val="002B55F9"/>
    <w:rsid w:val="002B563D"/>
    <w:rsid w:val="002B61EF"/>
    <w:rsid w:val="002B6314"/>
    <w:rsid w:val="002B65A5"/>
    <w:rsid w:val="002B6B80"/>
    <w:rsid w:val="002B6C4E"/>
    <w:rsid w:val="002B6D8B"/>
    <w:rsid w:val="002B6E71"/>
    <w:rsid w:val="002B7152"/>
    <w:rsid w:val="002B7199"/>
    <w:rsid w:val="002B71C4"/>
    <w:rsid w:val="002B7300"/>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698"/>
    <w:rsid w:val="002D28C1"/>
    <w:rsid w:val="002D298E"/>
    <w:rsid w:val="002D29E9"/>
    <w:rsid w:val="002D2B9D"/>
    <w:rsid w:val="002D2BB1"/>
    <w:rsid w:val="002D2DDD"/>
    <w:rsid w:val="002D2F1A"/>
    <w:rsid w:val="002D2F51"/>
    <w:rsid w:val="002D2F73"/>
    <w:rsid w:val="002D30F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598"/>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72"/>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98C"/>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062"/>
    <w:rsid w:val="00320A0D"/>
    <w:rsid w:val="00320A38"/>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5AE"/>
    <w:rsid w:val="00326755"/>
    <w:rsid w:val="0032680D"/>
    <w:rsid w:val="00326B2D"/>
    <w:rsid w:val="00326CB9"/>
    <w:rsid w:val="00326D5D"/>
    <w:rsid w:val="00327422"/>
    <w:rsid w:val="00327603"/>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6320"/>
    <w:rsid w:val="00336687"/>
    <w:rsid w:val="003366CF"/>
    <w:rsid w:val="00336B24"/>
    <w:rsid w:val="00337265"/>
    <w:rsid w:val="00337366"/>
    <w:rsid w:val="003374FB"/>
    <w:rsid w:val="00337930"/>
    <w:rsid w:val="00337B19"/>
    <w:rsid w:val="00337E4A"/>
    <w:rsid w:val="00340505"/>
    <w:rsid w:val="0034050D"/>
    <w:rsid w:val="003407F7"/>
    <w:rsid w:val="00340EBF"/>
    <w:rsid w:val="00341629"/>
    <w:rsid w:val="00341667"/>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2BF"/>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30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9D8"/>
    <w:rsid w:val="00367B97"/>
    <w:rsid w:val="0037046C"/>
    <w:rsid w:val="003705ED"/>
    <w:rsid w:val="003705EE"/>
    <w:rsid w:val="00370686"/>
    <w:rsid w:val="0037098D"/>
    <w:rsid w:val="00370A3F"/>
    <w:rsid w:val="0037100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3EAD"/>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CAF"/>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A26"/>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A6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E7DBB"/>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A0"/>
    <w:rsid w:val="004261C2"/>
    <w:rsid w:val="00426233"/>
    <w:rsid w:val="004264DD"/>
    <w:rsid w:val="004269E1"/>
    <w:rsid w:val="00426B57"/>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3B7"/>
    <w:rsid w:val="004315A4"/>
    <w:rsid w:val="00431603"/>
    <w:rsid w:val="0043177E"/>
    <w:rsid w:val="00432385"/>
    <w:rsid w:val="004325CE"/>
    <w:rsid w:val="004325ED"/>
    <w:rsid w:val="004325F6"/>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54E1"/>
    <w:rsid w:val="004362A8"/>
    <w:rsid w:val="00436465"/>
    <w:rsid w:val="00436DB0"/>
    <w:rsid w:val="00436DD9"/>
    <w:rsid w:val="00436FAA"/>
    <w:rsid w:val="0043702B"/>
    <w:rsid w:val="0043704A"/>
    <w:rsid w:val="004374DD"/>
    <w:rsid w:val="00437A2C"/>
    <w:rsid w:val="00437F43"/>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5F84"/>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0ED9"/>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4FCC"/>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79C"/>
    <w:rsid w:val="00483A5B"/>
    <w:rsid w:val="00483E22"/>
    <w:rsid w:val="004844A5"/>
    <w:rsid w:val="004849D6"/>
    <w:rsid w:val="00484A4B"/>
    <w:rsid w:val="00484BA0"/>
    <w:rsid w:val="00484CBD"/>
    <w:rsid w:val="00485BC6"/>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4"/>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69"/>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14"/>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B7FEE"/>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B46"/>
    <w:rsid w:val="004C6FCD"/>
    <w:rsid w:val="004C734C"/>
    <w:rsid w:val="004C76D4"/>
    <w:rsid w:val="004C780E"/>
    <w:rsid w:val="004C7DF1"/>
    <w:rsid w:val="004C7FC3"/>
    <w:rsid w:val="004D01FD"/>
    <w:rsid w:val="004D031F"/>
    <w:rsid w:val="004D0559"/>
    <w:rsid w:val="004D06F9"/>
    <w:rsid w:val="004D08C6"/>
    <w:rsid w:val="004D0937"/>
    <w:rsid w:val="004D0A9D"/>
    <w:rsid w:val="004D0C54"/>
    <w:rsid w:val="004D139C"/>
    <w:rsid w:val="004D1651"/>
    <w:rsid w:val="004D16C3"/>
    <w:rsid w:val="004D17D4"/>
    <w:rsid w:val="004D1F7C"/>
    <w:rsid w:val="004D1FD4"/>
    <w:rsid w:val="004D20DC"/>
    <w:rsid w:val="004D213A"/>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C6C"/>
    <w:rsid w:val="004E5D35"/>
    <w:rsid w:val="004E5D65"/>
    <w:rsid w:val="004E6146"/>
    <w:rsid w:val="004E61E2"/>
    <w:rsid w:val="004E6328"/>
    <w:rsid w:val="004E647F"/>
    <w:rsid w:val="004E67A5"/>
    <w:rsid w:val="004E6C6E"/>
    <w:rsid w:val="004E7060"/>
    <w:rsid w:val="004E7E9E"/>
    <w:rsid w:val="004E7F9D"/>
    <w:rsid w:val="004F0292"/>
    <w:rsid w:val="004F0893"/>
    <w:rsid w:val="004F0C58"/>
    <w:rsid w:val="004F0CEA"/>
    <w:rsid w:val="004F0EB6"/>
    <w:rsid w:val="004F18DF"/>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5111"/>
    <w:rsid w:val="004F5486"/>
    <w:rsid w:val="004F59A1"/>
    <w:rsid w:val="004F61E6"/>
    <w:rsid w:val="004F6389"/>
    <w:rsid w:val="004F677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5F26"/>
    <w:rsid w:val="005060CA"/>
    <w:rsid w:val="0050653B"/>
    <w:rsid w:val="0050708D"/>
    <w:rsid w:val="00507324"/>
    <w:rsid w:val="0050759D"/>
    <w:rsid w:val="005077F5"/>
    <w:rsid w:val="00507885"/>
    <w:rsid w:val="00507AB0"/>
    <w:rsid w:val="00507BAB"/>
    <w:rsid w:val="00507EC2"/>
    <w:rsid w:val="0051027E"/>
    <w:rsid w:val="005102CC"/>
    <w:rsid w:val="0051053F"/>
    <w:rsid w:val="00511287"/>
    <w:rsid w:val="00511560"/>
    <w:rsid w:val="00511B31"/>
    <w:rsid w:val="00511BE5"/>
    <w:rsid w:val="00511E93"/>
    <w:rsid w:val="005128BE"/>
    <w:rsid w:val="00512AE7"/>
    <w:rsid w:val="00512BA1"/>
    <w:rsid w:val="00512DDC"/>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98C"/>
    <w:rsid w:val="00523A45"/>
    <w:rsid w:val="00524069"/>
    <w:rsid w:val="005241A3"/>
    <w:rsid w:val="00524321"/>
    <w:rsid w:val="005249E6"/>
    <w:rsid w:val="00524CF8"/>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CC4"/>
    <w:rsid w:val="00530D9E"/>
    <w:rsid w:val="00530EA9"/>
    <w:rsid w:val="00530F76"/>
    <w:rsid w:val="0053104B"/>
    <w:rsid w:val="00531171"/>
    <w:rsid w:val="005311A4"/>
    <w:rsid w:val="005315E0"/>
    <w:rsid w:val="00531673"/>
    <w:rsid w:val="00531BF4"/>
    <w:rsid w:val="00531E60"/>
    <w:rsid w:val="005320EA"/>
    <w:rsid w:val="0053237A"/>
    <w:rsid w:val="005329B7"/>
    <w:rsid w:val="00532F74"/>
    <w:rsid w:val="00532F81"/>
    <w:rsid w:val="005332C4"/>
    <w:rsid w:val="0053341A"/>
    <w:rsid w:val="00533B5A"/>
    <w:rsid w:val="00533B83"/>
    <w:rsid w:val="00533E71"/>
    <w:rsid w:val="00534496"/>
    <w:rsid w:val="00534F20"/>
    <w:rsid w:val="005351B8"/>
    <w:rsid w:val="005353EF"/>
    <w:rsid w:val="0053549C"/>
    <w:rsid w:val="005354CA"/>
    <w:rsid w:val="005356C6"/>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4EC"/>
    <w:rsid w:val="00541550"/>
    <w:rsid w:val="0054165F"/>
    <w:rsid w:val="00541702"/>
    <w:rsid w:val="0054185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D06"/>
    <w:rsid w:val="00545018"/>
    <w:rsid w:val="00545862"/>
    <w:rsid w:val="00545B31"/>
    <w:rsid w:val="00545C1F"/>
    <w:rsid w:val="00545C7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4847"/>
    <w:rsid w:val="0055503C"/>
    <w:rsid w:val="00555210"/>
    <w:rsid w:val="0055597D"/>
    <w:rsid w:val="005559D7"/>
    <w:rsid w:val="00555BBA"/>
    <w:rsid w:val="00555E36"/>
    <w:rsid w:val="0055602F"/>
    <w:rsid w:val="005560F6"/>
    <w:rsid w:val="00556197"/>
    <w:rsid w:val="00556714"/>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72"/>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986"/>
    <w:rsid w:val="00567BD9"/>
    <w:rsid w:val="00567CBB"/>
    <w:rsid w:val="00567DD7"/>
    <w:rsid w:val="00570023"/>
    <w:rsid w:val="0057019F"/>
    <w:rsid w:val="005701E7"/>
    <w:rsid w:val="005702EA"/>
    <w:rsid w:val="00570351"/>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606"/>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409"/>
    <w:rsid w:val="00576333"/>
    <w:rsid w:val="0057637A"/>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A17"/>
    <w:rsid w:val="005970B6"/>
    <w:rsid w:val="005973E8"/>
    <w:rsid w:val="00597514"/>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B6B"/>
    <w:rsid w:val="005A6CDE"/>
    <w:rsid w:val="005A7203"/>
    <w:rsid w:val="005A7323"/>
    <w:rsid w:val="005A73D1"/>
    <w:rsid w:val="005A779E"/>
    <w:rsid w:val="005A7A15"/>
    <w:rsid w:val="005A7CA5"/>
    <w:rsid w:val="005A7FFB"/>
    <w:rsid w:val="005B000E"/>
    <w:rsid w:val="005B01B8"/>
    <w:rsid w:val="005B021E"/>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2D0"/>
    <w:rsid w:val="005B7826"/>
    <w:rsid w:val="005B7CE7"/>
    <w:rsid w:val="005C006A"/>
    <w:rsid w:val="005C012F"/>
    <w:rsid w:val="005C0195"/>
    <w:rsid w:val="005C019D"/>
    <w:rsid w:val="005C01A5"/>
    <w:rsid w:val="005C03C3"/>
    <w:rsid w:val="005C041C"/>
    <w:rsid w:val="005C04E8"/>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12D"/>
    <w:rsid w:val="005C54E0"/>
    <w:rsid w:val="005C572C"/>
    <w:rsid w:val="005C6368"/>
    <w:rsid w:val="005C637F"/>
    <w:rsid w:val="005C6392"/>
    <w:rsid w:val="005C6432"/>
    <w:rsid w:val="005C656D"/>
    <w:rsid w:val="005C6738"/>
    <w:rsid w:val="005C6960"/>
    <w:rsid w:val="005C6BB9"/>
    <w:rsid w:val="005C6C0A"/>
    <w:rsid w:val="005C71E9"/>
    <w:rsid w:val="005C761B"/>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D67"/>
    <w:rsid w:val="005D3E76"/>
    <w:rsid w:val="005D3FA2"/>
    <w:rsid w:val="005D404B"/>
    <w:rsid w:val="005D4135"/>
    <w:rsid w:val="005D457D"/>
    <w:rsid w:val="005D4860"/>
    <w:rsid w:val="005D48FE"/>
    <w:rsid w:val="005D4A51"/>
    <w:rsid w:val="005D4EE6"/>
    <w:rsid w:val="005D5046"/>
    <w:rsid w:val="005D51A6"/>
    <w:rsid w:val="005D52C1"/>
    <w:rsid w:val="005D53D0"/>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52A"/>
    <w:rsid w:val="005F065F"/>
    <w:rsid w:val="005F08D6"/>
    <w:rsid w:val="005F0D50"/>
    <w:rsid w:val="005F1076"/>
    <w:rsid w:val="005F1F78"/>
    <w:rsid w:val="005F1FFC"/>
    <w:rsid w:val="005F2021"/>
    <w:rsid w:val="005F22A4"/>
    <w:rsid w:val="005F22C8"/>
    <w:rsid w:val="005F255A"/>
    <w:rsid w:val="005F25F2"/>
    <w:rsid w:val="005F2D5A"/>
    <w:rsid w:val="005F2D82"/>
    <w:rsid w:val="005F2E00"/>
    <w:rsid w:val="005F319B"/>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4CA"/>
    <w:rsid w:val="0060070E"/>
    <w:rsid w:val="00600BB8"/>
    <w:rsid w:val="00600DD3"/>
    <w:rsid w:val="00600F96"/>
    <w:rsid w:val="00600FCA"/>
    <w:rsid w:val="006011E3"/>
    <w:rsid w:val="006012B1"/>
    <w:rsid w:val="00601395"/>
    <w:rsid w:val="006013A2"/>
    <w:rsid w:val="006016F7"/>
    <w:rsid w:val="00601936"/>
    <w:rsid w:val="00601CC5"/>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CC4"/>
    <w:rsid w:val="00611FA5"/>
    <w:rsid w:val="00612204"/>
    <w:rsid w:val="0061269F"/>
    <w:rsid w:val="006126DD"/>
    <w:rsid w:val="006127E9"/>
    <w:rsid w:val="006127EE"/>
    <w:rsid w:val="00613C7A"/>
    <w:rsid w:val="00613EF2"/>
    <w:rsid w:val="00613F7E"/>
    <w:rsid w:val="00614058"/>
    <w:rsid w:val="006146EF"/>
    <w:rsid w:val="00614712"/>
    <w:rsid w:val="0061480C"/>
    <w:rsid w:val="00614980"/>
    <w:rsid w:val="006149DA"/>
    <w:rsid w:val="00614DCE"/>
    <w:rsid w:val="0061500B"/>
    <w:rsid w:val="0061537A"/>
    <w:rsid w:val="006153FF"/>
    <w:rsid w:val="00615448"/>
    <w:rsid w:val="0061574E"/>
    <w:rsid w:val="00615B16"/>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22D0"/>
    <w:rsid w:val="00622668"/>
    <w:rsid w:val="00622A00"/>
    <w:rsid w:val="00622C28"/>
    <w:rsid w:val="00622F8B"/>
    <w:rsid w:val="006235EE"/>
    <w:rsid w:val="006238B9"/>
    <w:rsid w:val="006238D3"/>
    <w:rsid w:val="00623DEB"/>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3E"/>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8D6"/>
    <w:rsid w:val="00637A76"/>
    <w:rsid w:val="00637B19"/>
    <w:rsid w:val="00637F9C"/>
    <w:rsid w:val="00640376"/>
    <w:rsid w:val="006408C1"/>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53B"/>
    <w:rsid w:val="006566CF"/>
    <w:rsid w:val="00656BF3"/>
    <w:rsid w:val="00656D4F"/>
    <w:rsid w:val="00657075"/>
    <w:rsid w:val="006572C4"/>
    <w:rsid w:val="00657426"/>
    <w:rsid w:val="00657601"/>
    <w:rsid w:val="006579BD"/>
    <w:rsid w:val="0066032A"/>
    <w:rsid w:val="0066055F"/>
    <w:rsid w:val="006605A3"/>
    <w:rsid w:val="006608B8"/>
    <w:rsid w:val="00661233"/>
    <w:rsid w:val="00661251"/>
    <w:rsid w:val="00661895"/>
    <w:rsid w:val="0066202F"/>
    <w:rsid w:val="006624CA"/>
    <w:rsid w:val="00662539"/>
    <w:rsid w:val="00662AA3"/>
    <w:rsid w:val="00662CE9"/>
    <w:rsid w:val="00662ED6"/>
    <w:rsid w:val="00663070"/>
    <w:rsid w:val="0066342B"/>
    <w:rsid w:val="00663459"/>
    <w:rsid w:val="006636B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C85"/>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AF4"/>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3080"/>
    <w:rsid w:val="00693499"/>
    <w:rsid w:val="006939E7"/>
    <w:rsid w:val="00693C7E"/>
    <w:rsid w:val="00693CF8"/>
    <w:rsid w:val="00693E52"/>
    <w:rsid w:val="00694388"/>
    <w:rsid w:val="00694AB6"/>
    <w:rsid w:val="0069554B"/>
    <w:rsid w:val="0069585F"/>
    <w:rsid w:val="00695F16"/>
    <w:rsid w:val="0069618E"/>
    <w:rsid w:val="006963B9"/>
    <w:rsid w:val="00696E8D"/>
    <w:rsid w:val="00697005"/>
    <w:rsid w:val="00697059"/>
    <w:rsid w:val="006971C9"/>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C5A"/>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A01"/>
    <w:rsid w:val="006A7C44"/>
    <w:rsid w:val="006A7E6C"/>
    <w:rsid w:val="006B00EC"/>
    <w:rsid w:val="006B026A"/>
    <w:rsid w:val="006B0AC3"/>
    <w:rsid w:val="006B0B27"/>
    <w:rsid w:val="006B0F24"/>
    <w:rsid w:val="006B1107"/>
    <w:rsid w:val="006B14C5"/>
    <w:rsid w:val="006B158D"/>
    <w:rsid w:val="006B17F3"/>
    <w:rsid w:val="006B24C8"/>
    <w:rsid w:val="006B26E6"/>
    <w:rsid w:val="006B2ABC"/>
    <w:rsid w:val="006B2BEB"/>
    <w:rsid w:val="006B2E4E"/>
    <w:rsid w:val="006B2F86"/>
    <w:rsid w:val="006B33A7"/>
    <w:rsid w:val="006B33F8"/>
    <w:rsid w:val="006B347E"/>
    <w:rsid w:val="006B3E64"/>
    <w:rsid w:val="006B411E"/>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096"/>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140F"/>
    <w:rsid w:val="006D18B1"/>
    <w:rsid w:val="006D1917"/>
    <w:rsid w:val="006D1D01"/>
    <w:rsid w:val="006D1F6B"/>
    <w:rsid w:val="006D2025"/>
    <w:rsid w:val="006D20E5"/>
    <w:rsid w:val="006D20F9"/>
    <w:rsid w:val="006D21E4"/>
    <w:rsid w:val="006D2D99"/>
    <w:rsid w:val="006D2DB6"/>
    <w:rsid w:val="006D2E3E"/>
    <w:rsid w:val="006D303C"/>
    <w:rsid w:val="006D30F3"/>
    <w:rsid w:val="006D33AB"/>
    <w:rsid w:val="006D33B7"/>
    <w:rsid w:val="006D397F"/>
    <w:rsid w:val="006D3C90"/>
    <w:rsid w:val="006D49A7"/>
    <w:rsid w:val="006D4B84"/>
    <w:rsid w:val="006D50AF"/>
    <w:rsid w:val="006D51AC"/>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2D"/>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596"/>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5E30"/>
    <w:rsid w:val="00716450"/>
    <w:rsid w:val="007167D6"/>
    <w:rsid w:val="00716995"/>
    <w:rsid w:val="00716AC7"/>
    <w:rsid w:val="00716DC0"/>
    <w:rsid w:val="00716E63"/>
    <w:rsid w:val="00717076"/>
    <w:rsid w:val="00717145"/>
    <w:rsid w:val="00717243"/>
    <w:rsid w:val="0071749B"/>
    <w:rsid w:val="00717950"/>
    <w:rsid w:val="00717AC3"/>
    <w:rsid w:val="00717B7E"/>
    <w:rsid w:val="007203BE"/>
    <w:rsid w:val="00720553"/>
    <w:rsid w:val="00720650"/>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8CA"/>
    <w:rsid w:val="00743CC2"/>
    <w:rsid w:val="00743E7F"/>
    <w:rsid w:val="00743FC6"/>
    <w:rsid w:val="00744046"/>
    <w:rsid w:val="0074440A"/>
    <w:rsid w:val="00744884"/>
    <w:rsid w:val="0074496A"/>
    <w:rsid w:val="00744984"/>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952"/>
    <w:rsid w:val="00755B21"/>
    <w:rsid w:val="00755B4E"/>
    <w:rsid w:val="007561B7"/>
    <w:rsid w:val="0075622B"/>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5B"/>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6C5"/>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94E"/>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875"/>
    <w:rsid w:val="00771B14"/>
    <w:rsid w:val="007721D7"/>
    <w:rsid w:val="007726A0"/>
    <w:rsid w:val="007727E6"/>
    <w:rsid w:val="00772904"/>
    <w:rsid w:val="00772A39"/>
    <w:rsid w:val="00772C32"/>
    <w:rsid w:val="00772E18"/>
    <w:rsid w:val="00773152"/>
    <w:rsid w:val="007732B1"/>
    <w:rsid w:val="00773C4C"/>
    <w:rsid w:val="00774157"/>
    <w:rsid w:val="007741FD"/>
    <w:rsid w:val="00774C83"/>
    <w:rsid w:val="00774DDD"/>
    <w:rsid w:val="00774E42"/>
    <w:rsid w:val="00774F1E"/>
    <w:rsid w:val="00775051"/>
    <w:rsid w:val="007750D4"/>
    <w:rsid w:val="0077510E"/>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57D"/>
    <w:rsid w:val="007956C8"/>
    <w:rsid w:val="00795803"/>
    <w:rsid w:val="00795863"/>
    <w:rsid w:val="00796043"/>
    <w:rsid w:val="0079633A"/>
    <w:rsid w:val="007964DA"/>
    <w:rsid w:val="00796523"/>
    <w:rsid w:val="00796783"/>
    <w:rsid w:val="007968DF"/>
    <w:rsid w:val="00796A5D"/>
    <w:rsid w:val="00796C05"/>
    <w:rsid w:val="00796C78"/>
    <w:rsid w:val="00796E82"/>
    <w:rsid w:val="0079700C"/>
    <w:rsid w:val="007974C8"/>
    <w:rsid w:val="00797581"/>
    <w:rsid w:val="00797717"/>
    <w:rsid w:val="00797815"/>
    <w:rsid w:val="0079783A"/>
    <w:rsid w:val="00797CBF"/>
    <w:rsid w:val="007A0178"/>
    <w:rsid w:val="007A0952"/>
    <w:rsid w:val="007A0B7E"/>
    <w:rsid w:val="007A0B93"/>
    <w:rsid w:val="007A0ECE"/>
    <w:rsid w:val="007A0FC4"/>
    <w:rsid w:val="007A1088"/>
    <w:rsid w:val="007A1214"/>
    <w:rsid w:val="007A13F2"/>
    <w:rsid w:val="007A1DB4"/>
    <w:rsid w:val="007A215F"/>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433"/>
    <w:rsid w:val="007C2502"/>
    <w:rsid w:val="007C2818"/>
    <w:rsid w:val="007C29C4"/>
    <w:rsid w:val="007C2B43"/>
    <w:rsid w:val="007C2C43"/>
    <w:rsid w:val="007C2D26"/>
    <w:rsid w:val="007C3033"/>
    <w:rsid w:val="007C33F3"/>
    <w:rsid w:val="007C343C"/>
    <w:rsid w:val="007C3C2B"/>
    <w:rsid w:val="007C3CD0"/>
    <w:rsid w:val="007C3DFB"/>
    <w:rsid w:val="007C3F57"/>
    <w:rsid w:val="007C3F68"/>
    <w:rsid w:val="007C3FF5"/>
    <w:rsid w:val="007C406F"/>
    <w:rsid w:val="007C414D"/>
    <w:rsid w:val="007C4214"/>
    <w:rsid w:val="007C4232"/>
    <w:rsid w:val="007C42F3"/>
    <w:rsid w:val="007C47BE"/>
    <w:rsid w:val="007C49B8"/>
    <w:rsid w:val="007C4A55"/>
    <w:rsid w:val="007C504D"/>
    <w:rsid w:val="007C5205"/>
    <w:rsid w:val="007C528C"/>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236"/>
    <w:rsid w:val="007D159D"/>
    <w:rsid w:val="007D1955"/>
    <w:rsid w:val="007D1C52"/>
    <w:rsid w:val="007D2024"/>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34E"/>
    <w:rsid w:val="007F23F4"/>
    <w:rsid w:val="007F27DA"/>
    <w:rsid w:val="007F28AC"/>
    <w:rsid w:val="007F2C1F"/>
    <w:rsid w:val="007F2E4E"/>
    <w:rsid w:val="007F3763"/>
    <w:rsid w:val="007F3969"/>
    <w:rsid w:val="007F39FB"/>
    <w:rsid w:val="007F3A74"/>
    <w:rsid w:val="007F4FA1"/>
    <w:rsid w:val="007F4FD0"/>
    <w:rsid w:val="007F50DE"/>
    <w:rsid w:val="007F512F"/>
    <w:rsid w:val="007F5879"/>
    <w:rsid w:val="007F5895"/>
    <w:rsid w:val="007F5F8F"/>
    <w:rsid w:val="007F6016"/>
    <w:rsid w:val="007F63C9"/>
    <w:rsid w:val="007F6467"/>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09F"/>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E35"/>
    <w:rsid w:val="00825E60"/>
    <w:rsid w:val="00826615"/>
    <w:rsid w:val="00826762"/>
    <w:rsid w:val="0082683A"/>
    <w:rsid w:val="0082699C"/>
    <w:rsid w:val="00826E8C"/>
    <w:rsid w:val="00826F3D"/>
    <w:rsid w:val="00826FC1"/>
    <w:rsid w:val="00827417"/>
    <w:rsid w:val="00827784"/>
    <w:rsid w:val="00827B0A"/>
    <w:rsid w:val="00827B0C"/>
    <w:rsid w:val="00827B21"/>
    <w:rsid w:val="00827BB4"/>
    <w:rsid w:val="00827BF8"/>
    <w:rsid w:val="00827E4F"/>
    <w:rsid w:val="008305C9"/>
    <w:rsid w:val="00830748"/>
    <w:rsid w:val="00830ACC"/>
    <w:rsid w:val="00830B75"/>
    <w:rsid w:val="00830D55"/>
    <w:rsid w:val="00830DE7"/>
    <w:rsid w:val="0083129E"/>
    <w:rsid w:val="0083148E"/>
    <w:rsid w:val="0083152B"/>
    <w:rsid w:val="00831534"/>
    <w:rsid w:val="00831540"/>
    <w:rsid w:val="00831A2D"/>
    <w:rsid w:val="00831AA1"/>
    <w:rsid w:val="00832374"/>
    <w:rsid w:val="00832900"/>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84C"/>
    <w:rsid w:val="00835C7A"/>
    <w:rsid w:val="00835E04"/>
    <w:rsid w:val="00836570"/>
    <w:rsid w:val="00836A78"/>
    <w:rsid w:val="00837120"/>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EB6"/>
    <w:rsid w:val="00843355"/>
    <w:rsid w:val="0084367C"/>
    <w:rsid w:val="00843723"/>
    <w:rsid w:val="00843D17"/>
    <w:rsid w:val="00843F8F"/>
    <w:rsid w:val="00844272"/>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99"/>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74"/>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92F"/>
    <w:rsid w:val="008A5996"/>
    <w:rsid w:val="008A59A8"/>
    <w:rsid w:val="008A5CAF"/>
    <w:rsid w:val="008A5D5B"/>
    <w:rsid w:val="008A60B6"/>
    <w:rsid w:val="008A635F"/>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5182"/>
    <w:rsid w:val="008B5326"/>
    <w:rsid w:val="008B53A6"/>
    <w:rsid w:val="008B5B21"/>
    <w:rsid w:val="008B5CAF"/>
    <w:rsid w:val="008B6354"/>
    <w:rsid w:val="008B66D4"/>
    <w:rsid w:val="008B6797"/>
    <w:rsid w:val="008B69F7"/>
    <w:rsid w:val="008B6A47"/>
    <w:rsid w:val="008B6AE3"/>
    <w:rsid w:val="008B6D12"/>
    <w:rsid w:val="008B6E8E"/>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3B"/>
    <w:rsid w:val="008C64F1"/>
    <w:rsid w:val="008C6CE6"/>
    <w:rsid w:val="008C6CED"/>
    <w:rsid w:val="008C6DE3"/>
    <w:rsid w:val="008C6E68"/>
    <w:rsid w:val="008C7372"/>
    <w:rsid w:val="008C77FC"/>
    <w:rsid w:val="008C7D32"/>
    <w:rsid w:val="008D0122"/>
    <w:rsid w:val="008D0623"/>
    <w:rsid w:val="008D0B47"/>
    <w:rsid w:val="008D0C65"/>
    <w:rsid w:val="008D0D92"/>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69EB"/>
    <w:rsid w:val="008D7537"/>
    <w:rsid w:val="008D75B9"/>
    <w:rsid w:val="008D7673"/>
    <w:rsid w:val="008E0411"/>
    <w:rsid w:val="008E0DBE"/>
    <w:rsid w:val="008E0FAA"/>
    <w:rsid w:val="008E114F"/>
    <w:rsid w:val="008E125D"/>
    <w:rsid w:val="008E1392"/>
    <w:rsid w:val="008E14FA"/>
    <w:rsid w:val="008E171A"/>
    <w:rsid w:val="008E17B1"/>
    <w:rsid w:val="008E1CEB"/>
    <w:rsid w:val="008E1D26"/>
    <w:rsid w:val="008E1D83"/>
    <w:rsid w:val="008E1F89"/>
    <w:rsid w:val="008E23AF"/>
    <w:rsid w:val="008E2B59"/>
    <w:rsid w:val="008E2EFB"/>
    <w:rsid w:val="008E2F60"/>
    <w:rsid w:val="008E306E"/>
    <w:rsid w:val="008E342B"/>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77E"/>
    <w:rsid w:val="008E7C97"/>
    <w:rsid w:val="008E7E2D"/>
    <w:rsid w:val="008E7FCC"/>
    <w:rsid w:val="008F0074"/>
    <w:rsid w:val="008F038A"/>
    <w:rsid w:val="008F047C"/>
    <w:rsid w:val="008F083F"/>
    <w:rsid w:val="008F0A20"/>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3478"/>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557"/>
    <w:rsid w:val="00906733"/>
    <w:rsid w:val="00906779"/>
    <w:rsid w:val="009068DC"/>
    <w:rsid w:val="00906B45"/>
    <w:rsid w:val="00906D27"/>
    <w:rsid w:val="00906EC7"/>
    <w:rsid w:val="009071FC"/>
    <w:rsid w:val="009075E1"/>
    <w:rsid w:val="009076AB"/>
    <w:rsid w:val="00907C1F"/>
    <w:rsid w:val="00907D08"/>
    <w:rsid w:val="009101FF"/>
    <w:rsid w:val="0091044A"/>
    <w:rsid w:val="009104FA"/>
    <w:rsid w:val="009107C2"/>
    <w:rsid w:val="009107F7"/>
    <w:rsid w:val="00910853"/>
    <w:rsid w:val="009109F4"/>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9CE"/>
    <w:rsid w:val="00913B66"/>
    <w:rsid w:val="00914259"/>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4DEA"/>
    <w:rsid w:val="009251B0"/>
    <w:rsid w:val="00925C7C"/>
    <w:rsid w:val="00925E85"/>
    <w:rsid w:val="00926064"/>
    <w:rsid w:val="0092618A"/>
    <w:rsid w:val="009267E9"/>
    <w:rsid w:val="00926D63"/>
    <w:rsid w:val="00926FF7"/>
    <w:rsid w:val="00927A41"/>
    <w:rsid w:val="00927A91"/>
    <w:rsid w:val="00927D75"/>
    <w:rsid w:val="009302B6"/>
    <w:rsid w:val="00930B9D"/>
    <w:rsid w:val="00930DEC"/>
    <w:rsid w:val="00930FB6"/>
    <w:rsid w:val="009313CB"/>
    <w:rsid w:val="00931541"/>
    <w:rsid w:val="0093167A"/>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339"/>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078"/>
    <w:rsid w:val="00950138"/>
    <w:rsid w:val="0095040C"/>
    <w:rsid w:val="00950715"/>
    <w:rsid w:val="0095099A"/>
    <w:rsid w:val="009509D4"/>
    <w:rsid w:val="00950A8E"/>
    <w:rsid w:val="00950F63"/>
    <w:rsid w:val="009516CC"/>
    <w:rsid w:val="009519C6"/>
    <w:rsid w:val="00951FE9"/>
    <w:rsid w:val="00952223"/>
    <w:rsid w:val="00952237"/>
    <w:rsid w:val="009522B2"/>
    <w:rsid w:val="00952792"/>
    <w:rsid w:val="00952900"/>
    <w:rsid w:val="00952956"/>
    <w:rsid w:val="009529BB"/>
    <w:rsid w:val="00952F64"/>
    <w:rsid w:val="00953353"/>
    <w:rsid w:val="0095370E"/>
    <w:rsid w:val="009537D9"/>
    <w:rsid w:val="00953D28"/>
    <w:rsid w:val="00954343"/>
    <w:rsid w:val="00954530"/>
    <w:rsid w:val="00954753"/>
    <w:rsid w:val="00954960"/>
    <w:rsid w:val="00954C60"/>
    <w:rsid w:val="00954CEB"/>
    <w:rsid w:val="00954D18"/>
    <w:rsid w:val="00954DEB"/>
    <w:rsid w:val="00954F3C"/>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2CD1"/>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BB6"/>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59C4"/>
    <w:rsid w:val="0097616F"/>
    <w:rsid w:val="00976524"/>
    <w:rsid w:val="009766CD"/>
    <w:rsid w:val="00976AD3"/>
    <w:rsid w:val="00976D0D"/>
    <w:rsid w:val="009776D7"/>
    <w:rsid w:val="00977A24"/>
    <w:rsid w:val="00977CA6"/>
    <w:rsid w:val="00977F84"/>
    <w:rsid w:val="00977FE4"/>
    <w:rsid w:val="009809F3"/>
    <w:rsid w:val="00980F35"/>
    <w:rsid w:val="00981D63"/>
    <w:rsid w:val="0098240E"/>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9F7"/>
    <w:rsid w:val="009A0AE4"/>
    <w:rsid w:val="009A0E2E"/>
    <w:rsid w:val="009A0E56"/>
    <w:rsid w:val="009A0E5D"/>
    <w:rsid w:val="009A0EAE"/>
    <w:rsid w:val="009A10E6"/>
    <w:rsid w:val="009A17A3"/>
    <w:rsid w:val="009A1832"/>
    <w:rsid w:val="009A1ED7"/>
    <w:rsid w:val="009A2486"/>
    <w:rsid w:val="009A2641"/>
    <w:rsid w:val="009A2E3B"/>
    <w:rsid w:val="009A39B8"/>
    <w:rsid w:val="009A3C24"/>
    <w:rsid w:val="009A3FCA"/>
    <w:rsid w:val="009A439D"/>
    <w:rsid w:val="009A444A"/>
    <w:rsid w:val="009A475C"/>
    <w:rsid w:val="009A4AF4"/>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FF"/>
    <w:rsid w:val="00A02A2E"/>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154"/>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EA7"/>
    <w:rsid w:val="00A24FF0"/>
    <w:rsid w:val="00A25081"/>
    <w:rsid w:val="00A25092"/>
    <w:rsid w:val="00A2541E"/>
    <w:rsid w:val="00A25502"/>
    <w:rsid w:val="00A2580C"/>
    <w:rsid w:val="00A2580F"/>
    <w:rsid w:val="00A25DD4"/>
    <w:rsid w:val="00A26686"/>
    <w:rsid w:val="00A269FD"/>
    <w:rsid w:val="00A26E16"/>
    <w:rsid w:val="00A26E2E"/>
    <w:rsid w:val="00A2729C"/>
    <w:rsid w:val="00A272E0"/>
    <w:rsid w:val="00A27324"/>
    <w:rsid w:val="00A2784A"/>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5"/>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92"/>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F6"/>
    <w:rsid w:val="00A63F49"/>
    <w:rsid w:val="00A6474D"/>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AD4"/>
    <w:rsid w:val="00A66B1E"/>
    <w:rsid w:val="00A66D7C"/>
    <w:rsid w:val="00A66F3C"/>
    <w:rsid w:val="00A66FA8"/>
    <w:rsid w:val="00A67071"/>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C45"/>
    <w:rsid w:val="00A75DFA"/>
    <w:rsid w:val="00A76220"/>
    <w:rsid w:val="00A76481"/>
    <w:rsid w:val="00A77270"/>
    <w:rsid w:val="00A777CB"/>
    <w:rsid w:val="00A777D4"/>
    <w:rsid w:val="00A77B9E"/>
    <w:rsid w:val="00A77C80"/>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97C"/>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8F"/>
    <w:rsid w:val="00A86FCB"/>
    <w:rsid w:val="00A87159"/>
    <w:rsid w:val="00A871BB"/>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1FBF"/>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31C"/>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AF7FF3"/>
    <w:rsid w:val="00B000C7"/>
    <w:rsid w:val="00B00359"/>
    <w:rsid w:val="00B00382"/>
    <w:rsid w:val="00B00855"/>
    <w:rsid w:val="00B00A07"/>
    <w:rsid w:val="00B00D46"/>
    <w:rsid w:val="00B00FCD"/>
    <w:rsid w:val="00B01963"/>
    <w:rsid w:val="00B01D52"/>
    <w:rsid w:val="00B01DB4"/>
    <w:rsid w:val="00B0302C"/>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53B"/>
    <w:rsid w:val="00B1298F"/>
    <w:rsid w:val="00B12F4D"/>
    <w:rsid w:val="00B13390"/>
    <w:rsid w:val="00B13553"/>
    <w:rsid w:val="00B13CCD"/>
    <w:rsid w:val="00B14350"/>
    <w:rsid w:val="00B145D6"/>
    <w:rsid w:val="00B146E5"/>
    <w:rsid w:val="00B151E5"/>
    <w:rsid w:val="00B159FC"/>
    <w:rsid w:val="00B1611C"/>
    <w:rsid w:val="00B16680"/>
    <w:rsid w:val="00B166D1"/>
    <w:rsid w:val="00B16855"/>
    <w:rsid w:val="00B16A1B"/>
    <w:rsid w:val="00B16D62"/>
    <w:rsid w:val="00B1768A"/>
    <w:rsid w:val="00B1775D"/>
    <w:rsid w:val="00B17B09"/>
    <w:rsid w:val="00B17B6E"/>
    <w:rsid w:val="00B17DB3"/>
    <w:rsid w:val="00B17EBE"/>
    <w:rsid w:val="00B20018"/>
    <w:rsid w:val="00B203DB"/>
    <w:rsid w:val="00B206A0"/>
    <w:rsid w:val="00B20808"/>
    <w:rsid w:val="00B20917"/>
    <w:rsid w:val="00B20D86"/>
    <w:rsid w:val="00B21217"/>
    <w:rsid w:val="00B21263"/>
    <w:rsid w:val="00B21709"/>
    <w:rsid w:val="00B217C6"/>
    <w:rsid w:val="00B22784"/>
    <w:rsid w:val="00B22925"/>
    <w:rsid w:val="00B229D6"/>
    <w:rsid w:val="00B22B12"/>
    <w:rsid w:val="00B22BEA"/>
    <w:rsid w:val="00B22C51"/>
    <w:rsid w:val="00B230E7"/>
    <w:rsid w:val="00B23840"/>
    <w:rsid w:val="00B23DDE"/>
    <w:rsid w:val="00B23F6A"/>
    <w:rsid w:val="00B24106"/>
    <w:rsid w:val="00B245B6"/>
    <w:rsid w:val="00B24AD2"/>
    <w:rsid w:val="00B24D6E"/>
    <w:rsid w:val="00B254FB"/>
    <w:rsid w:val="00B2573F"/>
    <w:rsid w:val="00B25DAE"/>
    <w:rsid w:val="00B25F81"/>
    <w:rsid w:val="00B2607B"/>
    <w:rsid w:val="00B2617A"/>
    <w:rsid w:val="00B262BD"/>
    <w:rsid w:val="00B26575"/>
    <w:rsid w:val="00B269BD"/>
    <w:rsid w:val="00B269C0"/>
    <w:rsid w:val="00B26A2C"/>
    <w:rsid w:val="00B273A6"/>
    <w:rsid w:val="00B30115"/>
    <w:rsid w:val="00B30194"/>
    <w:rsid w:val="00B301D4"/>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7F3"/>
    <w:rsid w:val="00B43E46"/>
    <w:rsid w:val="00B4441A"/>
    <w:rsid w:val="00B44B9E"/>
    <w:rsid w:val="00B44F13"/>
    <w:rsid w:val="00B45036"/>
    <w:rsid w:val="00B4529E"/>
    <w:rsid w:val="00B45591"/>
    <w:rsid w:val="00B458E8"/>
    <w:rsid w:val="00B45D00"/>
    <w:rsid w:val="00B45D3F"/>
    <w:rsid w:val="00B4623E"/>
    <w:rsid w:val="00B46780"/>
    <w:rsid w:val="00B467CE"/>
    <w:rsid w:val="00B46A0B"/>
    <w:rsid w:val="00B46BDA"/>
    <w:rsid w:val="00B46EDD"/>
    <w:rsid w:val="00B4715E"/>
    <w:rsid w:val="00B47170"/>
    <w:rsid w:val="00B4747E"/>
    <w:rsid w:val="00B479F1"/>
    <w:rsid w:val="00B479F7"/>
    <w:rsid w:val="00B47DCA"/>
    <w:rsid w:val="00B47E12"/>
    <w:rsid w:val="00B47F6A"/>
    <w:rsid w:val="00B503E4"/>
    <w:rsid w:val="00B5067E"/>
    <w:rsid w:val="00B50DDE"/>
    <w:rsid w:val="00B50E0E"/>
    <w:rsid w:val="00B50E12"/>
    <w:rsid w:val="00B50E57"/>
    <w:rsid w:val="00B50F39"/>
    <w:rsid w:val="00B51059"/>
    <w:rsid w:val="00B51275"/>
    <w:rsid w:val="00B5145A"/>
    <w:rsid w:val="00B51783"/>
    <w:rsid w:val="00B5181C"/>
    <w:rsid w:val="00B518FF"/>
    <w:rsid w:val="00B51CD2"/>
    <w:rsid w:val="00B522CF"/>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686"/>
    <w:rsid w:val="00B57B1B"/>
    <w:rsid w:val="00B57BCF"/>
    <w:rsid w:val="00B57D7A"/>
    <w:rsid w:val="00B57F58"/>
    <w:rsid w:val="00B6022E"/>
    <w:rsid w:val="00B602F7"/>
    <w:rsid w:val="00B60490"/>
    <w:rsid w:val="00B6050F"/>
    <w:rsid w:val="00B60585"/>
    <w:rsid w:val="00B60610"/>
    <w:rsid w:val="00B607D6"/>
    <w:rsid w:val="00B6091A"/>
    <w:rsid w:val="00B61223"/>
    <w:rsid w:val="00B61613"/>
    <w:rsid w:val="00B61649"/>
    <w:rsid w:val="00B61F4F"/>
    <w:rsid w:val="00B62331"/>
    <w:rsid w:val="00B627C5"/>
    <w:rsid w:val="00B632C1"/>
    <w:rsid w:val="00B633C1"/>
    <w:rsid w:val="00B63436"/>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FDC"/>
    <w:rsid w:val="00B67050"/>
    <w:rsid w:val="00B67067"/>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9E0"/>
    <w:rsid w:val="00B72A28"/>
    <w:rsid w:val="00B72A4D"/>
    <w:rsid w:val="00B73526"/>
    <w:rsid w:val="00B73599"/>
    <w:rsid w:val="00B739BE"/>
    <w:rsid w:val="00B73E70"/>
    <w:rsid w:val="00B7455A"/>
    <w:rsid w:val="00B745EC"/>
    <w:rsid w:val="00B74851"/>
    <w:rsid w:val="00B74BE6"/>
    <w:rsid w:val="00B74D30"/>
    <w:rsid w:val="00B74D79"/>
    <w:rsid w:val="00B74EDF"/>
    <w:rsid w:val="00B759C9"/>
    <w:rsid w:val="00B75A70"/>
    <w:rsid w:val="00B75C72"/>
    <w:rsid w:val="00B75F9B"/>
    <w:rsid w:val="00B76116"/>
    <w:rsid w:val="00B762ED"/>
    <w:rsid w:val="00B76B30"/>
    <w:rsid w:val="00B76DD2"/>
    <w:rsid w:val="00B773CC"/>
    <w:rsid w:val="00B773DA"/>
    <w:rsid w:val="00B775C0"/>
    <w:rsid w:val="00B77680"/>
    <w:rsid w:val="00B77742"/>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302A"/>
    <w:rsid w:val="00B83FB7"/>
    <w:rsid w:val="00B840DA"/>
    <w:rsid w:val="00B841A7"/>
    <w:rsid w:val="00B844CE"/>
    <w:rsid w:val="00B848F2"/>
    <w:rsid w:val="00B84A30"/>
    <w:rsid w:val="00B84C1E"/>
    <w:rsid w:val="00B84F90"/>
    <w:rsid w:val="00B84FDC"/>
    <w:rsid w:val="00B85745"/>
    <w:rsid w:val="00B85909"/>
    <w:rsid w:val="00B86884"/>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4C7C"/>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EC1"/>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763"/>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F27"/>
    <w:rsid w:val="00BD348C"/>
    <w:rsid w:val="00BD3696"/>
    <w:rsid w:val="00BD396B"/>
    <w:rsid w:val="00BD3BFB"/>
    <w:rsid w:val="00BD3ECD"/>
    <w:rsid w:val="00BD43DC"/>
    <w:rsid w:val="00BD448F"/>
    <w:rsid w:val="00BD47EB"/>
    <w:rsid w:val="00BD4985"/>
    <w:rsid w:val="00BD4D2F"/>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602"/>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FC"/>
    <w:rsid w:val="00C00B37"/>
    <w:rsid w:val="00C00DF1"/>
    <w:rsid w:val="00C00EE5"/>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8F6"/>
    <w:rsid w:val="00C10DDA"/>
    <w:rsid w:val="00C11305"/>
    <w:rsid w:val="00C113A6"/>
    <w:rsid w:val="00C1162D"/>
    <w:rsid w:val="00C116CC"/>
    <w:rsid w:val="00C118B4"/>
    <w:rsid w:val="00C11CA6"/>
    <w:rsid w:val="00C122BA"/>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9DD"/>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EE8"/>
    <w:rsid w:val="00C23F21"/>
    <w:rsid w:val="00C2406C"/>
    <w:rsid w:val="00C2453A"/>
    <w:rsid w:val="00C24622"/>
    <w:rsid w:val="00C24975"/>
    <w:rsid w:val="00C25175"/>
    <w:rsid w:val="00C25501"/>
    <w:rsid w:val="00C255B7"/>
    <w:rsid w:val="00C25A2D"/>
    <w:rsid w:val="00C2613A"/>
    <w:rsid w:val="00C2614C"/>
    <w:rsid w:val="00C265B3"/>
    <w:rsid w:val="00C266EC"/>
    <w:rsid w:val="00C2673F"/>
    <w:rsid w:val="00C26788"/>
    <w:rsid w:val="00C268F4"/>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341"/>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97"/>
    <w:rsid w:val="00C35AB8"/>
    <w:rsid w:val="00C35D88"/>
    <w:rsid w:val="00C35DF5"/>
    <w:rsid w:val="00C36068"/>
    <w:rsid w:val="00C361B6"/>
    <w:rsid w:val="00C366BB"/>
    <w:rsid w:val="00C368A5"/>
    <w:rsid w:val="00C369D9"/>
    <w:rsid w:val="00C36A4D"/>
    <w:rsid w:val="00C36AFF"/>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9B7"/>
    <w:rsid w:val="00C502C7"/>
    <w:rsid w:val="00C5038B"/>
    <w:rsid w:val="00C5050D"/>
    <w:rsid w:val="00C50655"/>
    <w:rsid w:val="00C50D40"/>
    <w:rsid w:val="00C50E4C"/>
    <w:rsid w:val="00C50EA2"/>
    <w:rsid w:val="00C516FA"/>
    <w:rsid w:val="00C51925"/>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48C1"/>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052"/>
    <w:rsid w:val="00C6339F"/>
    <w:rsid w:val="00C635B9"/>
    <w:rsid w:val="00C63779"/>
    <w:rsid w:val="00C63BC1"/>
    <w:rsid w:val="00C63D1A"/>
    <w:rsid w:val="00C63F94"/>
    <w:rsid w:val="00C6401B"/>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8C5"/>
    <w:rsid w:val="00C67919"/>
    <w:rsid w:val="00C67C77"/>
    <w:rsid w:val="00C67EF4"/>
    <w:rsid w:val="00C700C8"/>
    <w:rsid w:val="00C7080B"/>
    <w:rsid w:val="00C70A04"/>
    <w:rsid w:val="00C70A4E"/>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825"/>
    <w:rsid w:val="00C77ACA"/>
    <w:rsid w:val="00C80028"/>
    <w:rsid w:val="00C80139"/>
    <w:rsid w:val="00C80175"/>
    <w:rsid w:val="00C8044D"/>
    <w:rsid w:val="00C80519"/>
    <w:rsid w:val="00C80537"/>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6D7"/>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C89"/>
    <w:rsid w:val="00C952C8"/>
    <w:rsid w:val="00C9546B"/>
    <w:rsid w:val="00C95729"/>
    <w:rsid w:val="00C9586D"/>
    <w:rsid w:val="00C9591E"/>
    <w:rsid w:val="00C95949"/>
    <w:rsid w:val="00C95A31"/>
    <w:rsid w:val="00C95C58"/>
    <w:rsid w:val="00C95EDD"/>
    <w:rsid w:val="00C95FB1"/>
    <w:rsid w:val="00C967D3"/>
    <w:rsid w:val="00C969D4"/>
    <w:rsid w:val="00C96B40"/>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1D9"/>
    <w:rsid w:val="00CA454B"/>
    <w:rsid w:val="00CA45DE"/>
    <w:rsid w:val="00CA4A3D"/>
    <w:rsid w:val="00CA4E6E"/>
    <w:rsid w:val="00CA54D3"/>
    <w:rsid w:val="00CA5571"/>
    <w:rsid w:val="00CA5686"/>
    <w:rsid w:val="00CA57D2"/>
    <w:rsid w:val="00CA5CDE"/>
    <w:rsid w:val="00CA5FD6"/>
    <w:rsid w:val="00CA659E"/>
    <w:rsid w:val="00CA67AB"/>
    <w:rsid w:val="00CA6A8B"/>
    <w:rsid w:val="00CA6C0A"/>
    <w:rsid w:val="00CA71E5"/>
    <w:rsid w:val="00CA73C5"/>
    <w:rsid w:val="00CA7A87"/>
    <w:rsid w:val="00CA7BE6"/>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7E5"/>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2D59"/>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86"/>
    <w:rsid w:val="00CE46C2"/>
    <w:rsid w:val="00CE4785"/>
    <w:rsid w:val="00CE49B3"/>
    <w:rsid w:val="00CE4B82"/>
    <w:rsid w:val="00CE4DF0"/>
    <w:rsid w:val="00CE5020"/>
    <w:rsid w:val="00CE52EF"/>
    <w:rsid w:val="00CE552C"/>
    <w:rsid w:val="00CE5750"/>
    <w:rsid w:val="00CE5FD9"/>
    <w:rsid w:val="00CE6300"/>
    <w:rsid w:val="00CE6328"/>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B10"/>
    <w:rsid w:val="00D06FB2"/>
    <w:rsid w:val="00D06FF6"/>
    <w:rsid w:val="00D07CF3"/>
    <w:rsid w:val="00D10510"/>
    <w:rsid w:val="00D1065F"/>
    <w:rsid w:val="00D10683"/>
    <w:rsid w:val="00D1115F"/>
    <w:rsid w:val="00D1196B"/>
    <w:rsid w:val="00D11991"/>
    <w:rsid w:val="00D11AB4"/>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D47"/>
    <w:rsid w:val="00D20F78"/>
    <w:rsid w:val="00D2106B"/>
    <w:rsid w:val="00D213A5"/>
    <w:rsid w:val="00D216C9"/>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47"/>
    <w:rsid w:val="00D23EA8"/>
    <w:rsid w:val="00D23F8C"/>
    <w:rsid w:val="00D23F9E"/>
    <w:rsid w:val="00D24AA8"/>
    <w:rsid w:val="00D25760"/>
    <w:rsid w:val="00D25C45"/>
    <w:rsid w:val="00D2621D"/>
    <w:rsid w:val="00D27395"/>
    <w:rsid w:val="00D275E2"/>
    <w:rsid w:val="00D279DE"/>
    <w:rsid w:val="00D27D81"/>
    <w:rsid w:val="00D27F7B"/>
    <w:rsid w:val="00D301A7"/>
    <w:rsid w:val="00D3035C"/>
    <w:rsid w:val="00D30497"/>
    <w:rsid w:val="00D30C83"/>
    <w:rsid w:val="00D3124E"/>
    <w:rsid w:val="00D31427"/>
    <w:rsid w:val="00D3148A"/>
    <w:rsid w:val="00D314F2"/>
    <w:rsid w:val="00D31A6A"/>
    <w:rsid w:val="00D31BBC"/>
    <w:rsid w:val="00D31D80"/>
    <w:rsid w:val="00D3274B"/>
    <w:rsid w:val="00D32B84"/>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208"/>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CE9"/>
    <w:rsid w:val="00D45D5F"/>
    <w:rsid w:val="00D463E3"/>
    <w:rsid w:val="00D464C9"/>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7A0"/>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E9C"/>
    <w:rsid w:val="00D65F54"/>
    <w:rsid w:val="00D667C5"/>
    <w:rsid w:val="00D66802"/>
    <w:rsid w:val="00D66C73"/>
    <w:rsid w:val="00D66D46"/>
    <w:rsid w:val="00D673EB"/>
    <w:rsid w:val="00D67475"/>
    <w:rsid w:val="00D6771F"/>
    <w:rsid w:val="00D67740"/>
    <w:rsid w:val="00D67AF5"/>
    <w:rsid w:val="00D67BC9"/>
    <w:rsid w:val="00D67BE3"/>
    <w:rsid w:val="00D67DDC"/>
    <w:rsid w:val="00D70327"/>
    <w:rsid w:val="00D70405"/>
    <w:rsid w:val="00D70776"/>
    <w:rsid w:val="00D707A2"/>
    <w:rsid w:val="00D70951"/>
    <w:rsid w:val="00D709B4"/>
    <w:rsid w:val="00D70AB5"/>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DDB"/>
    <w:rsid w:val="00D73ED8"/>
    <w:rsid w:val="00D73FA7"/>
    <w:rsid w:val="00D74554"/>
    <w:rsid w:val="00D7483E"/>
    <w:rsid w:val="00D74BD9"/>
    <w:rsid w:val="00D74C2E"/>
    <w:rsid w:val="00D74E62"/>
    <w:rsid w:val="00D75856"/>
    <w:rsid w:val="00D75878"/>
    <w:rsid w:val="00D75989"/>
    <w:rsid w:val="00D75A68"/>
    <w:rsid w:val="00D75C99"/>
    <w:rsid w:val="00D75E15"/>
    <w:rsid w:val="00D762CB"/>
    <w:rsid w:val="00D76995"/>
    <w:rsid w:val="00D770ED"/>
    <w:rsid w:val="00D77504"/>
    <w:rsid w:val="00D777C0"/>
    <w:rsid w:val="00D77AE6"/>
    <w:rsid w:val="00D77C07"/>
    <w:rsid w:val="00D77DB0"/>
    <w:rsid w:val="00D80026"/>
    <w:rsid w:val="00D80613"/>
    <w:rsid w:val="00D80654"/>
    <w:rsid w:val="00D807C9"/>
    <w:rsid w:val="00D80947"/>
    <w:rsid w:val="00D80A99"/>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7164"/>
    <w:rsid w:val="00D9718F"/>
    <w:rsid w:val="00D973A7"/>
    <w:rsid w:val="00D974A7"/>
    <w:rsid w:val="00D976B9"/>
    <w:rsid w:val="00D9779F"/>
    <w:rsid w:val="00D97A17"/>
    <w:rsid w:val="00D97CDB"/>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E32"/>
    <w:rsid w:val="00DA40B1"/>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AF9"/>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6CE1"/>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09D"/>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853"/>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7"/>
    <w:rsid w:val="00DF7F4E"/>
    <w:rsid w:val="00E0098C"/>
    <w:rsid w:val="00E00B82"/>
    <w:rsid w:val="00E00BDF"/>
    <w:rsid w:val="00E01167"/>
    <w:rsid w:val="00E015F7"/>
    <w:rsid w:val="00E01714"/>
    <w:rsid w:val="00E01BD7"/>
    <w:rsid w:val="00E01D73"/>
    <w:rsid w:val="00E01DDD"/>
    <w:rsid w:val="00E02005"/>
    <w:rsid w:val="00E021BA"/>
    <w:rsid w:val="00E02267"/>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6C53"/>
    <w:rsid w:val="00E16EDC"/>
    <w:rsid w:val="00E1793B"/>
    <w:rsid w:val="00E17B33"/>
    <w:rsid w:val="00E17E70"/>
    <w:rsid w:val="00E20132"/>
    <w:rsid w:val="00E20273"/>
    <w:rsid w:val="00E20807"/>
    <w:rsid w:val="00E20908"/>
    <w:rsid w:val="00E20CA3"/>
    <w:rsid w:val="00E21003"/>
    <w:rsid w:val="00E2104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9AC"/>
    <w:rsid w:val="00E32AF1"/>
    <w:rsid w:val="00E32B75"/>
    <w:rsid w:val="00E32BA8"/>
    <w:rsid w:val="00E32EAF"/>
    <w:rsid w:val="00E33056"/>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6BC"/>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7FB"/>
    <w:rsid w:val="00E428EC"/>
    <w:rsid w:val="00E42A29"/>
    <w:rsid w:val="00E42DC0"/>
    <w:rsid w:val="00E42E48"/>
    <w:rsid w:val="00E42EED"/>
    <w:rsid w:val="00E43054"/>
    <w:rsid w:val="00E43210"/>
    <w:rsid w:val="00E433E4"/>
    <w:rsid w:val="00E4377C"/>
    <w:rsid w:val="00E439B0"/>
    <w:rsid w:val="00E43A43"/>
    <w:rsid w:val="00E43AC9"/>
    <w:rsid w:val="00E43AE3"/>
    <w:rsid w:val="00E43AF9"/>
    <w:rsid w:val="00E43D55"/>
    <w:rsid w:val="00E43F56"/>
    <w:rsid w:val="00E4404E"/>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C9F"/>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573"/>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F1A"/>
    <w:rsid w:val="00E601B0"/>
    <w:rsid w:val="00E60515"/>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992"/>
    <w:rsid w:val="00E72FDE"/>
    <w:rsid w:val="00E7303A"/>
    <w:rsid w:val="00E73226"/>
    <w:rsid w:val="00E73250"/>
    <w:rsid w:val="00E7353F"/>
    <w:rsid w:val="00E7394A"/>
    <w:rsid w:val="00E73961"/>
    <w:rsid w:val="00E73A8E"/>
    <w:rsid w:val="00E73B0A"/>
    <w:rsid w:val="00E73D61"/>
    <w:rsid w:val="00E73F41"/>
    <w:rsid w:val="00E7480D"/>
    <w:rsid w:val="00E74BED"/>
    <w:rsid w:val="00E74C6E"/>
    <w:rsid w:val="00E74DD7"/>
    <w:rsid w:val="00E74E0C"/>
    <w:rsid w:val="00E75279"/>
    <w:rsid w:val="00E75446"/>
    <w:rsid w:val="00E758DC"/>
    <w:rsid w:val="00E75FAF"/>
    <w:rsid w:val="00E76661"/>
    <w:rsid w:val="00E766C0"/>
    <w:rsid w:val="00E76FA9"/>
    <w:rsid w:val="00E7753A"/>
    <w:rsid w:val="00E7755A"/>
    <w:rsid w:val="00E775D2"/>
    <w:rsid w:val="00E7768F"/>
    <w:rsid w:val="00E77835"/>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B73"/>
    <w:rsid w:val="00E83B81"/>
    <w:rsid w:val="00E841B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B81"/>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59B"/>
    <w:rsid w:val="00EA1900"/>
    <w:rsid w:val="00EA193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1C86"/>
    <w:rsid w:val="00EB218D"/>
    <w:rsid w:val="00EB229B"/>
    <w:rsid w:val="00EB2318"/>
    <w:rsid w:val="00EB2485"/>
    <w:rsid w:val="00EB254E"/>
    <w:rsid w:val="00EB28E2"/>
    <w:rsid w:val="00EB2AA6"/>
    <w:rsid w:val="00EB2BA0"/>
    <w:rsid w:val="00EB2CD9"/>
    <w:rsid w:val="00EB2F9E"/>
    <w:rsid w:val="00EB305F"/>
    <w:rsid w:val="00EB3310"/>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954"/>
    <w:rsid w:val="00ED5B1A"/>
    <w:rsid w:val="00ED5E73"/>
    <w:rsid w:val="00ED6285"/>
    <w:rsid w:val="00ED64CD"/>
    <w:rsid w:val="00ED6915"/>
    <w:rsid w:val="00ED6B67"/>
    <w:rsid w:val="00ED6C46"/>
    <w:rsid w:val="00ED6D84"/>
    <w:rsid w:val="00ED6E58"/>
    <w:rsid w:val="00ED7185"/>
    <w:rsid w:val="00ED72C8"/>
    <w:rsid w:val="00ED73A5"/>
    <w:rsid w:val="00ED7589"/>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8C7"/>
    <w:rsid w:val="00F03939"/>
    <w:rsid w:val="00F03E51"/>
    <w:rsid w:val="00F040A2"/>
    <w:rsid w:val="00F04553"/>
    <w:rsid w:val="00F047A5"/>
    <w:rsid w:val="00F0480E"/>
    <w:rsid w:val="00F04B05"/>
    <w:rsid w:val="00F04B64"/>
    <w:rsid w:val="00F04F19"/>
    <w:rsid w:val="00F05612"/>
    <w:rsid w:val="00F05685"/>
    <w:rsid w:val="00F058A2"/>
    <w:rsid w:val="00F058DB"/>
    <w:rsid w:val="00F06021"/>
    <w:rsid w:val="00F063E4"/>
    <w:rsid w:val="00F064A9"/>
    <w:rsid w:val="00F0667B"/>
    <w:rsid w:val="00F066A0"/>
    <w:rsid w:val="00F066C5"/>
    <w:rsid w:val="00F0688E"/>
    <w:rsid w:val="00F06B72"/>
    <w:rsid w:val="00F06B74"/>
    <w:rsid w:val="00F06BB8"/>
    <w:rsid w:val="00F06D4D"/>
    <w:rsid w:val="00F06E3D"/>
    <w:rsid w:val="00F06EF6"/>
    <w:rsid w:val="00F073F0"/>
    <w:rsid w:val="00F075CE"/>
    <w:rsid w:val="00F07B28"/>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CA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D32"/>
    <w:rsid w:val="00F32E0A"/>
    <w:rsid w:val="00F333E3"/>
    <w:rsid w:val="00F33851"/>
    <w:rsid w:val="00F339EC"/>
    <w:rsid w:val="00F33D15"/>
    <w:rsid w:val="00F33D70"/>
    <w:rsid w:val="00F34171"/>
    <w:rsid w:val="00F34614"/>
    <w:rsid w:val="00F34CB1"/>
    <w:rsid w:val="00F34F07"/>
    <w:rsid w:val="00F3528B"/>
    <w:rsid w:val="00F352FE"/>
    <w:rsid w:val="00F357CE"/>
    <w:rsid w:val="00F35F57"/>
    <w:rsid w:val="00F36245"/>
    <w:rsid w:val="00F365F8"/>
    <w:rsid w:val="00F367DC"/>
    <w:rsid w:val="00F3693B"/>
    <w:rsid w:val="00F36F9C"/>
    <w:rsid w:val="00F37220"/>
    <w:rsid w:val="00F37254"/>
    <w:rsid w:val="00F3737C"/>
    <w:rsid w:val="00F377EE"/>
    <w:rsid w:val="00F37C2E"/>
    <w:rsid w:val="00F37D15"/>
    <w:rsid w:val="00F37E13"/>
    <w:rsid w:val="00F37FAC"/>
    <w:rsid w:val="00F400D3"/>
    <w:rsid w:val="00F40771"/>
    <w:rsid w:val="00F41118"/>
    <w:rsid w:val="00F413D6"/>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47F86"/>
    <w:rsid w:val="00F504A5"/>
    <w:rsid w:val="00F50721"/>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23"/>
    <w:rsid w:val="00F54DCD"/>
    <w:rsid w:val="00F54E1A"/>
    <w:rsid w:val="00F55094"/>
    <w:rsid w:val="00F55151"/>
    <w:rsid w:val="00F5533F"/>
    <w:rsid w:val="00F556BA"/>
    <w:rsid w:val="00F55C56"/>
    <w:rsid w:val="00F55CD6"/>
    <w:rsid w:val="00F55D1B"/>
    <w:rsid w:val="00F55E19"/>
    <w:rsid w:val="00F55E54"/>
    <w:rsid w:val="00F55EBB"/>
    <w:rsid w:val="00F56017"/>
    <w:rsid w:val="00F5617C"/>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A25"/>
    <w:rsid w:val="00F65A70"/>
    <w:rsid w:val="00F65C02"/>
    <w:rsid w:val="00F6636E"/>
    <w:rsid w:val="00F67E5A"/>
    <w:rsid w:val="00F67E93"/>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4F0"/>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B1A"/>
    <w:rsid w:val="00F84F35"/>
    <w:rsid w:val="00F85014"/>
    <w:rsid w:val="00F85EF3"/>
    <w:rsid w:val="00F8648F"/>
    <w:rsid w:val="00F864BB"/>
    <w:rsid w:val="00F8675F"/>
    <w:rsid w:val="00F86C66"/>
    <w:rsid w:val="00F86E47"/>
    <w:rsid w:val="00F87245"/>
    <w:rsid w:val="00F87569"/>
    <w:rsid w:val="00F87639"/>
    <w:rsid w:val="00F87787"/>
    <w:rsid w:val="00F878B5"/>
    <w:rsid w:val="00F87BB2"/>
    <w:rsid w:val="00F87CF0"/>
    <w:rsid w:val="00F87F72"/>
    <w:rsid w:val="00F900BD"/>
    <w:rsid w:val="00F902FF"/>
    <w:rsid w:val="00F90377"/>
    <w:rsid w:val="00F9082D"/>
    <w:rsid w:val="00F90A61"/>
    <w:rsid w:val="00F90B92"/>
    <w:rsid w:val="00F90D14"/>
    <w:rsid w:val="00F9188F"/>
    <w:rsid w:val="00F91BCE"/>
    <w:rsid w:val="00F91C18"/>
    <w:rsid w:val="00F91C7B"/>
    <w:rsid w:val="00F91F68"/>
    <w:rsid w:val="00F9206F"/>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6FF"/>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6F4"/>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60"/>
    <w:rsid w:val="00FA778A"/>
    <w:rsid w:val="00FA77DC"/>
    <w:rsid w:val="00FA78BE"/>
    <w:rsid w:val="00FA791D"/>
    <w:rsid w:val="00FA7A39"/>
    <w:rsid w:val="00FA7B69"/>
    <w:rsid w:val="00FA7DC0"/>
    <w:rsid w:val="00FA7EF0"/>
    <w:rsid w:val="00FB05B3"/>
    <w:rsid w:val="00FB0899"/>
    <w:rsid w:val="00FB0F6B"/>
    <w:rsid w:val="00FB1171"/>
    <w:rsid w:val="00FB12F7"/>
    <w:rsid w:val="00FB1338"/>
    <w:rsid w:val="00FB1693"/>
    <w:rsid w:val="00FB1901"/>
    <w:rsid w:val="00FB1940"/>
    <w:rsid w:val="00FB19A5"/>
    <w:rsid w:val="00FB1B39"/>
    <w:rsid w:val="00FB2341"/>
    <w:rsid w:val="00FB24F1"/>
    <w:rsid w:val="00FB263C"/>
    <w:rsid w:val="00FB26A6"/>
    <w:rsid w:val="00FB3157"/>
    <w:rsid w:val="00FB343D"/>
    <w:rsid w:val="00FB3559"/>
    <w:rsid w:val="00FB3986"/>
    <w:rsid w:val="00FB3BAF"/>
    <w:rsid w:val="00FB3C7F"/>
    <w:rsid w:val="00FB449D"/>
    <w:rsid w:val="00FB5148"/>
    <w:rsid w:val="00FB5337"/>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82A"/>
    <w:rsid w:val="00FC4AE8"/>
    <w:rsid w:val="00FC4E69"/>
    <w:rsid w:val="00FC5246"/>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31E"/>
    <w:rsid w:val="00FE452E"/>
    <w:rsid w:val="00FE50A5"/>
    <w:rsid w:val="00FE52A6"/>
    <w:rsid w:val="00FE5755"/>
    <w:rsid w:val="00FE5D0A"/>
    <w:rsid w:val="00FE5D21"/>
    <w:rsid w:val="00FE5D41"/>
    <w:rsid w:val="00FE6182"/>
    <w:rsid w:val="00FE6412"/>
    <w:rsid w:val="00FE6463"/>
    <w:rsid w:val="00FE6962"/>
    <w:rsid w:val="00FE6C6A"/>
    <w:rsid w:val="00FE7574"/>
    <w:rsid w:val="00FE76A1"/>
    <w:rsid w:val="00FE7788"/>
    <w:rsid w:val="00FE79DA"/>
    <w:rsid w:val="00FF037B"/>
    <w:rsid w:val="00FF0499"/>
    <w:rsid w:val="00FF0747"/>
    <w:rsid w:val="00FF0A7B"/>
    <w:rsid w:val="00FF1035"/>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69D"/>
    <w:rsid w:val="00FF7765"/>
    <w:rsid w:val="00FF7A00"/>
    <w:rsid w:val="01A60A72"/>
    <w:rsid w:val="01D60B10"/>
    <w:rsid w:val="023F5EE6"/>
    <w:rsid w:val="02B80216"/>
    <w:rsid w:val="034E7E8B"/>
    <w:rsid w:val="03DE071C"/>
    <w:rsid w:val="03FB3E27"/>
    <w:rsid w:val="045E1925"/>
    <w:rsid w:val="046045BF"/>
    <w:rsid w:val="04B97E90"/>
    <w:rsid w:val="04E221AB"/>
    <w:rsid w:val="05DD246D"/>
    <w:rsid w:val="067F34A1"/>
    <w:rsid w:val="06F2562E"/>
    <w:rsid w:val="07436FD6"/>
    <w:rsid w:val="076D4E40"/>
    <w:rsid w:val="087921F6"/>
    <w:rsid w:val="08C0165C"/>
    <w:rsid w:val="08F5165B"/>
    <w:rsid w:val="093F3663"/>
    <w:rsid w:val="09F8748A"/>
    <w:rsid w:val="0A401FF1"/>
    <w:rsid w:val="0AE63431"/>
    <w:rsid w:val="0B754E1A"/>
    <w:rsid w:val="0BBA4FFF"/>
    <w:rsid w:val="0BDE24A8"/>
    <w:rsid w:val="0C485885"/>
    <w:rsid w:val="0D0C05A1"/>
    <w:rsid w:val="0D9F44AC"/>
    <w:rsid w:val="0E960B31"/>
    <w:rsid w:val="0EFB534B"/>
    <w:rsid w:val="0F230E06"/>
    <w:rsid w:val="0F4B5C0E"/>
    <w:rsid w:val="0F5A0CD4"/>
    <w:rsid w:val="0FAD2A85"/>
    <w:rsid w:val="0FC553EA"/>
    <w:rsid w:val="0FE17489"/>
    <w:rsid w:val="110630EB"/>
    <w:rsid w:val="11140C35"/>
    <w:rsid w:val="116C28F7"/>
    <w:rsid w:val="11A406F1"/>
    <w:rsid w:val="12085EBE"/>
    <w:rsid w:val="12964564"/>
    <w:rsid w:val="12977E7F"/>
    <w:rsid w:val="12F54B98"/>
    <w:rsid w:val="139357AB"/>
    <w:rsid w:val="13C71639"/>
    <w:rsid w:val="14190C4D"/>
    <w:rsid w:val="14611DDE"/>
    <w:rsid w:val="147865C1"/>
    <w:rsid w:val="148368D6"/>
    <w:rsid w:val="14A2571A"/>
    <w:rsid w:val="155B6FFE"/>
    <w:rsid w:val="158B1571"/>
    <w:rsid w:val="15A0573A"/>
    <w:rsid w:val="15A63742"/>
    <w:rsid w:val="15C77FBF"/>
    <w:rsid w:val="15FD1725"/>
    <w:rsid w:val="160B66BB"/>
    <w:rsid w:val="1653052A"/>
    <w:rsid w:val="16625746"/>
    <w:rsid w:val="16773B35"/>
    <w:rsid w:val="16985F3D"/>
    <w:rsid w:val="16D47753"/>
    <w:rsid w:val="16F43E45"/>
    <w:rsid w:val="17073CBE"/>
    <w:rsid w:val="174F4BBF"/>
    <w:rsid w:val="178E7E86"/>
    <w:rsid w:val="17FD20D3"/>
    <w:rsid w:val="18651D3C"/>
    <w:rsid w:val="195124EF"/>
    <w:rsid w:val="1976057F"/>
    <w:rsid w:val="19E17416"/>
    <w:rsid w:val="19EB2AB8"/>
    <w:rsid w:val="1A6E56FE"/>
    <w:rsid w:val="1BED7D87"/>
    <w:rsid w:val="1C514219"/>
    <w:rsid w:val="1CE65456"/>
    <w:rsid w:val="1CF81166"/>
    <w:rsid w:val="1D297F40"/>
    <w:rsid w:val="1D862C08"/>
    <w:rsid w:val="1E863924"/>
    <w:rsid w:val="1E9F456E"/>
    <w:rsid w:val="1EB81B40"/>
    <w:rsid w:val="1FF24910"/>
    <w:rsid w:val="219F0F7F"/>
    <w:rsid w:val="21CE3B56"/>
    <w:rsid w:val="21E04896"/>
    <w:rsid w:val="21FC7CC7"/>
    <w:rsid w:val="227E25B6"/>
    <w:rsid w:val="22F13963"/>
    <w:rsid w:val="235A4CA6"/>
    <w:rsid w:val="238F7359"/>
    <w:rsid w:val="23BA5FCB"/>
    <w:rsid w:val="23D23265"/>
    <w:rsid w:val="24633B30"/>
    <w:rsid w:val="253818F1"/>
    <w:rsid w:val="255C0C4B"/>
    <w:rsid w:val="25A974DA"/>
    <w:rsid w:val="25F25669"/>
    <w:rsid w:val="26D3146F"/>
    <w:rsid w:val="282519B4"/>
    <w:rsid w:val="28374490"/>
    <w:rsid w:val="285411AE"/>
    <w:rsid w:val="28DE1F70"/>
    <w:rsid w:val="28DE50B2"/>
    <w:rsid w:val="28DF2010"/>
    <w:rsid w:val="29DF3707"/>
    <w:rsid w:val="29FA3918"/>
    <w:rsid w:val="2A032EE3"/>
    <w:rsid w:val="2A090115"/>
    <w:rsid w:val="2A1847CF"/>
    <w:rsid w:val="2A1D4F06"/>
    <w:rsid w:val="2A286831"/>
    <w:rsid w:val="2A662A60"/>
    <w:rsid w:val="2A6B754C"/>
    <w:rsid w:val="2A7D2BAF"/>
    <w:rsid w:val="2AE01F34"/>
    <w:rsid w:val="2AE6120B"/>
    <w:rsid w:val="2AEE4C88"/>
    <w:rsid w:val="2B4D557A"/>
    <w:rsid w:val="2B98381B"/>
    <w:rsid w:val="2C4E2EC6"/>
    <w:rsid w:val="2C7E7C57"/>
    <w:rsid w:val="2CEF4E37"/>
    <w:rsid w:val="2DA70DA8"/>
    <w:rsid w:val="2E0C53C7"/>
    <w:rsid w:val="2E436FCF"/>
    <w:rsid w:val="2E485385"/>
    <w:rsid w:val="2E537365"/>
    <w:rsid w:val="2E7F52D0"/>
    <w:rsid w:val="2E9A064C"/>
    <w:rsid w:val="2EAD4B80"/>
    <w:rsid w:val="2EB36254"/>
    <w:rsid w:val="2EC05693"/>
    <w:rsid w:val="2EC9763E"/>
    <w:rsid w:val="2EDA6509"/>
    <w:rsid w:val="2F0C5A1D"/>
    <w:rsid w:val="2F1D5587"/>
    <w:rsid w:val="31512C1E"/>
    <w:rsid w:val="317A3EF7"/>
    <w:rsid w:val="32006F6F"/>
    <w:rsid w:val="32203350"/>
    <w:rsid w:val="32287FEC"/>
    <w:rsid w:val="326F1D5F"/>
    <w:rsid w:val="32BD3293"/>
    <w:rsid w:val="331E6096"/>
    <w:rsid w:val="3341786D"/>
    <w:rsid w:val="339072FF"/>
    <w:rsid w:val="339A73D1"/>
    <w:rsid w:val="33CF61E7"/>
    <w:rsid w:val="340D46BE"/>
    <w:rsid w:val="34C84E4D"/>
    <w:rsid w:val="356E272E"/>
    <w:rsid w:val="360F6088"/>
    <w:rsid w:val="36322FBB"/>
    <w:rsid w:val="36B211F7"/>
    <w:rsid w:val="36B244AB"/>
    <w:rsid w:val="36F20285"/>
    <w:rsid w:val="37081DC5"/>
    <w:rsid w:val="37661A13"/>
    <w:rsid w:val="379406B9"/>
    <w:rsid w:val="37977709"/>
    <w:rsid w:val="37A55322"/>
    <w:rsid w:val="37BF5C8E"/>
    <w:rsid w:val="37EB1B2F"/>
    <w:rsid w:val="38515A39"/>
    <w:rsid w:val="38833B30"/>
    <w:rsid w:val="38964919"/>
    <w:rsid w:val="38E82DD8"/>
    <w:rsid w:val="397D30A4"/>
    <w:rsid w:val="398A7DF6"/>
    <w:rsid w:val="399E1946"/>
    <w:rsid w:val="39E72336"/>
    <w:rsid w:val="39FF0949"/>
    <w:rsid w:val="3A14203A"/>
    <w:rsid w:val="3A241984"/>
    <w:rsid w:val="3A4D2897"/>
    <w:rsid w:val="3A7A06D3"/>
    <w:rsid w:val="3AF65208"/>
    <w:rsid w:val="3BDD7F9C"/>
    <w:rsid w:val="3C773BAD"/>
    <w:rsid w:val="3CAA7B53"/>
    <w:rsid w:val="3D38321D"/>
    <w:rsid w:val="3DDE28E2"/>
    <w:rsid w:val="3EA27A51"/>
    <w:rsid w:val="3EA70A1A"/>
    <w:rsid w:val="3EC6446C"/>
    <w:rsid w:val="3F34052B"/>
    <w:rsid w:val="3F5470E6"/>
    <w:rsid w:val="3F636838"/>
    <w:rsid w:val="3F884BCE"/>
    <w:rsid w:val="3FC63591"/>
    <w:rsid w:val="3FD57736"/>
    <w:rsid w:val="402E5098"/>
    <w:rsid w:val="41086435"/>
    <w:rsid w:val="41A339B4"/>
    <w:rsid w:val="41B06E59"/>
    <w:rsid w:val="41BF33B0"/>
    <w:rsid w:val="41EA40F3"/>
    <w:rsid w:val="421D3AAA"/>
    <w:rsid w:val="43094166"/>
    <w:rsid w:val="434245B9"/>
    <w:rsid w:val="43593823"/>
    <w:rsid w:val="4503490F"/>
    <w:rsid w:val="452F57D6"/>
    <w:rsid w:val="45824CE7"/>
    <w:rsid w:val="458875C4"/>
    <w:rsid w:val="45CB14A3"/>
    <w:rsid w:val="45D53110"/>
    <w:rsid w:val="465D625F"/>
    <w:rsid w:val="474F135B"/>
    <w:rsid w:val="47F508A3"/>
    <w:rsid w:val="486576B1"/>
    <w:rsid w:val="488F45AE"/>
    <w:rsid w:val="48AA7F55"/>
    <w:rsid w:val="493C25D4"/>
    <w:rsid w:val="49A5774C"/>
    <w:rsid w:val="49E014BA"/>
    <w:rsid w:val="4A334488"/>
    <w:rsid w:val="4A962964"/>
    <w:rsid w:val="4AD531D5"/>
    <w:rsid w:val="4B113391"/>
    <w:rsid w:val="4B43546F"/>
    <w:rsid w:val="4B46586F"/>
    <w:rsid w:val="4B776001"/>
    <w:rsid w:val="4C00478B"/>
    <w:rsid w:val="4C503FCC"/>
    <w:rsid w:val="4CDF4CE0"/>
    <w:rsid w:val="4CE13893"/>
    <w:rsid w:val="4CFD3E0B"/>
    <w:rsid w:val="4D985A1B"/>
    <w:rsid w:val="4E376442"/>
    <w:rsid w:val="4E9632A4"/>
    <w:rsid w:val="4EA93B56"/>
    <w:rsid w:val="4EE46C2F"/>
    <w:rsid w:val="4F545325"/>
    <w:rsid w:val="4F68509F"/>
    <w:rsid w:val="4F6D46DD"/>
    <w:rsid w:val="4F881EDE"/>
    <w:rsid w:val="4FD44B9F"/>
    <w:rsid w:val="4FD54B2C"/>
    <w:rsid w:val="50702E93"/>
    <w:rsid w:val="5091442B"/>
    <w:rsid w:val="50930088"/>
    <w:rsid w:val="50F649E5"/>
    <w:rsid w:val="51627B41"/>
    <w:rsid w:val="518C3FA4"/>
    <w:rsid w:val="51E76B1F"/>
    <w:rsid w:val="520374C4"/>
    <w:rsid w:val="521F74DF"/>
    <w:rsid w:val="529838B5"/>
    <w:rsid w:val="52A53E7B"/>
    <w:rsid w:val="533B1D67"/>
    <w:rsid w:val="536A1AEC"/>
    <w:rsid w:val="538662C6"/>
    <w:rsid w:val="538C278C"/>
    <w:rsid w:val="53E871F7"/>
    <w:rsid w:val="544D6F71"/>
    <w:rsid w:val="549B31F0"/>
    <w:rsid w:val="56106AED"/>
    <w:rsid w:val="564163FA"/>
    <w:rsid w:val="565E03ED"/>
    <w:rsid w:val="568F4947"/>
    <w:rsid w:val="573B61EC"/>
    <w:rsid w:val="57642FAB"/>
    <w:rsid w:val="577B284D"/>
    <w:rsid w:val="57FA3D14"/>
    <w:rsid w:val="58086BE2"/>
    <w:rsid w:val="585419E9"/>
    <w:rsid w:val="58863DB2"/>
    <w:rsid w:val="58991939"/>
    <w:rsid w:val="595D11CB"/>
    <w:rsid w:val="595D598F"/>
    <w:rsid w:val="5A082F56"/>
    <w:rsid w:val="5AF11AD9"/>
    <w:rsid w:val="5B005692"/>
    <w:rsid w:val="5B6A1662"/>
    <w:rsid w:val="5B7562D9"/>
    <w:rsid w:val="5BAA17D9"/>
    <w:rsid w:val="5BFF15FB"/>
    <w:rsid w:val="5C033D0A"/>
    <w:rsid w:val="5C9A62E9"/>
    <w:rsid w:val="5CA55698"/>
    <w:rsid w:val="5CC22D58"/>
    <w:rsid w:val="5CC262A9"/>
    <w:rsid w:val="5E67414D"/>
    <w:rsid w:val="5ECC4055"/>
    <w:rsid w:val="600334B9"/>
    <w:rsid w:val="600440E0"/>
    <w:rsid w:val="60D67F8E"/>
    <w:rsid w:val="61894C62"/>
    <w:rsid w:val="61ED6102"/>
    <w:rsid w:val="61FF5537"/>
    <w:rsid w:val="62470A71"/>
    <w:rsid w:val="6279791E"/>
    <w:rsid w:val="62B775D5"/>
    <w:rsid w:val="637A171E"/>
    <w:rsid w:val="63C5552F"/>
    <w:rsid w:val="63FC3E52"/>
    <w:rsid w:val="645C0388"/>
    <w:rsid w:val="64610C07"/>
    <w:rsid w:val="65404E1D"/>
    <w:rsid w:val="66ED6975"/>
    <w:rsid w:val="672217FF"/>
    <w:rsid w:val="68070FB6"/>
    <w:rsid w:val="683C6F47"/>
    <w:rsid w:val="68646FFA"/>
    <w:rsid w:val="695F508C"/>
    <w:rsid w:val="69790966"/>
    <w:rsid w:val="6A424628"/>
    <w:rsid w:val="6A4C199D"/>
    <w:rsid w:val="6A610BE5"/>
    <w:rsid w:val="6A643A5E"/>
    <w:rsid w:val="6AEF055E"/>
    <w:rsid w:val="6B1778E6"/>
    <w:rsid w:val="6B4A067A"/>
    <w:rsid w:val="6B785849"/>
    <w:rsid w:val="6BC11564"/>
    <w:rsid w:val="6BDB0E08"/>
    <w:rsid w:val="6BDB4FD0"/>
    <w:rsid w:val="6C58232E"/>
    <w:rsid w:val="6D1D66D7"/>
    <w:rsid w:val="6E124254"/>
    <w:rsid w:val="6EF91757"/>
    <w:rsid w:val="6F684E2A"/>
    <w:rsid w:val="6FBB0AFA"/>
    <w:rsid w:val="7055149E"/>
    <w:rsid w:val="71C86B1A"/>
    <w:rsid w:val="71DA071B"/>
    <w:rsid w:val="72766148"/>
    <w:rsid w:val="72C85498"/>
    <w:rsid w:val="72EC7199"/>
    <w:rsid w:val="7304113A"/>
    <w:rsid w:val="73724362"/>
    <w:rsid w:val="740578E3"/>
    <w:rsid w:val="743B7EA5"/>
    <w:rsid w:val="74A9254D"/>
    <w:rsid w:val="74B62ED4"/>
    <w:rsid w:val="74E75C36"/>
    <w:rsid w:val="74F72E8D"/>
    <w:rsid w:val="751832B8"/>
    <w:rsid w:val="75264CD9"/>
    <w:rsid w:val="753F7668"/>
    <w:rsid w:val="754F3733"/>
    <w:rsid w:val="75985246"/>
    <w:rsid w:val="75C77907"/>
    <w:rsid w:val="763269E5"/>
    <w:rsid w:val="763C7B1D"/>
    <w:rsid w:val="767F6D9B"/>
    <w:rsid w:val="76BF6D13"/>
    <w:rsid w:val="76DB0DCF"/>
    <w:rsid w:val="77564345"/>
    <w:rsid w:val="779A3C34"/>
    <w:rsid w:val="77B27DBA"/>
    <w:rsid w:val="78677E98"/>
    <w:rsid w:val="7902664C"/>
    <w:rsid w:val="7AAC6636"/>
    <w:rsid w:val="7AE62C70"/>
    <w:rsid w:val="7B4E05C4"/>
    <w:rsid w:val="7B6A52E9"/>
    <w:rsid w:val="7BD708B4"/>
    <w:rsid w:val="7BDB3589"/>
    <w:rsid w:val="7D001024"/>
    <w:rsid w:val="7D096602"/>
    <w:rsid w:val="7D2E3284"/>
    <w:rsid w:val="7D5B5823"/>
    <w:rsid w:val="7DAF0E53"/>
    <w:rsid w:val="7F4A3911"/>
    <w:rsid w:val="7F5506C3"/>
    <w:rsid w:val="7F633F59"/>
    <w:rsid w:val="7F6361AB"/>
    <w:rsid w:val="7F6D458E"/>
    <w:rsid w:val="FF3F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3">
    <w:name w:val="heading 2"/>
    <w:basedOn w:val="1"/>
    <w:next w:val="4"/>
    <w:link w:val="80"/>
    <w:autoRedefine/>
    <w:qFormat/>
    <w:uiPriority w:val="0"/>
    <w:pPr>
      <w:keepNext/>
      <w:keepLines/>
      <w:spacing w:line="360" w:lineRule="auto"/>
      <w:jc w:val="left"/>
      <w:outlineLvl w:val="1"/>
    </w:pPr>
    <w:rPr>
      <w:rFonts w:ascii="华文中宋" w:hAnsi="华文中宋" w:eastAsia="华文中宋"/>
      <w:b/>
      <w:bCs/>
      <w:color w:val="000000"/>
      <w:kern w:val="0"/>
      <w:sz w:val="32"/>
      <w:szCs w:val="32"/>
    </w:rPr>
  </w:style>
  <w:style w:type="paragraph" w:styleId="5">
    <w:name w:val="heading 3"/>
    <w:basedOn w:val="1"/>
    <w:next w:val="1"/>
    <w:link w:val="78"/>
    <w:autoRedefine/>
    <w:qFormat/>
    <w:uiPriority w:val="0"/>
    <w:pPr>
      <w:keepNext/>
      <w:keepLines/>
      <w:spacing w:line="360" w:lineRule="auto"/>
      <w:ind w:firstLine="176" w:firstLineChars="50"/>
      <w:jc w:val="left"/>
      <w:outlineLvl w:val="2"/>
    </w:pPr>
    <w:rPr>
      <w:rFonts w:ascii="华文中宋" w:hAnsi="华文中宋" w:eastAsia="华文中宋"/>
      <w:b/>
      <w:bCs/>
      <w:color w:val="000000"/>
      <w:kern w:val="0"/>
      <w:sz w:val="30"/>
    </w:rPr>
  </w:style>
  <w:style w:type="paragraph" w:styleId="6">
    <w:name w:val="heading 4"/>
    <w:basedOn w:val="1"/>
    <w:next w:val="1"/>
    <w:link w:val="79"/>
    <w:autoRedefine/>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8"/>
    <w:link w:val="76"/>
    <w:autoRedefine/>
    <w:qFormat/>
    <w:uiPriority w:val="0"/>
    <w:pPr>
      <w:keepNext/>
      <w:keepLines/>
      <w:spacing w:line="360" w:lineRule="auto"/>
      <w:ind w:firstLine="425" w:firstLineChars="177"/>
      <w:jc w:val="left"/>
      <w:outlineLvl w:val="4"/>
    </w:pPr>
    <w:rPr>
      <w:rFonts w:ascii="微软雅黑" w:hAnsi="微软雅黑" w:eastAsia="仿宋"/>
      <w:b/>
      <w:bCs/>
      <w:kern w:val="0"/>
      <w:sz w:val="24"/>
      <w:szCs w:val="28"/>
    </w:rPr>
  </w:style>
  <w:style w:type="paragraph" w:styleId="9">
    <w:name w:val="heading 6"/>
    <w:basedOn w:val="1"/>
    <w:next w:val="1"/>
    <w:link w:val="224"/>
    <w:autoRedefine/>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10">
    <w:name w:val="heading 7"/>
    <w:basedOn w:val="1"/>
    <w:next w:val="1"/>
    <w:link w:val="225"/>
    <w:autoRedefine/>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1">
    <w:name w:val="heading 8"/>
    <w:basedOn w:val="1"/>
    <w:next w:val="1"/>
    <w:link w:val="220"/>
    <w:autoRedefine/>
    <w:qFormat/>
    <w:uiPriority w:val="0"/>
    <w:pPr>
      <w:keepNext/>
      <w:jc w:val="center"/>
      <w:outlineLvl w:val="7"/>
    </w:pPr>
    <w:rPr>
      <w:rFonts w:ascii="Times New Roman" w:hAnsi="Times New Roman"/>
      <w:b/>
      <w:bCs/>
      <w:color w:val="FFFFFF"/>
      <w:szCs w:val="18"/>
    </w:rPr>
  </w:style>
  <w:style w:type="paragraph" w:styleId="12">
    <w:name w:val="heading 9"/>
    <w:basedOn w:val="1"/>
    <w:next w:val="1"/>
    <w:link w:val="187"/>
    <w:autoRedefine/>
    <w:qFormat/>
    <w:uiPriority w:val="0"/>
    <w:pPr>
      <w:keepNext/>
      <w:outlineLvl w:val="8"/>
    </w:pPr>
    <w:rPr>
      <w:rFonts w:ascii="Arial" w:hAnsi="Arial"/>
      <w:b/>
      <w:bCs/>
      <w:color w:val="000000"/>
      <w:sz w:val="15"/>
      <w:szCs w:val="26"/>
    </w:rPr>
  </w:style>
  <w:style w:type="character" w:default="1" w:styleId="66">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6"/>
    <w:autoRedefine/>
    <w:qFormat/>
    <w:uiPriority w:val="0"/>
    <w:pPr>
      <w:ind w:firstLine="420" w:firstLineChars="200"/>
    </w:pPr>
    <w:rPr>
      <w:rFonts w:ascii="Times New Roman" w:hAnsi="Times New Roman"/>
      <w:szCs w:val="20"/>
    </w:rPr>
  </w:style>
  <w:style w:type="paragraph" w:styleId="8">
    <w:name w:val="Plain Text"/>
    <w:basedOn w:val="1"/>
    <w:link w:val="159"/>
    <w:autoRedefine/>
    <w:qFormat/>
    <w:uiPriority w:val="0"/>
    <w:pPr>
      <w:spacing w:line="360" w:lineRule="auto"/>
      <w:ind w:firstLine="425" w:firstLineChars="177"/>
    </w:pPr>
    <w:rPr>
      <w:rFonts w:ascii="仿宋" w:hAnsi="仿宋" w:eastAsia="仿宋"/>
      <w:sz w:val="24"/>
      <w:szCs w:val="20"/>
    </w:rPr>
  </w:style>
  <w:style w:type="paragraph" w:styleId="13">
    <w:name w:val="List 3"/>
    <w:basedOn w:val="1"/>
    <w:autoRedefine/>
    <w:qFormat/>
    <w:uiPriority w:val="0"/>
    <w:pPr>
      <w:widowControl/>
      <w:ind w:left="100" w:leftChars="400" w:hanging="200" w:hangingChars="200"/>
      <w:jc w:val="left"/>
    </w:pPr>
  </w:style>
  <w:style w:type="paragraph" w:styleId="14">
    <w:name w:val="toc 7"/>
    <w:basedOn w:val="1"/>
    <w:next w:val="1"/>
    <w:autoRedefine/>
    <w:qFormat/>
    <w:uiPriority w:val="39"/>
    <w:pPr>
      <w:ind w:left="1260"/>
      <w:jc w:val="left"/>
    </w:pPr>
    <w:rPr>
      <w:rFonts w:cs="Calibri"/>
      <w:sz w:val="18"/>
      <w:szCs w:val="18"/>
    </w:rPr>
  </w:style>
  <w:style w:type="paragraph" w:styleId="15">
    <w:name w:val="List Number 2"/>
    <w:basedOn w:val="1"/>
    <w:autoRedefine/>
    <w:qFormat/>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6">
    <w:name w:val="List Bullet 4"/>
    <w:basedOn w:val="1"/>
    <w:autoRedefine/>
    <w:qFormat/>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7">
    <w:name w:val="List Number"/>
    <w:basedOn w:val="1"/>
    <w:autoRedefine/>
    <w:qFormat/>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8">
    <w:name w:val="List Bullet"/>
    <w:basedOn w:val="1"/>
    <w:autoRedefine/>
    <w:qFormat/>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242"/>
    <w:autoRedefine/>
    <w:qFormat/>
    <w:uiPriority w:val="0"/>
    <w:rPr>
      <w:rFonts w:ascii="宋体" w:hAnsi="Times New Roman"/>
      <w:sz w:val="18"/>
      <w:szCs w:val="18"/>
    </w:rPr>
  </w:style>
  <w:style w:type="paragraph" w:styleId="20">
    <w:name w:val="annotation text"/>
    <w:basedOn w:val="1"/>
    <w:link w:val="232"/>
    <w:autoRedefine/>
    <w:qFormat/>
    <w:uiPriority w:val="0"/>
    <w:pPr>
      <w:jc w:val="left"/>
    </w:pPr>
    <w:rPr>
      <w:rFonts w:ascii="Times New Roman" w:hAnsi="Times New Roman"/>
    </w:rPr>
  </w:style>
  <w:style w:type="paragraph" w:styleId="21">
    <w:name w:val="Salutation"/>
    <w:basedOn w:val="1"/>
    <w:next w:val="1"/>
    <w:link w:val="81"/>
    <w:autoRedefine/>
    <w:qFormat/>
    <w:uiPriority w:val="0"/>
    <w:pPr>
      <w:widowControl/>
      <w:jc w:val="left"/>
    </w:pPr>
    <w:rPr>
      <w:rFonts w:ascii="Times New Roman" w:hAnsi="Times New Roman"/>
      <w:kern w:val="0"/>
      <w:sz w:val="20"/>
    </w:rPr>
  </w:style>
  <w:style w:type="paragraph" w:styleId="22">
    <w:name w:val="Body Text 3"/>
    <w:basedOn w:val="1"/>
    <w:link w:val="85"/>
    <w:autoRedefine/>
    <w:qFormat/>
    <w:uiPriority w:val="0"/>
    <w:pPr>
      <w:widowControl/>
      <w:jc w:val="center"/>
    </w:pPr>
    <w:rPr>
      <w:rFonts w:ascii="Times New Roman" w:hAnsi="Times New Roman"/>
      <w:kern w:val="0"/>
      <w:sz w:val="20"/>
      <w:szCs w:val="20"/>
    </w:rPr>
  </w:style>
  <w:style w:type="paragraph" w:styleId="23">
    <w:name w:val="List Bullet 3"/>
    <w:basedOn w:val="1"/>
    <w:autoRedefine/>
    <w:qFormat/>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206"/>
    <w:autoRedefine/>
    <w:qFormat/>
    <w:uiPriority w:val="0"/>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link w:val="230"/>
    <w:autoRedefine/>
    <w:qFormat/>
    <w:uiPriority w:val="0"/>
    <w:pPr>
      <w:spacing w:before="120" w:after="120" w:line="360" w:lineRule="auto"/>
      <w:ind w:left="420" w:leftChars="200"/>
    </w:pPr>
    <w:rPr>
      <w:rFonts w:ascii="Times New Roman" w:hAnsi="Times New Roman"/>
      <w:sz w:val="24"/>
      <w:szCs w:val="20"/>
    </w:rPr>
  </w:style>
  <w:style w:type="paragraph" w:styleId="26">
    <w:name w:val="List Number 3"/>
    <w:basedOn w:val="1"/>
    <w:autoRedefine/>
    <w:qFormat/>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autoRedefine/>
    <w:qFormat/>
    <w:uiPriority w:val="0"/>
    <w:pPr>
      <w:ind w:left="100" w:leftChars="200" w:hanging="200" w:hangingChars="200"/>
      <w:contextualSpacing/>
    </w:pPr>
  </w:style>
  <w:style w:type="paragraph" w:styleId="28">
    <w:name w:val="Block Text"/>
    <w:basedOn w:val="1"/>
    <w:autoRedefine/>
    <w:qFormat/>
    <w:uiPriority w:val="0"/>
    <w:pPr>
      <w:widowControl/>
      <w:snapToGrid w:val="0"/>
      <w:spacing w:line="400" w:lineRule="exact"/>
      <w:ind w:left="2" w:right="105" w:firstLine="538"/>
      <w:jc w:val="left"/>
    </w:pPr>
    <w:rPr>
      <w:b/>
      <w:szCs w:val="20"/>
    </w:rPr>
  </w:style>
  <w:style w:type="paragraph" w:styleId="29">
    <w:name w:val="List Bullet 2"/>
    <w:basedOn w:val="1"/>
    <w:autoRedefine/>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autoRedefine/>
    <w:qFormat/>
    <w:uiPriority w:val="39"/>
    <w:pPr>
      <w:ind w:left="840"/>
      <w:jc w:val="left"/>
    </w:pPr>
    <w:rPr>
      <w:rFonts w:cs="Calibri"/>
      <w:sz w:val="18"/>
      <w:szCs w:val="18"/>
    </w:rPr>
  </w:style>
  <w:style w:type="paragraph" w:styleId="31">
    <w:name w:val="toc 3"/>
    <w:basedOn w:val="1"/>
    <w:next w:val="1"/>
    <w:autoRedefine/>
    <w:qFormat/>
    <w:uiPriority w:val="39"/>
    <w:pPr>
      <w:ind w:left="420"/>
      <w:jc w:val="left"/>
    </w:pPr>
    <w:rPr>
      <w:rFonts w:cs="Calibri"/>
      <w:i/>
      <w:iCs/>
      <w:sz w:val="20"/>
      <w:szCs w:val="20"/>
    </w:rPr>
  </w:style>
  <w:style w:type="paragraph" w:styleId="32">
    <w:name w:val="List Bullet 5"/>
    <w:basedOn w:val="1"/>
    <w:autoRedefine/>
    <w:qFormat/>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autoRedefine/>
    <w:qFormat/>
    <w:uiPriority w:val="0"/>
    <w:pPr>
      <w:numPr>
        <w:ilvl w:val="0"/>
        <w:numId w:val="1"/>
      </w:numPr>
      <w:tabs>
        <w:tab w:val="left" w:pos="840"/>
        <w:tab w:val="clear" w:pos="1620"/>
      </w:tabs>
      <w:autoSpaceDE w:val="0"/>
      <w:autoSpaceDN w:val="0"/>
      <w:adjustRightInd w:val="0"/>
      <w:spacing w:line="360" w:lineRule="atLeast"/>
      <w:ind w:left="840" w:hanging="420"/>
    </w:pPr>
    <w:rPr>
      <w:kern w:val="0"/>
      <w:sz w:val="24"/>
    </w:rPr>
  </w:style>
  <w:style w:type="paragraph" w:styleId="34">
    <w:name w:val="toc 8"/>
    <w:basedOn w:val="1"/>
    <w:next w:val="1"/>
    <w:autoRedefine/>
    <w:qFormat/>
    <w:uiPriority w:val="39"/>
    <w:pPr>
      <w:ind w:left="1470"/>
      <w:jc w:val="left"/>
    </w:pPr>
    <w:rPr>
      <w:rFonts w:cs="Calibri"/>
      <w:sz w:val="18"/>
      <w:szCs w:val="18"/>
    </w:rPr>
  </w:style>
  <w:style w:type="paragraph" w:styleId="35">
    <w:name w:val="Date"/>
    <w:basedOn w:val="1"/>
    <w:next w:val="1"/>
    <w:link w:val="140"/>
    <w:autoRedefine/>
    <w:qFormat/>
    <w:uiPriority w:val="0"/>
    <w:pPr>
      <w:ind w:left="100" w:leftChars="2500"/>
    </w:pPr>
    <w:rPr>
      <w:rFonts w:ascii="Times New Roman" w:hAnsi="Times New Roman"/>
      <w:kern w:val="0"/>
      <w:sz w:val="20"/>
    </w:rPr>
  </w:style>
  <w:style w:type="paragraph" w:styleId="36">
    <w:name w:val="Body Text Indent 2"/>
    <w:basedOn w:val="1"/>
    <w:link w:val="212"/>
    <w:autoRedefine/>
    <w:qFormat/>
    <w:uiPriority w:val="0"/>
    <w:pPr>
      <w:spacing w:after="120" w:line="480" w:lineRule="auto"/>
      <w:ind w:left="420" w:leftChars="200"/>
    </w:pPr>
    <w:rPr>
      <w:rFonts w:ascii="Times New Roman" w:hAnsi="Times New Roman"/>
    </w:rPr>
  </w:style>
  <w:style w:type="paragraph" w:styleId="37">
    <w:name w:val="endnote text"/>
    <w:basedOn w:val="1"/>
    <w:link w:val="255"/>
    <w:autoRedefine/>
    <w:qFormat/>
    <w:uiPriority w:val="0"/>
    <w:pPr>
      <w:widowControl/>
      <w:adjustRightInd w:val="0"/>
      <w:spacing w:line="360" w:lineRule="atLeast"/>
      <w:jc w:val="left"/>
      <w:textAlignment w:val="baseline"/>
    </w:pPr>
    <w:rPr>
      <w:rFonts w:ascii="Times New Roman" w:hAnsi="Times New Roman"/>
      <w:kern w:val="0"/>
      <w:sz w:val="24"/>
      <w:szCs w:val="20"/>
    </w:rPr>
  </w:style>
  <w:style w:type="paragraph" w:styleId="38">
    <w:name w:val="Balloon Text"/>
    <w:basedOn w:val="1"/>
    <w:link w:val="228"/>
    <w:autoRedefine/>
    <w:qFormat/>
    <w:uiPriority w:val="0"/>
    <w:rPr>
      <w:rFonts w:ascii="Times New Roman" w:hAnsi="Times New Roman"/>
      <w:kern w:val="0"/>
      <w:sz w:val="18"/>
      <w:szCs w:val="18"/>
    </w:rPr>
  </w:style>
  <w:style w:type="paragraph" w:styleId="39">
    <w:name w:val="footer"/>
    <w:basedOn w:val="1"/>
    <w:link w:val="265"/>
    <w:autoRedefine/>
    <w:qFormat/>
    <w:uiPriority w:val="0"/>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120"/>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autoRedefine/>
    <w:qFormat/>
    <w:uiPriority w:val="39"/>
    <w:pPr>
      <w:spacing w:before="120" w:after="120"/>
      <w:jc w:val="left"/>
    </w:pPr>
    <w:rPr>
      <w:rFonts w:cs="Calibri"/>
      <w:b/>
      <w:bCs/>
      <w:caps/>
      <w:sz w:val="20"/>
      <w:szCs w:val="20"/>
    </w:rPr>
  </w:style>
  <w:style w:type="paragraph" w:styleId="42">
    <w:name w:val="toc 4"/>
    <w:basedOn w:val="1"/>
    <w:next w:val="1"/>
    <w:autoRedefine/>
    <w:qFormat/>
    <w:uiPriority w:val="39"/>
    <w:pPr>
      <w:ind w:left="630"/>
      <w:jc w:val="left"/>
    </w:pPr>
    <w:rPr>
      <w:rFonts w:cs="Calibri"/>
      <w:sz w:val="18"/>
      <w:szCs w:val="18"/>
    </w:rPr>
  </w:style>
  <w:style w:type="paragraph" w:styleId="43">
    <w:name w:val="Subtitle"/>
    <w:basedOn w:val="1"/>
    <w:next w:val="1"/>
    <w:link w:val="148"/>
    <w:autoRedefine/>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4">
    <w:name w:val="List Number 5"/>
    <w:basedOn w:val="1"/>
    <w:autoRedefine/>
    <w:qFormat/>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86"/>
    <w:autoRedefine/>
    <w:qFormat/>
    <w:uiPriority w:val="0"/>
    <w:pPr>
      <w:snapToGrid w:val="0"/>
      <w:jc w:val="left"/>
    </w:pPr>
    <w:rPr>
      <w:rFonts w:ascii="Times New Roman" w:hAnsi="Times New Roman"/>
      <w:sz w:val="18"/>
      <w:szCs w:val="18"/>
    </w:rPr>
  </w:style>
  <w:style w:type="paragraph" w:styleId="46">
    <w:name w:val="toc 6"/>
    <w:basedOn w:val="1"/>
    <w:next w:val="1"/>
    <w:autoRedefine/>
    <w:qFormat/>
    <w:uiPriority w:val="39"/>
    <w:pPr>
      <w:ind w:left="1050"/>
      <w:jc w:val="left"/>
    </w:pPr>
    <w:rPr>
      <w:rFonts w:cs="Calibri"/>
      <w:sz w:val="18"/>
      <w:szCs w:val="18"/>
    </w:rPr>
  </w:style>
  <w:style w:type="paragraph" w:styleId="47">
    <w:name w:val="Body Text Indent 3"/>
    <w:basedOn w:val="1"/>
    <w:link w:val="201"/>
    <w:autoRedefine/>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48">
    <w:name w:val="toc 2"/>
    <w:basedOn w:val="1"/>
    <w:next w:val="1"/>
    <w:autoRedefine/>
    <w:qFormat/>
    <w:uiPriority w:val="39"/>
    <w:pPr>
      <w:tabs>
        <w:tab w:val="right" w:leader="dot" w:pos="8931"/>
      </w:tabs>
      <w:spacing w:line="276" w:lineRule="auto"/>
      <w:ind w:left="851"/>
      <w:jc w:val="left"/>
    </w:pPr>
    <w:rPr>
      <w:rFonts w:cs="Calibri"/>
      <w:smallCaps/>
      <w:sz w:val="20"/>
      <w:szCs w:val="20"/>
    </w:rPr>
  </w:style>
  <w:style w:type="paragraph" w:styleId="49">
    <w:name w:val="toc 9"/>
    <w:basedOn w:val="1"/>
    <w:next w:val="1"/>
    <w:autoRedefine/>
    <w:qFormat/>
    <w:uiPriority w:val="39"/>
    <w:pPr>
      <w:ind w:left="1680"/>
      <w:jc w:val="left"/>
    </w:pPr>
    <w:rPr>
      <w:rFonts w:cs="Calibri"/>
      <w:sz w:val="18"/>
      <w:szCs w:val="18"/>
    </w:rPr>
  </w:style>
  <w:style w:type="paragraph" w:styleId="50">
    <w:name w:val="Body Text 2"/>
    <w:basedOn w:val="1"/>
    <w:link w:val="83"/>
    <w:autoRedefine/>
    <w:qFormat/>
    <w:uiPriority w:val="0"/>
    <w:pPr>
      <w:widowControl/>
      <w:spacing w:after="120" w:line="480" w:lineRule="auto"/>
      <w:jc w:val="left"/>
    </w:pPr>
    <w:rPr>
      <w:rFonts w:ascii="Times New Roman" w:hAnsi="Times New Roman"/>
      <w:kern w:val="0"/>
      <w:sz w:val="20"/>
    </w:rPr>
  </w:style>
  <w:style w:type="paragraph" w:styleId="51">
    <w:name w:val="HTML Preformatted"/>
    <w:basedOn w:val="1"/>
    <w:link w:val="1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autoRedefine/>
    <w:qFormat/>
    <w:uiPriority w:val="0"/>
    <w:pPr>
      <w:spacing w:line="360" w:lineRule="auto"/>
      <w:jc w:val="center"/>
    </w:pPr>
    <w:rPr>
      <w:rFonts w:ascii="宋体" w:hAnsi="宋体"/>
      <w:bCs/>
    </w:rPr>
  </w:style>
  <w:style w:type="paragraph" w:styleId="54">
    <w:name w:val="Title"/>
    <w:basedOn w:val="1"/>
    <w:next w:val="8"/>
    <w:link w:val="77"/>
    <w:autoRedefine/>
    <w:qFormat/>
    <w:uiPriority w:val="0"/>
    <w:pPr>
      <w:spacing w:before="360" w:after="180" w:line="360" w:lineRule="auto"/>
      <w:jc w:val="center"/>
      <w:outlineLvl w:val="0"/>
    </w:pPr>
    <w:rPr>
      <w:rFonts w:ascii="Cambria" w:hAnsi="Cambria" w:eastAsia="华文中宋"/>
      <w:b/>
      <w:bCs/>
      <w:sz w:val="44"/>
      <w:szCs w:val="32"/>
    </w:rPr>
  </w:style>
  <w:style w:type="paragraph" w:styleId="55">
    <w:name w:val="annotation subject"/>
    <w:basedOn w:val="20"/>
    <w:next w:val="20"/>
    <w:link w:val="253"/>
    <w:autoRedefine/>
    <w:qFormat/>
    <w:uiPriority w:val="0"/>
    <w:rPr>
      <w:b/>
      <w:bCs/>
    </w:rPr>
  </w:style>
  <w:style w:type="paragraph" w:styleId="56">
    <w:name w:val="Body Text First Indent"/>
    <w:basedOn w:val="24"/>
    <w:link w:val="203"/>
    <w:autoRedefine/>
    <w:qFormat/>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234"/>
    <w:autoRedefine/>
    <w:qFormat/>
    <w:uiPriority w:val="0"/>
    <w:pPr>
      <w:spacing w:before="0" w:line="240" w:lineRule="auto"/>
      <w:ind w:firstLine="420" w:firstLineChars="200"/>
    </w:pPr>
    <w:rPr>
      <w:rFonts w:ascii="Calibri" w:hAnsi="Calibri"/>
      <w:sz w:val="21"/>
    </w:rPr>
  </w:style>
  <w:style w:type="table" w:styleId="59">
    <w:name w:val="Table Grid"/>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8"/>
    <w:autoRedefine/>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Medium Shading 2 Accent 2"/>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2">
    <w:name w:val="Medium Shading 2 Accent 3"/>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3">
    <w:name w:val="Medium Shading 2 Accent 4"/>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4">
    <w:name w:val="Medium Shading 2 Accent 5"/>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6"/>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67">
    <w:name w:val="Strong"/>
    <w:autoRedefine/>
    <w:qFormat/>
    <w:uiPriority w:val="0"/>
    <w:rPr>
      <w:rFonts w:ascii="Calibri" w:hAnsi="Calibri" w:eastAsia="宋体" w:cs="Times New Roman"/>
      <w:b/>
    </w:rPr>
  </w:style>
  <w:style w:type="character" w:styleId="68">
    <w:name w:val="page number"/>
    <w:autoRedefine/>
    <w:qFormat/>
    <w:uiPriority w:val="0"/>
    <w:rPr>
      <w:rFonts w:ascii="Calibri" w:hAnsi="Calibri" w:eastAsia="宋体" w:cs="Times New Roman"/>
    </w:rPr>
  </w:style>
  <w:style w:type="character" w:styleId="69">
    <w:name w:val="FollowedHyperlink"/>
    <w:autoRedefine/>
    <w:qFormat/>
    <w:uiPriority w:val="0"/>
    <w:rPr>
      <w:rFonts w:ascii="Calibri" w:hAnsi="Calibri" w:eastAsia="宋体" w:cs="Times New Roman"/>
      <w:color w:val="800080"/>
      <w:u w:val="single"/>
    </w:rPr>
  </w:style>
  <w:style w:type="character" w:styleId="70">
    <w:name w:val="Emphasis"/>
    <w:autoRedefine/>
    <w:qFormat/>
    <w:uiPriority w:val="20"/>
    <w:rPr>
      <w:rFonts w:ascii="Calibri" w:hAnsi="Calibri" w:eastAsia="宋体" w:cs="Times New Roman"/>
    </w:rPr>
  </w:style>
  <w:style w:type="character" w:styleId="71">
    <w:name w:val="Hyperlink"/>
    <w:autoRedefine/>
    <w:qFormat/>
    <w:uiPriority w:val="99"/>
    <w:rPr>
      <w:rFonts w:ascii="Calibri" w:hAnsi="Calibri" w:eastAsia="宋体" w:cs="Times New Roman"/>
      <w:color w:val="0000FF"/>
      <w:u w:val="single"/>
    </w:rPr>
  </w:style>
  <w:style w:type="character" w:styleId="72">
    <w:name w:val="annotation reference"/>
    <w:autoRedefine/>
    <w:qFormat/>
    <w:uiPriority w:val="0"/>
    <w:rPr>
      <w:rFonts w:ascii="Calibri" w:hAnsi="Calibri" w:eastAsia="宋体" w:cs="Times New Roman"/>
      <w:sz w:val="21"/>
      <w:szCs w:val="21"/>
    </w:rPr>
  </w:style>
  <w:style w:type="character" w:styleId="73">
    <w:name w:val="footnote reference"/>
    <w:autoRedefine/>
    <w:qFormat/>
    <w:uiPriority w:val="0"/>
    <w:rPr>
      <w:rFonts w:ascii="Calibri" w:hAnsi="Calibri" w:eastAsia="宋体" w:cs="Times New Roman"/>
      <w:vertAlign w:val="superscript"/>
    </w:rPr>
  </w:style>
  <w:style w:type="character" w:styleId="74">
    <w:name w:val="HTML Sample"/>
    <w:basedOn w:val="66"/>
    <w:autoRedefine/>
    <w:semiHidden/>
    <w:unhideWhenUsed/>
    <w:qFormat/>
    <w:uiPriority w:val="99"/>
    <w:rPr>
      <w:rFonts w:ascii="Courier New" w:hAnsi="Courier New"/>
    </w:rPr>
  </w:style>
  <w:style w:type="character" w:customStyle="1" w:styleId="75">
    <w:name w:val="标题 1 字符"/>
    <w:link w:val="2"/>
    <w:autoRedefine/>
    <w:qFormat/>
    <w:uiPriority w:val="0"/>
    <w:rPr>
      <w:rFonts w:ascii="Times New Roman" w:hAnsi="Times New Roman" w:eastAsia="华文中宋" w:cs="Times New Roman"/>
      <w:b/>
      <w:bCs/>
      <w:kern w:val="44"/>
      <w:sz w:val="44"/>
      <w:szCs w:val="44"/>
    </w:rPr>
  </w:style>
  <w:style w:type="character" w:customStyle="1" w:styleId="76">
    <w:name w:val="标题 5 字符"/>
    <w:link w:val="7"/>
    <w:autoRedefine/>
    <w:qFormat/>
    <w:uiPriority w:val="0"/>
    <w:rPr>
      <w:rFonts w:ascii="微软雅黑" w:hAnsi="微软雅黑" w:eastAsia="仿宋"/>
      <w:b/>
      <w:bCs/>
      <w:sz w:val="24"/>
      <w:szCs w:val="28"/>
    </w:rPr>
  </w:style>
  <w:style w:type="character" w:customStyle="1" w:styleId="77">
    <w:name w:val="标题 字符"/>
    <w:link w:val="54"/>
    <w:autoRedefine/>
    <w:qFormat/>
    <w:uiPriority w:val="0"/>
    <w:rPr>
      <w:rFonts w:ascii="Cambria" w:hAnsi="Cambria" w:eastAsia="华文中宋"/>
      <w:b/>
      <w:bCs/>
      <w:kern w:val="2"/>
      <w:sz w:val="44"/>
      <w:szCs w:val="32"/>
    </w:rPr>
  </w:style>
  <w:style w:type="character" w:customStyle="1" w:styleId="78">
    <w:name w:val="标题 3 字符"/>
    <w:link w:val="5"/>
    <w:autoRedefine/>
    <w:qFormat/>
    <w:uiPriority w:val="0"/>
    <w:rPr>
      <w:rFonts w:ascii="华文中宋" w:hAnsi="华文中宋" w:eastAsia="华文中宋"/>
      <w:b/>
      <w:bCs/>
      <w:color w:val="000000"/>
      <w:sz w:val="30"/>
      <w:szCs w:val="24"/>
    </w:rPr>
  </w:style>
  <w:style w:type="character" w:customStyle="1" w:styleId="79">
    <w:name w:val="标题 4 字符"/>
    <w:link w:val="6"/>
    <w:autoRedefine/>
    <w:qFormat/>
    <w:uiPriority w:val="0"/>
    <w:rPr>
      <w:rFonts w:ascii="华文中宋" w:hAnsi="华文中宋" w:eastAsia="华文中宋" w:cs="Arial"/>
      <w:b/>
      <w:bCs/>
      <w:color w:val="000000"/>
      <w:kern w:val="2"/>
      <w:sz w:val="28"/>
      <w:szCs w:val="28"/>
    </w:rPr>
  </w:style>
  <w:style w:type="character" w:customStyle="1" w:styleId="80">
    <w:name w:val="标题 2 字符"/>
    <w:link w:val="3"/>
    <w:autoRedefine/>
    <w:qFormat/>
    <w:uiPriority w:val="0"/>
    <w:rPr>
      <w:rFonts w:ascii="华文中宋" w:hAnsi="华文中宋" w:eastAsia="华文中宋"/>
      <w:b/>
      <w:bCs/>
      <w:color w:val="000000"/>
      <w:sz w:val="32"/>
      <w:szCs w:val="32"/>
    </w:rPr>
  </w:style>
  <w:style w:type="character" w:customStyle="1" w:styleId="81">
    <w:name w:val="称呼 字符"/>
    <w:link w:val="21"/>
    <w:autoRedefine/>
    <w:qFormat/>
    <w:uiPriority w:val="0"/>
    <w:rPr>
      <w:rFonts w:ascii="Times New Roman" w:hAnsi="Times New Roman" w:eastAsia="宋体" w:cs="Times New Roman"/>
      <w:szCs w:val="24"/>
    </w:rPr>
  </w:style>
  <w:style w:type="character" w:customStyle="1" w:styleId="82">
    <w:name w:val="批注文字 Char4"/>
    <w:autoRedefine/>
    <w:qFormat/>
    <w:uiPriority w:val="0"/>
    <w:rPr>
      <w:rFonts w:ascii="Times New Roman" w:hAnsi="Times New Roman" w:eastAsia="宋体" w:cs="Times New Roman"/>
      <w:szCs w:val="20"/>
    </w:rPr>
  </w:style>
  <w:style w:type="character" w:customStyle="1" w:styleId="83">
    <w:name w:val="正文文本 2 字符"/>
    <w:link w:val="50"/>
    <w:autoRedefine/>
    <w:qFormat/>
    <w:uiPriority w:val="0"/>
    <w:rPr>
      <w:rFonts w:ascii="Times New Roman" w:hAnsi="Times New Roman" w:eastAsia="宋体" w:cs="Times New Roman"/>
      <w:szCs w:val="24"/>
    </w:rPr>
  </w:style>
  <w:style w:type="character" w:customStyle="1" w:styleId="84">
    <w:name w:val="apple-converted-space"/>
    <w:autoRedefine/>
    <w:qFormat/>
    <w:uiPriority w:val="0"/>
    <w:rPr>
      <w:rFonts w:ascii="Calibri" w:hAnsi="Calibri" w:eastAsia="宋体" w:cs="Times New Roman"/>
    </w:rPr>
  </w:style>
  <w:style w:type="character" w:customStyle="1" w:styleId="85">
    <w:name w:val="正文文本 3 字符"/>
    <w:link w:val="22"/>
    <w:autoRedefine/>
    <w:qFormat/>
    <w:uiPriority w:val="0"/>
    <w:rPr>
      <w:rFonts w:ascii="Times New Roman" w:hAnsi="Times New Roman" w:eastAsia="宋体" w:cs="Times New Roman"/>
    </w:rPr>
  </w:style>
  <w:style w:type="character" w:customStyle="1" w:styleId="86">
    <w:name w:val="脚注文本 字符"/>
    <w:link w:val="45"/>
    <w:autoRedefine/>
    <w:qFormat/>
    <w:uiPriority w:val="0"/>
    <w:rPr>
      <w:rFonts w:ascii="Times New Roman" w:hAnsi="Times New Roman" w:eastAsia="宋体" w:cs="Times New Roman"/>
      <w:kern w:val="2"/>
      <w:sz w:val="18"/>
      <w:szCs w:val="18"/>
    </w:rPr>
  </w:style>
  <w:style w:type="character" w:customStyle="1" w:styleId="87">
    <w:name w:val="彩色列表 - 强调文字颜色 1 Char"/>
    <w:link w:val="88"/>
    <w:autoRedefine/>
    <w:qFormat/>
    <w:uiPriority w:val="0"/>
    <w:rPr>
      <w:rFonts w:ascii="Calibri" w:hAnsi="Calibri" w:eastAsia="宋体" w:cs="Times New Roman"/>
      <w:kern w:val="2"/>
      <w:sz w:val="21"/>
      <w:szCs w:val="22"/>
    </w:rPr>
  </w:style>
  <w:style w:type="paragraph" w:customStyle="1" w:styleId="88">
    <w:name w:val="彩色列表 - 强调文字颜色 11"/>
    <w:basedOn w:val="1"/>
    <w:link w:val="87"/>
    <w:autoRedefine/>
    <w:qFormat/>
    <w:uiPriority w:val="0"/>
    <w:pPr>
      <w:ind w:firstLine="420" w:firstLineChars="200"/>
    </w:pPr>
    <w:rPr>
      <w:szCs w:val="22"/>
    </w:rPr>
  </w:style>
  <w:style w:type="character" w:customStyle="1" w:styleId="89">
    <w:name w:val="批注引用111"/>
    <w:autoRedefine/>
    <w:qFormat/>
    <w:uiPriority w:val="0"/>
    <w:rPr>
      <w:rFonts w:ascii="Calibri" w:hAnsi="Calibri" w:eastAsia="宋体" w:cs="Times New Roman"/>
      <w:sz w:val="21"/>
      <w:szCs w:val="21"/>
    </w:rPr>
  </w:style>
  <w:style w:type="character" w:customStyle="1" w:styleId="90">
    <w:name w:val="EmailStyle30"/>
    <w:autoRedefine/>
    <w:qFormat/>
    <w:uiPriority w:val="0"/>
    <w:rPr>
      <w:rFonts w:ascii="Calibri" w:hAnsi="Calibri" w:eastAsia="宋体" w:cs="Times New Roman"/>
      <w:color w:val="000000"/>
    </w:rPr>
  </w:style>
  <w:style w:type="character" w:customStyle="1" w:styleId="91">
    <w:name w:val="__正文 Char"/>
    <w:link w:val="92"/>
    <w:autoRedefine/>
    <w:qFormat/>
    <w:uiPriority w:val="0"/>
    <w:rPr>
      <w:rFonts w:ascii="仿宋" w:hAnsi="仿宋"/>
      <w:kern w:val="2"/>
      <w:sz w:val="28"/>
      <w:szCs w:val="28"/>
      <w:lang w:val="en-US" w:eastAsia="zh-CN" w:bidi="ar-SA"/>
    </w:rPr>
  </w:style>
  <w:style w:type="paragraph" w:customStyle="1" w:styleId="92">
    <w:name w:val="__正文"/>
    <w:link w:val="91"/>
    <w:autoRedefine/>
    <w:qFormat/>
    <w:uiPriority w:val="0"/>
    <w:pPr>
      <w:spacing w:line="360" w:lineRule="auto"/>
      <w:ind w:firstLine="560" w:firstLineChars="200"/>
      <w:jc w:val="both"/>
    </w:pPr>
    <w:rPr>
      <w:rFonts w:ascii="仿宋" w:hAnsi="仿宋" w:eastAsia="宋体" w:cs="Times New Roman"/>
      <w:kern w:val="2"/>
      <w:sz w:val="28"/>
      <w:szCs w:val="28"/>
      <w:lang w:val="en-US" w:eastAsia="zh-CN" w:bidi="ar-SA"/>
    </w:rPr>
  </w:style>
  <w:style w:type="character" w:customStyle="1" w:styleId="93">
    <w:name w:val="正文首行缩进 Char2"/>
    <w:autoRedefine/>
    <w:qFormat/>
    <w:uiPriority w:val="0"/>
    <w:rPr>
      <w:rFonts w:ascii="Calibri" w:hAnsi="Calibri" w:eastAsia="宋体" w:cs="Times New Roman"/>
    </w:rPr>
  </w:style>
  <w:style w:type="character" w:customStyle="1" w:styleId="94">
    <w:name w:val="HTML 预设格式 Char"/>
    <w:autoRedefine/>
    <w:qFormat/>
    <w:uiPriority w:val="0"/>
    <w:rPr>
      <w:rFonts w:ascii="Courier New" w:hAnsi="Courier New" w:eastAsia="宋体" w:cs="Courier New"/>
      <w:kern w:val="2"/>
    </w:rPr>
  </w:style>
  <w:style w:type="character" w:customStyle="1" w:styleId="95">
    <w:name w:val="正文1 Char"/>
    <w:link w:val="96"/>
    <w:autoRedefine/>
    <w:qFormat/>
    <w:uiPriority w:val="0"/>
    <w:rPr>
      <w:rFonts w:ascii="Arial" w:hAnsi="Arial" w:eastAsia="宋体" w:cs="Times New Roman"/>
    </w:rPr>
  </w:style>
  <w:style w:type="paragraph" w:customStyle="1" w:styleId="96">
    <w:name w:val="正文11"/>
    <w:basedOn w:val="1"/>
    <w:link w:val="95"/>
    <w:autoRedefine/>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97">
    <w:name w:val="◆ 二级符号end Char Char"/>
    <w:link w:val="98"/>
    <w:autoRedefine/>
    <w:qFormat/>
    <w:uiPriority w:val="0"/>
    <w:rPr>
      <w:rFonts w:ascii="Verdana" w:hAnsi="Verdana" w:eastAsia="宋体" w:cs="Times New Roman"/>
      <w:sz w:val="24"/>
    </w:rPr>
  </w:style>
  <w:style w:type="paragraph" w:customStyle="1" w:styleId="98">
    <w:name w:val="◆ 二级符号end"/>
    <w:basedOn w:val="1"/>
    <w:link w:val="97"/>
    <w:autoRedefine/>
    <w:qFormat/>
    <w:uiPriority w:val="0"/>
    <w:pPr>
      <w:tabs>
        <w:tab w:val="left" w:pos="1320"/>
      </w:tabs>
      <w:spacing w:line="360" w:lineRule="auto"/>
      <w:ind w:left="1320" w:hanging="420"/>
    </w:pPr>
    <w:rPr>
      <w:rFonts w:ascii="Verdana" w:hAnsi="Verdana"/>
      <w:kern w:val="0"/>
      <w:sz w:val="24"/>
      <w:szCs w:val="20"/>
    </w:rPr>
  </w:style>
  <w:style w:type="character" w:customStyle="1" w:styleId="99">
    <w:name w:val="paramname"/>
    <w:autoRedefine/>
    <w:qFormat/>
    <w:uiPriority w:val="0"/>
    <w:rPr>
      <w:rFonts w:ascii="Calibri" w:hAnsi="Calibri" w:eastAsia="宋体" w:cs="Times New Roman"/>
    </w:rPr>
  </w:style>
  <w:style w:type="character" w:customStyle="1" w:styleId="100">
    <w:name w:val="apple-style-span"/>
    <w:autoRedefine/>
    <w:qFormat/>
    <w:uiPriority w:val="0"/>
    <w:rPr>
      <w:rFonts w:ascii="Calibri" w:hAnsi="Calibri" w:eastAsia="宋体" w:cs="Times New Roman"/>
    </w:rPr>
  </w:style>
  <w:style w:type="character" w:customStyle="1" w:styleId="101">
    <w:name w:val="custbt1"/>
    <w:autoRedefine/>
    <w:qFormat/>
    <w:uiPriority w:val="0"/>
    <w:rPr>
      <w:rFonts w:ascii="Calibri" w:hAnsi="Calibri" w:eastAsia="宋体" w:cs="Times New Roman"/>
      <w:color w:val="0066CC"/>
      <w:sz w:val="20"/>
    </w:rPr>
  </w:style>
  <w:style w:type="character" w:customStyle="1" w:styleId="102">
    <w:name w:val="SANGFOR_6_正文 Char"/>
    <w:link w:val="103"/>
    <w:autoRedefine/>
    <w:qFormat/>
    <w:uiPriority w:val="0"/>
    <w:rPr>
      <w:rFonts w:ascii="宋体" w:hAnsi="宋体" w:eastAsia="宋体" w:cs="Times New Roman"/>
      <w:sz w:val="28"/>
      <w:szCs w:val="28"/>
    </w:rPr>
  </w:style>
  <w:style w:type="paragraph" w:customStyle="1" w:styleId="103">
    <w:name w:val="SANGFOR_6_正文"/>
    <w:basedOn w:val="1"/>
    <w:link w:val="102"/>
    <w:autoRedefine/>
    <w:qFormat/>
    <w:uiPriority w:val="0"/>
    <w:pPr>
      <w:spacing w:line="360" w:lineRule="auto"/>
      <w:ind w:left="420"/>
      <w:jc w:val="left"/>
    </w:pPr>
    <w:rPr>
      <w:rFonts w:ascii="宋体" w:hAnsi="宋体"/>
      <w:kern w:val="0"/>
      <w:sz w:val="28"/>
      <w:szCs w:val="28"/>
    </w:rPr>
  </w:style>
  <w:style w:type="character" w:customStyle="1" w:styleId="104">
    <w:name w:val="font71"/>
    <w:autoRedefine/>
    <w:qFormat/>
    <w:uiPriority w:val="0"/>
    <w:rPr>
      <w:rFonts w:hint="default" w:ascii="Times New Roman" w:hAnsi="Times New Roman" w:eastAsia="楷体_GB2312" w:cs="Times New Roman"/>
      <w:sz w:val="28"/>
      <w:szCs w:val="24"/>
    </w:rPr>
  </w:style>
  <w:style w:type="character" w:customStyle="1" w:styleId="105">
    <w:name w:val="标题 Char1"/>
    <w:autoRedefine/>
    <w:qFormat/>
    <w:uiPriority w:val="0"/>
    <w:rPr>
      <w:rFonts w:ascii="Calibri" w:hAnsi="Calibri" w:eastAsia="黑体" w:cs="Times New Roman"/>
      <w:b/>
      <w:sz w:val="28"/>
    </w:rPr>
  </w:style>
  <w:style w:type="character" w:customStyle="1" w:styleId="106">
    <w:name w:val="自定义正文 Char"/>
    <w:link w:val="107"/>
    <w:autoRedefine/>
    <w:qFormat/>
    <w:uiPriority w:val="0"/>
    <w:rPr>
      <w:rFonts w:ascii="Calibri" w:hAnsi="Calibri" w:eastAsia="宋体" w:cs="Times New Roman"/>
      <w:kern w:val="2"/>
      <w:sz w:val="24"/>
    </w:rPr>
  </w:style>
  <w:style w:type="paragraph" w:customStyle="1" w:styleId="107">
    <w:name w:val="自定义正文"/>
    <w:basedOn w:val="1"/>
    <w:link w:val="106"/>
    <w:autoRedefine/>
    <w:qFormat/>
    <w:uiPriority w:val="0"/>
    <w:pPr>
      <w:spacing w:afterLines="50" w:line="360" w:lineRule="auto"/>
      <w:ind w:firstLine="200" w:firstLineChars="200"/>
      <w:jc w:val="left"/>
    </w:pPr>
    <w:rPr>
      <w:sz w:val="24"/>
      <w:szCs w:val="20"/>
    </w:rPr>
  </w:style>
  <w:style w:type="character" w:customStyle="1" w:styleId="108">
    <w:name w:val="标题 Char3"/>
    <w:autoRedefine/>
    <w:qFormat/>
    <w:uiPriority w:val="0"/>
    <w:rPr>
      <w:rFonts w:ascii="Cambria" w:hAnsi="Cambria" w:eastAsia="宋体" w:cs="黑体"/>
      <w:b/>
      <w:bCs/>
      <w:sz w:val="32"/>
      <w:szCs w:val="32"/>
    </w:rPr>
  </w:style>
  <w:style w:type="character" w:customStyle="1" w:styleId="109">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110">
    <w:name w:val="纯文本 Char2"/>
    <w:autoRedefine/>
    <w:qFormat/>
    <w:uiPriority w:val="0"/>
    <w:rPr>
      <w:rFonts w:ascii="宋体" w:hAnsi="Courier New" w:eastAsia="宋体" w:cs="Times New Roman"/>
      <w:kern w:val="2"/>
      <w:sz w:val="21"/>
    </w:rPr>
  </w:style>
  <w:style w:type="character" w:customStyle="1" w:styleId="111">
    <w:name w:val="style15"/>
    <w:autoRedefine/>
    <w:qFormat/>
    <w:uiPriority w:val="0"/>
    <w:rPr>
      <w:rFonts w:ascii="Calibri" w:hAnsi="Calibri" w:eastAsia="宋体" w:cs="Times New Roman"/>
    </w:rPr>
  </w:style>
  <w:style w:type="character" w:customStyle="1" w:styleId="112">
    <w:name w:val="17"/>
    <w:autoRedefine/>
    <w:qFormat/>
    <w:uiPriority w:val="0"/>
    <w:rPr>
      <w:rFonts w:hint="default" w:ascii="Calibri" w:hAnsi="Calibri" w:eastAsia="宋体" w:cs="Times New Roman"/>
      <w:sz w:val="21"/>
      <w:szCs w:val="21"/>
    </w:rPr>
  </w:style>
  <w:style w:type="character" w:customStyle="1" w:styleId="113">
    <w:name w:val="批注文字 Char1"/>
    <w:autoRedefine/>
    <w:qFormat/>
    <w:uiPriority w:val="0"/>
    <w:rPr>
      <w:rFonts w:ascii="Calibri" w:hAnsi="Calibri" w:eastAsia="宋体" w:cs="Times New Roman"/>
      <w:kern w:val="2"/>
      <w:sz w:val="21"/>
    </w:rPr>
  </w:style>
  <w:style w:type="character" w:customStyle="1" w:styleId="114">
    <w:name w:val="正文文本缩进 3 Char1"/>
    <w:autoRedefine/>
    <w:qFormat/>
    <w:uiPriority w:val="0"/>
    <w:rPr>
      <w:rFonts w:ascii="Calibri" w:hAnsi="Calibri" w:eastAsia="宋体" w:cs="Times New Roman"/>
      <w:sz w:val="24"/>
    </w:rPr>
  </w:style>
  <w:style w:type="character" w:customStyle="1" w:styleId="115">
    <w:name w:val="自定义正文 Char Char"/>
    <w:autoRedefine/>
    <w:qFormat/>
    <w:uiPriority w:val="0"/>
    <w:rPr>
      <w:rFonts w:ascii="Calibri" w:hAnsi="Calibri" w:eastAsia="宋体" w:cs="Times New Roman"/>
      <w:sz w:val="24"/>
    </w:rPr>
  </w:style>
  <w:style w:type="character" w:customStyle="1" w:styleId="116">
    <w:name w:val="正文2 Char Char Char"/>
    <w:autoRedefine/>
    <w:qFormat/>
    <w:uiPriority w:val="0"/>
    <w:rPr>
      <w:rFonts w:ascii="Calibri" w:hAnsi="Calibri" w:eastAsia="宋体" w:cs="Times New Roman"/>
      <w:kern w:val="2"/>
      <w:sz w:val="24"/>
      <w:lang w:val="en-US" w:eastAsia="zh-CN"/>
    </w:rPr>
  </w:style>
  <w:style w:type="character" w:customStyle="1" w:styleId="117">
    <w:name w:val="页脚 Char1"/>
    <w:autoRedefine/>
    <w:qFormat/>
    <w:uiPriority w:val="0"/>
    <w:rPr>
      <w:rFonts w:ascii="Calibri" w:hAnsi="Calibri" w:eastAsia="宋体" w:cs="Times New Roman"/>
      <w:kern w:val="2"/>
      <w:sz w:val="18"/>
    </w:rPr>
  </w:style>
  <w:style w:type="character" w:customStyle="1" w:styleId="118">
    <w:name w:val="z-窗体底端 Char"/>
    <w:link w:val="119"/>
    <w:autoRedefine/>
    <w:qFormat/>
    <w:uiPriority w:val="0"/>
    <w:rPr>
      <w:rFonts w:ascii="Arial" w:hAnsi="Arial" w:eastAsia="宋体" w:cs="Times New Roman"/>
      <w:vanish/>
      <w:sz w:val="16"/>
      <w:szCs w:val="16"/>
    </w:rPr>
  </w:style>
  <w:style w:type="paragraph" w:customStyle="1" w:styleId="119">
    <w:name w:val="z-Bottom of Form1"/>
    <w:basedOn w:val="1"/>
    <w:next w:val="1"/>
    <w:link w:val="118"/>
    <w:autoRedefine/>
    <w:qFormat/>
    <w:uiPriority w:val="0"/>
    <w:pPr>
      <w:widowControl/>
      <w:pBdr>
        <w:top w:val="single" w:color="auto" w:sz="6" w:space="1"/>
      </w:pBdr>
      <w:jc w:val="center"/>
    </w:pPr>
    <w:rPr>
      <w:rFonts w:ascii="Arial" w:hAnsi="Arial"/>
      <w:vanish/>
      <w:kern w:val="0"/>
      <w:sz w:val="16"/>
      <w:szCs w:val="16"/>
    </w:rPr>
  </w:style>
  <w:style w:type="character" w:customStyle="1" w:styleId="120">
    <w:name w:val="页眉 字符1"/>
    <w:link w:val="40"/>
    <w:autoRedefine/>
    <w:qFormat/>
    <w:uiPriority w:val="0"/>
    <w:rPr>
      <w:rFonts w:ascii="Times New Roman" w:hAnsi="Times New Roman" w:eastAsia="宋体" w:cs="Times New Roman"/>
      <w:sz w:val="18"/>
      <w:szCs w:val="18"/>
    </w:rPr>
  </w:style>
  <w:style w:type="character" w:customStyle="1" w:styleId="121">
    <w:name w:val="正文首行缩进 Char1"/>
    <w:autoRedefine/>
    <w:qFormat/>
    <w:uiPriority w:val="0"/>
    <w:rPr>
      <w:rFonts w:ascii="Calibri" w:hAnsi="Calibri" w:eastAsia="宋体" w:cs="Times New Roman"/>
      <w:kern w:val="2"/>
      <w:sz w:val="22"/>
      <w:lang w:val="en-US" w:eastAsia="zh-CN"/>
    </w:rPr>
  </w:style>
  <w:style w:type="character" w:customStyle="1" w:styleId="122">
    <w:name w:val="Char Char10"/>
    <w:autoRedefine/>
    <w:qFormat/>
    <w:uiPriority w:val="0"/>
    <w:rPr>
      <w:rFonts w:ascii="Calibri" w:hAnsi="Calibri" w:eastAsia="仿宋_GB2312" w:cs="Times New Roman"/>
      <w:b/>
      <w:kern w:val="44"/>
      <w:sz w:val="44"/>
    </w:rPr>
  </w:style>
  <w:style w:type="character" w:customStyle="1" w:styleId="123">
    <w:name w:val="批注框文本 Char2"/>
    <w:autoRedefine/>
    <w:qFormat/>
    <w:uiPriority w:val="0"/>
    <w:rPr>
      <w:rFonts w:ascii="Calibri" w:hAnsi="Calibri" w:eastAsia="宋体" w:cs="Times New Roman"/>
      <w:kern w:val="2"/>
      <w:sz w:val="18"/>
    </w:rPr>
  </w:style>
  <w:style w:type="character" w:customStyle="1" w:styleId="124">
    <w:name w:val="标题 8 Char1"/>
    <w:autoRedefine/>
    <w:qFormat/>
    <w:uiPriority w:val="0"/>
    <w:rPr>
      <w:rFonts w:ascii="Arial" w:hAnsi="Arial" w:eastAsia="黑体" w:cs="Times New Roman"/>
      <w:kern w:val="2"/>
      <w:sz w:val="24"/>
    </w:rPr>
  </w:style>
  <w:style w:type="character" w:customStyle="1" w:styleId="125">
    <w:name w:val="●一级符号home Char Char1"/>
    <w:link w:val="126"/>
    <w:autoRedefine/>
    <w:qFormat/>
    <w:uiPriority w:val="0"/>
    <w:rPr>
      <w:rFonts w:ascii="Verdana" w:hAnsi="Verdana" w:eastAsia="宋体" w:cs="Times New Roman"/>
      <w:sz w:val="21"/>
      <w:lang w:val="zh-CN"/>
    </w:rPr>
  </w:style>
  <w:style w:type="paragraph" w:customStyle="1" w:styleId="126">
    <w:name w:val="●一级符号home"/>
    <w:basedOn w:val="1"/>
    <w:link w:val="125"/>
    <w:autoRedefine/>
    <w:qFormat/>
    <w:uiPriority w:val="0"/>
    <w:pPr>
      <w:tabs>
        <w:tab w:val="left" w:pos="901"/>
      </w:tabs>
      <w:spacing w:line="360" w:lineRule="auto"/>
    </w:pPr>
    <w:rPr>
      <w:rFonts w:ascii="Verdana" w:hAnsi="Verdana"/>
      <w:kern w:val="0"/>
      <w:szCs w:val="20"/>
      <w:lang w:val="zh-CN"/>
    </w:rPr>
  </w:style>
  <w:style w:type="character" w:customStyle="1" w:styleId="127">
    <w:name w:val="批注引用9"/>
    <w:autoRedefine/>
    <w:qFormat/>
    <w:uiPriority w:val="0"/>
    <w:rPr>
      <w:rFonts w:ascii="Calibri" w:hAnsi="Calibri" w:eastAsia="宋体" w:cs="Times New Roman"/>
      <w:sz w:val="21"/>
    </w:rPr>
  </w:style>
  <w:style w:type="character" w:customStyle="1" w:styleId="128">
    <w:name w:val="Char Char3"/>
    <w:autoRedefine/>
    <w:qFormat/>
    <w:uiPriority w:val="0"/>
    <w:rPr>
      <w:rFonts w:ascii="Calibri" w:hAnsi="Calibri" w:eastAsia="宋体" w:cs="Times New Roman"/>
      <w:b/>
      <w:kern w:val="44"/>
      <w:sz w:val="44"/>
    </w:rPr>
  </w:style>
  <w:style w:type="character" w:customStyle="1" w:styleId="129">
    <w:name w:val="日期 Char1"/>
    <w:autoRedefine/>
    <w:qFormat/>
    <w:uiPriority w:val="0"/>
    <w:rPr>
      <w:rFonts w:ascii="仿宋_GB2312" w:hAnsi="Calibri" w:eastAsia="仿宋_GB2312" w:cs="Times New Roman"/>
      <w:sz w:val="24"/>
    </w:rPr>
  </w:style>
  <w:style w:type="character" w:customStyle="1" w:styleId="130">
    <w:name w:val="Char Char5"/>
    <w:autoRedefine/>
    <w:qFormat/>
    <w:uiPriority w:val="0"/>
    <w:rPr>
      <w:rFonts w:ascii="Calibri" w:hAnsi="Calibri" w:eastAsia="宋体" w:cs="Times New Roman"/>
      <w:sz w:val="18"/>
    </w:rPr>
  </w:style>
  <w:style w:type="character" w:customStyle="1" w:styleId="131">
    <w:name w:val="ss"/>
    <w:autoRedefine/>
    <w:qFormat/>
    <w:uiPriority w:val="0"/>
    <w:rPr>
      <w:rFonts w:ascii="Calibri" w:hAnsi="Calibri" w:eastAsia="宋体" w:cs="Times New Roman"/>
    </w:rPr>
  </w:style>
  <w:style w:type="character" w:customStyle="1" w:styleId="132">
    <w:name w:val="正文首缩两字 Char1"/>
    <w:link w:val="133"/>
    <w:autoRedefine/>
    <w:qFormat/>
    <w:uiPriority w:val="0"/>
    <w:rPr>
      <w:rFonts w:ascii="Verdana" w:hAnsi="Verdana" w:eastAsia="宋体" w:cs="Times New Roman"/>
      <w:sz w:val="24"/>
    </w:rPr>
  </w:style>
  <w:style w:type="paragraph" w:customStyle="1" w:styleId="133">
    <w:name w:val="正文首缩两字"/>
    <w:basedOn w:val="1"/>
    <w:link w:val="132"/>
    <w:autoRedefine/>
    <w:qFormat/>
    <w:uiPriority w:val="0"/>
    <w:pPr>
      <w:spacing w:line="360" w:lineRule="auto"/>
      <w:ind w:firstLine="200" w:firstLineChars="200"/>
    </w:pPr>
    <w:rPr>
      <w:rFonts w:ascii="Verdana" w:hAnsi="Verdana"/>
      <w:kern w:val="0"/>
      <w:sz w:val="24"/>
      <w:szCs w:val="20"/>
    </w:rPr>
  </w:style>
  <w:style w:type="character" w:customStyle="1" w:styleId="134">
    <w:name w:val="正文文本缩进 Char2"/>
    <w:autoRedefine/>
    <w:qFormat/>
    <w:uiPriority w:val="0"/>
    <w:rPr>
      <w:rFonts w:ascii="Calibri" w:hAnsi="Calibri" w:eastAsia="宋体" w:cs="Times New Roman"/>
      <w:kern w:val="2"/>
      <w:sz w:val="21"/>
    </w:rPr>
  </w:style>
  <w:style w:type="character" w:customStyle="1" w:styleId="135">
    <w:name w:val="页眉 Char Char"/>
    <w:autoRedefine/>
    <w:qFormat/>
    <w:uiPriority w:val="0"/>
    <w:rPr>
      <w:rFonts w:ascii="Calibri" w:hAnsi="Calibri" w:eastAsia="宋体" w:cs="Times New Roman"/>
      <w:kern w:val="2"/>
      <w:sz w:val="18"/>
      <w:lang w:val="en-US" w:eastAsia="zh-CN"/>
    </w:rPr>
  </w:style>
  <w:style w:type="character" w:customStyle="1" w:styleId="136">
    <w:name w:val="页脚 Char3"/>
    <w:autoRedefine/>
    <w:qFormat/>
    <w:uiPriority w:val="0"/>
    <w:rPr>
      <w:rFonts w:ascii="Times New Roman" w:hAnsi="Times New Roman" w:eastAsia="宋体" w:cs="Times New Roman"/>
      <w:sz w:val="20"/>
      <w:szCs w:val="20"/>
    </w:rPr>
  </w:style>
  <w:style w:type="character" w:customStyle="1" w:styleId="137">
    <w:name w:val="副标题 Char"/>
    <w:autoRedefine/>
    <w:qFormat/>
    <w:uiPriority w:val="0"/>
    <w:rPr>
      <w:rFonts w:ascii="Cambria" w:hAnsi="Cambria" w:eastAsia="宋体" w:cs="Times New Roman"/>
      <w:b/>
      <w:bCs/>
      <w:kern w:val="28"/>
      <w:sz w:val="32"/>
      <w:szCs w:val="32"/>
    </w:rPr>
  </w:style>
  <w:style w:type="character" w:customStyle="1" w:styleId="138">
    <w:name w:val="16"/>
    <w:autoRedefine/>
    <w:qFormat/>
    <w:uiPriority w:val="0"/>
    <w:rPr>
      <w:rFonts w:hint="default" w:ascii="Calibri" w:hAnsi="Calibri" w:eastAsia="宋体" w:cs="Times New Roman"/>
      <w:sz w:val="21"/>
      <w:szCs w:val="21"/>
    </w:rPr>
  </w:style>
  <w:style w:type="character" w:customStyle="1" w:styleId="139">
    <w:name w:val="Char Char4"/>
    <w:autoRedefine/>
    <w:qFormat/>
    <w:uiPriority w:val="0"/>
    <w:rPr>
      <w:rFonts w:ascii="Calibri" w:hAnsi="Calibri" w:eastAsia="宋体" w:cs="Times New Roman"/>
      <w:sz w:val="18"/>
    </w:rPr>
  </w:style>
  <w:style w:type="character" w:customStyle="1" w:styleId="140">
    <w:name w:val="日期 字符"/>
    <w:link w:val="35"/>
    <w:autoRedefine/>
    <w:qFormat/>
    <w:uiPriority w:val="0"/>
    <w:rPr>
      <w:rFonts w:ascii="Times New Roman" w:hAnsi="Times New Roman" w:eastAsia="宋体" w:cs="Times New Roman"/>
      <w:szCs w:val="24"/>
    </w:rPr>
  </w:style>
  <w:style w:type="character" w:customStyle="1" w:styleId="141">
    <w:name w:val="页眉 字符"/>
    <w:autoRedefine/>
    <w:qFormat/>
    <w:uiPriority w:val="0"/>
    <w:rPr>
      <w:rFonts w:eastAsia="宋体"/>
      <w:kern w:val="2"/>
      <w:sz w:val="18"/>
      <w:szCs w:val="18"/>
      <w:lang w:val="en-US" w:eastAsia="zh-CN" w:bidi="ar-SA"/>
    </w:rPr>
  </w:style>
  <w:style w:type="character" w:customStyle="1" w:styleId="142">
    <w:name w:val="标准文本 Char Char"/>
    <w:link w:val="143"/>
    <w:autoRedefine/>
    <w:qFormat/>
    <w:uiPriority w:val="0"/>
    <w:rPr>
      <w:rFonts w:ascii="Times New Roman" w:hAnsi="Times New Roman" w:eastAsia="宋体" w:cs="Times New Roman"/>
    </w:rPr>
  </w:style>
  <w:style w:type="paragraph" w:customStyle="1" w:styleId="143">
    <w:name w:val="标准文本"/>
    <w:basedOn w:val="1"/>
    <w:link w:val="142"/>
    <w:autoRedefine/>
    <w:qFormat/>
    <w:uiPriority w:val="0"/>
    <w:pPr>
      <w:spacing w:line="360" w:lineRule="auto"/>
      <w:ind w:firstLine="480" w:firstLineChars="200"/>
    </w:pPr>
    <w:rPr>
      <w:rFonts w:ascii="Times New Roman" w:hAnsi="Times New Roman"/>
      <w:kern w:val="0"/>
      <w:sz w:val="20"/>
      <w:szCs w:val="20"/>
    </w:rPr>
  </w:style>
  <w:style w:type="character" w:customStyle="1" w:styleId="144">
    <w:name w:val="批注引用2"/>
    <w:autoRedefine/>
    <w:qFormat/>
    <w:uiPriority w:val="0"/>
    <w:rPr>
      <w:rFonts w:ascii="Calibri" w:hAnsi="Calibri" w:eastAsia="宋体" w:cs="Times New Roman"/>
      <w:sz w:val="21"/>
    </w:rPr>
  </w:style>
  <w:style w:type="character" w:customStyle="1" w:styleId="145">
    <w:name w:val="font61"/>
    <w:autoRedefine/>
    <w:qFormat/>
    <w:uiPriority w:val="0"/>
    <w:rPr>
      <w:rFonts w:ascii="Arial" w:hAnsi="Arial" w:eastAsia="宋体" w:cs="Arial"/>
      <w:color w:val="000000"/>
      <w:sz w:val="20"/>
      <w:szCs w:val="20"/>
      <w:u w:val="none"/>
    </w:rPr>
  </w:style>
  <w:style w:type="character" w:customStyle="1" w:styleId="146">
    <w:name w:val="正文文本 Char3"/>
    <w:autoRedefine/>
    <w:qFormat/>
    <w:uiPriority w:val="0"/>
    <w:rPr>
      <w:rFonts w:ascii="Times New Roman" w:hAnsi="Times New Roman" w:eastAsia="宋体" w:cs="Times New Roman"/>
      <w:sz w:val="20"/>
      <w:szCs w:val="20"/>
    </w:rPr>
  </w:style>
  <w:style w:type="character" w:customStyle="1" w:styleId="147">
    <w:name w:val="段 Char Char"/>
    <w:autoRedefine/>
    <w:qFormat/>
    <w:uiPriority w:val="0"/>
    <w:rPr>
      <w:rFonts w:ascii="宋体" w:hAnsi="Calibri" w:eastAsia="宋体" w:cs="Times New Roman"/>
      <w:lang w:val="en-US" w:eastAsia="zh-CN"/>
    </w:rPr>
  </w:style>
  <w:style w:type="character" w:customStyle="1" w:styleId="148">
    <w:name w:val="副标题 字符"/>
    <w:link w:val="43"/>
    <w:autoRedefine/>
    <w:qFormat/>
    <w:uiPriority w:val="0"/>
    <w:rPr>
      <w:rFonts w:ascii="华文中宋" w:hAnsi="华文中宋" w:eastAsia="华文中宋"/>
      <w:b/>
      <w:bCs/>
      <w:color w:val="000000"/>
      <w:sz w:val="32"/>
      <w:szCs w:val="32"/>
    </w:rPr>
  </w:style>
  <w:style w:type="character" w:customStyle="1" w:styleId="149">
    <w:name w:val="页眉 Char2"/>
    <w:autoRedefine/>
    <w:qFormat/>
    <w:uiPriority w:val="0"/>
    <w:rPr>
      <w:rFonts w:ascii="Calibri" w:hAnsi="Calibri" w:eastAsia="宋体" w:cs="Times New Roman"/>
      <w:kern w:val="2"/>
      <w:sz w:val="18"/>
    </w:rPr>
  </w:style>
  <w:style w:type="character" w:customStyle="1" w:styleId="150">
    <w:name w:val="样式 黑体 二号"/>
    <w:autoRedefine/>
    <w:qFormat/>
    <w:uiPriority w:val="0"/>
    <w:rPr>
      <w:rFonts w:ascii="Arial" w:hAnsi="Arial" w:eastAsia="黑体" w:cs="Times New Roman"/>
      <w:sz w:val="44"/>
    </w:rPr>
  </w:style>
  <w:style w:type="character" w:customStyle="1" w:styleId="151">
    <w:name w:val="HTML 预设格式 字符"/>
    <w:link w:val="51"/>
    <w:autoRedefine/>
    <w:qFormat/>
    <w:uiPriority w:val="0"/>
    <w:rPr>
      <w:rFonts w:ascii="宋体" w:hAnsi="宋体" w:eastAsia="宋体" w:cs="Times New Roman"/>
      <w:sz w:val="24"/>
      <w:szCs w:val="24"/>
    </w:rPr>
  </w:style>
  <w:style w:type="character" w:customStyle="1" w:styleId="152">
    <w:name w:val="批注引用11"/>
    <w:autoRedefine/>
    <w:qFormat/>
    <w:uiPriority w:val="0"/>
    <w:rPr>
      <w:rFonts w:ascii="Calibri" w:hAnsi="Calibri" w:eastAsia="宋体" w:cs="Times New Roman"/>
      <w:sz w:val="21"/>
    </w:rPr>
  </w:style>
  <w:style w:type="character" w:customStyle="1" w:styleId="153">
    <w:name w:val="批注文字 Char3"/>
    <w:autoRedefine/>
    <w:qFormat/>
    <w:uiPriority w:val="0"/>
    <w:rPr>
      <w:rFonts w:ascii="Times New Roman" w:hAnsi="Times New Roman" w:eastAsia="宋体" w:cs="Times New Roman"/>
      <w:sz w:val="20"/>
      <w:szCs w:val="20"/>
    </w:rPr>
  </w:style>
  <w:style w:type="character" w:customStyle="1" w:styleId="154">
    <w:name w:val="标题 2 Char1"/>
    <w:autoRedefine/>
    <w:qFormat/>
    <w:uiPriority w:val="0"/>
    <w:rPr>
      <w:rFonts w:ascii="仿宋_GB2312" w:hAnsi="Calibri" w:eastAsia="仿宋_GB2312" w:cs="Times New Roman"/>
      <w:sz w:val="28"/>
    </w:rPr>
  </w:style>
  <w:style w:type="character" w:customStyle="1" w:styleId="155">
    <w:name w:val="v0066991"/>
    <w:autoRedefine/>
    <w:qFormat/>
    <w:uiPriority w:val="0"/>
    <w:rPr>
      <w:rFonts w:ascii="Arial" w:hAnsi="Arial" w:eastAsia="宋体" w:cs="Times New Roman"/>
      <w:color w:val="000000"/>
      <w:sz w:val="26"/>
      <w:u w:val="none"/>
    </w:rPr>
  </w:style>
  <w:style w:type="character" w:customStyle="1" w:styleId="156">
    <w:name w:val="一级条标题 Char"/>
    <w:link w:val="157"/>
    <w:autoRedefine/>
    <w:qFormat/>
    <w:uiPriority w:val="0"/>
    <w:rPr>
      <w:rFonts w:ascii="黑体" w:hAnsi="Times New Roman" w:eastAsia="黑体" w:cs="Times New Roman"/>
      <w:sz w:val="21"/>
    </w:rPr>
  </w:style>
  <w:style w:type="paragraph" w:customStyle="1" w:styleId="157">
    <w:name w:val="一级条标题"/>
    <w:basedOn w:val="1"/>
    <w:next w:val="158"/>
    <w:link w:val="156"/>
    <w:autoRedefine/>
    <w:qFormat/>
    <w:uiPriority w:val="0"/>
    <w:pPr>
      <w:widowControl/>
      <w:tabs>
        <w:tab w:val="left" w:pos="1200"/>
      </w:tabs>
      <w:ind w:left="1200" w:hanging="420"/>
      <w:outlineLvl w:val="2"/>
    </w:pPr>
    <w:rPr>
      <w:rFonts w:ascii="黑体" w:hAnsi="Times New Roman" w:eastAsia="黑体"/>
      <w:kern w:val="0"/>
      <w:szCs w:val="20"/>
    </w:rPr>
  </w:style>
  <w:style w:type="paragraph" w:customStyle="1" w:styleId="158">
    <w:name w:val="段"/>
    <w:link w:val="240"/>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59">
    <w:name w:val="纯文本 字符"/>
    <w:link w:val="8"/>
    <w:autoRedefine/>
    <w:qFormat/>
    <w:uiPriority w:val="0"/>
    <w:rPr>
      <w:rFonts w:ascii="仿宋" w:hAnsi="仿宋" w:eastAsia="仿宋"/>
      <w:kern w:val="2"/>
      <w:sz w:val="24"/>
    </w:rPr>
  </w:style>
  <w:style w:type="character" w:customStyle="1" w:styleId="160">
    <w:name w:val="尾注文本 Char"/>
    <w:autoRedefine/>
    <w:qFormat/>
    <w:uiPriority w:val="0"/>
    <w:rPr>
      <w:rFonts w:ascii="Times New Roman" w:hAnsi="Times New Roman" w:eastAsia="宋体" w:cs="Times New Roman"/>
      <w:kern w:val="2"/>
      <w:sz w:val="21"/>
      <w:szCs w:val="24"/>
    </w:rPr>
  </w:style>
  <w:style w:type="character" w:customStyle="1" w:styleId="161">
    <w:name w:val="z-窗体顶端 Char"/>
    <w:link w:val="162"/>
    <w:autoRedefine/>
    <w:qFormat/>
    <w:uiPriority w:val="0"/>
    <w:rPr>
      <w:rFonts w:ascii="Arial" w:hAnsi="Arial" w:eastAsia="宋体" w:cs="Times New Roman"/>
      <w:vanish/>
      <w:sz w:val="16"/>
      <w:szCs w:val="16"/>
    </w:rPr>
  </w:style>
  <w:style w:type="paragraph" w:customStyle="1" w:styleId="162">
    <w:name w:val="z-Top of Form1"/>
    <w:basedOn w:val="1"/>
    <w:next w:val="1"/>
    <w:link w:val="161"/>
    <w:autoRedefine/>
    <w:qFormat/>
    <w:uiPriority w:val="0"/>
    <w:pPr>
      <w:widowControl/>
      <w:pBdr>
        <w:bottom w:val="single" w:color="auto" w:sz="6" w:space="1"/>
      </w:pBdr>
      <w:jc w:val="center"/>
    </w:pPr>
    <w:rPr>
      <w:rFonts w:ascii="Arial" w:hAnsi="Arial"/>
      <w:vanish/>
      <w:kern w:val="0"/>
      <w:sz w:val="16"/>
      <w:szCs w:val="16"/>
    </w:rPr>
  </w:style>
  <w:style w:type="character" w:customStyle="1" w:styleId="163">
    <w:name w:val="正文文本缩进 3 Char2"/>
    <w:autoRedefine/>
    <w:qFormat/>
    <w:uiPriority w:val="0"/>
    <w:rPr>
      <w:rFonts w:ascii="Calibri" w:hAnsi="Calibri" w:eastAsia="宋体" w:cs="Times New Roman"/>
      <w:kern w:val="2"/>
      <w:sz w:val="16"/>
    </w:rPr>
  </w:style>
  <w:style w:type="character" w:customStyle="1" w:styleId="164">
    <w:name w:val="line1"/>
    <w:autoRedefine/>
    <w:qFormat/>
    <w:uiPriority w:val="0"/>
    <w:rPr>
      <w:rFonts w:ascii="Calibri" w:hAnsi="Calibri" w:eastAsia="宋体" w:cs="Times New Roman"/>
    </w:rPr>
  </w:style>
  <w:style w:type="character" w:customStyle="1" w:styleId="165">
    <w:name w:val="headline-content2"/>
    <w:autoRedefine/>
    <w:qFormat/>
    <w:uiPriority w:val="0"/>
    <w:rPr>
      <w:rFonts w:ascii="Calibri" w:hAnsi="Calibri" w:eastAsia="宋体" w:cs="Times New Roman"/>
    </w:rPr>
  </w:style>
  <w:style w:type="character" w:customStyle="1" w:styleId="166">
    <w:name w:val="style14"/>
    <w:autoRedefine/>
    <w:qFormat/>
    <w:uiPriority w:val="0"/>
    <w:rPr>
      <w:rFonts w:ascii="Calibri" w:hAnsi="Calibri" w:eastAsia="宋体" w:cs="Times New Roman"/>
    </w:rPr>
  </w:style>
  <w:style w:type="character" w:customStyle="1" w:styleId="167">
    <w:name w:val="r13"/>
    <w:autoRedefine/>
    <w:qFormat/>
    <w:uiPriority w:val="0"/>
    <w:rPr>
      <w:rFonts w:ascii="Calibri" w:hAnsi="Calibri" w:eastAsia="宋体" w:cs="Times New Roman"/>
    </w:rPr>
  </w:style>
  <w:style w:type="character" w:customStyle="1" w:styleId="168">
    <w:name w:val="标题 4 Char1"/>
    <w:autoRedefine/>
    <w:qFormat/>
    <w:uiPriority w:val="0"/>
    <w:rPr>
      <w:rFonts w:ascii="Arial" w:hAnsi="Arial" w:eastAsia="黑体" w:cs="Times New Roman"/>
      <w:b/>
      <w:kern w:val="2"/>
      <w:sz w:val="28"/>
    </w:rPr>
  </w:style>
  <w:style w:type="character" w:customStyle="1" w:styleId="169">
    <w:name w:val="DH 正文 Char"/>
    <w:link w:val="170"/>
    <w:autoRedefine/>
    <w:qFormat/>
    <w:uiPriority w:val="0"/>
    <w:rPr>
      <w:rFonts w:ascii="宋体" w:hAnsi="Times New Roman" w:eastAsia="宋体" w:cs="宋体"/>
      <w:kern w:val="2"/>
      <w:sz w:val="24"/>
      <w:szCs w:val="24"/>
    </w:rPr>
  </w:style>
  <w:style w:type="paragraph" w:customStyle="1" w:styleId="170">
    <w:name w:val="DH 正文"/>
    <w:basedOn w:val="1"/>
    <w:link w:val="169"/>
    <w:autoRedefine/>
    <w:qFormat/>
    <w:uiPriority w:val="0"/>
    <w:pPr>
      <w:spacing w:line="360" w:lineRule="auto"/>
      <w:ind w:firstLine="200" w:firstLineChars="200"/>
    </w:pPr>
    <w:rPr>
      <w:rFonts w:ascii="宋体" w:hAnsi="Times New Roman"/>
      <w:sz w:val="24"/>
    </w:rPr>
  </w:style>
  <w:style w:type="character" w:customStyle="1" w:styleId="171">
    <w:name w:val="批注主题 Char2"/>
    <w:autoRedefine/>
    <w:qFormat/>
    <w:uiPriority w:val="0"/>
    <w:rPr>
      <w:rFonts w:ascii="Calibri" w:hAnsi="Calibri" w:eastAsia="宋体" w:cs="Times New Roman"/>
      <w:b/>
      <w:kern w:val="2"/>
      <w:sz w:val="21"/>
    </w:rPr>
  </w:style>
  <w:style w:type="character" w:customStyle="1" w:styleId="172">
    <w:name w:val="15"/>
    <w:autoRedefine/>
    <w:qFormat/>
    <w:uiPriority w:val="0"/>
    <w:rPr>
      <w:rFonts w:hint="default" w:ascii="Calibri" w:hAnsi="Calibri" w:eastAsia="宋体" w:cs="Times New Roman"/>
      <w:sz w:val="18"/>
      <w:szCs w:val="18"/>
    </w:rPr>
  </w:style>
  <w:style w:type="character" w:customStyle="1" w:styleId="173">
    <w:name w:val="font01"/>
    <w:autoRedefine/>
    <w:qFormat/>
    <w:uiPriority w:val="0"/>
    <w:rPr>
      <w:rFonts w:hint="eastAsia" w:ascii="宋体" w:hAnsi="宋体" w:eastAsia="宋体" w:cs="宋体"/>
      <w:color w:val="000000"/>
      <w:sz w:val="24"/>
      <w:szCs w:val="24"/>
      <w:u w:val="none"/>
    </w:rPr>
  </w:style>
  <w:style w:type="character" w:customStyle="1" w:styleId="174">
    <w:name w:val="无 A"/>
    <w:autoRedefine/>
    <w:qFormat/>
    <w:uiPriority w:val="0"/>
    <w:rPr>
      <w:rFonts w:ascii="Calibri" w:hAnsi="Calibri" w:eastAsia="宋体" w:cs="Times New Roman"/>
      <w:lang w:val="en-US"/>
    </w:rPr>
  </w:style>
  <w:style w:type="character" w:customStyle="1" w:styleId="175">
    <w:name w:val="aa1"/>
    <w:autoRedefine/>
    <w:qFormat/>
    <w:uiPriority w:val="0"/>
    <w:rPr>
      <w:rFonts w:ascii="Calibri" w:hAnsi="Calibri" w:eastAsia="宋体" w:cs="Times New Roman"/>
      <w:sz w:val="20"/>
      <w:u w:val="none"/>
    </w:rPr>
  </w:style>
  <w:style w:type="character" w:customStyle="1" w:styleId="176">
    <w:name w:val="普通文字 Char2"/>
    <w:autoRedefine/>
    <w:qFormat/>
    <w:uiPriority w:val="0"/>
    <w:rPr>
      <w:rFonts w:ascii="宋体" w:hAnsi="Courier New" w:eastAsia="宋体" w:cs="Times New Roman"/>
      <w:kern w:val="2"/>
      <w:sz w:val="21"/>
      <w:lang w:val="en-US" w:eastAsia="zh-CN"/>
    </w:rPr>
  </w:style>
  <w:style w:type="character" w:customStyle="1" w:styleId="177">
    <w:name w:val="列出段落 Char"/>
    <w:link w:val="178"/>
    <w:autoRedefine/>
    <w:qFormat/>
    <w:uiPriority w:val="34"/>
    <w:rPr>
      <w:rFonts w:ascii="Times New Roman" w:hAnsi="Times New Roman" w:eastAsia="宋体" w:cs="Times New Roman"/>
      <w:kern w:val="2"/>
      <w:sz w:val="21"/>
    </w:rPr>
  </w:style>
  <w:style w:type="paragraph" w:customStyle="1" w:styleId="178">
    <w:name w:val="列出段落111"/>
    <w:basedOn w:val="1"/>
    <w:link w:val="177"/>
    <w:autoRedefine/>
    <w:qFormat/>
    <w:uiPriority w:val="34"/>
    <w:pPr>
      <w:ind w:firstLine="420" w:firstLineChars="200"/>
    </w:pPr>
    <w:rPr>
      <w:rFonts w:ascii="Times New Roman" w:hAnsi="Times New Roman"/>
      <w:szCs w:val="20"/>
    </w:rPr>
  </w:style>
  <w:style w:type="character" w:customStyle="1" w:styleId="179">
    <w:name w:val="Table Text Char Char"/>
    <w:link w:val="180"/>
    <w:autoRedefine/>
    <w:qFormat/>
    <w:uiPriority w:val="0"/>
    <w:rPr>
      <w:rFonts w:ascii="Arial" w:hAnsi="Arial"/>
      <w:sz w:val="18"/>
      <w:lang w:val="en-US" w:eastAsia="zh-CN" w:bidi="ar-SA"/>
    </w:rPr>
  </w:style>
  <w:style w:type="paragraph" w:customStyle="1" w:styleId="180">
    <w:name w:val="Table Text"/>
    <w:link w:val="179"/>
    <w:autoRedefine/>
    <w:qFormat/>
    <w:uiPriority w:val="0"/>
    <w:pPr>
      <w:snapToGrid w:val="0"/>
      <w:spacing w:before="80" w:after="80"/>
    </w:pPr>
    <w:rPr>
      <w:rFonts w:ascii="Arial" w:hAnsi="Arial" w:eastAsia="宋体" w:cs="Times New Roman"/>
      <w:sz w:val="18"/>
      <w:lang w:val="en-US" w:eastAsia="zh-CN" w:bidi="ar-SA"/>
    </w:rPr>
  </w:style>
  <w:style w:type="character" w:customStyle="1" w:styleId="181">
    <w:name w:val="Char Char6"/>
    <w:autoRedefine/>
    <w:qFormat/>
    <w:uiPriority w:val="0"/>
    <w:rPr>
      <w:rFonts w:ascii="Calibri" w:hAnsi="Calibri" w:eastAsia="宋体" w:cs="Times New Roman"/>
      <w:sz w:val="24"/>
    </w:rPr>
  </w:style>
  <w:style w:type="character" w:customStyle="1" w:styleId="182">
    <w:name w:val="正文文本 Char2"/>
    <w:autoRedefine/>
    <w:qFormat/>
    <w:uiPriority w:val="0"/>
    <w:rPr>
      <w:rFonts w:ascii="Calibri" w:hAnsi="Calibri" w:eastAsia="宋体" w:cs="Times New Roman"/>
      <w:kern w:val="2"/>
      <w:sz w:val="21"/>
    </w:rPr>
  </w:style>
  <w:style w:type="character" w:customStyle="1" w:styleId="183">
    <w:name w:val="批注引用5"/>
    <w:autoRedefine/>
    <w:qFormat/>
    <w:uiPriority w:val="0"/>
    <w:rPr>
      <w:rFonts w:ascii="Calibri" w:hAnsi="Calibri" w:eastAsia="宋体" w:cs="Times New Roman"/>
      <w:sz w:val="21"/>
    </w:rPr>
  </w:style>
  <w:style w:type="character" w:customStyle="1" w:styleId="184">
    <w:name w:val="正文文本 Char1"/>
    <w:autoRedefine/>
    <w:qFormat/>
    <w:uiPriority w:val="0"/>
    <w:rPr>
      <w:rFonts w:ascii="Calibri" w:hAnsi="Calibri" w:eastAsia="宋体" w:cs="Times New Roman"/>
      <w:kern w:val="2"/>
      <w:sz w:val="24"/>
    </w:rPr>
  </w:style>
  <w:style w:type="character" w:customStyle="1" w:styleId="185">
    <w:name w:val="页脚 Char2"/>
    <w:autoRedefine/>
    <w:qFormat/>
    <w:uiPriority w:val="0"/>
    <w:rPr>
      <w:rFonts w:ascii="Calibri" w:hAnsi="Calibri" w:eastAsia="宋体" w:cs="Times New Roman"/>
      <w:kern w:val="2"/>
      <w:sz w:val="18"/>
    </w:rPr>
  </w:style>
  <w:style w:type="character" w:customStyle="1" w:styleId="186">
    <w:name w:val="标题 5 Char1"/>
    <w:autoRedefine/>
    <w:qFormat/>
    <w:uiPriority w:val="0"/>
    <w:rPr>
      <w:rFonts w:ascii="Calibri" w:hAnsi="Calibri" w:eastAsia="宋体" w:cs="Times New Roman"/>
      <w:b/>
      <w:kern w:val="2"/>
      <w:sz w:val="28"/>
    </w:rPr>
  </w:style>
  <w:style w:type="character" w:customStyle="1" w:styleId="187">
    <w:name w:val="标题 9 字符"/>
    <w:link w:val="12"/>
    <w:autoRedefine/>
    <w:qFormat/>
    <w:uiPriority w:val="0"/>
    <w:rPr>
      <w:rFonts w:ascii="Arial" w:hAnsi="Arial" w:eastAsia="宋体" w:cs="Arial"/>
      <w:b/>
      <w:bCs/>
      <w:color w:val="000000"/>
      <w:kern w:val="2"/>
      <w:sz w:val="15"/>
      <w:szCs w:val="26"/>
    </w:rPr>
  </w:style>
  <w:style w:type="character" w:customStyle="1" w:styleId="188">
    <w:name w:val="正文文本缩进 Char1"/>
    <w:autoRedefine/>
    <w:qFormat/>
    <w:uiPriority w:val="0"/>
    <w:rPr>
      <w:rFonts w:ascii="Calibri" w:hAnsi="Calibri" w:eastAsia="宋体" w:cs="Times New Roman"/>
      <w:kern w:val="2"/>
      <w:sz w:val="24"/>
    </w:rPr>
  </w:style>
  <w:style w:type="character" w:customStyle="1" w:styleId="189">
    <w:name w:val="Char Char Char Char Char"/>
    <w:link w:val="190"/>
    <w:autoRedefine/>
    <w:qFormat/>
    <w:uiPriority w:val="0"/>
    <w:rPr>
      <w:rFonts w:ascii="宋体" w:hAnsi="Courier New" w:eastAsia="宋体" w:cs="Times New Roman"/>
    </w:rPr>
  </w:style>
  <w:style w:type="paragraph" w:customStyle="1" w:styleId="190">
    <w:name w:val="Char"/>
    <w:basedOn w:val="1"/>
    <w:link w:val="189"/>
    <w:autoRedefine/>
    <w:qFormat/>
    <w:uiPriority w:val="0"/>
    <w:pPr>
      <w:widowControl/>
      <w:jc w:val="left"/>
    </w:pPr>
    <w:rPr>
      <w:rFonts w:ascii="宋体" w:hAnsi="Courier New"/>
      <w:kern w:val="0"/>
      <w:sz w:val="20"/>
      <w:szCs w:val="20"/>
    </w:rPr>
  </w:style>
  <w:style w:type="character" w:customStyle="1" w:styleId="191">
    <w:name w:val="标题 7 Char1"/>
    <w:autoRedefine/>
    <w:qFormat/>
    <w:uiPriority w:val="0"/>
    <w:rPr>
      <w:rFonts w:ascii="Calibri" w:hAnsi="Calibri" w:eastAsia="宋体" w:cs="Times New Roman"/>
      <w:b/>
      <w:kern w:val="2"/>
      <w:sz w:val="24"/>
    </w:rPr>
  </w:style>
  <w:style w:type="character" w:customStyle="1" w:styleId="192">
    <w:name w:val="fontblank12"/>
    <w:autoRedefine/>
    <w:qFormat/>
    <w:uiPriority w:val="0"/>
    <w:rPr>
      <w:rFonts w:ascii="Calibri" w:hAnsi="Calibri" w:eastAsia="宋体" w:cs="Times New Roman"/>
    </w:rPr>
  </w:style>
  <w:style w:type="character" w:customStyle="1" w:styleId="193">
    <w:name w:val="批注主题 Char1"/>
    <w:autoRedefine/>
    <w:qFormat/>
    <w:uiPriority w:val="0"/>
    <w:rPr>
      <w:rFonts w:ascii="Calibri" w:hAnsi="Calibri" w:eastAsia="宋体" w:cs="Times New Roman"/>
      <w:b/>
      <w:kern w:val="2"/>
      <w:sz w:val="21"/>
    </w:rPr>
  </w:style>
  <w:style w:type="character" w:customStyle="1" w:styleId="194">
    <w:name w:val="样式1 Char Char"/>
    <w:link w:val="195"/>
    <w:autoRedefine/>
    <w:qFormat/>
    <w:uiPriority w:val="0"/>
    <w:rPr>
      <w:rFonts w:ascii="Arial" w:hAnsi="Arial" w:eastAsia="宋体" w:cs="Times New Roman"/>
      <w:kern w:val="2"/>
      <w:sz w:val="21"/>
      <w:szCs w:val="24"/>
    </w:rPr>
  </w:style>
  <w:style w:type="paragraph" w:customStyle="1" w:styleId="195">
    <w:name w:val="样式1"/>
    <w:basedOn w:val="1"/>
    <w:link w:val="194"/>
    <w:autoRedefine/>
    <w:qFormat/>
    <w:uiPriority w:val="0"/>
    <w:pPr>
      <w:spacing w:line="360" w:lineRule="exact"/>
      <w:ind w:firstLine="200" w:firstLineChars="200"/>
    </w:pPr>
    <w:rPr>
      <w:rFonts w:ascii="Arial" w:hAnsi="Arial"/>
    </w:rPr>
  </w:style>
  <w:style w:type="character" w:customStyle="1" w:styleId="196">
    <w:name w:val="正文缩进 字符"/>
    <w:link w:val="4"/>
    <w:autoRedefine/>
    <w:qFormat/>
    <w:uiPriority w:val="0"/>
    <w:rPr>
      <w:rFonts w:ascii="Times New Roman" w:hAnsi="Times New Roman" w:eastAsia="宋体" w:cs="Times New Roman"/>
      <w:kern w:val="2"/>
      <w:sz w:val="21"/>
    </w:rPr>
  </w:style>
  <w:style w:type="character" w:customStyle="1" w:styleId="197">
    <w:name w:val="Char Char7"/>
    <w:autoRedefine/>
    <w:qFormat/>
    <w:uiPriority w:val="0"/>
    <w:rPr>
      <w:rFonts w:ascii="Cambria" w:hAnsi="Cambria" w:eastAsia="仿宋_GB2312" w:cs="Times New Roman"/>
      <w:b/>
      <w:kern w:val="2"/>
      <w:sz w:val="28"/>
    </w:rPr>
  </w:style>
  <w:style w:type="character" w:customStyle="1" w:styleId="198">
    <w:name w:val="批注文字 Char2"/>
    <w:autoRedefine/>
    <w:qFormat/>
    <w:uiPriority w:val="0"/>
    <w:rPr>
      <w:rFonts w:ascii="Calibri" w:hAnsi="Calibri" w:eastAsia="宋体" w:cs="Times New Roman"/>
      <w:kern w:val="2"/>
      <w:sz w:val="21"/>
    </w:rPr>
  </w:style>
  <w:style w:type="character" w:customStyle="1" w:styleId="199">
    <w:name w:val="unnamed21"/>
    <w:autoRedefine/>
    <w:qFormat/>
    <w:uiPriority w:val="0"/>
    <w:rPr>
      <w:rFonts w:ascii="Calibri" w:hAnsi="Calibri" w:eastAsia="宋体" w:cs="Times New Roman"/>
      <w:color w:val="000000"/>
      <w:sz w:val="20"/>
    </w:rPr>
  </w:style>
  <w:style w:type="character" w:customStyle="1" w:styleId="200">
    <w:name w:val="正文文本 3 Char"/>
    <w:autoRedefine/>
    <w:qFormat/>
    <w:uiPriority w:val="0"/>
    <w:rPr>
      <w:rFonts w:ascii="Times New Roman" w:hAnsi="Times New Roman" w:eastAsia="宋体" w:cs="Times New Roman"/>
      <w:kern w:val="2"/>
      <w:sz w:val="16"/>
      <w:szCs w:val="16"/>
    </w:rPr>
  </w:style>
  <w:style w:type="character" w:customStyle="1" w:styleId="201">
    <w:name w:val="正文文本缩进 3 字符"/>
    <w:link w:val="47"/>
    <w:autoRedefine/>
    <w:qFormat/>
    <w:uiPriority w:val="0"/>
    <w:rPr>
      <w:rFonts w:ascii="方正细圆简体" w:hAnsi="Times New Roman" w:eastAsia="方正细圆简体" w:cs="Times New Roman"/>
      <w:kern w:val="2"/>
      <w:sz w:val="24"/>
      <w:szCs w:val="24"/>
    </w:rPr>
  </w:style>
  <w:style w:type="character" w:customStyle="1" w:styleId="202">
    <w:name w:val="标题 Char2"/>
    <w:autoRedefine/>
    <w:qFormat/>
    <w:uiPriority w:val="0"/>
    <w:rPr>
      <w:rFonts w:ascii="Cambria" w:hAnsi="Cambria" w:eastAsia="宋体" w:cs="Times New Roman"/>
      <w:b/>
      <w:kern w:val="2"/>
      <w:sz w:val="32"/>
    </w:rPr>
  </w:style>
  <w:style w:type="character" w:customStyle="1" w:styleId="203">
    <w:name w:val="正文文本首行缩进 字符"/>
    <w:link w:val="56"/>
    <w:autoRedefine/>
    <w:qFormat/>
    <w:uiPriority w:val="0"/>
    <w:rPr>
      <w:rFonts w:ascii="Times New Roman" w:hAnsi="Times New Roman" w:eastAsia="宋体" w:cs="Times New Roman"/>
      <w:sz w:val="24"/>
      <w:szCs w:val="20"/>
    </w:rPr>
  </w:style>
  <w:style w:type="character" w:customStyle="1" w:styleId="204">
    <w:name w:val="textfont"/>
    <w:autoRedefine/>
    <w:qFormat/>
    <w:uiPriority w:val="0"/>
    <w:rPr>
      <w:rFonts w:ascii="Calibri" w:hAnsi="Calibri" w:eastAsia="宋体" w:cs="Times New Roman"/>
    </w:rPr>
  </w:style>
  <w:style w:type="character" w:customStyle="1" w:styleId="205">
    <w:name w:val="标题 9 Char1"/>
    <w:autoRedefine/>
    <w:qFormat/>
    <w:uiPriority w:val="0"/>
    <w:rPr>
      <w:rFonts w:ascii="Arial" w:hAnsi="Arial" w:eastAsia="黑体" w:cs="Times New Roman"/>
      <w:kern w:val="2"/>
      <w:sz w:val="21"/>
    </w:rPr>
  </w:style>
  <w:style w:type="character" w:customStyle="1" w:styleId="206">
    <w:name w:val="正文文本 字符"/>
    <w:link w:val="24"/>
    <w:autoRedefine/>
    <w:qFormat/>
    <w:uiPriority w:val="0"/>
    <w:rPr>
      <w:rFonts w:ascii="仿宋_GB2312" w:hAnsi="Times New Roman" w:eastAsia="仿宋_GB2312" w:cs="Times New Roman"/>
      <w:kern w:val="0"/>
      <w:sz w:val="28"/>
      <w:szCs w:val="20"/>
    </w:rPr>
  </w:style>
  <w:style w:type="character" w:customStyle="1" w:styleId="207">
    <w:name w:val="wz1"/>
    <w:autoRedefine/>
    <w:qFormat/>
    <w:uiPriority w:val="0"/>
    <w:rPr>
      <w:rFonts w:ascii="Calibri" w:hAnsi="Calibri" w:eastAsia="宋体" w:cs="Times New Roman"/>
      <w:color w:val="5A5A5A"/>
      <w:sz w:val="18"/>
      <w:u w:val="none"/>
    </w:rPr>
  </w:style>
  <w:style w:type="character" w:customStyle="1" w:styleId="208">
    <w:name w:val="批注框文本 字符"/>
    <w:autoRedefine/>
    <w:qFormat/>
    <w:uiPriority w:val="0"/>
    <w:rPr>
      <w:rFonts w:ascii="Calibri" w:hAnsi="Calibri" w:eastAsia="宋体" w:cs="Times New Roman"/>
      <w:color w:val="000000"/>
      <w:kern w:val="2"/>
      <w:sz w:val="18"/>
      <w:szCs w:val="18"/>
    </w:rPr>
  </w:style>
  <w:style w:type="character" w:customStyle="1" w:styleId="209">
    <w:name w:val="Char Char8"/>
    <w:autoRedefine/>
    <w:qFormat/>
    <w:uiPriority w:val="0"/>
    <w:rPr>
      <w:rFonts w:ascii="Calibri" w:hAnsi="Calibri" w:eastAsia="仿宋_GB2312" w:cs="Times New Roman"/>
      <w:b/>
      <w:kern w:val="2"/>
      <w:sz w:val="32"/>
    </w:rPr>
  </w:style>
  <w:style w:type="character" w:customStyle="1" w:styleId="210">
    <w:name w:val="标题3 Char"/>
    <w:link w:val="211"/>
    <w:autoRedefine/>
    <w:qFormat/>
    <w:uiPriority w:val="0"/>
    <w:rPr>
      <w:rFonts w:ascii="宋体" w:hAnsi="宋体" w:eastAsia="华文中宋" w:cs="Arial"/>
      <w:b/>
      <w:sz w:val="24"/>
      <w:szCs w:val="24"/>
    </w:rPr>
  </w:style>
  <w:style w:type="paragraph" w:customStyle="1" w:styleId="211">
    <w:name w:val="标题3"/>
    <w:basedOn w:val="1"/>
    <w:next w:val="1"/>
    <w:link w:val="210"/>
    <w:autoRedefine/>
    <w:qFormat/>
    <w:uiPriority w:val="0"/>
    <w:pPr>
      <w:widowControl/>
      <w:jc w:val="left"/>
    </w:pPr>
    <w:rPr>
      <w:rFonts w:ascii="宋体" w:hAnsi="宋体" w:eastAsia="华文中宋"/>
      <w:b/>
      <w:kern w:val="0"/>
      <w:sz w:val="24"/>
    </w:rPr>
  </w:style>
  <w:style w:type="character" w:customStyle="1" w:styleId="212">
    <w:name w:val="正文文本缩进 2 字符"/>
    <w:link w:val="36"/>
    <w:autoRedefine/>
    <w:qFormat/>
    <w:uiPriority w:val="0"/>
    <w:rPr>
      <w:rFonts w:ascii="Times New Roman" w:hAnsi="Times New Roman" w:eastAsia="宋体" w:cs="Times New Roman"/>
      <w:kern w:val="2"/>
      <w:sz w:val="21"/>
      <w:szCs w:val="24"/>
    </w:rPr>
  </w:style>
  <w:style w:type="character" w:customStyle="1" w:styleId="213">
    <w:name w:val="正文缩进 Char1"/>
    <w:autoRedefine/>
    <w:qFormat/>
    <w:uiPriority w:val="0"/>
    <w:rPr>
      <w:rFonts w:ascii="Calibri" w:hAnsi="Calibri" w:eastAsia="宋体" w:cs="Times New Roman"/>
      <w:kern w:val="2"/>
      <w:sz w:val="21"/>
    </w:rPr>
  </w:style>
  <w:style w:type="character" w:customStyle="1" w:styleId="214">
    <w:name w:val="正文文本 3 Char1"/>
    <w:autoRedefine/>
    <w:qFormat/>
    <w:uiPriority w:val="0"/>
    <w:rPr>
      <w:rFonts w:ascii="Calibri" w:hAnsi="Calibri" w:eastAsia="宋体" w:cs="Times New Roman"/>
    </w:rPr>
  </w:style>
  <w:style w:type="character" w:customStyle="1" w:styleId="215">
    <w:name w:val="批注框文本 Char1"/>
    <w:autoRedefine/>
    <w:qFormat/>
    <w:uiPriority w:val="0"/>
    <w:rPr>
      <w:rFonts w:ascii="Calibri" w:hAnsi="Calibri" w:eastAsia="宋体" w:cs="Times New Roman"/>
      <w:kern w:val="2"/>
      <w:sz w:val="18"/>
    </w:rPr>
  </w:style>
  <w:style w:type="character" w:customStyle="1" w:styleId="216">
    <w:name w:val="正文文本 2 Char2"/>
    <w:autoRedefine/>
    <w:qFormat/>
    <w:uiPriority w:val="0"/>
    <w:rPr>
      <w:rFonts w:ascii="Calibri" w:hAnsi="Calibri" w:eastAsia="宋体" w:cs="Times New Roman"/>
      <w:kern w:val="2"/>
      <w:sz w:val="21"/>
    </w:rPr>
  </w:style>
  <w:style w:type="character" w:customStyle="1" w:styleId="217">
    <w:name w:val="批注引用7"/>
    <w:autoRedefine/>
    <w:qFormat/>
    <w:uiPriority w:val="0"/>
    <w:rPr>
      <w:rFonts w:ascii="Calibri" w:hAnsi="Calibri" w:eastAsia="宋体" w:cs="Times New Roman"/>
      <w:sz w:val="21"/>
    </w:rPr>
  </w:style>
  <w:style w:type="character" w:customStyle="1" w:styleId="218">
    <w:name w:val="正文文本 3 Char2"/>
    <w:autoRedefine/>
    <w:qFormat/>
    <w:uiPriority w:val="0"/>
    <w:rPr>
      <w:rFonts w:ascii="Calibri" w:hAnsi="Calibri" w:eastAsia="宋体" w:cs="Times New Roman"/>
      <w:kern w:val="2"/>
      <w:sz w:val="16"/>
    </w:rPr>
  </w:style>
  <w:style w:type="character" w:customStyle="1" w:styleId="219">
    <w:name w:val="Char Char9"/>
    <w:autoRedefine/>
    <w:qFormat/>
    <w:uiPriority w:val="0"/>
    <w:rPr>
      <w:rFonts w:ascii="Calibri" w:hAnsi="Calibri" w:eastAsia="宋体" w:cs="Times New Roman"/>
      <w:b/>
      <w:kern w:val="44"/>
      <w:sz w:val="44"/>
    </w:rPr>
  </w:style>
  <w:style w:type="character" w:customStyle="1" w:styleId="220">
    <w:name w:val="标题 8 字符"/>
    <w:link w:val="11"/>
    <w:autoRedefine/>
    <w:qFormat/>
    <w:uiPriority w:val="0"/>
    <w:rPr>
      <w:rFonts w:ascii="Times New Roman" w:hAnsi="Times New Roman" w:eastAsia="宋体" w:cs="Times New Roman"/>
      <w:b/>
      <w:bCs/>
      <w:color w:val="FFFFFF"/>
      <w:kern w:val="2"/>
      <w:sz w:val="21"/>
      <w:szCs w:val="18"/>
    </w:rPr>
  </w:style>
  <w:style w:type="character" w:customStyle="1" w:styleId="221">
    <w:name w:val="无间隔 Char"/>
    <w:link w:val="222"/>
    <w:autoRedefine/>
    <w:qFormat/>
    <w:uiPriority w:val="0"/>
    <w:rPr>
      <w:kern w:val="2"/>
      <w:sz w:val="22"/>
      <w:lang w:val="en-US" w:eastAsia="zh-CN" w:bidi="ar-SA"/>
    </w:rPr>
  </w:style>
  <w:style w:type="paragraph" w:customStyle="1" w:styleId="222">
    <w:name w:val="无间隔1"/>
    <w:link w:val="221"/>
    <w:autoRedefine/>
    <w:qFormat/>
    <w:uiPriority w:val="0"/>
    <w:pPr>
      <w:widowControl w:val="0"/>
      <w:jc w:val="both"/>
    </w:pPr>
    <w:rPr>
      <w:rFonts w:ascii="Calibri" w:hAnsi="Calibri" w:eastAsia="宋体" w:cs="Times New Roman"/>
      <w:kern w:val="2"/>
      <w:sz w:val="22"/>
      <w:lang w:val="en-US" w:eastAsia="zh-CN" w:bidi="ar-SA"/>
    </w:rPr>
  </w:style>
  <w:style w:type="character" w:customStyle="1" w:styleId="223">
    <w:name w:val="样式 8 磅"/>
    <w:autoRedefine/>
    <w:qFormat/>
    <w:uiPriority w:val="0"/>
    <w:rPr>
      <w:rFonts w:ascii="Calibri" w:hAnsi="Calibri" w:eastAsia="宋体" w:cs="Times New Roman"/>
      <w:sz w:val="18"/>
    </w:rPr>
  </w:style>
  <w:style w:type="character" w:customStyle="1" w:styleId="224">
    <w:name w:val="标题 6 字符"/>
    <w:link w:val="9"/>
    <w:autoRedefine/>
    <w:qFormat/>
    <w:uiPriority w:val="0"/>
    <w:rPr>
      <w:rFonts w:ascii="仿宋" w:hAnsi="仿宋" w:eastAsia="仿宋"/>
      <w:b/>
      <w:bCs/>
      <w:kern w:val="2"/>
      <w:sz w:val="24"/>
      <w:szCs w:val="24"/>
    </w:rPr>
  </w:style>
  <w:style w:type="character" w:customStyle="1" w:styleId="225">
    <w:name w:val="标题 7 字符"/>
    <w:link w:val="10"/>
    <w:autoRedefine/>
    <w:qFormat/>
    <w:uiPriority w:val="0"/>
    <w:rPr>
      <w:rFonts w:ascii="Times New Roman" w:hAnsi="Times New Roman" w:eastAsia="宋体" w:cs="Times New Roman"/>
      <w:b/>
      <w:bCs/>
      <w:kern w:val="2"/>
      <w:sz w:val="24"/>
      <w:szCs w:val="24"/>
    </w:rPr>
  </w:style>
  <w:style w:type="character" w:customStyle="1" w:styleId="226">
    <w:name w:val="List Paragraph Char Char"/>
    <w:autoRedefine/>
    <w:qFormat/>
    <w:locked/>
    <w:uiPriority w:val="0"/>
    <w:rPr>
      <w:rFonts w:ascii="宋体" w:hAnsi="宋体" w:cs="Times New Roman"/>
      <w:kern w:val="2"/>
      <w:sz w:val="21"/>
      <w:szCs w:val="24"/>
    </w:rPr>
  </w:style>
  <w:style w:type="character" w:customStyle="1" w:styleId="227">
    <w:name w:val="Char Char1"/>
    <w:autoRedefine/>
    <w:qFormat/>
    <w:uiPriority w:val="0"/>
    <w:rPr>
      <w:rFonts w:ascii="Cambria" w:hAnsi="Cambria" w:eastAsia="宋体" w:cs="Times New Roman"/>
      <w:b/>
      <w:kern w:val="2"/>
      <w:sz w:val="32"/>
    </w:rPr>
  </w:style>
  <w:style w:type="character" w:customStyle="1" w:styleId="228">
    <w:name w:val="批注框文本 字符1"/>
    <w:link w:val="38"/>
    <w:autoRedefine/>
    <w:qFormat/>
    <w:uiPriority w:val="0"/>
    <w:rPr>
      <w:rFonts w:ascii="Times New Roman" w:hAnsi="Times New Roman" w:eastAsia="宋体" w:cs="Times New Roman"/>
      <w:sz w:val="18"/>
      <w:szCs w:val="18"/>
    </w:rPr>
  </w:style>
  <w:style w:type="character" w:customStyle="1" w:styleId="229">
    <w:name w:val="批注引用10"/>
    <w:autoRedefine/>
    <w:qFormat/>
    <w:uiPriority w:val="0"/>
    <w:rPr>
      <w:rFonts w:ascii="Calibri" w:hAnsi="Calibri" w:eastAsia="宋体" w:cs="Times New Roman"/>
      <w:sz w:val="21"/>
    </w:rPr>
  </w:style>
  <w:style w:type="character" w:customStyle="1" w:styleId="230">
    <w:name w:val="正文文本缩进 字符"/>
    <w:link w:val="25"/>
    <w:autoRedefine/>
    <w:qFormat/>
    <w:uiPriority w:val="0"/>
    <w:rPr>
      <w:rFonts w:ascii="Times New Roman" w:hAnsi="Times New Roman" w:eastAsia="宋体" w:cs="Times New Roman"/>
      <w:kern w:val="2"/>
      <w:sz w:val="24"/>
    </w:rPr>
  </w:style>
  <w:style w:type="character" w:customStyle="1" w:styleId="231">
    <w:name w:val="font41"/>
    <w:autoRedefine/>
    <w:qFormat/>
    <w:uiPriority w:val="0"/>
    <w:rPr>
      <w:rFonts w:hint="eastAsia" w:ascii="宋体" w:hAnsi="宋体" w:eastAsia="宋体" w:cs="宋体"/>
      <w:b/>
      <w:color w:val="000000"/>
      <w:sz w:val="21"/>
      <w:szCs w:val="21"/>
      <w:u w:val="none"/>
    </w:rPr>
  </w:style>
  <w:style w:type="character" w:customStyle="1" w:styleId="232">
    <w:name w:val="批注文字 字符"/>
    <w:link w:val="20"/>
    <w:autoRedefine/>
    <w:qFormat/>
    <w:uiPriority w:val="0"/>
    <w:rPr>
      <w:rFonts w:ascii="Times New Roman" w:hAnsi="Times New Roman" w:eastAsia="宋体" w:cs="Times New Roman"/>
      <w:kern w:val="2"/>
      <w:sz w:val="21"/>
      <w:szCs w:val="24"/>
    </w:rPr>
  </w:style>
  <w:style w:type="character" w:customStyle="1" w:styleId="233">
    <w:name w:val="Subtle Reference1"/>
    <w:autoRedefine/>
    <w:qFormat/>
    <w:uiPriority w:val="0"/>
    <w:rPr>
      <w:rFonts w:ascii="Calibri" w:hAnsi="Calibri" w:eastAsia="宋体" w:cs="Times New Roman"/>
      <w:smallCaps/>
      <w:color w:val="C0504D"/>
      <w:u w:val="single"/>
    </w:rPr>
  </w:style>
  <w:style w:type="character" w:customStyle="1" w:styleId="234">
    <w:name w:val="正文文本首行缩进 2 字符"/>
    <w:link w:val="57"/>
    <w:autoRedefine/>
    <w:qFormat/>
    <w:uiPriority w:val="0"/>
    <w:rPr>
      <w:rFonts w:ascii="Calibri" w:hAnsi="Calibri" w:eastAsia="宋体" w:cs="Times New Roman"/>
      <w:kern w:val="2"/>
      <w:sz w:val="21"/>
    </w:rPr>
  </w:style>
  <w:style w:type="character" w:customStyle="1" w:styleId="235">
    <w:name w:val="称呼 Char"/>
    <w:autoRedefine/>
    <w:qFormat/>
    <w:uiPriority w:val="0"/>
    <w:rPr>
      <w:rFonts w:ascii="Times New Roman" w:hAnsi="Times New Roman" w:eastAsia="宋体" w:cs="Times New Roman"/>
      <w:kern w:val="2"/>
      <w:sz w:val="21"/>
      <w:szCs w:val="24"/>
    </w:rPr>
  </w:style>
  <w:style w:type="character" w:customStyle="1" w:styleId="236">
    <w:name w:val="批注引用6"/>
    <w:autoRedefine/>
    <w:qFormat/>
    <w:uiPriority w:val="0"/>
    <w:rPr>
      <w:rFonts w:ascii="Calibri" w:hAnsi="Calibri" w:eastAsia="宋体" w:cs="Times New Roman"/>
      <w:sz w:val="21"/>
    </w:rPr>
  </w:style>
  <w:style w:type="character" w:customStyle="1" w:styleId="237">
    <w:name w:val="正文文本 2 Char"/>
    <w:autoRedefine/>
    <w:qFormat/>
    <w:uiPriority w:val="0"/>
    <w:rPr>
      <w:rFonts w:ascii="Times New Roman" w:hAnsi="Times New Roman" w:eastAsia="宋体" w:cs="Times New Roman"/>
      <w:kern w:val="2"/>
      <w:sz w:val="21"/>
      <w:szCs w:val="24"/>
    </w:rPr>
  </w:style>
  <w:style w:type="character" w:customStyle="1" w:styleId="238">
    <w:name w:val="批注引用4"/>
    <w:autoRedefine/>
    <w:qFormat/>
    <w:uiPriority w:val="0"/>
    <w:rPr>
      <w:rFonts w:ascii="Calibri" w:hAnsi="Calibri" w:eastAsia="宋体" w:cs="Times New Roman"/>
      <w:sz w:val="21"/>
    </w:rPr>
  </w:style>
  <w:style w:type="character" w:customStyle="1" w:styleId="239">
    <w:name w:val="font81"/>
    <w:autoRedefine/>
    <w:qFormat/>
    <w:uiPriority w:val="0"/>
    <w:rPr>
      <w:rFonts w:hint="default" w:ascii="Times New Roman" w:hAnsi="Times New Roman" w:eastAsia="宋体" w:cs="Times New Roman"/>
      <w:color w:val="000000"/>
      <w:sz w:val="18"/>
      <w:szCs w:val="18"/>
      <w:u w:val="none"/>
    </w:rPr>
  </w:style>
  <w:style w:type="character" w:customStyle="1" w:styleId="240">
    <w:name w:val="段 Char"/>
    <w:link w:val="158"/>
    <w:autoRedefine/>
    <w:qFormat/>
    <w:uiPriority w:val="0"/>
    <w:rPr>
      <w:rFonts w:ascii="宋体"/>
      <w:sz w:val="21"/>
      <w:lang w:val="en-US" w:eastAsia="zh-CN" w:bidi="ar-SA"/>
    </w:rPr>
  </w:style>
  <w:style w:type="character" w:customStyle="1" w:styleId="241">
    <w:name w:val="c1"/>
    <w:autoRedefine/>
    <w:qFormat/>
    <w:uiPriority w:val="0"/>
    <w:rPr>
      <w:rFonts w:ascii="Calibri" w:hAnsi="Calibri" w:eastAsia="宋体" w:cs="Times New Roman"/>
      <w:sz w:val="24"/>
    </w:rPr>
  </w:style>
  <w:style w:type="character" w:customStyle="1" w:styleId="242">
    <w:name w:val="文档结构图 字符"/>
    <w:link w:val="19"/>
    <w:autoRedefine/>
    <w:qFormat/>
    <w:uiPriority w:val="0"/>
    <w:rPr>
      <w:rFonts w:ascii="宋体" w:hAnsi="Times New Roman" w:eastAsia="宋体" w:cs="Times New Roman"/>
      <w:kern w:val="2"/>
      <w:sz w:val="18"/>
      <w:szCs w:val="18"/>
    </w:rPr>
  </w:style>
  <w:style w:type="character" w:customStyle="1" w:styleId="243">
    <w:name w:val="正文2 Char Char"/>
    <w:autoRedefine/>
    <w:qFormat/>
    <w:uiPriority w:val="0"/>
    <w:rPr>
      <w:rFonts w:ascii="Calibri" w:hAnsi="Calibri" w:eastAsia="宋体" w:cs="Times New Roman"/>
      <w:sz w:val="24"/>
    </w:rPr>
  </w:style>
  <w:style w:type="character" w:customStyle="1" w:styleId="244">
    <w:name w:val="标题 3 Char1"/>
    <w:autoRedefine/>
    <w:qFormat/>
    <w:uiPriority w:val="0"/>
    <w:rPr>
      <w:rFonts w:ascii="Calibri" w:hAnsi="Calibri" w:eastAsia="宋体" w:cs="Times New Roman"/>
      <w:b/>
      <w:kern w:val="2"/>
      <w:sz w:val="32"/>
    </w:rPr>
  </w:style>
  <w:style w:type="character" w:customStyle="1" w:styleId="245">
    <w:name w:val="文档结构图 Char1"/>
    <w:autoRedefine/>
    <w:qFormat/>
    <w:uiPriority w:val="0"/>
    <w:rPr>
      <w:rFonts w:ascii="Calibri" w:hAnsi="Calibri" w:eastAsia="宋体" w:cs="Times New Roman"/>
      <w:kern w:val="2"/>
      <w:sz w:val="21"/>
      <w:shd w:val="clear" w:color="auto" w:fill="000080"/>
    </w:rPr>
  </w:style>
  <w:style w:type="character" w:customStyle="1" w:styleId="246">
    <w:name w:val="正文2 Char"/>
    <w:link w:val="247"/>
    <w:autoRedefine/>
    <w:qFormat/>
    <w:uiPriority w:val="0"/>
    <w:rPr>
      <w:rFonts w:ascii="Calibri" w:hAnsi="Calibri" w:eastAsia="宋体" w:cs="Times New Roman"/>
      <w:kern w:val="2"/>
      <w:sz w:val="24"/>
    </w:rPr>
  </w:style>
  <w:style w:type="paragraph" w:customStyle="1" w:styleId="247">
    <w:name w:val="正文2"/>
    <w:basedOn w:val="1"/>
    <w:link w:val="246"/>
    <w:autoRedefine/>
    <w:qFormat/>
    <w:uiPriority w:val="0"/>
    <w:pPr>
      <w:spacing w:before="156" w:line="360" w:lineRule="auto"/>
      <w:ind w:firstLine="510" w:firstLineChars="200"/>
    </w:pPr>
    <w:rPr>
      <w:sz w:val="24"/>
      <w:szCs w:val="20"/>
    </w:rPr>
  </w:style>
  <w:style w:type="character" w:customStyle="1" w:styleId="248">
    <w:name w:val="font31"/>
    <w:autoRedefine/>
    <w:qFormat/>
    <w:uiPriority w:val="0"/>
    <w:rPr>
      <w:rFonts w:hint="eastAsia" w:ascii="宋体" w:hAnsi="宋体" w:eastAsia="宋体" w:cs="宋体"/>
      <w:color w:val="000000"/>
      <w:sz w:val="20"/>
      <w:szCs w:val="20"/>
      <w:u w:val="none"/>
    </w:rPr>
  </w:style>
  <w:style w:type="character" w:customStyle="1" w:styleId="249">
    <w:name w:val="font21"/>
    <w:autoRedefine/>
    <w:qFormat/>
    <w:uiPriority w:val="0"/>
    <w:rPr>
      <w:rFonts w:hint="eastAsia" w:ascii="宋体" w:hAnsi="宋体" w:eastAsia="宋体" w:cs="宋体"/>
      <w:color w:val="000000"/>
      <w:sz w:val="20"/>
      <w:szCs w:val="20"/>
      <w:u w:val="none"/>
    </w:rPr>
  </w:style>
  <w:style w:type="character" w:customStyle="1" w:styleId="250">
    <w:name w:val="文档结构图 Char2"/>
    <w:autoRedefine/>
    <w:qFormat/>
    <w:uiPriority w:val="0"/>
    <w:rPr>
      <w:rFonts w:ascii="宋体" w:hAnsi="Calibri" w:eastAsia="宋体" w:cs="Times New Roman"/>
      <w:kern w:val="2"/>
      <w:sz w:val="18"/>
    </w:rPr>
  </w:style>
  <w:style w:type="character" w:customStyle="1" w:styleId="251">
    <w:name w:val="high-light-bg4"/>
    <w:autoRedefine/>
    <w:qFormat/>
    <w:uiPriority w:val="0"/>
    <w:rPr>
      <w:rFonts w:ascii="Calibri" w:hAnsi="Calibri" w:eastAsia="宋体" w:cs="Times New Roman"/>
    </w:rPr>
  </w:style>
  <w:style w:type="character" w:customStyle="1" w:styleId="252">
    <w:name w:val="纯文本 Char"/>
    <w:autoRedefine/>
    <w:qFormat/>
    <w:uiPriority w:val="0"/>
    <w:rPr>
      <w:rFonts w:ascii="宋体" w:hAnsi="Courier New" w:eastAsia="宋体" w:cs="Courier New"/>
      <w:kern w:val="2"/>
      <w:sz w:val="21"/>
      <w:szCs w:val="21"/>
    </w:rPr>
  </w:style>
  <w:style w:type="character" w:customStyle="1" w:styleId="253">
    <w:name w:val="批注主题 字符"/>
    <w:link w:val="55"/>
    <w:autoRedefine/>
    <w:qFormat/>
    <w:uiPriority w:val="0"/>
    <w:rPr>
      <w:rFonts w:ascii="Times New Roman" w:hAnsi="Times New Roman" w:eastAsia="宋体" w:cs="Times New Roman"/>
      <w:b/>
      <w:bCs/>
      <w:kern w:val="2"/>
      <w:sz w:val="21"/>
      <w:szCs w:val="24"/>
    </w:rPr>
  </w:style>
  <w:style w:type="character" w:customStyle="1" w:styleId="254">
    <w:name w:val="news1"/>
    <w:autoRedefine/>
    <w:qFormat/>
    <w:uiPriority w:val="0"/>
    <w:rPr>
      <w:rFonts w:ascii="Calibri" w:hAnsi="Calibri" w:eastAsia="宋体" w:cs="Times New Roman"/>
      <w:color w:val="4D4D4D"/>
      <w:sz w:val="18"/>
    </w:rPr>
  </w:style>
  <w:style w:type="character" w:customStyle="1" w:styleId="255">
    <w:name w:val="尾注文本 字符"/>
    <w:link w:val="37"/>
    <w:autoRedefine/>
    <w:qFormat/>
    <w:uiPriority w:val="0"/>
    <w:rPr>
      <w:rFonts w:ascii="Times New Roman" w:hAnsi="Times New Roman" w:eastAsia="宋体" w:cs="Times New Roman"/>
      <w:sz w:val="24"/>
    </w:rPr>
  </w:style>
  <w:style w:type="character" w:customStyle="1" w:styleId="256">
    <w:name w:val="正文文本 2 Char1"/>
    <w:autoRedefine/>
    <w:qFormat/>
    <w:uiPriority w:val="0"/>
    <w:rPr>
      <w:rFonts w:ascii="Calibri" w:hAnsi="Calibri" w:eastAsia="宋体" w:cs="Times New Roman"/>
      <w:sz w:val="24"/>
    </w:rPr>
  </w:style>
  <w:style w:type="character" w:customStyle="1" w:styleId="257">
    <w:name w:val="g1"/>
    <w:autoRedefine/>
    <w:qFormat/>
    <w:uiPriority w:val="0"/>
    <w:rPr>
      <w:rFonts w:ascii="Calibri" w:hAnsi="Calibri" w:eastAsia="宋体" w:cs="Times New Roman"/>
      <w:color w:val="008000"/>
    </w:rPr>
  </w:style>
  <w:style w:type="character" w:customStyle="1" w:styleId="258">
    <w:name w:val="标题 6 Char1"/>
    <w:autoRedefine/>
    <w:qFormat/>
    <w:uiPriority w:val="0"/>
    <w:rPr>
      <w:rFonts w:ascii="Arial" w:hAnsi="Arial" w:eastAsia="黑体" w:cs="Times New Roman"/>
      <w:b/>
      <w:kern w:val="2"/>
      <w:sz w:val="24"/>
    </w:rPr>
  </w:style>
  <w:style w:type="character" w:customStyle="1" w:styleId="259">
    <w:name w:val="标题 1 Char1"/>
    <w:autoRedefine/>
    <w:qFormat/>
    <w:uiPriority w:val="0"/>
    <w:rPr>
      <w:rFonts w:ascii="仿宋_GB2312" w:hAnsi="Calibri" w:eastAsia="仿宋_GB2312" w:cs="Times New Roman"/>
      <w:b/>
      <w:color w:val="000000"/>
      <w:kern w:val="2"/>
      <w:sz w:val="36"/>
    </w:rPr>
  </w:style>
  <w:style w:type="character" w:customStyle="1" w:styleId="260">
    <w:name w:val="批注引用3"/>
    <w:autoRedefine/>
    <w:qFormat/>
    <w:uiPriority w:val="0"/>
    <w:rPr>
      <w:rFonts w:ascii="Calibri" w:hAnsi="Calibri" w:eastAsia="宋体" w:cs="Times New Roman"/>
      <w:sz w:val="21"/>
      <w:szCs w:val="21"/>
    </w:rPr>
  </w:style>
  <w:style w:type="character" w:customStyle="1" w:styleId="261">
    <w:name w:val="批注引用1"/>
    <w:autoRedefine/>
    <w:qFormat/>
    <w:uiPriority w:val="0"/>
    <w:rPr>
      <w:rFonts w:ascii="Calibri" w:hAnsi="Calibri" w:eastAsia="宋体" w:cs="Times New Roman"/>
      <w:sz w:val="21"/>
      <w:szCs w:val="21"/>
    </w:rPr>
  </w:style>
  <w:style w:type="character" w:customStyle="1" w:styleId="262">
    <w:name w:val="style17"/>
    <w:autoRedefine/>
    <w:qFormat/>
    <w:uiPriority w:val="0"/>
    <w:rPr>
      <w:rFonts w:ascii="Calibri" w:hAnsi="Calibri" w:eastAsia="宋体" w:cs="Times New Roman"/>
    </w:rPr>
  </w:style>
  <w:style w:type="character" w:customStyle="1" w:styleId="263">
    <w:name w:val="日期 Char2"/>
    <w:autoRedefine/>
    <w:qFormat/>
    <w:uiPriority w:val="0"/>
    <w:rPr>
      <w:rFonts w:ascii="Calibri" w:hAnsi="Calibri" w:eastAsia="宋体" w:cs="Times New Roman"/>
      <w:kern w:val="2"/>
      <w:sz w:val="21"/>
    </w:rPr>
  </w:style>
  <w:style w:type="character" w:customStyle="1" w:styleId="264">
    <w:name w:val="正文首行缩进 Char"/>
    <w:autoRedefine/>
    <w:qFormat/>
    <w:uiPriority w:val="0"/>
    <w:rPr>
      <w:rFonts w:ascii="Times New Roman" w:hAnsi="Times New Roman" w:eastAsia="仿宋_GB2312" w:cs="Times New Roman"/>
      <w:kern w:val="2"/>
      <w:sz w:val="21"/>
      <w:szCs w:val="24"/>
    </w:rPr>
  </w:style>
  <w:style w:type="character" w:customStyle="1" w:styleId="265">
    <w:name w:val="页脚 字符"/>
    <w:link w:val="39"/>
    <w:autoRedefine/>
    <w:qFormat/>
    <w:uiPriority w:val="0"/>
    <w:rPr>
      <w:rFonts w:ascii="Times New Roman" w:hAnsi="Times New Roman" w:eastAsia="宋体" w:cs="Times New Roman"/>
      <w:sz w:val="18"/>
      <w:szCs w:val="18"/>
    </w:rPr>
  </w:style>
  <w:style w:type="character" w:customStyle="1" w:styleId="266">
    <w:name w:val="lf3"/>
    <w:autoRedefine/>
    <w:qFormat/>
    <w:uiPriority w:val="0"/>
    <w:rPr>
      <w:rFonts w:ascii="Calibri" w:hAnsi="Calibri" w:eastAsia="宋体" w:cs="Times New Roman"/>
    </w:rPr>
  </w:style>
  <w:style w:type="character" w:customStyle="1" w:styleId="267">
    <w:name w:val="批注引用8"/>
    <w:autoRedefine/>
    <w:qFormat/>
    <w:uiPriority w:val="0"/>
    <w:rPr>
      <w:rFonts w:ascii="Calibri" w:hAnsi="Calibri" w:eastAsia="宋体" w:cs="Times New Roman"/>
      <w:sz w:val="21"/>
    </w:rPr>
  </w:style>
  <w:style w:type="character" w:customStyle="1" w:styleId="268">
    <w:name w:val="font_8"/>
    <w:autoRedefine/>
    <w:qFormat/>
    <w:uiPriority w:val="0"/>
    <w:rPr>
      <w:rFonts w:ascii="Calibri" w:hAnsi="Calibri" w:eastAsia="宋体" w:cs="Times New Roman"/>
    </w:rPr>
  </w:style>
  <w:style w:type="character" w:customStyle="1" w:styleId="269">
    <w:name w:val="font51"/>
    <w:autoRedefine/>
    <w:qFormat/>
    <w:uiPriority w:val="0"/>
    <w:rPr>
      <w:rFonts w:hint="eastAsia" w:ascii="仿宋_GB2312" w:hAnsi="Calibri" w:eastAsia="仿宋_GB2312" w:cs="仿宋_GB2312"/>
      <w:color w:val="000000"/>
      <w:sz w:val="24"/>
      <w:szCs w:val="24"/>
      <w:u w:val="none"/>
    </w:rPr>
  </w:style>
  <w:style w:type="character" w:customStyle="1" w:styleId="270">
    <w:name w:val="blue"/>
    <w:autoRedefine/>
    <w:qFormat/>
    <w:uiPriority w:val="0"/>
    <w:rPr>
      <w:rFonts w:ascii="Calibri" w:hAnsi="Calibri" w:eastAsia="宋体" w:cs="Times New Roman"/>
    </w:rPr>
  </w:style>
  <w:style w:type="character" w:customStyle="1" w:styleId="271">
    <w:name w:val="页眉 Char1"/>
    <w:autoRedefine/>
    <w:qFormat/>
    <w:uiPriority w:val="0"/>
    <w:rPr>
      <w:rFonts w:ascii="Calibri" w:hAnsi="Calibri" w:eastAsia="宋体" w:cs="Times New Roman"/>
      <w:kern w:val="2"/>
      <w:sz w:val="18"/>
    </w:rPr>
  </w:style>
  <w:style w:type="character" w:customStyle="1" w:styleId="272">
    <w:name w:val="style141"/>
    <w:autoRedefine/>
    <w:qFormat/>
    <w:uiPriority w:val="0"/>
    <w:rPr>
      <w:rFonts w:ascii="Calibri" w:hAnsi="Calibri" w:eastAsia="宋体" w:cs="Times New Roman"/>
    </w:rPr>
  </w:style>
  <w:style w:type="character" w:customStyle="1" w:styleId="273">
    <w:name w:val="font121"/>
    <w:autoRedefine/>
    <w:qFormat/>
    <w:uiPriority w:val="0"/>
    <w:rPr>
      <w:rFonts w:hint="default" w:ascii="???" w:hAnsi="???" w:eastAsia="宋体" w:cs="Times New Roman"/>
      <w:color w:val="333333"/>
      <w:sz w:val="18"/>
      <w:szCs w:val="18"/>
      <w:u w:val="none"/>
    </w:rPr>
  </w:style>
  <w:style w:type="character" w:customStyle="1" w:styleId="274">
    <w:name w:val="font91"/>
    <w:autoRedefine/>
    <w:qFormat/>
    <w:uiPriority w:val="0"/>
    <w:rPr>
      <w:rFonts w:hint="eastAsia" w:ascii="宋体" w:hAnsi="宋体" w:eastAsia="宋体" w:cs="宋体"/>
      <w:color w:val="000000"/>
      <w:sz w:val="18"/>
      <w:szCs w:val="18"/>
      <w:u w:val="none"/>
    </w:rPr>
  </w:style>
  <w:style w:type="paragraph" w:customStyle="1" w:styleId="275">
    <w:name w:val="List 1"/>
    <w:basedOn w:val="1"/>
    <w:autoRedefine/>
    <w:qFormat/>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7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7">
    <w:name w:val="TOC 标题2"/>
    <w:basedOn w:val="2"/>
    <w:next w:val="1"/>
    <w:autoRedefine/>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8">
    <w:name w:val="xl94"/>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9">
    <w:name w:val="xl109"/>
    <w:basedOn w:val="1"/>
    <w:autoRedefine/>
    <w:qFormat/>
    <w:uiPriority w:val="0"/>
    <w:pPr>
      <w:widowControl/>
      <w:spacing w:before="100" w:beforeAutospacing="1" w:after="100" w:afterAutospacing="1"/>
      <w:jc w:val="left"/>
    </w:pPr>
    <w:rPr>
      <w:rFonts w:ascii="宋体" w:hAnsi="宋体" w:cs="宋体"/>
      <w:kern w:val="0"/>
      <w:sz w:val="28"/>
      <w:szCs w:val="28"/>
    </w:rPr>
  </w:style>
  <w:style w:type="paragraph" w:customStyle="1" w:styleId="280">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1">
    <w:name w:val="xl59"/>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8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3">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84">
    <w:name w:val="xl5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8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86">
    <w:name w:val="xl3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7">
    <w:name w:val="xl7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8">
    <w:name w:val="font11"/>
    <w:basedOn w:val="1"/>
    <w:autoRedefine/>
    <w:qFormat/>
    <w:uiPriority w:val="0"/>
    <w:pPr>
      <w:widowControl/>
      <w:spacing w:before="100" w:beforeAutospacing="1" w:after="100" w:afterAutospacing="1"/>
      <w:jc w:val="left"/>
    </w:pPr>
    <w:rPr>
      <w:rFonts w:ascii="宋体" w:hAnsi="宋体"/>
      <w:color w:val="FF0000"/>
      <w:kern w:val="0"/>
      <w:sz w:val="16"/>
      <w:szCs w:val="16"/>
    </w:rPr>
  </w:style>
  <w:style w:type="paragraph" w:customStyle="1" w:styleId="289">
    <w:name w:val="List Paragraph1"/>
    <w:basedOn w:val="1"/>
    <w:autoRedefine/>
    <w:qFormat/>
    <w:uiPriority w:val="0"/>
    <w:pPr>
      <w:widowControl/>
      <w:ind w:firstLine="420" w:firstLineChars="200"/>
      <w:jc w:val="left"/>
    </w:p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91">
    <w:name w:val="Char Char1 Char Char Char Char Char Char Char"/>
    <w:basedOn w:val="1"/>
    <w:autoRedefine/>
    <w:qFormat/>
    <w:uiPriority w:val="0"/>
  </w:style>
  <w:style w:type="paragraph" w:customStyle="1" w:styleId="292">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9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5">
    <w:name w:val="xl7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96">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8">
    <w:name w:val="默认段落字体 Para Char"/>
    <w:basedOn w:val="1"/>
    <w:autoRedefine/>
    <w:qFormat/>
    <w:uiPriority w:val="0"/>
    <w:rPr>
      <w:szCs w:val="20"/>
    </w:rPr>
  </w:style>
  <w:style w:type="paragraph" w:customStyle="1" w:styleId="299">
    <w:name w:val="itemli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0">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301">
    <w:name w:val="F11-1"/>
    <w:basedOn w:val="1"/>
    <w:autoRedefine/>
    <w:qFormat/>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02">
    <w:name w:val="列出段落3"/>
    <w:basedOn w:val="1"/>
    <w:autoRedefine/>
    <w:qFormat/>
    <w:uiPriority w:val="0"/>
    <w:pPr>
      <w:ind w:firstLine="420" w:firstLineChars="200"/>
    </w:pPr>
    <w:rPr>
      <w:rFonts w:ascii="Cambria" w:hAnsi="Cambria"/>
      <w:sz w:val="24"/>
    </w:rPr>
  </w:style>
  <w:style w:type="paragraph" w:customStyle="1" w:styleId="303">
    <w:name w:val="表格文字"/>
    <w:basedOn w:val="1"/>
    <w:autoRedefine/>
    <w:qFormat/>
    <w:uiPriority w:val="0"/>
    <w:pPr>
      <w:widowControl/>
      <w:spacing w:before="25" w:after="25" w:line="300" w:lineRule="auto"/>
      <w:jc w:val="left"/>
    </w:pPr>
    <w:rPr>
      <w:rFonts w:ascii="Times" w:hAnsi="Times"/>
      <w:spacing w:val="10"/>
      <w:kern w:val="0"/>
      <w:sz w:val="24"/>
      <w:szCs w:val="20"/>
    </w:rPr>
  </w:style>
  <w:style w:type="paragraph" w:customStyle="1" w:styleId="304">
    <w:name w:val="xl22"/>
    <w:basedOn w:val="1"/>
    <w:autoRedefine/>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305">
    <w:name w:val="项目"/>
    <w:basedOn w:val="13"/>
    <w:autoRedefine/>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306">
    <w:name w:val="Char Char2 Char"/>
    <w:basedOn w:val="1"/>
    <w:autoRedefine/>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307">
    <w:name w:val="xl7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8">
    <w:name w:val="Char Char Char Char Char Char Char"/>
    <w:basedOn w:val="1"/>
    <w:autoRedefine/>
    <w:qFormat/>
    <w:uiPriority w:val="0"/>
    <w:pPr>
      <w:widowControl/>
      <w:tabs>
        <w:tab w:val="left" w:pos="432"/>
      </w:tabs>
      <w:ind w:left="432" w:hanging="432"/>
      <w:jc w:val="left"/>
    </w:pPr>
    <w:rPr>
      <w:rFonts w:ascii="Tahoma" w:hAnsi="Tahoma"/>
      <w:sz w:val="24"/>
      <w:szCs w:val="20"/>
    </w:rPr>
  </w:style>
  <w:style w:type="paragraph" w:customStyle="1" w:styleId="309">
    <w:name w:val="Char Char19"/>
    <w:basedOn w:val="1"/>
    <w:autoRedefine/>
    <w:qFormat/>
    <w:uiPriority w:val="0"/>
    <w:pPr>
      <w:widowControl/>
      <w:jc w:val="left"/>
    </w:pPr>
    <w:rPr>
      <w:rFonts w:ascii="Tahoma" w:hAnsi="Tahoma"/>
      <w:sz w:val="24"/>
      <w:szCs w:val="20"/>
    </w:rPr>
  </w:style>
  <w:style w:type="paragraph" w:customStyle="1" w:styleId="310">
    <w:name w:val="10号线正文"/>
    <w:basedOn w:val="1"/>
    <w:autoRedefine/>
    <w:qFormat/>
    <w:uiPriority w:val="0"/>
    <w:pPr>
      <w:widowControl/>
      <w:spacing w:line="360" w:lineRule="auto"/>
      <w:ind w:firstLine="482" w:firstLineChars="200"/>
      <w:jc w:val="left"/>
    </w:pPr>
    <w:rPr>
      <w:rFonts w:ascii="宋体" w:cs="宋体"/>
      <w:sz w:val="24"/>
    </w:rPr>
  </w:style>
  <w:style w:type="paragraph" w:customStyle="1" w:styleId="311">
    <w:name w:val="标书表格字体格式"/>
    <w:next w:val="1"/>
    <w:autoRedefine/>
    <w:qFormat/>
    <w:uiPriority w:val="0"/>
    <w:rPr>
      <w:rFonts w:ascii="Calibri" w:hAnsi="Calibri" w:eastAsia="宋体" w:cs="Times New Roman"/>
      <w:kern w:val="2"/>
      <w:sz w:val="21"/>
      <w:szCs w:val="24"/>
      <w:lang w:val="en-US" w:eastAsia="zh-CN" w:bidi="ar-SA"/>
    </w:rPr>
  </w:style>
  <w:style w:type="paragraph" w:customStyle="1" w:styleId="312">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3">
    <w:name w:val="p21"/>
    <w:basedOn w:val="1"/>
    <w:autoRedefine/>
    <w:qFormat/>
    <w:uiPriority w:val="0"/>
    <w:pPr>
      <w:widowControl/>
      <w:ind w:firstLine="420"/>
    </w:pPr>
    <w:rPr>
      <w:rFonts w:cs="宋体"/>
      <w:kern w:val="0"/>
      <w:szCs w:val="21"/>
    </w:rPr>
  </w:style>
  <w:style w:type="paragraph" w:customStyle="1" w:styleId="314">
    <w:name w:val="xl34"/>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szCs w:val="22"/>
    </w:rPr>
  </w:style>
  <w:style w:type="paragraph" w:customStyle="1" w:styleId="315">
    <w:name w:val="默认段落字体 Para Char Char Char Char Char Char Char Char Char Char Char Char Char Char Char Char Char Char Char"/>
    <w:basedOn w:val="1"/>
    <w:autoRedefine/>
    <w:qFormat/>
    <w:uiPriority w:val="0"/>
    <w:pPr>
      <w:widowControl/>
      <w:jc w:val="left"/>
    </w:pPr>
    <w:rPr>
      <w:rFonts w:ascii="Tahoma" w:hAnsi="Tahoma"/>
      <w:sz w:val="24"/>
      <w:szCs w:val="20"/>
    </w:rPr>
  </w:style>
  <w:style w:type="paragraph" w:customStyle="1" w:styleId="316">
    <w:name w:val="标准段落"/>
    <w:basedOn w:val="1"/>
    <w:autoRedefine/>
    <w:qFormat/>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7">
    <w:name w:val="标书正文格式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9">
    <w:name w:val="二级条标题"/>
    <w:basedOn w:val="157"/>
    <w:next w:val="158"/>
    <w:autoRedefine/>
    <w:qFormat/>
    <w:uiPriority w:val="0"/>
    <w:pPr>
      <w:outlineLvl w:val="3"/>
    </w:pPr>
    <w:rPr>
      <w:rFonts w:ascii="Calibri" w:hAnsi="Calibri" w:eastAsia="宋体"/>
    </w:rPr>
  </w:style>
  <w:style w:type="paragraph" w:customStyle="1" w:styleId="320">
    <w:name w:val="pchart_bodycm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1">
    <w:name w:val="xl48"/>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22">
    <w:name w:val="列出段落1"/>
    <w:basedOn w:val="1"/>
    <w:autoRedefine/>
    <w:qFormat/>
    <w:uiPriority w:val="34"/>
    <w:pPr>
      <w:ind w:firstLine="420" w:firstLineChars="200"/>
    </w:pPr>
    <w:rPr>
      <w:szCs w:val="20"/>
    </w:rPr>
  </w:style>
  <w:style w:type="paragraph" w:customStyle="1" w:styleId="323">
    <w:name w:val="Revision1"/>
    <w:autoRedefine/>
    <w:qFormat/>
    <w:uiPriority w:val="0"/>
    <w:rPr>
      <w:rFonts w:ascii="Calibri" w:hAnsi="Calibri" w:eastAsia="宋体" w:cs="Times New Roman"/>
      <w:kern w:val="2"/>
      <w:sz w:val="21"/>
      <w:lang w:val="en-US" w:eastAsia="zh-CN" w:bidi="ar-SA"/>
    </w:rPr>
  </w:style>
  <w:style w:type="paragraph" w:customStyle="1" w:styleId="324">
    <w:name w:val="xl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6">
    <w:name w:val="xl3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7">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8">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9">
    <w:name w:val="正文文本缩进2"/>
    <w:basedOn w:val="1"/>
    <w:autoRedefine/>
    <w:qFormat/>
    <w:uiPriority w:val="0"/>
    <w:pPr>
      <w:widowControl/>
      <w:spacing w:line="200" w:lineRule="atLeast"/>
      <w:ind w:firstLine="301"/>
      <w:jc w:val="left"/>
    </w:pPr>
    <w:rPr>
      <w:rFonts w:ascii="宋体" w:hAnsi="Courier New"/>
      <w:spacing w:val="-4"/>
      <w:sz w:val="18"/>
      <w:szCs w:val="20"/>
    </w:rPr>
  </w:style>
  <w:style w:type="paragraph" w:customStyle="1" w:styleId="330">
    <w:name w:val="xl5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1">
    <w:name w:val="正文缩进2格"/>
    <w:basedOn w:val="1"/>
    <w:autoRedefine/>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32">
    <w:name w:val="xl95"/>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33">
    <w:name w:val="Pa0"/>
    <w:basedOn w:val="1"/>
    <w:next w:val="1"/>
    <w:autoRedefine/>
    <w:qFormat/>
    <w:uiPriority w:val="0"/>
    <w:pPr>
      <w:widowControl/>
      <w:autoSpaceDE w:val="0"/>
      <w:autoSpaceDN w:val="0"/>
      <w:adjustRightInd w:val="0"/>
      <w:spacing w:line="241" w:lineRule="atLeast"/>
      <w:jc w:val="left"/>
    </w:pPr>
    <w:rPr>
      <w:rFonts w:ascii="H Yg 2gj" w:eastAsia="H Yg 2gj"/>
      <w:kern w:val="0"/>
      <w:sz w:val="24"/>
    </w:rPr>
  </w:style>
  <w:style w:type="paragraph" w:customStyle="1" w:styleId="334">
    <w:name w:val="xl39"/>
    <w:basedOn w:val="1"/>
    <w:autoRedefine/>
    <w:qFormat/>
    <w:uiPriority w:val="0"/>
    <w:pPr>
      <w:widowControl/>
      <w:spacing w:before="100" w:beforeAutospacing="1" w:after="100" w:afterAutospacing="1"/>
      <w:jc w:val="left"/>
    </w:pPr>
    <w:rPr>
      <w:rFonts w:ascii="宋体" w:hAnsi="宋体"/>
      <w:b/>
      <w:bCs/>
      <w:kern w:val="0"/>
      <w:sz w:val="24"/>
    </w:rPr>
  </w:style>
  <w:style w:type="paragraph" w:customStyle="1" w:styleId="335">
    <w:name w:val="No Spacing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6">
    <w:name w:val="E 正文"/>
    <w:basedOn w:val="1"/>
    <w:autoRedefine/>
    <w:qFormat/>
    <w:uiPriority w:val="0"/>
    <w:pPr>
      <w:widowControl/>
      <w:spacing w:line="360" w:lineRule="auto"/>
      <w:jc w:val="left"/>
    </w:pPr>
    <w:rPr>
      <w:rFonts w:cs="黑体"/>
      <w:color w:val="000000"/>
      <w:kern w:val="0"/>
      <w:sz w:val="24"/>
    </w:rPr>
  </w:style>
  <w:style w:type="paragraph" w:customStyle="1" w:styleId="337">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样式 样式 标题 4H4PIM 4h4bulletblbb标题 4 Charsect 1.2.3.4Ref Head... + ..."/>
    <w:basedOn w:val="1"/>
    <w:autoRedefine/>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40">
    <w:name w:val="方案正文"/>
    <w:basedOn w:val="1"/>
    <w:autoRedefine/>
    <w:qFormat/>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4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2">
    <w:name w:val="正文缩进1"/>
    <w:basedOn w:val="1"/>
    <w:next w:val="25"/>
    <w:autoRedefine/>
    <w:qFormat/>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43">
    <w:name w:val="outdent"/>
    <w:basedOn w:val="1"/>
    <w:autoRedefine/>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44">
    <w:name w:val="xl13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345">
    <w:name w:val="Char1 Char Char Char Char Char Char"/>
    <w:basedOn w:val="1"/>
    <w:autoRedefine/>
    <w:qFormat/>
    <w:uiPriority w:val="0"/>
    <w:rPr>
      <w:szCs w:val="20"/>
    </w:rPr>
  </w:style>
  <w:style w:type="paragraph" w:customStyle="1" w:styleId="346">
    <w:name w:val="引用1"/>
    <w:autoRedefine/>
    <w:qFormat/>
    <w:uiPriority w:val="0"/>
    <w:pPr>
      <w:spacing w:after="160" w:line="240" w:lineRule="atLeast"/>
    </w:pPr>
    <w:rPr>
      <w:rFonts w:ascii="Arial" w:hAnsi="Arial" w:eastAsia="宋体" w:cs="Times New Roman"/>
      <w:i/>
      <w:color w:val="808080"/>
      <w:lang w:val="en-US" w:eastAsia="en-US" w:bidi="ar-SA"/>
    </w:rPr>
  </w:style>
  <w:style w:type="paragraph" w:customStyle="1" w:styleId="34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8">
    <w:name w:val="Table Paragraph"/>
    <w:basedOn w:val="1"/>
    <w:autoRedefine/>
    <w:qFormat/>
    <w:uiPriority w:val="0"/>
    <w:pPr>
      <w:spacing w:beforeAutospacing="1"/>
      <w:jc w:val="left"/>
    </w:pPr>
    <w:rPr>
      <w:kern w:val="0"/>
      <w:sz w:val="22"/>
      <w:szCs w:val="22"/>
    </w:rPr>
  </w:style>
  <w:style w:type="paragraph" w:customStyle="1" w:styleId="349">
    <w:name w:val="Char Char Char Char Char Char Char Char"/>
    <w:basedOn w:val="1"/>
    <w:autoRedefine/>
    <w:qFormat/>
    <w:uiPriority w:val="0"/>
    <w:pPr>
      <w:widowControl/>
      <w:tabs>
        <w:tab w:val="left" w:pos="360"/>
      </w:tabs>
      <w:jc w:val="left"/>
    </w:pPr>
    <w:rPr>
      <w:sz w:val="24"/>
    </w:rPr>
  </w:style>
  <w:style w:type="paragraph" w:customStyle="1" w:styleId="350">
    <w:name w:val="Char2"/>
    <w:basedOn w:val="1"/>
    <w:autoRedefine/>
    <w:qFormat/>
    <w:uiPriority w:val="0"/>
    <w:pPr>
      <w:widowControl/>
      <w:jc w:val="left"/>
    </w:pPr>
    <w:rPr>
      <w:rFonts w:eastAsia="仿宋_GB2312"/>
      <w:sz w:val="28"/>
      <w:szCs w:val="20"/>
    </w:rPr>
  </w:style>
  <w:style w:type="paragraph" w:customStyle="1" w:styleId="351">
    <w:name w:val="需求正文"/>
    <w:basedOn w:val="1"/>
    <w:autoRedefine/>
    <w:qFormat/>
    <w:uiPriority w:val="0"/>
    <w:pPr>
      <w:widowControl/>
      <w:spacing w:line="300" w:lineRule="auto"/>
      <w:ind w:firstLine="560" w:firstLineChars="200"/>
      <w:jc w:val="left"/>
    </w:pPr>
    <w:rPr>
      <w:rFonts w:ascii="Arial" w:hAnsi="Arial" w:eastAsia="仿宋_GB2312"/>
      <w:sz w:val="28"/>
      <w:szCs w:val="20"/>
    </w:rPr>
  </w:style>
  <w:style w:type="paragraph" w:customStyle="1" w:styleId="352">
    <w:name w:val="xl9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3">
    <w:name w:val="说明书3级标题"/>
    <w:basedOn w:val="1"/>
    <w:next w:val="1"/>
    <w:autoRedefine/>
    <w:qFormat/>
    <w:uiPriority w:val="0"/>
    <w:pPr>
      <w:tabs>
        <w:tab w:val="left" w:pos="1572"/>
      </w:tabs>
      <w:spacing w:line="360" w:lineRule="auto"/>
      <w:ind w:left="1572" w:hanging="720"/>
    </w:pPr>
    <w:rPr>
      <w:rFonts w:eastAsia="黑体"/>
      <w:sz w:val="24"/>
    </w:rPr>
  </w:style>
  <w:style w:type="paragraph" w:customStyle="1" w:styleId="354">
    <w:name w:val="標題 1-1"/>
    <w:autoRedefine/>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35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7">
    <w:name w:val="xl13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58">
    <w:name w:val="表格内文"/>
    <w:basedOn w:val="1"/>
    <w:autoRedefine/>
    <w:qFormat/>
    <w:uiPriority w:val="0"/>
    <w:pPr>
      <w:widowControl/>
      <w:spacing w:line="360" w:lineRule="auto"/>
      <w:jc w:val="left"/>
    </w:pPr>
    <w:rPr>
      <w:rFonts w:ascii="宋体" w:hAnsi="宋体" w:cs="宋体"/>
      <w:color w:val="000000"/>
      <w:szCs w:val="21"/>
    </w:rPr>
  </w:style>
  <w:style w:type="paragraph" w:customStyle="1" w:styleId="35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60">
    <w:name w:val="List Paragraph3"/>
    <w:basedOn w:val="1"/>
    <w:autoRedefine/>
    <w:qFormat/>
    <w:uiPriority w:val="0"/>
    <w:pPr>
      <w:ind w:firstLine="420" w:firstLineChars="200"/>
    </w:pPr>
    <w:rPr>
      <w:szCs w:val="22"/>
    </w:rPr>
  </w:style>
  <w:style w:type="paragraph" w:customStyle="1" w:styleId="36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2">
    <w:name w:val="标书正文格式"/>
    <w:autoRedefine/>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63">
    <w:name w:val="默认段落字体 Para Char Char Char Char"/>
    <w:basedOn w:val="1"/>
    <w:autoRedefine/>
    <w:qFormat/>
    <w:uiPriority w:val="0"/>
    <w:pPr>
      <w:widowControl/>
      <w:jc w:val="left"/>
    </w:pPr>
  </w:style>
  <w:style w:type="paragraph" w:customStyle="1" w:styleId="364">
    <w:name w:val="xl3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65">
    <w:name w:val="xl9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66">
    <w:name w:val="默认段落字体 Para Char Char Char Char Char Char Char Char Char"/>
    <w:basedOn w:val="1"/>
    <w:autoRedefine/>
    <w:qFormat/>
    <w:uiPriority w:val="0"/>
    <w:pPr>
      <w:widowControl/>
      <w:jc w:val="left"/>
    </w:pPr>
    <w:rPr>
      <w:rFonts w:ascii="Tahoma" w:hAnsi="Tahoma" w:cs="Tahoma"/>
      <w:sz w:val="24"/>
    </w:rPr>
  </w:style>
  <w:style w:type="paragraph" w:customStyle="1" w:styleId="36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xl78"/>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70">
    <w:name w:val="Pa11"/>
    <w:basedOn w:val="1"/>
    <w:next w:val="1"/>
    <w:autoRedefine/>
    <w:qFormat/>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71">
    <w:name w:val="表项"/>
    <w:basedOn w:val="1"/>
    <w:autoRedefine/>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72">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73">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74">
    <w:name w:val="xl52"/>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75">
    <w:name w:val="xl9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6">
    <w:name w:val="font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7">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8">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9">
    <w:name w:val="xl97"/>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80">
    <w:name w:val="正文文本缩进1"/>
    <w:basedOn w:val="1"/>
    <w:autoRedefine/>
    <w:qFormat/>
    <w:uiPriority w:val="0"/>
    <w:pPr>
      <w:widowControl/>
      <w:spacing w:after="120"/>
      <w:ind w:left="420" w:leftChars="200"/>
      <w:jc w:val="left"/>
    </w:pPr>
    <w:rPr>
      <w:sz w:val="24"/>
      <w:szCs w:val="20"/>
    </w:rPr>
  </w:style>
  <w:style w:type="paragraph" w:customStyle="1" w:styleId="381">
    <w:name w:val="xl55"/>
    <w:basedOn w:val="1"/>
    <w:autoRedefine/>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82">
    <w:name w:val="默认段落字体 Para Char Char Char Char111"/>
    <w:basedOn w:val="1"/>
    <w:autoRedefine/>
    <w:qFormat/>
    <w:uiPriority w:val="0"/>
    <w:pPr>
      <w:widowControl/>
      <w:jc w:val="left"/>
    </w:pPr>
    <w:rPr>
      <w:rFonts w:cs="Calibri"/>
      <w:kern w:val="0"/>
      <w:sz w:val="24"/>
      <w:lang w:eastAsia="en-US"/>
    </w:rPr>
  </w:style>
  <w:style w:type="paragraph" w:customStyle="1" w:styleId="383">
    <w:name w:val="三级条标题"/>
    <w:basedOn w:val="319"/>
    <w:next w:val="158"/>
    <w:autoRedefine/>
    <w:qFormat/>
    <w:uiPriority w:val="0"/>
    <w:pPr>
      <w:outlineLvl w:val="4"/>
    </w:pPr>
  </w:style>
  <w:style w:type="paragraph" w:customStyle="1" w:styleId="384">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85">
    <w:name w:val="pied de page r閒.2"/>
    <w:autoRedefine/>
    <w:qFormat/>
    <w:uiPriority w:val="0"/>
    <w:pPr>
      <w:spacing w:before="140"/>
      <w:jc w:val="center"/>
    </w:pPr>
    <w:rPr>
      <w:rFonts w:ascii="Helvetica" w:hAnsi="Helvetica" w:eastAsia="宋体" w:cs="Times New Roman"/>
      <w:caps/>
      <w:lang w:val="en-US" w:eastAsia="en-US" w:bidi="ar-SA"/>
    </w:rPr>
  </w:style>
  <w:style w:type="paragraph" w:customStyle="1" w:styleId="386">
    <w:name w:val="默认段落字体 Para Char Char Char Char Char Char Char Char Char1"/>
    <w:basedOn w:val="1"/>
    <w:autoRedefine/>
    <w:qFormat/>
    <w:uiPriority w:val="0"/>
    <w:pPr>
      <w:widowControl/>
      <w:jc w:val="left"/>
    </w:pPr>
    <w:rPr>
      <w:szCs w:val="21"/>
    </w:rPr>
  </w:style>
  <w:style w:type="paragraph" w:customStyle="1" w:styleId="387">
    <w:name w:val="彩色列表 - 强调文字颜色 111"/>
    <w:basedOn w:val="1"/>
    <w:autoRedefine/>
    <w:qFormat/>
    <w:uiPriority w:val="34"/>
    <w:pPr>
      <w:ind w:firstLine="420" w:firstLineChars="200"/>
    </w:pPr>
    <w:rPr>
      <w:szCs w:val="22"/>
    </w:rPr>
  </w:style>
  <w:style w:type="paragraph" w:customStyle="1" w:styleId="388">
    <w:name w:val="字母编号列项（一级）"/>
    <w:autoRedefine/>
    <w:qFormat/>
    <w:uiPriority w:val="0"/>
    <w:pPr>
      <w:tabs>
        <w:tab w:val="left" w:pos="840"/>
      </w:tabs>
      <w:ind w:left="839" w:hanging="419"/>
      <w:jc w:val="both"/>
    </w:pPr>
    <w:rPr>
      <w:rFonts w:ascii="宋体" w:hAnsi="Calibri" w:eastAsia="宋体" w:cs="Times New Roman"/>
      <w:sz w:val="21"/>
      <w:lang w:val="en-US" w:eastAsia="zh-CN" w:bidi="ar-SA"/>
    </w:rPr>
  </w:style>
  <w:style w:type="paragraph" w:customStyle="1" w:styleId="389">
    <w:name w:val="b"/>
    <w:basedOn w:val="1"/>
    <w:autoRedefine/>
    <w:qFormat/>
    <w:uiPriority w:val="0"/>
    <w:pPr>
      <w:widowControl/>
      <w:adjustRightInd w:val="0"/>
      <w:snapToGrid w:val="0"/>
      <w:jc w:val="center"/>
    </w:pPr>
    <w:rPr>
      <w:rFonts w:ascii="仿宋_GB2312" w:eastAsia="仿宋_GB2312"/>
      <w:sz w:val="24"/>
    </w:rPr>
  </w:style>
  <w:style w:type="paragraph" w:customStyle="1" w:styleId="390">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91">
    <w:name w:val="font9"/>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9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3">
    <w:name w:val="Char1"/>
    <w:basedOn w:val="1"/>
    <w:autoRedefine/>
    <w:qFormat/>
    <w:uiPriority w:val="0"/>
    <w:pPr>
      <w:widowControl/>
      <w:jc w:val="left"/>
    </w:pPr>
    <w:rPr>
      <w:rFonts w:ascii="仿宋_GB2312" w:eastAsia="仿宋_GB2312"/>
      <w:b/>
      <w:sz w:val="32"/>
      <w:szCs w:val="20"/>
    </w:rPr>
  </w:style>
  <w:style w:type="paragraph" w:customStyle="1" w:styleId="394">
    <w:name w:val="p1"/>
    <w:basedOn w:val="1"/>
    <w:autoRedefine/>
    <w:qFormat/>
    <w:uiPriority w:val="0"/>
    <w:pPr>
      <w:widowControl/>
      <w:jc w:val="left"/>
    </w:pPr>
    <w:rPr>
      <w:rFonts w:ascii="Helvetica" w:hAnsi="Helvetica" w:eastAsia="等线"/>
      <w:kern w:val="0"/>
      <w:sz w:val="16"/>
      <w:szCs w:val="16"/>
    </w:rPr>
  </w:style>
  <w:style w:type="paragraph" w:customStyle="1" w:styleId="39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6">
    <w:name w:val="无间隔11"/>
    <w:basedOn w:val="1"/>
    <w:autoRedefine/>
    <w:qFormat/>
    <w:uiPriority w:val="0"/>
    <w:pPr>
      <w:widowControl/>
    </w:pPr>
    <w:rPr>
      <w:rFonts w:cs="Calibri"/>
      <w:kern w:val="0"/>
      <w:lang w:eastAsia="en-US"/>
    </w:rPr>
  </w:style>
  <w:style w:type="paragraph" w:customStyle="1" w:styleId="39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98">
    <w:name w:val="Char Char Char Char"/>
    <w:basedOn w:val="19"/>
    <w:autoRedefine/>
    <w:qFormat/>
    <w:uiPriority w:val="0"/>
    <w:pPr>
      <w:shd w:val="clear" w:color="auto" w:fill="000080"/>
      <w:adjustRightInd w:val="0"/>
      <w:snapToGrid w:val="0"/>
      <w:spacing w:line="360" w:lineRule="auto"/>
    </w:pPr>
    <w:rPr>
      <w:rFonts w:ascii="Times New Roman" w:hAnsi="Calibri"/>
      <w:sz w:val="21"/>
      <w:szCs w:val="24"/>
    </w:rPr>
  </w:style>
  <w:style w:type="paragraph" w:customStyle="1" w:styleId="399">
    <w:name w:val="四级条标题"/>
    <w:basedOn w:val="383"/>
    <w:next w:val="158"/>
    <w:autoRedefine/>
    <w:qFormat/>
    <w:uiPriority w:val="0"/>
    <w:pPr>
      <w:outlineLvl w:val="5"/>
    </w:pPr>
  </w:style>
  <w:style w:type="paragraph" w:customStyle="1" w:styleId="400">
    <w:name w:val="font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0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02">
    <w:name w:val="xl77"/>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03">
    <w:name w:val="TOC Heading1"/>
    <w:basedOn w:val="2"/>
    <w:next w:val="1"/>
    <w:autoRedefine/>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404">
    <w:name w:val="正文文本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40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06">
    <w:name w:val="C标书正文（加粗后加）"/>
    <w:basedOn w:val="1"/>
    <w:autoRedefine/>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8">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409">
    <w:name w:val="Char Char1 Char"/>
    <w:basedOn w:val="1"/>
    <w:autoRedefine/>
    <w:qFormat/>
    <w:uiPriority w:val="0"/>
    <w:pPr>
      <w:widowControl/>
      <w:jc w:val="left"/>
    </w:pPr>
    <w:rPr>
      <w:rFonts w:ascii="仿宋_GB2312" w:eastAsia="仿宋_GB2312"/>
      <w:b/>
      <w:sz w:val="32"/>
      <w:szCs w:val="20"/>
    </w:rPr>
  </w:style>
  <w:style w:type="paragraph" w:customStyle="1" w:styleId="410">
    <w:name w:val="Char1 Char Char Char"/>
    <w:basedOn w:val="1"/>
    <w:autoRedefine/>
    <w:qFormat/>
    <w:uiPriority w:val="0"/>
    <w:pPr>
      <w:widowControl/>
      <w:jc w:val="left"/>
    </w:pPr>
    <w:rPr>
      <w:rFonts w:ascii="仿宋_GB2312" w:eastAsia="仿宋_GB2312"/>
      <w:b/>
      <w:sz w:val="32"/>
      <w:szCs w:val="32"/>
    </w:rPr>
  </w:style>
  <w:style w:type="paragraph" w:customStyle="1" w:styleId="411">
    <w:name w:val="xl3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12">
    <w:name w:val="b13"/>
    <w:basedOn w:val="1"/>
    <w:autoRedefine/>
    <w:qFormat/>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13">
    <w:name w:val="中等深浅网格 1 - 强调文字颜色 21"/>
    <w:basedOn w:val="1"/>
    <w:autoRedefine/>
    <w:qFormat/>
    <w:uiPriority w:val="0"/>
    <w:pPr>
      <w:widowControl/>
      <w:spacing w:after="200" w:line="276" w:lineRule="auto"/>
      <w:ind w:left="720"/>
      <w:contextualSpacing/>
      <w:jc w:val="left"/>
    </w:pPr>
    <w:rPr>
      <w:kern w:val="0"/>
      <w:sz w:val="22"/>
      <w:szCs w:val="22"/>
      <w:lang w:eastAsia="en-US"/>
    </w:rPr>
  </w:style>
  <w:style w:type="paragraph" w:customStyle="1" w:styleId="414">
    <w:name w:val="表内文字"/>
    <w:basedOn w:val="1"/>
    <w:autoRedefine/>
    <w:qFormat/>
    <w:uiPriority w:val="0"/>
    <w:pPr>
      <w:widowControl/>
      <w:jc w:val="center"/>
    </w:pPr>
    <w:rPr>
      <w:rFonts w:ascii="宋体" w:hAnsi="宋体"/>
      <w:sz w:val="24"/>
    </w:rPr>
  </w:style>
  <w:style w:type="paragraph" w:customStyle="1" w:styleId="415">
    <w:name w:val="C11"/>
    <w:basedOn w:val="1"/>
    <w:autoRedefine/>
    <w:qFormat/>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1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7">
    <w:name w:val="正文3"/>
    <w:autoRedefine/>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18">
    <w:name w:val="文档正文 Char"/>
    <w:basedOn w:val="1"/>
    <w:autoRedefine/>
    <w:qFormat/>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9">
    <w:name w:val="TOC 标题1"/>
    <w:basedOn w:val="2"/>
    <w:next w:val="1"/>
    <w:autoRedefine/>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20">
    <w:name w:val="列出段落2"/>
    <w:basedOn w:val="1"/>
    <w:autoRedefine/>
    <w:qFormat/>
    <w:uiPriority w:val="0"/>
    <w:pPr>
      <w:spacing w:line="360" w:lineRule="auto"/>
      <w:ind w:firstLine="420" w:firstLineChars="200"/>
    </w:pPr>
    <w:rPr>
      <w:sz w:val="24"/>
      <w:szCs w:val="22"/>
    </w:rPr>
  </w:style>
  <w:style w:type="paragraph" w:customStyle="1" w:styleId="421">
    <w:name w:val="Char Char Char 字元 字元"/>
    <w:basedOn w:val="1"/>
    <w:autoRedefine/>
    <w:qFormat/>
    <w:uiPriority w:val="0"/>
    <w:pPr>
      <w:widowControl/>
      <w:spacing w:line="360" w:lineRule="auto"/>
      <w:ind w:firstLine="200" w:firstLineChars="200"/>
      <w:jc w:val="left"/>
    </w:pPr>
    <w:rPr>
      <w:szCs w:val="20"/>
    </w:rPr>
  </w:style>
  <w:style w:type="paragraph" w:customStyle="1" w:styleId="422">
    <w:name w:val="表身"/>
    <w:basedOn w:val="1"/>
    <w:autoRedefine/>
    <w:qFormat/>
    <w:uiPriority w:val="0"/>
    <w:pPr>
      <w:autoSpaceDE w:val="0"/>
      <w:autoSpaceDN w:val="0"/>
      <w:adjustRightInd w:val="0"/>
      <w:jc w:val="left"/>
    </w:pPr>
    <w:rPr>
      <w:kern w:val="0"/>
      <w:sz w:val="18"/>
      <w:szCs w:val="20"/>
    </w:rPr>
  </w:style>
  <w:style w:type="paragraph" w:customStyle="1" w:styleId="423">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24">
    <w:name w:val="表文1"/>
    <w:basedOn w:val="1"/>
    <w:autoRedefine/>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25">
    <w:name w:val="p16"/>
    <w:basedOn w:val="1"/>
    <w:autoRedefine/>
    <w:qFormat/>
    <w:uiPriority w:val="0"/>
    <w:pPr>
      <w:widowControl/>
      <w:spacing w:before="80" w:after="80"/>
      <w:jc w:val="left"/>
    </w:pPr>
    <w:rPr>
      <w:rFonts w:ascii="Arial" w:hAnsi="Arial" w:cs="Arial"/>
      <w:kern w:val="0"/>
      <w:sz w:val="18"/>
      <w:szCs w:val="18"/>
    </w:rPr>
  </w:style>
  <w:style w:type="paragraph" w:customStyle="1" w:styleId="426">
    <w:name w:val="xl47"/>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7">
    <w:name w:val="五级条标题"/>
    <w:basedOn w:val="399"/>
    <w:next w:val="158"/>
    <w:autoRedefine/>
    <w:qFormat/>
    <w:uiPriority w:val="0"/>
    <w:pPr>
      <w:outlineLvl w:val="6"/>
    </w:pPr>
  </w:style>
  <w:style w:type="paragraph" w:customStyle="1" w:styleId="42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9">
    <w:name w:val="小四 段落 宋体 Char Char"/>
    <w:basedOn w:val="1"/>
    <w:autoRedefine/>
    <w:qFormat/>
    <w:uiPriority w:val="0"/>
    <w:pPr>
      <w:widowControl/>
      <w:spacing w:line="360" w:lineRule="auto"/>
      <w:ind w:firstLine="480" w:firstLineChars="200"/>
      <w:jc w:val="left"/>
    </w:pPr>
    <w:rPr>
      <w:rFonts w:ascii="宋体" w:hAnsi="宋体"/>
      <w:sz w:val="24"/>
    </w:rPr>
  </w:style>
  <w:style w:type="paragraph" w:customStyle="1" w:styleId="430">
    <w:name w:val="标题3级"/>
    <w:basedOn w:val="5"/>
    <w:autoRedefine/>
    <w:qFormat/>
    <w:uiPriority w:val="0"/>
    <w:pPr>
      <w:widowControl/>
      <w:numPr>
        <w:ilvl w:val="2"/>
        <w:numId w:val="2"/>
      </w:numPr>
      <w:tabs>
        <w:tab w:val="left" w:pos="425"/>
        <w:tab w:val="left" w:pos="851"/>
        <w:tab w:val="left" w:pos="902"/>
        <w:tab w:val="clear" w:pos="1742"/>
      </w:tabs>
    </w:pPr>
    <w:rPr>
      <w:rFonts w:ascii="Times New Roman" w:hAnsi="Times New Roman" w:eastAsia="宋体"/>
      <w:bCs w:val="0"/>
      <w:kern w:val="2"/>
      <w:sz w:val="32"/>
      <w:szCs w:val="20"/>
    </w:rPr>
  </w:style>
  <w:style w:type="paragraph" w:customStyle="1" w:styleId="431">
    <w:name w:val="xl4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32">
    <w:name w:val="xl49"/>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33">
    <w:name w:val="样式 宋体 小四 黑色 行距: 1.5 倍行距1"/>
    <w:basedOn w:val="1"/>
    <w:autoRedefine/>
    <w:qFormat/>
    <w:uiPriority w:val="0"/>
    <w:pPr>
      <w:spacing w:line="360" w:lineRule="auto"/>
      <w:ind w:firstLine="480" w:firstLineChars="200"/>
    </w:pPr>
    <w:rPr>
      <w:rFonts w:ascii="宋体" w:hAnsi="宋体" w:cs="宋体"/>
      <w:color w:val="000000"/>
      <w:kern w:val="0"/>
      <w:szCs w:val="20"/>
    </w:rPr>
  </w:style>
  <w:style w:type="paragraph" w:customStyle="1" w:styleId="434">
    <w:name w:val="Char Char Char Char Char Char Char Char Char Char Char Char Char"/>
    <w:basedOn w:val="1"/>
    <w:autoRedefine/>
    <w:qFormat/>
    <w:uiPriority w:val="0"/>
    <w:pPr>
      <w:tabs>
        <w:tab w:val="left" w:pos="432"/>
      </w:tabs>
      <w:ind w:left="432" w:hanging="432"/>
    </w:pPr>
    <w:rPr>
      <w:szCs w:val="22"/>
    </w:rPr>
  </w:style>
  <w:style w:type="paragraph" w:customStyle="1" w:styleId="435">
    <w:name w:val="font8"/>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7">
    <w:name w:val="xl98"/>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38">
    <w:name w:val="样式 首行缩进:  2 字符"/>
    <w:basedOn w:val="1"/>
    <w:autoRedefine/>
    <w:qFormat/>
    <w:uiPriority w:val="0"/>
    <w:pPr>
      <w:spacing w:line="400" w:lineRule="exact"/>
      <w:ind w:firstLine="200" w:firstLineChars="200"/>
    </w:pPr>
    <w:rPr>
      <w:rFonts w:cs="宋体"/>
      <w:sz w:val="24"/>
    </w:rPr>
  </w:style>
  <w:style w:type="paragraph" w:customStyle="1" w:styleId="439">
    <w:name w:val="xl56"/>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40">
    <w:name w:val="xl3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41">
    <w:name w:val="font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2">
    <w:name w:val="xl50"/>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4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444">
    <w:name w:val="集群正文"/>
    <w:basedOn w:val="1"/>
    <w:autoRedefine/>
    <w:qFormat/>
    <w:uiPriority w:val="0"/>
    <w:pPr>
      <w:spacing w:beforeLines="50" w:line="312" w:lineRule="auto"/>
      <w:ind w:firstLine="480" w:firstLineChars="200"/>
    </w:pPr>
    <w:rPr>
      <w:sz w:val="28"/>
      <w:szCs w:val="20"/>
    </w:rPr>
  </w:style>
  <w:style w:type="paragraph" w:customStyle="1" w:styleId="445">
    <w:name w:val="xl89"/>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46">
    <w:name w:val="xl3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7">
    <w:name w:val="Retrait 2"/>
    <w:basedOn w:val="1"/>
    <w:autoRedefine/>
    <w:qFormat/>
    <w:uiPriority w:val="0"/>
    <w:pPr>
      <w:widowControl/>
      <w:spacing w:line="360" w:lineRule="auto"/>
      <w:ind w:left="1417" w:hanging="283"/>
      <w:jc w:val="left"/>
    </w:pPr>
    <w:rPr>
      <w:rFonts w:eastAsia="楷体_GB2312"/>
      <w:bCs/>
      <w:sz w:val="28"/>
      <w:szCs w:val="20"/>
    </w:rPr>
  </w:style>
  <w:style w:type="paragraph" w:customStyle="1" w:styleId="448">
    <w:name w:val="Bullet"/>
    <w:basedOn w:val="1"/>
    <w:autoRedefine/>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9">
    <w:name w:val="数字编号列项（二级）"/>
    <w:autoRedefine/>
    <w:qFormat/>
    <w:uiPriority w:val="0"/>
    <w:pPr>
      <w:tabs>
        <w:tab w:val="left" w:pos="1260"/>
      </w:tabs>
      <w:ind w:left="1259" w:hanging="419"/>
      <w:jc w:val="both"/>
    </w:pPr>
    <w:rPr>
      <w:rFonts w:ascii="宋体" w:hAnsi="Calibri" w:eastAsia="宋体" w:cs="Times New Roman"/>
      <w:sz w:val="21"/>
      <w:lang w:val="en-US" w:eastAsia="zh-CN" w:bidi="ar-SA"/>
    </w:rPr>
  </w:style>
  <w:style w:type="paragraph" w:customStyle="1" w:styleId="450">
    <w:name w:val="xl76"/>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51">
    <w:name w:val="xl35"/>
    <w:basedOn w:val="1"/>
    <w:autoRedefine/>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52">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53">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4">
    <w:name w:val="xl2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5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xl110"/>
    <w:basedOn w:val="1"/>
    <w:autoRedefine/>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57">
    <w:name w:val="Char Char Char Char Char Char Char Char Char1 Char"/>
    <w:basedOn w:val="1"/>
    <w:autoRedefine/>
    <w:qFormat/>
    <w:uiPriority w:val="0"/>
    <w:pPr>
      <w:widowControl/>
      <w:jc w:val="left"/>
    </w:pPr>
    <w:rPr>
      <w:rFonts w:ascii="仿宋_GB2312" w:eastAsia="仿宋_GB2312"/>
      <w:b/>
      <w:sz w:val="32"/>
      <w:szCs w:val="32"/>
    </w:rPr>
  </w:style>
  <w:style w:type="paragraph" w:customStyle="1" w:styleId="458">
    <w:name w:val="Char11"/>
    <w:basedOn w:val="1"/>
    <w:autoRedefine/>
    <w:qFormat/>
    <w:uiPriority w:val="0"/>
    <w:pPr>
      <w:widowControl/>
      <w:jc w:val="left"/>
    </w:pPr>
    <w:rPr>
      <w:rFonts w:ascii="仿宋_GB2312" w:eastAsia="仿宋_GB2312"/>
      <w:b/>
      <w:sz w:val="32"/>
      <w:szCs w:val="20"/>
    </w:rPr>
  </w:style>
  <w:style w:type="paragraph" w:customStyle="1" w:styleId="45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1">
    <w:name w:val="txt"/>
    <w:basedOn w:val="1"/>
    <w:autoRedefine/>
    <w:qFormat/>
    <w:uiPriority w:val="0"/>
    <w:pPr>
      <w:widowControl/>
      <w:spacing w:before="100" w:beforeAutospacing="1" w:after="100" w:afterAutospacing="1" w:line="500" w:lineRule="atLeast"/>
      <w:jc w:val="left"/>
    </w:pPr>
    <w:rPr>
      <w:rFonts w:ascii="宋体" w:hAnsi="宋体"/>
      <w:kern w:val="0"/>
      <w:sz w:val="24"/>
    </w:rPr>
  </w:style>
  <w:style w:type="paragraph" w:customStyle="1" w:styleId="46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3">
    <w:name w:val="前言、引言标题"/>
    <w:next w:val="1"/>
    <w:autoRedefine/>
    <w:qFormat/>
    <w:uiPriority w:val="0"/>
    <w:pPr>
      <w:shd w:val="clear" w:color="auto" w:fill="FFFFFF"/>
      <w:spacing w:before="640" w:after="560"/>
      <w:jc w:val="center"/>
      <w:outlineLvl w:val="0"/>
    </w:pPr>
    <w:rPr>
      <w:rFonts w:ascii="黑体" w:hAnsi="Calibri" w:eastAsia="黑体" w:cs="Times New Roman"/>
      <w:sz w:val="32"/>
      <w:lang w:val="en-US" w:eastAsia="zh-CN" w:bidi="ar-SA"/>
    </w:rPr>
  </w:style>
  <w:style w:type="paragraph" w:customStyle="1" w:styleId="464">
    <w:name w:val="xl3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65">
    <w:name w:val="xl84"/>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66">
    <w:name w:val="Char Char Char"/>
    <w:basedOn w:val="1"/>
    <w:autoRedefine/>
    <w:qFormat/>
    <w:uiPriority w:val="0"/>
    <w:pPr>
      <w:widowControl/>
      <w:jc w:val="left"/>
    </w:pPr>
    <w:rPr>
      <w:rFonts w:ascii="Tahoma" w:hAnsi="Tahoma"/>
      <w:sz w:val="24"/>
      <w:szCs w:val="20"/>
    </w:rPr>
  </w:style>
  <w:style w:type="paragraph" w:customStyle="1" w:styleId="467">
    <w:name w:val="xl5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6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9">
    <w:name w:val="xl108"/>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70">
    <w:name w:val="缺省文本"/>
    <w:basedOn w:val="1"/>
    <w:autoRedefine/>
    <w:qFormat/>
    <w:uiPriority w:val="0"/>
    <w:pPr>
      <w:autoSpaceDE w:val="0"/>
      <w:autoSpaceDN w:val="0"/>
      <w:adjustRightInd w:val="0"/>
      <w:jc w:val="left"/>
    </w:pPr>
    <w:rPr>
      <w:kern w:val="0"/>
      <w:sz w:val="24"/>
    </w:rPr>
  </w:style>
  <w:style w:type="paragraph" w:customStyle="1" w:styleId="471">
    <w:name w:val="_Style 76"/>
    <w:next w:val="1"/>
    <w:autoRedefine/>
    <w:qFormat/>
    <w:uiPriority w:val="0"/>
    <w:pPr>
      <w:widowControl w:val="0"/>
      <w:jc w:val="both"/>
    </w:pPr>
    <w:rPr>
      <w:rFonts w:ascii="Calibri" w:hAnsi="Calibri" w:eastAsia="宋体" w:cs="Times New Roman"/>
      <w:kern w:val="2"/>
      <w:sz w:val="21"/>
      <w:lang w:val="en-US" w:eastAsia="zh-CN" w:bidi="ar-SA"/>
    </w:rPr>
  </w:style>
  <w:style w:type="paragraph" w:styleId="472">
    <w:name w:val="List Paragraph"/>
    <w:basedOn w:val="1"/>
    <w:autoRedefine/>
    <w:qFormat/>
    <w:uiPriority w:val="34"/>
    <w:pPr>
      <w:ind w:firstLine="420" w:firstLineChars="200"/>
    </w:pPr>
    <w:rPr>
      <w:szCs w:val="22"/>
    </w:rPr>
  </w:style>
  <w:style w:type="paragraph" w:customStyle="1" w:styleId="473">
    <w:name w:val="L正文"/>
    <w:basedOn w:val="1"/>
    <w:autoRedefine/>
    <w:qFormat/>
    <w:uiPriority w:val="0"/>
    <w:pPr>
      <w:spacing w:afterLines="50"/>
      <w:ind w:left="160" w:leftChars="160" w:firstLine="200" w:firstLineChars="200"/>
    </w:pPr>
    <w:rPr>
      <w:b/>
    </w:rPr>
  </w:style>
  <w:style w:type="paragraph" w:customStyle="1" w:styleId="474">
    <w:name w:val="xl85"/>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7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6">
    <w:name w:val="正文段"/>
    <w:basedOn w:val="1"/>
    <w:autoRedefine/>
    <w:qFormat/>
    <w:uiPriority w:val="0"/>
    <w:pPr>
      <w:widowControl/>
      <w:adjustRightInd w:val="0"/>
      <w:snapToGrid w:val="0"/>
      <w:spacing w:afterLines="50"/>
      <w:ind w:firstLine="200" w:firstLineChars="200"/>
      <w:jc w:val="left"/>
    </w:pPr>
    <w:rPr>
      <w:kern w:val="0"/>
      <w:sz w:val="24"/>
      <w:szCs w:val="20"/>
    </w:rPr>
  </w:style>
  <w:style w:type="paragraph" w:customStyle="1" w:styleId="477">
    <w:name w:val="xl53"/>
    <w:basedOn w:val="1"/>
    <w:autoRedefine/>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font10"/>
    <w:basedOn w:val="1"/>
    <w:autoRedefine/>
    <w:qFormat/>
    <w:uiPriority w:val="0"/>
    <w:pPr>
      <w:widowControl/>
      <w:spacing w:before="100" w:beforeAutospacing="1" w:after="100" w:afterAutospacing="1"/>
      <w:jc w:val="left"/>
    </w:pPr>
    <w:rPr>
      <w:color w:val="FF0000"/>
      <w:kern w:val="0"/>
      <w:sz w:val="16"/>
      <w:szCs w:val="16"/>
    </w:rPr>
  </w:style>
  <w:style w:type="paragraph" w:customStyle="1" w:styleId="479">
    <w:name w:val="自动更正"/>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80">
    <w:name w:val="Pa9"/>
    <w:basedOn w:val="1"/>
    <w:next w:val="1"/>
    <w:autoRedefine/>
    <w:qFormat/>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81">
    <w:name w:val="4"/>
    <w:basedOn w:val="1"/>
    <w:next w:val="52"/>
    <w:autoRedefine/>
    <w:qFormat/>
    <w:uiPriority w:val="0"/>
    <w:pPr>
      <w:widowControl/>
      <w:spacing w:before="100" w:beforeAutospacing="1" w:after="100" w:afterAutospacing="1"/>
      <w:jc w:val="left"/>
    </w:pPr>
    <w:rPr>
      <w:rFonts w:ascii="宋体" w:hAnsi="宋体"/>
      <w:kern w:val="0"/>
      <w:sz w:val="24"/>
    </w:rPr>
  </w:style>
  <w:style w:type="paragraph" w:customStyle="1" w:styleId="482">
    <w:name w:val="列出段落11"/>
    <w:basedOn w:val="1"/>
    <w:autoRedefine/>
    <w:qFormat/>
    <w:uiPriority w:val="0"/>
    <w:pPr>
      <w:widowControl/>
      <w:ind w:firstLine="420" w:firstLineChars="200"/>
      <w:jc w:val="left"/>
    </w:pPr>
    <w:rPr>
      <w:kern w:val="0"/>
      <w:sz w:val="24"/>
      <w:szCs w:val="20"/>
    </w:rPr>
  </w:style>
  <w:style w:type="paragraph" w:customStyle="1" w:styleId="483">
    <w:name w:val="B标书正文（后加）"/>
    <w:autoRedefine/>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84">
    <w:name w:val="小标题 1"/>
    <w:basedOn w:val="1"/>
    <w:autoRedefine/>
    <w:qFormat/>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85">
    <w:name w:val="样式 Verdana 首行缩进:  0.74 厘米"/>
    <w:basedOn w:val="1"/>
    <w:autoRedefine/>
    <w:qFormat/>
    <w:uiPriority w:val="0"/>
    <w:pPr>
      <w:widowControl/>
      <w:jc w:val="left"/>
    </w:pPr>
    <w:rPr>
      <w:rFonts w:ascii="Verdana" w:hAnsi="Verdana"/>
      <w:szCs w:val="20"/>
    </w:rPr>
  </w:style>
  <w:style w:type="paragraph" w:customStyle="1" w:styleId="486">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7">
    <w:name w:val="xl2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89">
    <w:name w:val="正文段落"/>
    <w:basedOn w:val="1"/>
    <w:autoRedefine/>
    <w:qFormat/>
    <w:uiPriority w:val="0"/>
    <w:pPr>
      <w:spacing w:line="360" w:lineRule="auto"/>
      <w:ind w:firstLine="440" w:firstLineChars="200"/>
    </w:pPr>
    <w:rPr>
      <w:rFonts w:ascii="宋体" w:hAnsi="宋体" w:cs="宋体"/>
      <w:kern w:val="0"/>
      <w:szCs w:val="20"/>
    </w:rPr>
  </w:style>
  <w:style w:type="paragraph" w:customStyle="1" w:styleId="490">
    <w:name w:val="xl54"/>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91">
    <w:name w:val="列表段落2"/>
    <w:basedOn w:val="1"/>
    <w:autoRedefine/>
    <w:qFormat/>
    <w:uiPriority w:val="99"/>
    <w:pPr>
      <w:ind w:firstLine="420" w:firstLineChars="200"/>
    </w:pPr>
    <w:rPr>
      <w:szCs w:val="22"/>
    </w:rPr>
  </w:style>
  <w:style w:type="paragraph" w:customStyle="1" w:styleId="492">
    <w:name w:val="章标题"/>
    <w:next w:val="158"/>
    <w:autoRedefine/>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93">
    <w:name w:val="xl29"/>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94">
    <w:name w:val="Char Char Char Char Char Char Char Char Char Char"/>
    <w:basedOn w:val="19"/>
    <w:autoRedefine/>
    <w:qFormat/>
    <w:uiPriority w:val="0"/>
    <w:pPr>
      <w:shd w:val="clear" w:color="auto" w:fill="000080"/>
    </w:pPr>
    <w:rPr>
      <w:rFonts w:ascii="Tahoma" w:hAnsi="Tahoma"/>
      <w:kern w:val="0"/>
      <w:sz w:val="24"/>
      <w:szCs w:val="24"/>
    </w:rPr>
  </w:style>
  <w:style w:type="paragraph" w:customStyle="1" w:styleId="495">
    <w:name w:val="文档正文"/>
    <w:basedOn w:val="1"/>
    <w:autoRedefine/>
    <w:qFormat/>
    <w:uiPriority w:val="0"/>
    <w:pPr>
      <w:widowControl/>
      <w:ind w:firstLine="567"/>
      <w:jc w:val="left"/>
    </w:pPr>
    <w:rPr>
      <w:rFonts w:ascii="长城仿宋" w:eastAsia="长城仿宋"/>
      <w:sz w:val="28"/>
      <w:szCs w:val="20"/>
    </w:rPr>
  </w:style>
  <w:style w:type="paragraph" w:customStyle="1" w:styleId="496">
    <w:name w:val="a2"/>
    <w:basedOn w:val="1"/>
    <w:autoRedefine/>
    <w:qFormat/>
    <w:uiPriority w:val="0"/>
    <w:pPr>
      <w:widowControl/>
      <w:spacing w:before="100" w:beforeAutospacing="1" w:after="100" w:afterAutospacing="1"/>
      <w:jc w:val="left"/>
    </w:pPr>
    <w:rPr>
      <w:rFonts w:ascii="Arial Unicode MS" w:hAnsi="Arial Unicode MS"/>
      <w:kern w:val="0"/>
      <w:sz w:val="24"/>
    </w:rPr>
  </w:style>
  <w:style w:type="paragraph" w:customStyle="1" w:styleId="497">
    <w:name w:val="msolistparagraph"/>
    <w:basedOn w:val="1"/>
    <w:autoRedefine/>
    <w:qFormat/>
    <w:uiPriority w:val="0"/>
    <w:pPr>
      <w:ind w:firstLine="420" w:firstLineChars="200"/>
    </w:pPr>
    <w:rPr>
      <w:szCs w:val="20"/>
    </w:rPr>
  </w:style>
  <w:style w:type="paragraph" w:customStyle="1" w:styleId="49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1">
    <w:name w:val="straightmatter"/>
    <w:basedOn w:val="1"/>
    <w:autoRedefine/>
    <w:qFormat/>
    <w:uiPriority w:val="0"/>
    <w:pPr>
      <w:widowControl/>
      <w:spacing w:before="120" w:after="120" w:line="288" w:lineRule="atLeast"/>
      <w:ind w:left="120" w:right="120"/>
      <w:jc w:val="left"/>
    </w:pPr>
    <w:rPr>
      <w:rFonts w:ascii="宋体" w:hAnsi="宋体"/>
      <w:color w:val="52987C"/>
      <w:kern w:val="0"/>
      <w:sz w:val="24"/>
    </w:rPr>
  </w:style>
  <w:style w:type="paragraph" w:customStyle="1" w:styleId="50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3">
    <w:name w:val="xl75"/>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50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5">
    <w:name w:val="无间隔3"/>
    <w:basedOn w:val="1"/>
    <w:autoRedefine/>
    <w:qFormat/>
    <w:uiPriority w:val="0"/>
    <w:pPr>
      <w:snapToGrid w:val="0"/>
    </w:pPr>
    <w:rPr>
      <w:rFonts w:ascii="仿宋_GB2312" w:eastAsia="仿宋_GB2312"/>
      <w:b/>
      <w:kern w:val="0"/>
      <w:sz w:val="30"/>
    </w:rPr>
  </w:style>
  <w:style w:type="paragraph" w:customStyle="1" w:styleId="506">
    <w:name w:val="List Paragraph2"/>
    <w:basedOn w:val="1"/>
    <w:autoRedefine/>
    <w:qFormat/>
    <w:uiPriority w:val="0"/>
    <w:pPr>
      <w:widowControl/>
      <w:ind w:firstLine="420" w:firstLineChars="200"/>
      <w:jc w:val="left"/>
    </w:pPr>
    <w:rPr>
      <w:kern w:val="0"/>
      <w:sz w:val="20"/>
      <w:szCs w:val="20"/>
    </w:rPr>
  </w:style>
  <w:style w:type="paragraph" w:customStyle="1" w:styleId="50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8">
    <w:name w:val="xl60"/>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9">
    <w:name w:val="Char Char Char Char Char Char1"/>
    <w:basedOn w:val="1"/>
    <w:next w:val="2"/>
    <w:autoRedefine/>
    <w:qFormat/>
    <w:uiPriority w:val="0"/>
    <w:pPr>
      <w:widowControl/>
      <w:spacing w:before="100" w:beforeAutospacing="1" w:after="100" w:afterAutospacing="1" w:line="420" w:lineRule="auto"/>
      <w:jc w:val="left"/>
      <w:textAlignment w:val="top"/>
    </w:pPr>
    <w:rPr>
      <w:szCs w:val="20"/>
    </w:rPr>
  </w:style>
  <w:style w:type="paragraph" w:customStyle="1" w:styleId="510">
    <w:name w:val="默认段落字体 Para Char Char Char Char Char Char Char"/>
    <w:basedOn w:val="1"/>
    <w:autoRedefine/>
    <w:qFormat/>
    <w:uiPriority w:val="0"/>
    <w:pPr>
      <w:widowControl/>
      <w:jc w:val="left"/>
    </w:pPr>
    <w:rPr>
      <w:rFonts w:ascii="Tahoma" w:hAnsi="Tahoma"/>
      <w:sz w:val="24"/>
      <w:szCs w:val="20"/>
    </w:rPr>
  </w:style>
  <w:style w:type="paragraph" w:customStyle="1" w:styleId="511">
    <w:name w:val="xl23"/>
    <w:basedOn w:val="1"/>
    <w:autoRedefine/>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12">
    <w:name w:val="修订11"/>
    <w:autoRedefine/>
    <w:qFormat/>
    <w:uiPriority w:val="0"/>
    <w:rPr>
      <w:rFonts w:ascii="Calibri" w:hAnsi="Calibri" w:eastAsia="宋体" w:cs="Times New Roman"/>
      <w:kern w:val="2"/>
      <w:sz w:val="21"/>
      <w:szCs w:val="24"/>
      <w:lang w:val="en-US" w:eastAsia="zh-CN" w:bidi="ar-SA"/>
    </w:rPr>
  </w:style>
  <w:style w:type="paragraph" w:customStyle="1" w:styleId="513">
    <w:name w:val="小四 段落 宋体 Char Char Char"/>
    <w:basedOn w:val="17"/>
    <w:autoRedefine/>
    <w:qFormat/>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14">
    <w:name w:val="xl8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15">
    <w:name w:val="正文文本1"/>
    <w:basedOn w:val="1"/>
    <w:autoRedefine/>
    <w:qFormat/>
    <w:uiPriority w:val="0"/>
    <w:pPr>
      <w:spacing w:after="120"/>
    </w:pPr>
    <w:rPr>
      <w:kern w:val="0"/>
      <w:sz w:val="20"/>
    </w:rPr>
  </w:style>
  <w:style w:type="paragraph" w:customStyle="1" w:styleId="516">
    <w:name w:val="樣式1"/>
    <w:basedOn w:val="448"/>
    <w:autoRedefine/>
    <w:qFormat/>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17">
    <w:name w:val="Pa10"/>
    <w:basedOn w:val="1"/>
    <w:next w:val="1"/>
    <w:autoRedefine/>
    <w:qFormat/>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18">
    <w:name w:val="content"/>
    <w:basedOn w:val="1"/>
    <w:autoRedefine/>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19">
    <w:name w:val="5"/>
    <w:basedOn w:val="1"/>
    <w:next w:val="24"/>
    <w:autoRedefine/>
    <w:qFormat/>
    <w:uiPriority w:val="0"/>
    <w:pPr>
      <w:widowControl/>
      <w:ind w:right="26"/>
      <w:jc w:val="left"/>
    </w:pPr>
    <w:rPr>
      <w:rFonts w:ascii="楷体_GB2312" w:eastAsia="楷体_GB2312"/>
      <w:spacing w:val="4"/>
      <w:kern w:val="0"/>
      <w:sz w:val="28"/>
      <w:szCs w:val="20"/>
    </w:rPr>
  </w:style>
  <w:style w:type="paragraph" w:customStyle="1" w:styleId="520">
    <w:name w:val="xl6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21">
    <w:name w:val="xl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table" w:customStyle="1" w:styleId="522">
    <w:name w:val="书籍标题1"/>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523">
    <w:name w:val="中等深浅网格 31"/>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524">
    <w:name w:val="网格型1"/>
    <w:basedOn w:val="5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网格型2"/>
    <w:basedOn w:val="5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6">
    <w:name w:val="修订2"/>
    <w:autoRedefine/>
    <w:hidden/>
    <w:unhideWhenUsed/>
    <w:qFormat/>
    <w:uiPriority w:val="99"/>
    <w:rPr>
      <w:rFonts w:ascii="Calibri" w:hAnsi="Calibri" w:eastAsia="宋体" w:cs="Times New Roman"/>
      <w:kern w:val="2"/>
      <w:sz w:val="21"/>
      <w:szCs w:val="24"/>
      <w:lang w:val="en-US" w:eastAsia="zh-CN" w:bidi="ar-SA"/>
    </w:rPr>
  </w:style>
  <w:style w:type="paragraph" w:customStyle="1" w:styleId="527">
    <w:name w:val="a 正文"/>
    <w:basedOn w:val="1"/>
    <w:autoRedefine/>
    <w:qFormat/>
    <w:uiPriority w:val="0"/>
    <w:pPr>
      <w:spacing w:line="360" w:lineRule="auto"/>
      <w:ind w:firstLine="480" w:firstLineChars="200"/>
    </w:pPr>
    <w:rPr>
      <w:rFonts w:ascii="宋体" w:hAnsi="宋体"/>
      <w:sz w:val="24"/>
      <w:lang w:val="zh-CN"/>
    </w:rPr>
  </w:style>
  <w:style w:type="paragraph" w:customStyle="1" w:styleId="528">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529">
    <w:name w:val="修订4"/>
    <w:autoRedefine/>
    <w:hidden/>
    <w:semiHidden/>
    <w:qFormat/>
    <w:uiPriority w:val="99"/>
    <w:rPr>
      <w:rFonts w:ascii="Calibri" w:hAnsi="Calibri" w:eastAsia="宋体" w:cs="Times New Roman"/>
      <w:kern w:val="2"/>
      <w:sz w:val="21"/>
      <w:szCs w:val="24"/>
      <w:lang w:val="en-US" w:eastAsia="zh-CN" w:bidi="ar-SA"/>
    </w:rPr>
  </w:style>
  <w:style w:type="paragraph" w:customStyle="1" w:styleId="530">
    <w:name w:val="正文360首行缩进"/>
    <w:basedOn w:val="1"/>
    <w:autoRedefine/>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531">
    <w:name w:val="inline-comment-marker"/>
    <w:autoRedefine/>
    <w:qFormat/>
    <w:uiPriority w:val="0"/>
  </w:style>
  <w:style w:type="paragraph" w:customStyle="1" w:styleId="532">
    <w:name w:val="修订5"/>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theme" Target="theme/theme1.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65"/>
    <customShpInfo spid="_x0000_s1026" textRotate="1"/>
    <customShpInfo spid="_x0000_s1062"/>
    <customShpInfo spid="_x0000_s1058"/>
    <customShpInfo spid="_x0000_s1056"/>
    <customShpInfo spid="_x0000_s1052"/>
    <customShpInfo spid="_x0000_s1042"/>
    <customShpInfo spid="_x0000_s1038"/>
    <customShpInfo spid="_x0000_s1067"/>
    <customShpInfo spid="_x0000_s1066"/>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98</Pages>
  <Words>47855</Words>
  <Characters>54457</Characters>
  <Lines>433</Lines>
  <Paragraphs>122</Paragraphs>
  <TotalTime>25</TotalTime>
  <ScaleCrop>false</ScaleCrop>
  <LinksUpToDate>false</LinksUpToDate>
  <CharactersWithSpaces>56997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2022-08-04T16:23:00Z</dcterms:created>
  <dc:creator>谢武剑-浙江省成套招标代理有限公司</dc:creator>
  <cp:lastModifiedBy>WPS_1546066216</cp:lastModifiedBy>
  <cp:lastPrinted>2022-08-02T16:34:00Z</cp:lastPrinted>
  <dcterms:modified xsi:type="dcterms:W3CDTF">2024-08-10T01:11:58Z</dcterms:modified>
  <dc:title>杭州市拱墅区政府采购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2B44C0DA7D294AF5AE68144BD4303C67</vt:lpwstr>
  </property>
  <property fmtid="{D5CDD505-2E9C-101B-9397-08002B2CF9AE}" pid="5" name="commondata">
    <vt:lpwstr>eyJoZGlkIjoiNDM3ODYyNTk4M2M5NTRlNjhjYTczYzVjYWQwZDI3NjIifQ==</vt:lpwstr>
  </property>
</Properties>
</file>