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EF070">
      <w:pPr>
        <w:jc w:val="center"/>
        <w:rPr>
          <w:rFonts w:hint="eastAsia" w:ascii="宋体" w:hAnsi="宋体" w:cs="宋体"/>
          <w:b/>
          <w:bCs/>
          <w:color w:val="auto"/>
          <w:spacing w:val="100"/>
          <w:sz w:val="84"/>
          <w:szCs w:val="84"/>
          <w:highlight w:val="none"/>
        </w:rPr>
      </w:pPr>
      <w:r>
        <w:rPr>
          <w:rFonts w:hint="eastAsia" w:ascii="宋体" w:hAnsi="宋体" w:cs="宋体"/>
          <w:b/>
          <w:bCs/>
          <w:color w:val="auto"/>
          <w:spacing w:val="100"/>
          <w:sz w:val="84"/>
          <w:szCs w:val="84"/>
          <w:highlight w:val="none"/>
          <w:lang w:val="en-US" w:eastAsia="zh-CN"/>
        </w:rPr>
        <w:t>鹿城区</w:t>
      </w:r>
      <w:r>
        <w:rPr>
          <w:rFonts w:hint="eastAsia" w:ascii="宋体" w:hAnsi="宋体" w:cs="宋体"/>
          <w:b/>
          <w:bCs/>
          <w:color w:val="auto"/>
          <w:spacing w:val="100"/>
          <w:sz w:val="84"/>
          <w:szCs w:val="84"/>
          <w:highlight w:val="none"/>
        </w:rPr>
        <w:t>政府采购</w:t>
      </w:r>
    </w:p>
    <w:p w14:paraId="6BC72E77">
      <w:pPr>
        <w:jc w:val="center"/>
        <w:rPr>
          <w:rFonts w:hint="eastAsia" w:ascii="宋体" w:hAnsi="宋体" w:cs="宋体"/>
          <w:b/>
          <w:bCs/>
          <w:color w:val="auto"/>
          <w:spacing w:val="26"/>
          <w:sz w:val="52"/>
          <w:highlight w:val="none"/>
        </w:rPr>
      </w:pPr>
    </w:p>
    <w:p w14:paraId="562EDCC8">
      <w:pPr>
        <w:jc w:val="center"/>
        <w:rPr>
          <w:rFonts w:hint="eastAsia" w:ascii="宋体" w:hAnsi="宋体" w:cs="宋体"/>
          <w:b/>
          <w:bCs/>
          <w:color w:val="auto"/>
          <w:spacing w:val="140"/>
          <w:sz w:val="72"/>
          <w:highlight w:val="none"/>
        </w:rPr>
      </w:pPr>
    </w:p>
    <w:p w14:paraId="22EF334F">
      <w:pPr>
        <w:spacing w:line="900" w:lineRule="exact"/>
        <w:jc w:val="center"/>
        <w:rPr>
          <w:rFonts w:hint="eastAsia" w:ascii="宋体" w:hAnsi="宋体" w:cs="宋体"/>
          <w:b/>
          <w:bCs/>
          <w:color w:val="auto"/>
          <w:spacing w:val="140"/>
          <w:sz w:val="44"/>
          <w:szCs w:val="44"/>
          <w:highlight w:val="none"/>
        </w:rPr>
      </w:pPr>
      <w:r>
        <w:rPr>
          <w:rFonts w:hint="eastAsia" w:ascii="宋体" w:hAnsi="宋体" w:cs="宋体"/>
          <w:b/>
          <w:bCs/>
          <w:color w:val="auto"/>
          <w:spacing w:val="140"/>
          <w:sz w:val="44"/>
          <w:szCs w:val="44"/>
          <w:highlight w:val="none"/>
        </w:rPr>
        <w:t>竞争性磋商文件</w:t>
      </w:r>
    </w:p>
    <w:p w14:paraId="6E895E7A">
      <w:pPr>
        <w:spacing w:line="600" w:lineRule="exact"/>
        <w:jc w:val="center"/>
        <w:rPr>
          <w:rFonts w:hint="eastAsia" w:ascii="宋体" w:hAnsi="宋体" w:cs="宋体"/>
          <w:b/>
          <w:bCs/>
          <w:color w:val="auto"/>
          <w:spacing w:val="140"/>
          <w:sz w:val="84"/>
          <w:szCs w:val="84"/>
          <w:highlight w:val="none"/>
        </w:rPr>
      </w:pPr>
    </w:p>
    <w:p w14:paraId="73ABE721">
      <w:pPr>
        <w:spacing w:line="400" w:lineRule="exact"/>
        <w:jc w:val="center"/>
        <w:rPr>
          <w:rFonts w:hint="eastAsia" w:ascii="宋体" w:hAnsi="宋体" w:cs="宋体"/>
          <w:b/>
          <w:bCs/>
          <w:color w:val="auto"/>
          <w:sz w:val="32"/>
          <w:szCs w:val="32"/>
          <w:highlight w:val="none"/>
        </w:rPr>
      </w:pPr>
    </w:p>
    <w:p w14:paraId="71BBBFDD">
      <w:pPr>
        <w:jc w:val="center"/>
        <w:rPr>
          <w:rFonts w:hint="eastAsia" w:ascii="宋体" w:hAnsi="宋体" w:cs="宋体"/>
          <w:color w:val="auto"/>
          <w:spacing w:val="40"/>
          <w:sz w:val="30"/>
          <w:szCs w:val="30"/>
          <w:highlight w:val="none"/>
        </w:rPr>
      </w:pPr>
    </w:p>
    <w:p w14:paraId="77C32C3D">
      <w:pPr>
        <w:jc w:val="center"/>
        <w:rPr>
          <w:rFonts w:hint="eastAsia" w:ascii="宋体" w:hAnsi="宋体" w:cs="宋体"/>
          <w:color w:val="auto"/>
          <w:spacing w:val="40"/>
          <w:sz w:val="30"/>
          <w:szCs w:val="30"/>
          <w:highlight w:val="none"/>
        </w:rPr>
      </w:pPr>
    </w:p>
    <w:tbl>
      <w:tblPr>
        <w:tblStyle w:val="54"/>
        <w:tblW w:w="4692" w:type="dxa"/>
        <w:jc w:val="center"/>
        <w:tblLayout w:type="fixed"/>
        <w:tblCellMar>
          <w:top w:w="0" w:type="dxa"/>
          <w:left w:w="108" w:type="dxa"/>
          <w:bottom w:w="0" w:type="dxa"/>
          <w:right w:w="108" w:type="dxa"/>
        </w:tblCellMar>
      </w:tblPr>
      <w:tblGrid>
        <w:gridCol w:w="1559"/>
        <w:gridCol w:w="3133"/>
      </w:tblGrid>
      <w:tr w14:paraId="6B64B52F">
        <w:tblPrEx>
          <w:tblCellMar>
            <w:top w:w="0" w:type="dxa"/>
            <w:left w:w="108" w:type="dxa"/>
            <w:bottom w:w="0" w:type="dxa"/>
            <w:right w:w="108" w:type="dxa"/>
          </w:tblCellMar>
        </w:tblPrEx>
        <w:trPr>
          <w:trHeight w:val="1089" w:hRule="atLeast"/>
          <w:jc w:val="center"/>
        </w:trPr>
        <w:tc>
          <w:tcPr>
            <w:tcW w:w="1559" w:type="dxa"/>
            <w:vAlign w:val="center"/>
          </w:tcPr>
          <w:p w14:paraId="4B4F2BC2">
            <w:pPr>
              <w:rPr>
                <w:rFonts w:hint="eastAsia" w:ascii="宋体" w:hAnsi="宋体" w:cs="宋体"/>
                <w:b/>
                <w:color w:val="auto"/>
                <w:sz w:val="28"/>
                <w:szCs w:val="28"/>
                <w:highlight w:val="none"/>
              </w:rPr>
            </w:pPr>
            <w:r>
              <w:rPr>
                <w:rFonts w:hint="eastAsia" w:ascii="宋体" w:hAnsi="宋体" w:cs="宋体"/>
                <w:b/>
                <w:color w:val="auto"/>
                <w:sz w:val="28"/>
                <w:szCs w:val="28"/>
                <w:highlight w:val="none"/>
              </w:rPr>
              <w:t>项目编号：</w:t>
            </w:r>
          </w:p>
        </w:tc>
        <w:tc>
          <w:tcPr>
            <w:tcW w:w="3133" w:type="dxa"/>
            <w:vAlign w:val="center"/>
          </w:tcPr>
          <w:p w14:paraId="25E4E222">
            <w:pP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ZXZB-F20250117-AB</w:t>
            </w:r>
          </w:p>
        </w:tc>
      </w:tr>
      <w:tr w14:paraId="0DF76105">
        <w:tblPrEx>
          <w:tblCellMar>
            <w:top w:w="0" w:type="dxa"/>
            <w:left w:w="108" w:type="dxa"/>
            <w:bottom w:w="0" w:type="dxa"/>
            <w:right w:w="108" w:type="dxa"/>
          </w:tblCellMar>
        </w:tblPrEx>
        <w:trPr>
          <w:trHeight w:val="1113" w:hRule="atLeast"/>
          <w:jc w:val="center"/>
        </w:trPr>
        <w:tc>
          <w:tcPr>
            <w:tcW w:w="1559" w:type="dxa"/>
            <w:vAlign w:val="center"/>
          </w:tcPr>
          <w:p w14:paraId="48D03127">
            <w:pPr>
              <w:rPr>
                <w:rFonts w:hint="eastAsia" w:ascii="宋体" w:hAnsi="宋体" w:cs="宋体"/>
                <w:b/>
                <w:color w:val="auto"/>
                <w:sz w:val="28"/>
                <w:szCs w:val="28"/>
                <w:highlight w:val="none"/>
              </w:rPr>
            </w:pPr>
            <w:r>
              <w:rPr>
                <w:rFonts w:hint="eastAsia" w:ascii="宋体" w:hAnsi="宋体" w:cs="宋体"/>
                <w:b/>
                <w:color w:val="auto"/>
                <w:sz w:val="28"/>
                <w:szCs w:val="28"/>
                <w:highlight w:val="none"/>
              </w:rPr>
              <w:t>项目名称：</w:t>
            </w:r>
          </w:p>
        </w:tc>
        <w:tc>
          <w:tcPr>
            <w:tcW w:w="3133" w:type="dxa"/>
            <w:vAlign w:val="center"/>
          </w:tcPr>
          <w:p w14:paraId="2A150AA4">
            <w:pP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鹿城区政务服务中心安保服务采购项目</w:t>
            </w:r>
          </w:p>
        </w:tc>
      </w:tr>
      <w:tr w14:paraId="5D84B311">
        <w:tblPrEx>
          <w:tblCellMar>
            <w:top w:w="0" w:type="dxa"/>
            <w:left w:w="108" w:type="dxa"/>
            <w:bottom w:w="0" w:type="dxa"/>
            <w:right w:w="108" w:type="dxa"/>
          </w:tblCellMar>
        </w:tblPrEx>
        <w:trPr>
          <w:trHeight w:val="1074" w:hRule="atLeast"/>
          <w:jc w:val="center"/>
        </w:trPr>
        <w:tc>
          <w:tcPr>
            <w:tcW w:w="1559" w:type="dxa"/>
            <w:vAlign w:val="center"/>
          </w:tcPr>
          <w:p w14:paraId="33B87E08">
            <w:pPr>
              <w:rPr>
                <w:rFonts w:hint="eastAsia" w:ascii="宋体" w:hAnsi="宋体" w:cs="宋体"/>
                <w:b/>
                <w:color w:val="auto"/>
                <w:sz w:val="28"/>
                <w:szCs w:val="28"/>
                <w:highlight w:val="none"/>
              </w:rPr>
            </w:pPr>
            <w:r>
              <w:rPr>
                <w:rFonts w:hint="eastAsia" w:ascii="宋体" w:hAnsi="宋体" w:cs="宋体"/>
                <w:b/>
                <w:color w:val="auto"/>
                <w:sz w:val="28"/>
                <w:szCs w:val="28"/>
                <w:highlight w:val="none"/>
              </w:rPr>
              <w:t>采购方式：</w:t>
            </w:r>
          </w:p>
        </w:tc>
        <w:tc>
          <w:tcPr>
            <w:tcW w:w="3133" w:type="dxa"/>
            <w:vAlign w:val="center"/>
          </w:tcPr>
          <w:p w14:paraId="06876191">
            <w:pPr>
              <w:rPr>
                <w:rFonts w:hint="eastAsia" w:ascii="宋体" w:hAnsi="宋体" w:cs="宋体"/>
                <w:b/>
                <w:color w:val="auto"/>
                <w:sz w:val="28"/>
                <w:szCs w:val="28"/>
                <w:highlight w:val="none"/>
              </w:rPr>
            </w:pPr>
            <w:r>
              <w:rPr>
                <w:rFonts w:hint="eastAsia" w:ascii="宋体" w:hAnsi="宋体" w:cs="宋体"/>
                <w:b/>
                <w:color w:val="auto"/>
                <w:sz w:val="28"/>
                <w:szCs w:val="28"/>
                <w:highlight w:val="none"/>
              </w:rPr>
              <w:t>竞争性磋商</w:t>
            </w:r>
          </w:p>
        </w:tc>
      </w:tr>
    </w:tbl>
    <w:p w14:paraId="309BF4F9">
      <w:pPr>
        <w:spacing w:line="600" w:lineRule="exact"/>
        <w:ind w:firstLine="904" w:firstLineChars="30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                 </w:t>
      </w:r>
    </w:p>
    <w:p w14:paraId="2557B2CE">
      <w:pPr>
        <w:spacing w:line="600" w:lineRule="exact"/>
        <w:rPr>
          <w:rFonts w:hint="eastAsia" w:ascii="宋体" w:hAnsi="宋体" w:cs="宋体"/>
          <w:b/>
          <w:color w:val="auto"/>
          <w:sz w:val="30"/>
          <w:szCs w:val="30"/>
          <w:highlight w:val="none"/>
        </w:rPr>
      </w:pPr>
    </w:p>
    <w:p w14:paraId="670220AE">
      <w:pPr>
        <w:pStyle w:val="7"/>
        <w:rPr>
          <w:rFonts w:hint="eastAsia" w:ascii="宋体" w:hAnsi="宋体" w:cs="宋体"/>
          <w:color w:val="auto"/>
          <w:highlight w:val="none"/>
        </w:rPr>
      </w:pPr>
    </w:p>
    <w:p w14:paraId="080331F1">
      <w:pPr>
        <w:spacing w:line="480" w:lineRule="auto"/>
        <w:ind w:firstLine="744" w:firstLineChars="247"/>
        <w:rPr>
          <w:rFonts w:hint="eastAsia" w:ascii="宋体" w:hAnsi="宋体" w:cs="宋体"/>
          <w:b/>
          <w:color w:val="auto"/>
          <w:sz w:val="30"/>
          <w:szCs w:val="30"/>
          <w:highlight w:val="none"/>
        </w:rPr>
      </w:pPr>
    </w:p>
    <w:p w14:paraId="2E0DC101">
      <w:pPr>
        <w:spacing w:line="480" w:lineRule="auto"/>
        <w:ind w:firstLine="1906" w:firstLineChars="633"/>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lang w:eastAsia="zh-CN"/>
        </w:rPr>
        <w:t>温州市鹿城区政务服务中心</w:t>
      </w:r>
    </w:p>
    <w:p w14:paraId="5A562C1D">
      <w:pPr>
        <w:spacing w:line="480" w:lineRule="auto"/>
        <w:ind w:firstLine="1906" w:firstLineChars="633"/>
        <w:jc w:val="left"/>
        <w:rPr>
          <w:rFonts w:hint="eastAsia" w:ascii="宋体" w:hAnsi="宋体" w:cs="宋体"/>
          <w:b/>
          <w:color w:val="auto"/>
          <w:sz w:val="30"/>
          <w:szCs w:val="30"/>
          <w:highlight w:val="none"/>
        </w:rPr>
      </w:pPr>
      <w:r>
        <w:rPr>
          <w:rFonts w:hint="eastAsia" w:ascii="宋体" w:hAnsi="宋体" w:cs="宋体"/>
          <w:b/>
          <w:color w:val="auto"/>
          <w:sz w:val="30"/>
          <w:szCs w:val="30"/>
          <w:highlight w:val="none"/>
        </w:rPr>
        <w:t>采购代理机构：温州市智信招标代理有限公司</w:t>
      </w:r>
    </w:p>
    <w:p w14:paraId="15B16228">
      <w:pPr>
        <w:spacing w:line="600" w:lineRule="exact"/>
        <w:jc w:val="center"/>
        <w:rPr>
          <w:rFonts w:hint="eastAsia" w:ascii="宋体" w:hAnsi="宋体" w:cs="宋体"/>
          <w:b/>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linePitch="312" w:charSpace="0"/>
        </w:sectPr>
      </w:pPr>
      <w:r>
        <w:rPr>
          <w:rFonts w:hint="eastAsia" w:ascii="宋体" w:hAnsi="宋体" w:cs="宋体"/>
          <w:b/>
          <w:color w:val="auto"/>
          <w:sz w:val="30"/>
          <w:szCs w:val="30"/>
          <w:highlight w:val="none"/>
        </w:rPr>
        <w:t xml:space="preserve">     二○二</w:t>
      </w:r>
      <w:r>
        <w:rPr>
          <w:rFonts w:hint="eastAsia" w:ascii="宋体" w:hAnsi="宋体" w:cs="宋体"/>
          <w:b/>
          <w:color w:val="auto"/>
          <w:sz w:val="30"/>
          <w:szCs w:val="30"/>
          <w:highlight w:val="none"/>
          <w:lang w:val="en-US" w:eastAsia="zh-CN"/>
        </w:rPr>
        <w:t>五</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二</w:t>
      </w:r>
      <w:r>
        <w:rPr>
          <w:rFonts w:hint="eastAsia" w:ascii="宋体" w:hAnsi="宋体" w:cs="宋体"/>
          <w:b/>
          <w:color w:val="auto"/>
          <w:sz w:val="30"/>
          <w:szCs w:val="30"/>
          <w:highlight w:val="none"/>
        </w:rPr>
        <w:t>月</w:t>
      </w:r>
    </w:p>
    <w:p w14:paraId="0E39BF70">
      <w:pPr>
        <w:rPr>
          <w:rFonts w:hint="eastAsia" w:ascii="宋体" w:hAnsi="宋体" w:cs="宋体"/>
          <w:b/>
          <w:bCs/>
          <w:color w:val="auto"/>
          <w:szCs w:val="21"/>
          <w:highlight w:val="none"/>
        </w:rPr>
      </w:pPr>
    </w:p>
    <w:p w14:paraId="73A60029">
      <w:pPr>
        <w:spacing w:line="6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目    录</w:t>
      </w:r>
    </w:p>
    <w:p w14:paraId="171A83B7">
      <w:pPr>
        <w:spacing w:line="600" w:lineRule="exact"/>
        <w:jc w:val="center"/>
        <w:rPr>
          <w:rFonts w:hint="eastAsia" w:ascii="宋体" w:hAnsi="宋体" w:cs="宋体"/>
          <w:b/>
          <w:bCs/>
          <w:color w:val="auto"/>
          <w:sz w:val="32"/>
          <w:szCs w:val="32"/>
          <w:highlight w:val="none"/>
        </w:rPr>
      </w:pPr>
    </w:p>
    <w:p w14:paraId="2B70372C">
      <w:pPr>
        <w:pStyle w:val="39"/>
        <w:tabs>
          <w:tab w:val="right" w:leader="dot" w:pos="9628"/>
        </w:tabs>
        <w:spacing w:line="480" w:lineRule="auto"/>
        <w:ind w:left="821" w:hanging="821"/>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TOC \o "1-3" \h \z \u </w:instrText>
      </w:r>
      <w:r>
        <w:rPr>
          <w:rFonts w:hint="eastAsia" w:ascii="宋体" w:hAnsi="宋体" w:eastAsia="宋体" w:cs="宋体"/>
          <w:color w:val="auto"/>
          <w:sz w:val="24"/>
          <w:highlight w:val="none"/>
        </w:rPr>
        <w:fldChar w:fldCharType="separate"/>
      </w:r>
      <w:r>
        <w:rPr>
          <w:color w:val="auto"/>
          <w:highlight w:val="none"/>
        </w:rPr>
        <w:fldChar w:fldCharType="begin"/>
      </w:r>
      <w:r>
        <w:rPr>
          <w:color w:val="auto"/>
          <w:highlight w:val="none"/>
        </w:rPr>
        <w:instrText xml:space="preserve"> HYPERLINK \l "_Toc58832080" </w:instrText>
      </w:r>
      <w:r>
        <w:rPr>
          <w:color w:val="auto"/>
          <w:highlight w:val="none"/>
        </w:rPr>
        <w:fldChar w:fldCharType="separate"/>
      </w:r>
      <w:r>
        <w:rPr>
          <w:rStyle w:val="65"/>
          <w:rFonts w:hint="eastAsia" w:ascii="宋体" w:hAnsi="宋体" w:eastAsia="宋体" w:cs="宋体"/>
          <w:color w:val="auto"/>
          <w:sz w:val="24"/>
          <w:szCs w:val="24"/>
          <w:highlight w:val="none"/>
        </w:rPr>
        <w:t>供应商须知前附表</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_Toc58832080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772A3836">
      <w:pPr>
        <w:pStyle w:val="39"/>
        <w:tabs>
          <w:tab w:val="right" w:leader="dot" w:pos="9628"/>
        </w:tabs>
        <w:spacing w:line="480" w:lineRule="auto"/>
        <w:ind w:left="821" w:hanging="821"/>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"_Toc58832081" </w:instrText>
      </w:r>
      <w:r>
        <w:rPr>
          <w:color w:val="auto"/>
          <w:highlight w:val="none"/>
        </w:rPr>
        <w:fldChar w:fldCharType="separate"/>
      </w:r>
      <w:r>
        <w:rPr>
          <w:rStyle w:val="65"/>
          <w:rFonts w:hint="eastAsia" w:ascii="宋体" w:hAnsi="宋体" w:eastAsia="宋体" w:cs="宋体"/>
          <w:color w:val="auto"/>
          <w:sz w:val="24"/>
          <w:szCs w:val="24"/>
          <w:highlight w:val="none"/>
        </w:rPr>
        <w:t>第一部分    供应商须知</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_Toc58832081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7</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7F9E92B2">
      <w:pPr>
        <w:pStyle w:val="45"/>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"_Toc58832082" </w:instrText>
      </w:r>
      <w:r>
        <w:rPr>
          <w:color w:val="auto"/>
          <w:highlight w:val="none"/>
        </w:rPr>
        <w:fldChar w:fldCharType="separate"/>
      </w:r>
      <w:r>
        <w:rPr>
          <w:rStyle w:val="65"/>
          <w:rFonts w:hint="eastAsia" w:ascii="宋体" w:hAnsi="宋体" w:eastAsia="宋体" w:cs="宋体"/>
          <w:bCs/>
          <w:color w:val="auto"/>
          <w:sz w:val="24"/>
          <w:szCs w:val="24"/>
          <w:highlight w:val="none"/>
        </w:rPr>
        <w:t>一   说 明</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B9A20DD">
      <w:pPr>
        <w:pStyle w:val="45"/>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"_Toc58832083" </w:instrText>
      </w:r>
      <w:r>
        <w:rPr>
          <w:color w:val="auto"/>
          <w:highlight w:val="none"/>
        </w:rPr>
        <w:fldChar w:fldCharType="separate"/>
      </w:r>
      <w:r>
        <w:rPr>
          <w:rStyle w:val="65"/>
          <w:rFonts w:hint="eastAsia" w:ascii="宋体" w:hAnsi="宋体" w:eastAsia="宋体" w:cs="宋体"/>
          <w:bCs/>
          <w:color w:val="auto"/>
          <w:sz w:val="24"/>
          <w:szCs w:val="24"/>
          <w:highlight w:val="none"/>
        </w:rPr>
        <w:t xml:space="preserve">二   </w:t>
      </w:r>
      <w:r>
        <w:rPr>
          <w:rStyle w:val="65"/>
          <w:rFonts w:hint="eastAsia" w:ascii="宋体" w:hAnsi="宋体" w:eastAsia="宋体" w:cs="宋体"/>
          <w:bCs/>
          <w:color w:val="auto"/>
          <w:sz w:val="24"/>
          <w:szCs w:val="24"/>
          <w:highlight w:val="none"/>
          <w:lang w:val="en-US" w:eastAsia="zh-CN"/>
        </w:rPr>
        <w:t>采购</w:t>
      </w:r>
      <w:r>
        <w:rPr>
          <w:rStyle w:val="65"/>
          <w:rFonts w:hint="eastAsia" w:ascii="宋体" w:hAnsi="宋体" w:eastAsia="宋体" w:cs="宋体"/>
          <w:bCs/>
          <w:color w:val="auto"/>
          <w:sz w:val="24"/>
          <w:szCs w:val="24"/>
          <w:highlight w:val="none"/>
        </w:rPr>
        <w:t>文件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C7FDA9C">
      <w:pPr>
        <w:pStyle w:val="45"/>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"_Toc58832084" </w:instrText>
      </w:r>
      <w:r>
        <w:rPr>
          <w:color w:val="auto"/>
          <w:highlight w:val="none"/>
        </w:rPr>
        <w:fldChar w:fldCharType="separate"/>
      </w:r>
      <w:r>
        <w:rPr>
          <w:rStyle w:val="65"/>
          <w:rFonts w:hint="eastAsia" w:ascii="宋体" w:hAnsi="宋体" w:eastAsia="宋体" w:cs="宋体"/>
          <w:bCs/>
          <w:color w:val="auto"/>
          <w:sz w:val="24"/>
          <w:szCs w:val="24"/>
          <w:highlight w:val="none"/>
        </w:rPr>
        <w:t>三   磋商响应文件的编制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C66A1FC">
      <w:pPr>
        <w:pStyle w:val="45"/>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"_Toc58832085" </w:instrText>
      </w:r>
      <w:r>
        <w:rPr>
          <w:color w:val="auto"/>
          <w:highlight w:val="none"/>
        </w:rPr>
        <w:fldChar w:fldCharType="separate"/>
      </w:r>
      <w:r>
        <w:rPr>
          <w:rStyle w:val="65"/>
          <w:rFonts w:hint="eastAsia" w:ascii="宋体" w:hAnsi="宋体" w:eastAsia="宋体" w:cs="宋体"/>
          <w:bCs/>
          <w:color w:val="auto"/>
          <w:sz w:val="24"/>
          <w:szCs w:val="24"/>
          <w:highlight w:val="none"/>
        </w:rPr>
        <w:t>四   磋商响应文件的递交</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91D9254">
      <w:pPr>
        <w:pStyle w:val="45"/>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"_Toc58832086" </w:instrText>
      </w:r>
      <w:r>
        <w:rPr>
          <w:color w:val="auto"/>
          <w:highlight w:val="none"/>
        </w:rPr>
        <w:fldChar w:fldCharType="separate"/>
      </w:r>
      <w:r>
        <w:rPr>
          <w:rStyle w:val="65"/>
          <w:rFonts w:hint="eastAsia" w:ascii="宋体" w:hAnsi="宋体" w:eastAsia="宋体" w:cs="宋体"/>
          <w:color w:val="auto"/>
          <w:sz w:val="24"/>
          <w:szCs w:val="24"/>
          <w:highlight w:val="none"/>
        </w:rPr>
        <w:t>五   开标</w:t>
      </w:r>
      <w:bookmarkStart w:id="0" w:name="_Hlt58832094"/>
      <w:r>
        <w:rPr>
          <w:rFonts w:hint="eastAsia" w:ascii="宋体" w:hAnsi="宋体" w:cs="宋体"/>
          <w:color w:val="auto"/>
          <w:sz w:val="24"/>
          <w:highlight w:val="none"/>
        </w:rPr>
        <w:tab/>
      </w:r>
      <w:bookmarkEnd w:id="0"/>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162FD15">
      <w:pPr>
        <w:pStyle w:val="45"/>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"_Toc58832087" </w:instrText>
      </w:r>
      <w:r>
        <w:rPr>
          <w:color w:val="auto"/>
          <w:highlight w:val="none"/>
        </w:rPr>
        <w:fldChar w:fldCharType="separate"/>
      </w:r>
      <w:r>
        <w:rPr>
          <w:rStyle w:val="65"/>
          <w:rFonts w:hint="eastAsia" w:ascii="宋体" w:hAnsi="宋体" w:eastAsia="宋体" w:cs="宋体"/>
          <w:bCs/>
          <w:color w:val="auto"/>
          <w:sz w:val="24"/>
          <w:szCs w:val="24"/>
          <w:highlight w:val="none"/>
        </w:rPr>
        <w:t>六   磋商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C49C52A">
      <w:pPr>
        <w:pStyle w:val="45"/>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"_Toc58832088" </w:instrText>
      </w:r>
      <w:r>
        <w:rPr>
          <w:color w:val="auto"/>
          <w:highlight w:val="none"/>
        </w:rPr>
        <w:fldChar w:fldCharType="separate"/>
      </w:r>
      <w:r>
        <w:rPr>
          <w:rStyle w:val="65"/>
          <w:rFonts w:hint="eastAsia" w:ascii="宋体" w:hAnsi="宋体" w:eastAsia="宋体" w:cs="宋体"/>
          <w:bCs/>
          <w:color w:val="auto"/>
          <w:sz w:val="24"/>
          <w:szCs w:val="24"/>
          <w:highlight w:val="none"/>
        </w:rPr>
        <w:t>七   定标及授予合同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7768E2D">
      <w:pPr>
        <w:pStyle w:val="39"/>
        <w:tabs>
          <w:tab w:val="right" w:leader="dot" w:pos="9628"/>
        </w:tabs>
        <w:spacing w:line="480" w:lineRule="auto"/>
        <w:ind w:left="821" w:hanging="821"/>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"_Toc58832089" </w:instrText>
      </w:r>
      <w:r>
        <w:rPr>
          <w:color w:val="auto"/>
          <w:highlight w:val="none"/>
        </w:rPr>
        <w:fldChar w:fldCharType="separate"/>
      </w:r>
      <w:r>
        <w:rPr>
          <w:rStyle w:val="65"/>
          <w:rFonts w:hint="eastAsia" w:ascii="宋体" w:hAnsi="宋体" w:eastAsia="宋体" w:cs="宋体"/>
          <w:color w:val="auto"/>
          <w:sz w:val="24"/>
          <w:szCs w:val="24"/>
          <w:highlight w:val="none"/>
        </w:rPr>
        <w:t>第二部分   政府采购政策功能相关说明</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_Toc58832089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19</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74D1C59B">
      <w:pPr>
        <w:pStyle w:val="39"/>
        <w:tabs>
          <w:tab w:val="right" w:leader="dot" w:pos="9628"/>
        </w:tabs>
        <w:spacing w:line="480" w:lineRule="auto"/>
        <w:ind w:left="821" w:hanging="821"/>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"_Toc58832090" </w:instrText>
      </w:r>
      <w:r>
        <w:rPr>
          <w:color w:val="auto"/>
          <w:highlight w:val="none"/>
        </w:rPr>
        <w:fldChar w:fldCharType="separate"/>
      </w:r>
      <w:r>
        <w:rPr>
          <w:rStyle w:val="65"/>
          <w:rFonts w:hint="eastAsia" w:ascii="宋体" w:hAnsi="宋体" w:eastAsia="宋体" w:cs="宋体"/>
          <w:color w:val="auto"/>
          <w:sz w:val="24"/>
          <w:szCs w:val="24"/>
          <w:highlight w:val="none"/>
        </w:rPr>
        <w:t>第三部分   合同条款及格式</w:t>
      </w:r>
      <w:bookmarkStart w:id="1" w:name="_Hlt58914257"/>
      <w:bookmarkStart w:id="2" w:name="_Hlt58914256"/>
      <w:r>
        <w:rPr>
          <w:rFonts w:hint="eastAsia" w:ascii="宋体" w:hAnsi="宋体" w:eastAsia="宋体" w:cs="宋体"/>
          <w:color w:val="auto"/>
          <w:sz w:val="24"/>
          <w:highlight w:val="none"/>
        </w:rPr>
        <w:tab/>
      </w:r>
      <w:bookmarkEnd w:id="1"/>
      <w:bookmarkEnd w:id="2"/>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_Toc58832090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24</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352DD9DE">
      <w:pPr>
        <w:pStyle w:val="39"/>
        <w:tabs>
          <w:tab w:val="right" w:leader="dot" w:pos="9628"/>
        </w:tabs>
        <w:spacing w:line="480" w:lineRule="auto"/>
        <w:ind w:left="821" w:hanging="821"/>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"_Toc58832091" </w:instrText>
      </w:r>
      <w:r>
        <w:rPr>
          <w:color w:val="auto"/>
          <w:highlight w:val="none"/>
        </w:rPr>
        <w:fldChar w:fldCharType="separate"/>
      </w:r>
      <w:r>
        <w:rPr>
          <w:rStyle w:val="65"/>
          <w:rFonts w:hint="eastAsia" w:ascii="宋体" w:hAnsi="宋体" w:eastAsia="宋体" w:cs="宋体"/>
          <w:color w:val="auto"/>
          <w:sz w:val="24"/>
          <w:szCs w:val="24"/>
          <w:highlight w:val="none"/>
        </w:rPr>
        <w:t>第四部分   磋商响应文件格式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_Toc58832091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29</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5D2D8FE0">
      <w:pPr>
        <w:pStyle w:val="39"/>
        <w:tabs>
          <w:tab w:val="right" w:leader="dot" w:pos="9628"/>
        </w:tabs>
        <w:spacing w:line="480" w:lineRule="auto"/>
        <w:ind w:left="821" w:hanging="821"/>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"_Toc58832092" </w:instrText>
      </w:r>
      <w:r>
        <w:rPr>
          <w:color w:val="auto"/>
          <w:highlight w:val="none"/>
        </w:rPr>
        <w:fldChar w:fldCharType="separate"/>
      </w:r>
      <w:r>
        <w:rPr>
          <w:rStyle w:val="65"/>
          <w:rFonts w:hint="eastAsia" w:ascii="宋体" w:hAnsi="宋体" w:eastAsia="宋体" w:cs="宋体"/>
          <w:color w:val="auto"/>
          <w:sz w:val="24"/>
          <w:szCs w:val="24"/>
          <w:highlight w:val="none"/>
        </w:rPr>
        <w:t>第五部分   采购内容及要求</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_Toc58832092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60</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5935F7A7">
      <w:pPr>
        <w:pStyle w:val="39"/>
        <w:tabs>
          <w:tab w:val="right" w:leader="dot" w:pos="9628"/>
        </w:tabs>
        <w:spacing w:line="480" w:lineRule="auto"/>
        <w:ind w:left="821" w:hanging="821"/>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"_Toc58832093" </w:instrText>
      </w:r>
      <w:r>
        <w:rPr>
          <w:color w:val="auto"/>
          <w:highlight w:val="none"/>
        </w:rPr>
        <w:fldChar w:fldCharType="separate"/>
      </w:r>
      <w:r>
        <w:rPr>
          <w:rStyle w:val="65"/>
          <w:rFonts w:hint="eastAsia" w:ascii="宋体" w:hAnsi="宋体" w:eastAsia="宋体" w:cs="宋体"/>
          <w:color w:val="auto"/>
          <w:sz w:val="24"/>
          <w:szCs w:val="24"/>
          <w:highlight w:val="none"/>
        </w:rPr>
        <w:t>第六部分   磋商原则及方法</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_Toc58832093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60</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1ECEDD21">
      <w:pPr>
        <w:spacing w:line="480" w:lineRule="auto"/>
        <w:rPr>
          <w:rFonts w:hint="eastAsia" w:ascii="宋体" w:hAnsi="宋体" w:cs="宋体"/>
          <w:b/>
          <w:bCs/>
          <w:color w:val="auto"/>
          <w:sz w:val="24"/>
          <w:highlight w:val="none"/>
        </w:rPr>
      </w:pPr>
      <w:r>
        <w:rPr>
          <w:rFonts w:hint="eastAsia" w:ascii="宋体" w:hAnsi="宋体" w:cs="宋体"/>
          <w:color w:val="auto"/>
          <w:sz w:val="24"/>
          <w:highlight w:val="none"/>
        </w:rPr>
        <w:fldChar w:fldCharType="end"/>
      </w:r>
    </w:p>
    <w:p w14:paraId="04B56A12">
      <w:pPr>
        <w:spacing w:line="560" w:lineRule="exact"/>
        <w:ind w:firstLine="843" w:firstLineChars="400"/>
        <w:rPr>
          <w:rFonts w:hint="eastAsia" w:ascii="宋体" w:hAnsi="宋体" w:cs="宋体"/>
          <w:b/>
          <w:bCs/>
          <w:color w:val="auto"/>
          <w:szCs w:val="21"/>
          <w:highlight w:val="none"/>
        </w:rPr>
      </w:pPr>
    </w:p>
    <w:p w14:paraId="136DABBE">
      <w:pPr>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注：竞争性磋商文件中标“▲”且加下划线的为本项目的实质性要求和条件，着重提醒各供应商必须响应。各供应商必须认真阅读和理解竞争性磋商文件中的每一个条款及要求，因误读竞争性磋商文件而造成的后果，采购人概不负责。</w:t>
      </w:r>
    </w:p>
    <w:p w14:paraId="507D9D90">
      <w:pPr>
        <w:spacing w:line="240" w:lineRule="atLeast"/>
        <w:jc w:val="center"/>
        <w:rPr>
          <w:rFonts w:hint="eastAsia" w:ascii="宋体" w:hAnsi="宋体" w:cs="宋体"/>
          <w:b/>
          <w:color w:val="auto"/>
          <w:szCs w:val="21"/>
          <w:highlight w:val="none"/>
        </w:rPr>
      </w:pPr>
    </w:p>
    <w:p w14:paraId="662F6835">
      <w:pPr>
        <w:spacing w:line="240" w:lineRule="atLeast"/>
        <w:jc w:val="center"/>
        <w:rPr>
          <w:rFonts w:hint="eastAsia" w:ascii="宋体" w:hAnsi="宋体" w:cs="宋体"/>
          <w:b/>
          <w:color w:val="auto"/>
          <w:szCs w:val="21"/>
          <w:highlight w:val="none"/>
        </w:rPr>
      </w:pPr>
    </w:p>
    <w:p w14:paraId="4DE7D99E">
      <w:pPr>
        <w:spacing w:line="240" w:lineRule="atLeast"/>
        <w:jc w:val="center"/>
        <w:rPr>
          <w:rFonts w:hint="eastAsia" w:ascii="宋体" w:hAnsi="宋体" w:cs="宋体"/>
          <w:b/>
          <w:color w:val="auto"/>
          <w:szCs w:val="21"/>
          <w:highlight w:val="none"/>
        </w:rPr>
      </w:pPr>
    </w:p>
    <w:p w14:paraId="7D3A0D6B">
      <w:pPr>
        <w:pStyle w:val="3"/>
        <w:ind w:firstLine="3054" w:firstLineChars="845"/>
        <w:jc w:val="both"/>
        <w:rPr>
          <w:rFonts w:hint="eastAsia" w:ascii="宋体" w:hAnsi="宋体" w:eastAsia="宋体" w:cs="宋体"/>
          <w:bCs w:val="0"/>
          <w:color w:val="auto"/>
          <w:kern w:val="0"/>
          <w:sz w:val="22"/>
          <w:szCs w:val="22"/>
          <w:highlight w:val="none"/>
        </w:rPr>
      </w:pPr>
      <w:bookmarkStart w:id="3" w:name="_Toc26020"/>
      <w:bookmarkStart w:id="4" w:name="_Toc361035134"/>
      <w:bookmarkStart w:id="5" w:name="_Toc363576971"/>
      <w:bookmarkStart w:id="6" w:name="_Toc445914867"/>
      <w:r>
        <w:rPr>
          <w:rFonts w:hint="eastAsia" w:ascii="宋体" w:hAnsi="宋体" w:eastAsia="宋体" w:cs="宋体"/>
          <w:color w:val="auto"/>
          <w:sz w:val="36"/>
          <w:szCs w:val="36"/>
          <w:highlight w:val="none"/>
        </w:rPr>
        <w:br w:type="page"/>
      </w:r>
      <w:bookmarkEnd w:id="3"/>
      <w:bookmarkEnd w:id="4"/>
      <w:bookmarkEnd w:id="5"/>
      <w:bookmarkEnd w:id="6"/>
      <w:bookmarkStart w:id="7" w:name="_Toc58832080"/>
      <w:r>
        <w:rPr>
          <w:rFonts w:hint="eastAsia" w:ascii="宋体" w:hAnsi="宋体" w:eastAsia="宋体" w:cs="宋体"/>
          <w:color w:val="auto"/>
          <w:sz w:val="36"/>
          <w:szCs w:val="36"/>
          <w:highlight w:val="none"/>
        </w:rPr>
        <w:t>供应商须知前附表</w:t>
      </w:r>
      <w:bookmarkEnd w:id="7"/>
    </w:p>
    <w:tbl>
      <w:tblPr>
        <w:tblStyle w:val="54"/>
        <w:tblW w:w="10123" w:type="dxa"/>
        <w:tblInd w:w="0" w:type="dxa"/>
        <w:tblLayout w:type="fixed"/>
        <w:tblCellMar>
          <w:top w:w="0" w:type="dxa"/>
          <w:left w:w="108" w:type="dxa"/>
          <w:bottom w:w="0" w:type="dxa"/>
          <w:right w:w="108" w:type="dxa"/>
        </w:tblCellMar>
      </w:tblPr>
      <w:tblGrid>
        <w:gridCol w:w="667"/>
        <w:gridCol w:w="1916"/>
        <w:gridCol w:w="7540"/>
      </w:tblGrid>
      <w:tr w14:paraId="60896118">
        <w:tblPrEx>
          <w:tblCellMar>
            <w:top w:w="0" w:type="dxa"/>
            <w:left w:w="108" w:type="dxa"/>
            <w:bottom w:w="0" w:type="dxa"/>
            <w:right w:w="108" w:type="dxa"/>
          </w:tblCellMar>
        </w:tblPrEx>
        <w:trPr>
          <w:trHeight w:val="436" w:hRule="atLeast"/>
          <w:tblHeader/>
        </w:trPr>
        <w:tc>
          <w:tcPr>
            <w:tcW w:w="667" w:type="dxa"/>
            <w:tcBorders>
              <w:top w:val="single" w:color="auto" w:sz="4" w:space="0"/>
              <w:left w:val="single" w:color="auto" w:sz="4" w:space="0"/>
              <w:bottom w:val="single" w:color="auto" w:sz="4" w:space="0"/>
              <w:right w:val="single" w:color="auto" w:sz="4" w:space="0"/>
            </w:tcBorders>
            <w:vAlign w:val="center"/>
          </w:tcPr>
          <w:p w14:paraId="0CD9D07D">
            <w:pPr>
              <w:keepNext w:val="0"/>
              <w:keepLines w:val="0"/>
              <w:pageBreakBefore w:val="0"/>
              <w:kinsoku/>
              <w:wordWrap/>
              <w:overflowPunct/>
              <w:topLinePunct w:val="0"/>
              <w:bidi w:val="0"/>
              <w:snapToGrid/>
              <w:spacing w:line="240" w:lineRule="auto"/>
              <w:jc w:val="center"/>
              <w:textAlignment w:val="auto"/>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1916" w:type="dxa"/>
            <w:tcBorders>
              <w:top w:val="single" w:color="auto" w:sz="4" w:space="0"/>
              <w:left w:val="single" w:color="auto" w:sz="4" w:space="0"/>
              <w:bottom w:val="single" w:color="auto" w:sz="4" w:space="0"/>
              <w:right w:val="single" w:color="auto" w:sz="4" w:space="0"/>
            </w:tcBorders>
            <w:vAlign w:val="center"/>
          </w:tcPr>
          <w:p w14:paraId="3A61C9C0">
            <w:pPr>
              <w:keepNext w:val="0"/>
              <w:keepLines w:val="0"/>
              <w:pageBreakBefore w:val="0"/>
              <w:kinsoku/>
              <w:wordWrap/>
              <w:overflowPunct/>
              <w:topLinePunct w:val="0"/>
              <w:bidi w:val="0"/>
              <w:snapToGrid/>
              <w:spacing w:line="240" w:lineRule="auto"/>
              <w:jc w:val="center"/>
              <w:textAlignment w:val="auto"/>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条款名称</w:t>
            </w:r>
          </w:p>
        </w:tc>
        <w:tc>
          <w:tcPr>
            <w:tcW w:w="7540" w:type="dxa"/>
            <w:tcBorders>
              <w:top w:val="single" w:color="auto" w:sz="4" w:space="0"/>
              <w:left w:val="single" w:color="auto" w:sz="4" w:space="0"/>
              <w:bottom w:val="single" w:color="auto" w:sz="4" w:space="0"/>
              <w:right w:val="single" w:color="auto" w:sz="4" w:space="0"/>
            </w:tcBorders>
            <w:vAlign w:val="center"/>
          </w:tcPr>
          <w:p w14:paraId="392C043F">
            <w:pPr>
              <w:keepNext w:val="0"/>
              <w:keepLines w:val="0"/>
              <w:pageBreakBefore w:val="0"/>
              <w:kinsoku/>
              <w:wordWrap/>
              <w:overflowPunct/>
              <w:topLinePunct w:val="0"/>
              <w:bidi w:val="0"/>
              <w:snapToGrid/>
              <w:spacing w:line="240" w:lineRule="auto"/>
              <w:jc w:val="center"/>
              <w:textAlignment w:val="auto"/>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编列内容</w:t>
            </w:r>
          </w:p>
        </w:tc>
      </w:tr>
      <w:tr w14:paraId="0F921749">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60879CA5">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916" w:type="dxa"/>
            <w:tcBorders>
              <w:top w:val="single" w:color="auto" w:sz="4" w:space="0"/>
              <w:left w:val="single" w:color="auto" w:sz="4" w:space="0"/>
              <w:bottom w:val="single" w:color="auto" w:sz="4" w:space="0"/>
              <w:right w:val="single" w:color="auto" w:sz="4" w:space="0"/>
            </w:tcBorders>
            <w:vAlign w:val="center"/>
          </w:tcPr>
          <w:p w14:paraId="5F91793C">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采购人</w:t>
            </w:r>
          </w:p>
        </w:tc>
        <w:tc>
          <w:tcPr>
            <w:tcW w:w="7540" w:type="dxa"/>
            <w:tcBorders>
              <w:top w:val="single" w:color="auto" w:sz="4" w:space="0"/>
              <w:left w:val="single" w:color="auto" w:sz="4" w:space="0"/>
              <w:bottom w:val="single" w:color="auto" w:sz="4" w:space="0"/>
              <w:right w:val="single" w:color="auto" w:sz="4" w:space="0"/>
            </w:tcBorders>
            <w:vAlign w:val="center"/>
          </w:tcPr>
          <w:p w14:paraId="75AC02FE">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采购单位名称：温州市鹿城区政务服务中心</w:t>
            </w:r>
          </w:p>
          <w:p w14:paraId="73663DAF">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项目联系人（询问）：陈先生</w:t>
            </w:r>
          </w:p>
          <w:p w14:paraId="28C459C2">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项目联系方式（询问）：0577-88660105  </w:t>
            </w:r>
          </w:p>
          <w:p w14:paraId="3FCC5C75">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联系地址：温州市鹿城区宽带路18号</w:t>
            </w:r>
          </w:p>
          <w:p w14:paraId="3444D5C0">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质疑联系人：王女士</w:t>
            </w:r>
          </w:p>
          <w:p w14:paraId="03B65018">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质疑联系方式：0577-88660029</w:t>
            </w:r>
          </w:p>
        </w:tc>
      </w:tr>
      <w:tr w14:paraId="5D99CCF4">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77732D72">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916" w:type="dxa"/>
            <w:tcBorders>
              <w:top w:val="single" w:color="auto" w:sz="4" w:space="0"/>
              <w:left w:val="single" w:color="auto" w:sz="4" w:space="0"/>
              <w:bottom w:val="single" w:color="auto" w:sz="4" w:space="0"/>
              <w:right w:val="single" w:color="auto" w:sz="4" w:space="0"/>
            </w:tcBorders>
            <w:vAlign w:val="center"/>
          </w:tcPr>
          <w:p w14:paraId="7F24D6AA">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采购代理机构</w:t>
            </w:r>
          </w:p>
        </w:tc>
        <w:tc>
          <w:tcPr>
            <w:tcW w:w="7540" w:type="dxa"/>
            <w:tcBorders>
              <w:top w:val="single" w:color="auto" w:sz="4" w:space="0"/>
              <w:left w:val="single" w:color="auto" w:sz="4" w:space="0"/>
              <w:bottom w:val="single" w:color="auto" w:sz="4" w:space="0"/>
              <w:right w:val="single" w:color="auto" w:sz="4" w:space="0"/>
            </w:tcBorders>
            <w:vAlign w:val="center"/>
          </w:tcPr>
          <w:p w14:paraId="487E3A13">
            <w:pPr>
              <w:keepNext w:val="0"/>
              <w:keepLines w:val="0"/>
              <w:pageBreakBefore w:val="0"/>
              <w:kinsoku/>
              <w:wordWrap/>
              <w:overflowPunct/>
              <w:topLinePunct w:val="0"/>
              <w:bidi w:val="0"/>
              <w:snapToGrid/>
              <w:spacing w:line="240" w:lineRule="auto"/>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采购代理机构名称：温州市智信招标代理有限公司</w:t>
            </w:r>
          </w:p>
          <w:p w14:paraId="15079A7B">
            <w:pPr>
              <w:keepNext w:val="0"/>
              <w:keepLines w:val="0"/>
              <w:pageBreakBefore w:val="0"/>
              <w:kinsoku/>
              <w:wordWrap/>
              <w:overflowPunct/>
              <w:topLinePunct w:val="0"/>
              <w:bidi w:val="0"/>
              <w:snapToGrid/>
              <w:spacing w:line="240" w:lineRule="auto"/>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地 址：温州市瓯海区新桥街道高昂路1号牛山广场2号楼1409室</w:t>
            </w:r>
          </w:p>
          <w:p w14:paraId="1D9EE7A4">
            <w:pPr>
              <w:keepNext w:val="0"/>
              <w:keepLines w:val="0"/>
              <w:pageBreakBefore w:val="0"/>
              <w:kinsoku/>
              <w:wordWrap/>
              <w:overflowPunct/>
              <w:topLinePunct w:val="0"/>
              <w:bidi w:val="0"/>
              <w:snapToGrid/>
              <w:spacing w:line="240" w:lineRule="auto"/>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联系人：苏先生</w:t>
            </w:r>
            <w:bookmarkStart w:id="139" w:name="_GoBack"/>
            <w:bookmarkEnd w:id="139"/>
            <w:r>
              <w:rPr>
                <w:rFonts w:hint="eastAsia" w:ascii="宋体" w:hAnsi="宋体" w:eastAsia="宋体" w:cs="宋体"/>
                <w:bCs/>
                <w:color w:val="auto"/>
                <w:kern w:val="0"/>
                <w:sz w:val="22"/>
                <w:szCs w:val="22"/>
                <w:highlight w:val="none"/>
              </w:rPr>
              <w:t>/叶先生</w:t>
            </w:r>
          </w:p>
          <w:p w14:paraId="40D2BBD1">
            <w:pPr>
              <w:keepNext w:val="0"/>
              <w:keepLines w:val="0"/>
              <w:pageBreakBefore w:val="0"/>
              <w:kinsoku/>
              <w:wordWrap/>
              <w:overflowPunct/>
              <w:topLinePunct w:val="0"/>
              <w:bidi w:val="0"/>
              <w:snapToGrid/>
              <w:spacing w:line="240" w:lineRule="auto"/>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联系电话：13626506308/13958779970</w:t>
            </w:r>
          </w:p>
        </w:tc>
      </w:tr>
      <w:tr w14:paraId="0D14E99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74EEC938">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916" w:type="dxa"/>
            <w:tcBorders>
              <w:top w:val="single" w:color="auto" w:sz="4" w:space="0"/>
              <w:left w:val="single" w:color="auto" w:sz="4" w:space="0"/>
              <w:bottom w:val="single" w:color="auto" w:sz="4" w:space="0"/>
              <w:right w:val="single" w:color="auto" w:sz="4" w:space="0"/>
            </w:tcBorders>
            <w:vAlign w:val="center"/>
          </w:tcPr>
          <w:p w14:paraId="3C47F429">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项目名称及项目编号</w:t>
            </w:r>
          </w:p>
        </w:tc>
        <w:tc>
          <w:tcPr>
            <w:tcW w:w="7540" w:type="dxa"/>
            <w:tcBorders>
              <w:top w:val="single" w:color="auto" w:sz="4" w:space="0"/>
              <w:left w:val="single" w:color="auto" w:sz="4" w:space="0"/>
              <w:bottom w:val="single" w:color="auto" w:sz="4" w:space="0"/>
              <w:right w:val="single" w:color="auto" w:sz="4" w:space="0"/>
            </w:tcBorders>
            <w:vAlign w:val="center"/>
          </w:tcPr>
          <w:p w14:paraId="0FAF203F">
            <w:pPr>
              <w:keepNext w:val="0"/>
              <w:keepLines w:val="0"/>
              <w:pageBreakBefore w:val="0"/>
              <w:kinsoku/>
              <w:wordWrap/>
              <w:overflowPunct/>
              <w:topLinePunct w:val="0"/>
              <w:bidi w:val="0"/>
              <w:snapToGrid/>
              <w:spacing w:line="240" w:lineRule="auto"/>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项目名称：</w:t>
            </w:r>
            <w:r>
              <w:rPr>
                <w:rFonts w:hint="eastAsia" w:ascii="宋体" w:hAnsi="宋体" w:eastAsia="宋体" w:cs="宋体"/>
                <w:bCs/>
                <w:color w:val="auto"/>
                <w:kern w:val="0"/>
                <w:sz w:val="22"/>
                <w:szCs w:val="22"/>
                <w:highlight w:val="none"/>
                <w:lang w:eastAsia="zh-CN"/>
              </w:rPr>
              <w:t>鹿城区政务服务中心安保服务采购项目</w:t>
            </w:r>
          </w:p>
          <w:p w14:paraId="48B38878">
            <w:pPr>
              <w:keepNext w:val="0"/>
              <w:keepLines w:val="0"/>
              <w:pageBreakBefore w:val="0"/>
              <w:kinsoku/>
              <w:wordWrap/>
              <w:overflowPunct/>
              <w:topLinePunct w:val="0"/>
              <w:bidi w:val="0"/>
              <w:snapToGrid/>
              <w:spacing w:line="240" w:lineRule="auto"/>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项目编号：</w:t>
            </w:r>
            <w:r>
              <w:rPr>
                <w:rFonts w:hint="eastAsia" w:ascii="宋体" w:hAnsi="宋体" w:eastAsia="宋体" w:cs="宋体"/>
                <w:bCs/>
                <w:color w:val="auto"/>
                <w:kern w:val="0"/>
                <w:sz w:val="22"/>
                <w:szCs w:val="22"/>
                <w:highlight w:val="none"/>
                <w:lang w:eastAsia="zh-CN"/>
              </w:rPr>
              <w:t>ZXZB-F20250117-AB</w:t>
            </w:r>
            <w:r>
              <w:rPr>
                <w:rFonts w:hint="eastAsia" w:ascii="宋体" w:hAnsi="宋体" w:eastAsia="宋体" w:cs="宋体"/>
                <w:bCs/>
                <w:color w:val="auto"/>
                <w:kern w:val="0"/>
                <w:sz w:val="22"/>
                <w:szCs w:val="22"/>
                <w:highlight w:val="none"/>
              </w:rPr>
              <w:t xml:space="preserve"> </w:t>
            </w:r>
          </w:p>
        </w:tc>
      </w:tr>
      <w:tr w14:paraId="45748E0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3538EBC0">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1916" w:type="dxa"/>
            <w:tcBorders>
              <w:top w:val="single" w:color="auto" w:sz="4" w:space="0"/>
              <w:left w:val="single" w:color="auto" w:sz="4" w:space="0"/>
              <w:bottom w:val="single" w:color="auto" w:sz="4" w:space="0"/>
              <w:right w:val="single" w:color="auto" w:sz="4" w:space="0"/>
            </w:tcBorders>
            <w:vAlign w:val="center"/>
          </w:tcPr>
          <w:p w14:paraId="595648B1">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采购内容</w:t>
            </w:r>
          </w:p>
        </w:tc>
        <w:tc>
          <w:tcPr>
            <w:tcW w:w="7540" w:type="dxa"/>
            <w:tcBorders>
              <w:top w:val="single" w:color="auto" w:sz="4" w:space="0"/>
              <w:left w:val="single" w:color="auto" w:sz="4" w:space="0"/>
              <w:bottom w:val="single" w:color="auto" w:sz="4" w:space="0"/>
              <w:right w:val="single" w:color="auto" w:sz="4" w:space="0"/>
            </w:tcBorders>
            <w:vAlign w:val="center"/>
          </w:tcPr>
          <w:p w14:paraId="5A815620">
            <w:pPr>
              <w:keepNext w:val="0"/>
              <w:keepLines w:val="0"/>
              <w:pageBreakBefore w:val="0"/>
              <w:widowControl/>
              <w:kinsoku/>
              <w:wordWrap/>
              <w:overflowPunct/>
              <w:topLinePunct w:val="0"/>
              <w:bidi w:val="0"/>
              <w:snapToGrid/>
              <w:spacing w:line="240" w:lineRule="auto"/>
              <w:ind w:right="6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鹿城区政务服务中心安保服务采购项目</w:t>
            </w:r>
            <w:r>
              <w:rPr>
                <w:rFonts w:hint="eastAsia" w:ascii="宋体" w:hAnsi="宋体" w:eastAsia="宋体" w:cs="宋体"/>
                <w:color w:val="auto"/>
                <w:kern w:val="0"/>
                <w:sz w:val="22"/>
                <w:szCs w:val="22"/>
                <w:highlight w:val="none"/>
              </w:rPr>
              <w:t>，具体采购内容及详细技术要求以采购文件第五部分表述为准；</w:t>
            </w:r>
          </w:p>
          <w:p w14:paraId="5EE7F54C">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预算金额：</w:t>
            </w:r>
            <w:r>
              <w:rPr>
                <w:rFonts w:hint="eastAsia" w:ascii="宋体" w:hAnsi="宋体" w:eastAsia="宋体" w:cs="宋体"/>
                <w:color w:val="auto"/>
                <w:kern w:val="0"/>
                <w:sz w:val="22"/>
                <w:szCs w:val="22"/>
                <w:highlight w:val="none"/>
                <w:lang w:val="en-US" w:eastAsia="zh-CN"/>
              </w:rPr>
              <w:t>40.5</w:t>
            </w:r>
            <w:r>
              <w:rPr>
                <w:rFonts w:hint="eastAsia" w:ascii="宋体" w:hAnsi="宋体" w:eastAsia="宋体" w:cs="宋体"/>
                <w:color w:val="auto"/>
                <w:kern w:val="0"/>
                <w:sz w:val="22"/>
                <w:szCs w:val="22"/>
                <w:highlight w:val="none"/>
              </w:rPr>
              <w:t>万元。</w:t>
            </w:r>
          </w:p>
        </w:tc>
      </w:tr>
      <w:tr w14:paraId="0853C60D">
        <w:tblPrEx>
          <w:tblCellMar>
            <w:top w:w="0" w:type="dxa"/>
            <w:left w:w="108" w:type="dxa"/>
            <w:bottom w:w="0" w:type="dxa"/>
            <w:right w:w="108" w:type="dxa"/>
          </w:tblCellMar>
        </w:tblPrEx>
        <w:trPr>
          <w:trHeight w:val="665" w:hRule="atLeast"/>
        </w:trPr>
        <w:tc>
          <w:tcPr>
            <w:tcW w:w="667" w:type="dxa"/>
            <w:tcBorders>
              <w:top w:val="single" w:color="auto" w:sz="4" w:space="0"/>
              <w:left w:val="single" w:color="auto" w:sz="4" w:space="0"/>
              <w:bottom w:val="single" w:color="auto" w:sz="4" w:space="0"/>
              <w:right w:val="single" w:color="auto" w:sz="4" w:space="0"/>
            </w:tcBorders>
            <w:vAlign w:val="center"/>
          </w:tcPr>
          <w:p w14:paraId="7195D5C8">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1916" w:type="dxa"/>
            <w:tcBorders>
              <w:top w:val="single" w:color="auto" w:sz="4" w:space="0"/>
              <w:left w:val="single" w:color="auto" w:sz="4" w:space="0"/>
              <w:bottom w:val="single" w:color="auto" w:sz="4" w:space="0"/>
              <w:right w:val="single" w:color="auto" w:sz="4" w:space="0"/>
            </w:tcBorders>
            <w:vAlign w:val="center"/>
          </w:tcPr>
          <w:p w14:paraId="1A871342">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服务期限</w:t>
            </w:r>
          </w:p>
        </w:tc>
        <w:tc>
          <w:tcPr>
            <w:tcW w:w="7540" w:type="dxa"/>
            <w:tcBorders>
              <w:top w:val="single" w:color="auto" w:sz="4" w:space="0"/>
              <w:left w:val="single" w:color="auto" w:sz="4" w:space="0"/>
              <w:bottom w:val="single" w:color="auto" w:sz="4" w:space="0"/>
              <w:right w:val="single" w:color="auto" w:sz="4" w:space="0"/>
            </w:tcBorders>
            <w:vAlign w:val="center"/>
          </w:tcPr>
          <w:p w14:paraId="641CE5A7">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9个月</w:t>
            </w:r>
          </w:p>
        </w:tc>
      </w:tr>
      <w:tr w14:paraId="029FA7F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337E367E">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1916" w:type="dxa"/>
            <w:tcBorders>
              <w:top w:val="single" w:color="auto" w:sz="4" w:space="0"/>
              <w:left w:val="single" w:color="auto" w:sz="4" w:space="0"/>
              <w:bottom w:val="single" w:color="auto" w:sz="4" w:space="0"/>
              <w:right w:val="single" w:color="auto" w:sz="4" w:space="0"/>
            </w:tcBorders>
            <w:vAlign w:val="center"/>
          </w:tcPr>
          <w:p w14:paraId="4FC53804">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供应商资格要求</w:t>
            </w:r>
          </w:p>
        </w:tc>
        <w:tc>
          <w:tcPr>
            <w:tcW w:w="7540" w:type="dxa"/>
            <w:tcBorders>
              <w:top w:val="single" w:color="auto" w:sz="4" w:space="0"/>
              <w:left w:val="single" w:color="auto" w:sz="4" w:space="0"/>
              <w:bottom w:val="single" w:color="auto" w:sz="4" w:space="0"/>
              <w:right w:val="single" w:color="auto" w:sz="4" w:space="0"/>
            </w:tcBorders>
            <w:vAlign w:val="center"/>
          </w:tcPr>
          <w:p w14:paraId="01DF7C28">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1.一般资格条件：</w:t>
            </w:r>
          </w:p>
          <w:p w14:paraId="1D7244FE">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法律、行政法规规定的其他条件。</w:t>
            </w:r>
          </w:p>
          <w:p w14:paraId="32B3ACD9">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（2）供应商未被列入失信被执行人名单、重大税收违法案件当事人名单、政府采购严重违法失信行为记录名单，信用信息以信用中国网站（www.creditchina.gov.cn）、中国政府采购网（www.ccgp.gov.cn）公布为准。</w:t>
            </w:r>
          </w:p>
          <w:p w14:paraId="767869BE">
            <w:pPr>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rPr>
              <w:t>2.落实政府采购政策需满足的资格要求：</w:t>
            </w:r>
            <w:r>
              <w:rPr>
                <w:rFonts w:hint="eastAsia" w:ascii="宋体" w:hAnsi="宋体" w:eastAsia="宋体" w:cs="宋体"/>
                <w:color w:val="auto"/>
                <w:kern w:val="0"/>
                <w:sz w:val="22"/>
                <w:szCs w:val="22"/>
                <w:highlight w:val="none"/>
              </w:rPr>
              <w:t>供应商为中小企业/小微企业</w:t>
            </w:r>
            <w:r>
              <w:rPr>
                <w:rFonts w:hint="eastAsia" w:ascii="宋体" w:hAnsi="宋体" w:eastAsia="宋体" w:cs="宋体"/>
                <w:color w:val="auto"/>
                <w:kern w:val="0"/>
                <w:sz w:val="22"/>
                <w:szCs w:val="22"/>
                <w:highlight w:val="none"/>
                <w:lang w:eastAsia="zh-CN"/>
              </w:rPr>
              <w:t>。</w:t>
            </w:r>
          </w:p>
          <w:p w14:paraId="6D3E3630">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.特殊资格条件：</w:t>
            </w:r>
            <w:r>
              <w:rPr>
                <w:rFonts w:hint="eastAsia" w:ascii="宋体" w:hAnsi="宋体" w:eastAsia="宋体" w:cs="宋体"/>
                <w:color w:val="auto"/>
                <w:sz w:val="22"/>
                <w:szCs w:val="22"/>
                <w:highlight w:val="none"/>
                <w:lang w:val="en-US" w:eastAsia="zh-CN"/>
              </w:rPr>
              <w:t>供应商具有有效的保安服务许可证。</w:t>
            </w:r>
          </w:p>
        </w:tc>
      </w:tr>
      <w:tr w14:paraId="484B90BE">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092D203B">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p>
        </w:tc>
        <w:tc>
          <w:tcPr>
            <w:tcW w:w="1916" w:type="dxa"/>
            <w:tcBorders>
              <w:top w:val="single" w:color="auto" w:sz="4" w:space="0"/>
              <w:left w:val="single" w:color="auto" w:sz="4" w:space="0"/>
              <w:bottom w:val="single" w:color="auto" w:sz="4" w:space="0"/>
              <w:right w:val="single" w:color="auto" w:sz="4" w:space="0"/>
            </w:tcBorders>
            <w:vAlign w:val="center"/>
          </w:tcPr>
          <w:p w14:paraId="15776026">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是否接受联合体投标</w:t>
            </w:r>
          </w:p>
        </w:tc>
        <w:tc>
          <w:tcPr>
            <w:tcW w:w="7540" w:type="dxa"/>
            <w:tcBorders>
              <w:top w:val="single" w:color="auto" w:sz="4" w:space="0"/>
              <w:left w:val="single" w:color="auto" w:sz="4" w:space="0"/>
              <w:bottom w:val="single" w:color="auto" w:sz="4" w:space="0"/>
              <w:right w:val="single" w:color="auto" w:sz="4" w:space="0"/>
            </w:tcBorders>
            <w:vAlign w:val="center"/>
          </w:tcPr>
          <w:p w14:paraId="040EB674">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不接受</w:t>
            </w:r>
          </w:p>
        </w:tc>
      </w:tr>
      <w:tr w14:paraId="3BB7B76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30D72FDC">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p>
        </w:tc>
        <w:tc>
          <w:tcPr>
            <w:tcW w:w="1916" w:type="dxa"/>
            <w:tcBorders>
              <w:top w:val="single" w:color="auto" w:sz="4" w:space="0"/>
              <w:left w:val="single" w:color="auto" w:sz="4" w:space="0"/>
              <w:bottom w:val="single" w:color="auto" w:sz="4" w:space="0"/>
              <w:right w:val="single" w:color="auto" w:sz="4" w:space="0"/>
            </w:tcBorders>
            <w:vAlign w:val="center"/>
          </w:tcPr>
          <w:p w14:paraId="681DBD20">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踏勘现场</w:t>
            </w:r>
          </w:p>
        </w:tc>
        <w:tc>
          <w:tcPr>
            <w:tcW w:w="7540" w:type="dxa"/>
            <w:tcBorders>
              <w:top w:val="single" w:color="auto" w:sz="4" w:space="0"/>
              <w:left w:val="single" w:color="auto" w:sz="4" w:space="0"/>
              <w:bottom w:val="single" w:color="auto" w:sz="4" w:space="0"/>
              <w:right w:val="single" w:color="auto" w:sz="4" w:space="0"/>
            </w:tcBorders>
            <w:vAlign w:val="center"/>
          </w:tcPr>
          <w:p w14:paraId="4721160A">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□组织</w:t>
            </w:r>
          </w:p>
          <w:p w14:paraId="6B850C5E">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rPr>
              <w:t>不组织，供应商自行前往项目现场进行踏勘。</w:t>
            </w:r>
          </w:p>
        </w:tc>
      </w:tr>
      <w:tr w14:paraId="3E88596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00B307EA">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p>
        </w:tc>
        <w:tc>
          <w:tcPr>
            <w:tcW w:w="1916" w:type="dxa"/>
            <w:tcBorders>
              <w:top w:val="single" w:color="auto" w:sz="4" w:space="0"/>
              <w:left w:val="single" w:color="auto" w:sz="4" w:space="0"/>
              <w:bottom w:val="single" w:color="auto" w:sz="4" w:space="0"/>
              <w:right w:val="single" w:color="auto" w:sz="4" w:space="0"/>
            </w:tcBorders>
            <w:vAlign w:val="center"/>
          </w:tcPr>
          <w:p w14:paraId="5B346E8D">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投标预备会</w:t>
            </w:r>
          </w:p>
        </w:tc>
        <w:tc>
          <w:tcPr>
            <w:tcW w:w="7540" w:type="dxa"/>
            <w:tcBorders>
              <w:top w:val="single" w:color="auto" w:sz="4" w:space="0"/>
              <w:left w:val="single" w:color="auto" w:sz="4" w:space="0"/>
              <w:bottom w:val="single" w:color="auto" w:sz="4" w:space="0"/>
              <w:right w:val="single" w:color="auto" w:sz="4" w:space="0"/>
            </w:tcBorders>
            <w:vAlign w:val="center"/>
          </w:tcPr>
          <w:p w14:paraId="64EAEDB0">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□召开</w:t>
            </w:r>
          </w:p>
          <w:p w14:paraId="2DB25E40">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rPr>
              <w:t>不召开</w:t>
            </w:r>
          </w:p>
        </w:tc>
      </w:tr>
      <w:tr w14:paraId="64D1FD2F">
        <w:tblPrEx>
          <w:tblCellMar>
            <w:top w:w="0" w:type="dxa"/>
            <w:left w:w="108" w:type="dxa"/>
            <w:bottom w:w="0" w:type="dxa"/>
            <w:right w:w="108"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vAlign w:val="center"/>
          </w:tcPr>
          <w:p w14:paraId="4FDD65B0">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1916" w:type="dxa"/>
            <w:tcBorders>
              <w:top w:val="single" w:color="auto" w:sz="4" w:space="0"/>
              <w:left w:val="single" w:color="auto" w:sz="4" w:space="0"/>
              <w:bottom w:val="single" w:color="auto" w:sz="4" w:space="0"/>
              <w:right w:val="single" w:color="auto" w:sz="4" w:space="0"/>
            </w:tcBorders>
            <w:vAlign w:val="center"/>
          </w:tcPr>
          <w:p w14:paraId="415BE234">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磋商响应文件递交截止时间</w:t>
            </w:r>
          </w:p>
        </w:tc>
        <w:tc>
          <w:tcPr>
            <w:tcW w:w="7540" w:type="dxa"/>
            <w:tcBorders>
              <w:top w:val="single" w:color="auto" w:sz="4" w:space="0"/>
              <w:left w:val="single" w:color="auto" w:sz="4" w:space="0"/>
              <w:bottom w:val="single" w:color="auto" w:sz="4" w:space="0"/>
              <w:right w:val="single" w:color="auto" w:sz="4" w:space="0"/>
            </w:tcBorders>
            <w:vAlign w:val="center"/>
          </w:tcPr>
          <w:p w14:paraId="3A05C333">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lang w:eastAsia="zh-CN"/>
              </w:rPr>
              <w:t>2025年</w:t>
            </w:r>
            <w:r>
              <w:rPr>
                <w:rFonts w:hint="eastAsia" w:ascii="宋体" w:hAnsi="宋体" w:eastAsia="宋体" w:cs="宋体"/>
                <w:color w:val="auto"/>
                <w:sz w:val="22"/>
                <w:szCs w:val="22"/>
                <w:highlight w:val="none"/>
                <w:lang w:val="en-US" w:eastAsia="zh-CN"/>
              </w:rPr>
              <w:t>02</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lang w:val="en-US" w:eastAsia="zh-CN"/>
              </w:rPr>
              <w:t>17</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分</w:t>
            </w:r>
          </w:p>
        </w:tc>
      </w:tr>
      <w:tr w14:paraId="42D1DFE1">
        <w:tblPrEx>
          <w:tblCellMar>
            <w:top w:w="0" w:type="dxa"/>
            <w:left w:w="108" w:type="dxa"/>
            <w:bottom w:w="0" w:type="dxa"/>
            <w:right w:w="108" w:type="dxa"/>
          </w:tblCellMar>
        </w:tblPrEx>
        <w:trPr>
          <w:trHeight w:val="810" w:hRule="atLeast"/>
        </w:trPr>
        <w:tc>
          <w:tcPr>
            <w:tcW w:w="667" w:type="dxa"/>
            <w:tcBorders>
              <w:top w:val="single" w:color="auto" w:sz="4" w:space="0"/>
              <w:left w:val="single" w:color="auto" w:sz="4" w:space="0"/>
              <w:bottom w:val="single" w:color="auto" w:sz="4" w:space="0"/>
              <w:right w:val="single" w:color="auto" w:sz="4" w:space="0"/>
            </w:tcBorders>
            <w:vAlign w:val="center"/>
          </w:tcPr>
          <w:p w14:paraId="420F8C39">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w:t>
            </w:r>
          </w:p>
        </w:tc>
        <w:tc>
          <w:tcPr>
            <w:tcW w:w="1916" w:type="dxa"/>
            <w:tcBorders>
              <w:top w:val="single" w:color="auto" w:sz="4" w:space="0"/>
              <w:left w:val="single" w:color="auto" w:sz="4" w:space="0"/>
              <w:bottom w:val="single" w:color="auto" w:sz="4" w:space="0"/>
              <w:right w:val="single" w:color="auto" w:sz="4" w:space="0"/>
            </w:tcBorders>
            <w:vAlign w:val="center"/>
          </w:tcPr>
          <w:p w14:paraId="18F674AA">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是否允许</w:t>
            </w:r>
            <w:r>
              <w:rPr>
                <w:rFonts w:hint="eastAsia" w:ascii="宋体" w:hAnsi="宋体" w:eastAsia="宋体" w:cs="宋体"/>
                <w:color w:val="auto"/>
                <w:kern w:val="0"/>
                <w:sz w:val="22"/>
                <w:szCs w:val="22"/>
                <w:highlight w:val="none"/>
              </w:rPr>
              <w:t>分包</w:t>
            </w:r>
          </w:p>
        </w:tc>
        <w:tc>
          <w:tcPr>
            <w:tcW w:w="7540" w:type="dxa"/>
            <w:tcBorders>
              <w:top w:val="single" w:color="auto" w:sz="4" w:space="0"/>
              <w:left w:val="single" w:color="auto" w:sz="4" w:space="0"/>
              <w:bottom w:val="single" w:color="auto" w:sz="4" w:space="0"/>
              <w:right w:val="single" w:color="auto" w:sz="4" w:space="0"/>
            </w:tcBorders>
            <w:vAlign w:val="center"/>
          </w:tcPr>
          <w:p w14:paraId="4E760118">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不允许</w:t>
            </w:r>
          </w:p>
        </w:tc>
      </w:tr>
      <w:tr w14:paraId="58882536">
        <w:tblPrEx>
          <w:tblCellMar>
            <w:top w:w="0" w:type="dxa"/>
            <w:left w:w="108" w:type="dxa"/>
            <w:bottom w:w="0" w:type="dxa"/>
            <w:right w:w="108" w:type="dxa"/>
          </w:tblCellMar>
        </w:tblPrEx>
        <w:trPr>
          <w:trHeight w:val="854" w:hRule="atLeast"/>
        </w:trPr>
        <w:tc>
          <w:tcPr>
            <w:tcW w:w="667" w:type="dxa"/>
            <w:tcBorders>
              <w:top w:val="single" w:color="auto" w:sz="4" w:space="0"/>
              <w:left w:val="single" w:color="auto" w:sz="4" w:space="0"/>
              <w:bottom w:val="single" w:color="auto" w:sz="4" w:space="0"/>
              <w:right w:val="single" w:color="auto" w:sz="4" w:space="0"/>
            </w:tcBorders>
            <w:vAlign w:val="center"/>
          </w:tcPr>
          <w:p w14:paraId="34226A46">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w:t>
            </w:r>
          </w:p>
        </w:tc>
        <w:tc>
          <w:tcPr>
            <w:tcW w:w="1916" w:type="dxa"/>
            <w:tcBorders>
              <w:top w:val="single" w:color="auto" w:sz="4" w:space="0"/>
              <w:left w:val="single" w:color="auto" w:sz="4" w:space="0"/>
              <w:bottom w:val="single" w:color="auto" w:sz="4" w:space="0"/>
              <w:right w:val="single" w:color="auto" w:sz="4" w:space="0"/>
            </w:tcBorders>
            <w:vAlign w:val="center"/>
          </w:tcPr>
          <w:p w14:paraId="386D840A">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偏离</w:t>
            </w:r>
          </w:p>
        </w:tc>
        <w:tc>
          <w:tcPr>
            <w:tcW w:w="7540" w:type="dxa"/>
            <w:tcBorders>
              <w:top w:val="single" w:color="auto" w:sz="4" w:space="0"/>
              <w:left w:val="single" w:color="auto" w:sz="4" w:space="0"/>
              <w:bottom w:val="single" w:color="auto" w:sz="4" w:space="0"/>
              <w:right w:val="single" w:color="auto" w:sz="4" w:space="0"/>
            </w:tcBorders>
            <w:vAlign w:val="center"/>
          </w:tcPr>
          <w:p w14:paraId="3266744C">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偏差允许幅度及其处理方法：允许细微偏差，不允许重大偏差。由磋商小组判断，细微偏差要求供应商在评审结束前予以澄清、说明或补正，不接受要求进行的，磋商小组有权做无效标处理，详见评审及磋商办法。</w:t>
            </w:r>
          </w:p>
        </w:tc>
      </w:tr>
      <w:tr w14:paraId="5A3CD17D">
        <w:tblPrEx>
          <w:tblCellMar>
            <w:top w:w="0" w:type="dxa"/>
            <w:left w:w="108" w:type="dxa"/>
            <w:bottom w:w="0" w:type="dxa"/>
            <w:right w:w="108" w:type="dxa"/>
          </w:tblCellMar>
        </w:tblPrEx>
        <w:trPr>
          <w:trHeight w:val="780" w:hRule="atLeast"/>
        </w:trPr>
        <w:tc>
          <w:tcPr>
            <w:tcW w:w="667" w:type="dxa"/>
            <w:tcBorders>
              <w:top w:val="single" w:color="auto" w:sz="4" w:space="0"/>
              <w:left w:val="single" w:color="auto" w:sz="4" w:space="0"/>
              <w:bottom w:val="single" w:color="auto" w:sz="4" w:space="0"/>
              <w:right w:val="single" w:color="auto" w:sz="4" w:space="0"/>
            </w:tcBorders>
            <w:vAlign w:val="center"/>
          </w:tcPr>
          <w:p w14:paraId="14DF2C5D">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w:t>
            </w:r>
          </w:p>
        </w:tc>
        <w:tc>
          <w:tcPr>
            <w:tcW w:w="1916" w:type="dxa"/>
            <w:tcBorders>
              <w:top w:val="single" w:color="auto" w:sz="4" w:space="0"/>
              <w:left w:val="single" w:color="auto" w:sz="4" w:space="0"/>
              <w:bottom w:val="single" w:color="auto" w:sz="4" w:space="0"/>
              <w:right w:val="single" w:color="auto" w:sz="4" w:space="0"/>
            </w:tcBorders>
            <w:vAlign w:val="center"/>
          </w:tcPr>
          <w:p w14:paraId="4C6DF82F">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磋商响应文件有效期</w:t>
            </w:r>
          </w:p>
        </w:tc>
        <w:tc>
          <w:tcPr>
            <w:tcW w:w="7540" w:type="dxa"/>
            <w:tcBorders>
              <w:top w:val="single" w:color="auto" w:sz="4" w:space="0"/>
              <w:left w:val="single" w:color="auto" w:sz="4" w:space="0"/>
              <w:bottom w:val="single" w:color="auto" w:sz="4" w:space="0"/>
              <w:right w:val="single" w:color="auto" w:sz="4" w:space="0"/>
            </w:tcBorders>
            <w:vAlign w:val="center"/>
          </w:tcPr>
          <w:p w14:paraId="66FFB47D">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磋商响应文件自磋商响应文件递交截止时间起生效，有效期</w:t>
            </w:r>
            <w:r>
              <w:rPr>
                <w:rFonts w:hint="eastAsia" w:ascii="宋体" w:hAnsi="宋体" w:eastAsia="宋体" w:cs="宋体"/>
                <w:color w:val="auto"/>
                <w:kern w:val="0"/>
                <w:sz w:val="22"/>
                <w:szCs w:val="22"/>
                <w:highlight w:val="none"/>
                <w:u w:val="single"/>
              </w:rPr>
              <w:t>90</w:t>
            </w:r>
            <w:r>
              <w:rPr>
                <w:rFonts w:hint="eastAsia" w:ascii="宋体" w:hAnsi="宋体" w:eastAsia="宋体" w:cs="宋体"/>
                <w:color w:val="auto"/>
                <w:kern w:val="0"/>
                <w:sz w:val="22"/>
                <w:szCs w:val="22"/>
                <w:highlight w:val="none"/>
              </w:rPr>
              <w:t>天。</w:t>
            </w:r>
          </w:p>
        </w:tc>
      </w:tr>
      <w:tr w14:paraId="2662A9D9">
        <w:tblPrEx>
          <w:tblCellMar>
            <w:top w:w="0" w:type="dxa"/>
            <w:left w:w="108" w:type="dxa"/>
            <w:bottom w:w="0" w:type="dxa"/>
            <w:right w:w="108" w:type="dxa"/>
          </w:tblCellMar>
        </w:tblPrEx>
        <w:trPr>
          <w:trHeight w:val="527" w:hRule="atLeast"/>
        </w:trPr>
        <w:tc>
          <w:tcPr>
            <w:tcW w:w="667" w:type="dxa"/>
            <w:tcBorders>
              <w:top w:val="single" w:color="auto" w:sz="4" w:space="0"/>
              <w:left w:val="single" w:color="auto" w:sz="4" w:space="0"/>
              <w:bottom w:val="single" w:color="auto" w:sz="4" w:space="0"/>
              <w:right w:val="single" w:color="auto" w:sz="4" w:space="0"/>
            </w:tcBorders>
            <w:vAlign w:val="center"/>
          </w:tcPr>
          <w:p w14:paraId="228C1FD4">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w:t>
            </w:r>
          </w:p>
        </w:tc>
        <w:tc>
          <w:tcPr>
            <w:tcW w:w="1916" w:type="dxa"/>
            <w:tcBorders>
              <w:top w:val="single" w:color="auto" w:sz="4" w:space="0"/>
              <w:left w:val="single" w:color="auto" w:sz="4" w:space="0"/>
              <w:bottom w:val="single" w:color="auto" w:sz="4" w:space="0"/>
              <w:right w:val="single" w:color="auto" w:sz="4" w:space="0"/>
            </w:tcBorders>
            <w:vAlign w:val="center"/>
          </w:tcPr>
          <w:p w14:paraId="19EFE97C">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投标保证金</w:t>
            </w:r>
          </w:p>
        </w:tc>
        <w:tc>
          <w:tcPr>
            <w:tcW w:w="7540" w:type="dxa"/>
            <w:tcBorders>
              <w:top w:val="single" w:color="auto" w:sz="4" w:space="0"/>
              <w:left w:val="single" w:color="auto" w:sz="4" w:space="0"/>
              <w:bottom w:val="single" w:color="auto" w:sz="4" w:space="0"/>
              <w:right w:val="single" w:color="auto" w:sz="4" w:space="0"/>
            </w:tcBorders>
            <w:vAlign w:val="center"/>
          </w:tcPr>
          <w:p w14:paraId="5690E5F4">
            <w:pPr>
              <w:keepNext w:val="0"/>
              <w:keepLines w:val="0"/>
              <w:pageBreakBefore w:val="0"/>
              <w:kinsoku/>
              <w:wordWrap/>
              <w:overflowPunct/>
              <w:topLinePunct w:val="0"/>
              <w:bidi w:val="0"/>
              <w:snapToGrid/>
              <w:spacing w:line="240" w:lineRule="auto"/>
              <w:textAlignment w:val="auto"/>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不提交</w:t>
            </w:r>
          </w:p>
        </w:tc>
      </w:tr>
      <w:tr w14:paraId="06B3E4DB">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2E1894A1">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w:t>
            </w:r>
          </w:p>
        </w:tc>
        <w:tc>
          <w:tcPr>
            <w:tcW w:w="1916" w:type="dxa"/>
            <w:tcBorders>
              <w:top w:val="single" w:color="auto" w:sz="4" w:space="0"/>
              <w:left w:val="single" w:color="auto" w:sz="4" w:space="0"/>
              <w:bottom w:val="single" w:color="auto" w:sz="4" w:space="0"/>
              <w:right w:val="single" w:color="auto" w:sz="4" w:space="0"/>
            </w:tcBorders>
            <w:vAlign w:val="center"/>
          </w:tcPr>
          <w:p w14:paraId="70C35404">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磋商响应文件形式、制作及组成</w:t>
            </w:r>
          </w:p>
        </w:tc>
        <w:tc>
          <w:tcPr>
            <w:tcW w:w="7540" w:type="dxa"/>
            <w:tcBorders>
              <w:top w:val="single" w:color="auto" w:sz="4" w:space="0"/>
              <w:left w:val="single" w:color="auto" w:sz="4" w:space="0"/>
              <w:bottom w:val="single" w:color="auto" w:sz="4" w:space="0"/>
              <w:right w:val="single" w:color="auto" w:sz="4" w:space="0"/>
            </w:tcBorders>
            <w:vAlign w:val="center"/>
          </w:tcPr>
          <w:p w14:paraId="6367763A">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本项目实行网上投标。</w:t>
            </w:r>
          </w:p>
          <w:p w14:paraId="64401855">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供应商应准备电子磋商响应文件、以介质存储的数据电文形式的备份磋商响应文件：</w:t>
            </w:r>
          </w:p>
          <w:p w14:paraId="0E98C375">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（1）电子磋商响应文件，按政采云平台项目采购－电子招投标操作指南及本竞争性磋商采购文件要求递交。</w:t>
            </w:r>
          </w:p>
          <w:p w14:paraId="06733B48">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（2）以介质存储的数据电文形式的备份磋商响应文件，按政采云平台项目采购－电子招投标操作指南中上传的电子磋商响应文件格式，以U盘形式提供。数量为1份。</w:t>
            </w:r>
          </w:p>
          <w:p w14:paraId="7EAA69EE">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磋商响应文件由资格审查资料、商务技术文件、报价文件三部分组成。</w:t>
            </w:r>
          </w:p>
        </w:tc>
      </w:tr>
      <w:tr w14:paraId="7694912E">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7F878771">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w:t>
            </w:r>
          </w:p>
        </w:tc>
        <w:tc>
          <w:tcPr>
            <w:tcW w:w="1916" w:type="dxa"/>
            <w:tcBorders>
              <w:top w:val="single" w:color="auto" w:sz="4" w:space="0"/>
              <w:left w:val="single" w:color="auto" w:sz="4" w:space="0"/>
              <w:bottom w:val="single" w:color="auto" w:sz="4" w:space="0"/>
              <w:right w:val="single" w:color="auto" w:sz="4" w:space="0"/>
            </w:tcBorders>
            <w:vAlign w:val="center"/>
          </w:tcPr>
          <w:p w14:paraId="5AF38E5E">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磋商响应文件份数</w:t>
            </w:r>
          </w:p>
        </w:tc>
        <w:tc>
          <w:tcPr>
            <w:tcW w:w="7540" w:type="dxa"/>
            <w:tcBorders>
              <w:top w:val="single" w:color="auto" w:sz="4" w:space="0"/>
              <w:left w:val="single" w:color="auto" w:sz="4" w:space="0"/>
              <w:bottom w:val="single" w:color="auto" w:sz="4" w:space="0"/>
              <w:right w:val="single" w:color="auto" w:sz="4" w:space="0"/>
            </w:tcBorders>
            <w:vAlign w:val="center"/>
          </w:tcPr>
          <w:p w14:paraId="08C43929">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（1）“电子加密磋商响应文件”：在线上传递交、一份。</w:t>
            </w:r>
          </w:p>
          <w:p w14:paraId="5CDC93DB">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（2）“备份磋商响应文件”：以U盘存储，密封包装后（可采用顺丰快递形式）在</w:t>
            </w:r>
            <w:r>
              <w:rPr>
                <w:rFonts w:hint="eastAsia" w:ascii="宋体" w:hAnsi="宋体" w:eastAsia="宋体" w:cs="宋体"/>
                <w:color w:val="auto"/>
                <w:kern w:val="0"/>
                <w:sz w:val="22"/>
                <w:szCs w:val="22"/>
                <w:highlight w:val="none"/>
              </w:rPr>
              <w:t>磋商响应文件递交截止时间</w:t>
            </w:r>
            <w:r>
              <w:rPr>
                <w:rFonts w:hint="eastAsia" w:ascii="宋体" w:hAnsi="宋体" w:eastAsia="宋体" w:cs="宋体"/>
                <w:color w:val="auto"/>
                <w:kern w:val="0"/>
                <w:sz w:val="22"/>
                <w:szCs w:val="22"/>
                <w:highlight w:val="none"/>
                <w:lang w:val="zh-CN"/>
              </w:rPr>
              <w:t>前递交，一份，邮寄地址：</w:t>
            </w:r>
            <w:r>
              <w:rPr>
                <w:rFonts w:hint="eastAsia" w:ascii="宋体" w:hAnsi="宋体" w:eastAsia="宋体" w:cs="宋体"/>
                <w:color w:val="auto"/>
                <w:kern w:val="0"/>
                <w:sz w:val="22"/>
                <w:szCs w:val="22"/>
                <w:highlight w:val="none"/>
              </w:rPr>
              <w:t>温州市瓯海区新桥街道牛山广场</w:t>
            </w:r>
            <w:r>
              <w:rPr>
                <w:rFonts w:hint="eastAsia" w:ascii="宋体" w:hAnsi="宋体" w:eastAsia="宋体" w:cs="宋体"/>
                <w:color w:val="auto"/>
                <w:kern w:val="0"/>
                <w:sz w:val="22"/>
                <w:szCs w:val="22"/>
                <w:highlight w:val="none"/>
                <w:lang w:val="en-US" w:eastAsia="zh-CN"/>
              </w:rPr>
              <w:t>2号楼1409</w:t>
            </w:r>
            <w:r>
              <w:rPr>
                <w:rFonts w:hint="eastAsia" w:ascii="宋体" w:hAnsi="宋体" w:eastAsia="宋体" w:cs="宋体"/>
                <w:color w:val="auto"/>
                <w:kern w:val="0"/>
                <w:sz w:val="22"/>
                <w:szCs w:val="22"/>
                <w:highlight w:val="none"/>
                <w:lang w:val="zh-CN"/>
              </w:rPr>
              <w:t>，</w:t>
            </w:r>
            <w:r>
              <w:rPr>
                <w:rFonts w:hint="eastAsia" w:ascii="宋体" w:hAnsi="宋体" w:eastAsia="宋体" w:cs="宋体"/>
                <w:color w:val="auto"/>
                <w:kern w:val="0"/>
                <w:sz w:val="22"/>
                <w:szCs w:val="22"/>
                <w:highlight w:val="none"/>
                <w:lang w:val="en-US" w:eastAsia="zh-CN"/>
              </w:rPr>
              <w:t>苏</w:t>
            </w:r>
            <w:r>
              <w:rPr>
                <w:rFonts w:hint="eastAsia" w:ascii="宋体" w:hAnsi="宋体" w:eastAsia="宋体" w:cs="宋体"/>
                <w:color w:val="auto"/>
                <w:kern w:val="0"/>
                <w:sz w:val="22"/>
                <w:szCs w:val="22"/>
                <w:highlight w:val="none"/>
                <w:lang w:val="zh-CN"/>
              </w:rPr>
              <w:t>先生收。</w:t>
            </w:r>
          </w:p>
        </w:tc>
      </w:tr>
      <w:tr w14:paraId="73A87FD8">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638C008B">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17</w:t>
            </w:r>
          </w:p>
        </w:tc>
        <w:tc>
          <w:tcPr>
            <w:tcW w:w="1916" w:type="dxa"/>
            <w:tcBorders>
              <w:top w:val="single" w:color="auto" w:sz="4" w:space="0"/>
              <w:left w:val="single" w:color="auto" w:sz="4" w:space="0"/>
              <w:bottom w:val="single" w:color="auto" w:sz="4" w:space="0"/>
              <w:right w:val="single" w:color="auto" w:sz="4" w:space="0"/>
            </w:tcBorders>
            <w:vAlign w:val="center"/>
          </w:tcPr>
          <w:p w14:paraId="5DD80B67">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磋商响应文件签字或盖章要求</w:t>
            </w:r>
          </w:p>
        </w:tc>
        <w:tc>
          <w:tcPr>
            <w:tcW w:w="7540" w:type="dxa"/>
            <w:tcBorders>
              <w:top w:val="single" w:color="auto" w:sz="4" w:space="0"/>
              <w:left w:val="single" w:color="auto" w:sz="4" w:space="0"/>
              <w:bottom w:val="single" w:color="auto" w:sz="4" w:space="0"/>
              <w:right w:val="single" w:color="auto" w:sz="4" w:space="0"/>
            </w:tcBorders>
            <w:vAlign w:val="center"/>
          </w:tcPr>
          <w:p w14:paraId="17E1BC16">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磋商响应文件的相应位置应加盖：</w:t>
            </w:r>
          </w:p>
          <w:p w14:paraId="714B0386">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（1）单位公章</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电子签章</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p>
          <w:p w14:paraId="6F3F3BC1">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（2）法定代表人或其授权委托代理人签字或盖章（如为授权委托代理人签字或盖章的须提供法定代表人授权委托书）。</w:t>
            </w:r>
          </w:p>
          <w:p w14:paraId="58CADF22">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（3）供应商单位不得以投标专用章、合同专用章等其他形式印章代替，否则视为无效印章。</w:t>
            </w:r>
          </w:p>
        </w:tc>
      </w:tr>
      <w:tr w14:paraId="5E749931">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14:paraId="73B2551F">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lang w:val="en-US" w:eastAsia="zh-CN"/>
              </w:rPr>
              <w:t>8</w:t>
            </w:r>
          </w:p>
        </w:tc>
        <w:tc>
          <w:tcPr>
            <w:tcW w:w="1916" w:type="dxa"/>
            <w:tcBorders>
              <w:top w:val="single" w:color="auto" w:sz="4" w:space="0"/>
              <w:left w:val="single" w:color="auto" w:sz="4" w:space="0"/>
              <w:bottom w:val="single" w:color="auto" w:sz="4" w:space="0"/>
              <w:right w:val="single" w:color="auto" w:sz="4" w:space="0"/>
            </w:tcBorders>
            <w:vAlign w:val="center"/>
          </w:tcPr>
          <w:p w14:paraId="7A9D1785">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磋商响应文件的递交与接收</w:t>
            </w:r>
          </w:p>
        </w:tc>
        <w:tc>
          <w:tcPr>
            <w:tcW w:w="7540" w:type="dxa"/>
            <w:tcBorders>
              <w:top w:val="single" w:color="auto" w:sz="4" w:space="0"/>
              <w:left w:val="single" w:color="auto" w:sz="4" w:space="0"/>
              <w:bottom w:val="single" w:color="auto" w:sz="4" w:space="0"/>
              <w:right w:val="single" w:color="auto" w:sz="4" w:space="0"/>
            </w:tcBorders>
            <w:vAlign w:val="center"/>
          </w:tcPr>
          <w:p w14:paraId="7FE7F4FD">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供应商应当在磋商响应文件递交截止时间前在政采云平台完成电子磋商响应文件的传输递交，并可以补充、修改或者撤回电子磋商响应文件。补充或者修改电子磋商响应文件的，应当先行撤回原文件，补充、修改后重新传输递交。投标截止时间前未完成传输的，视为撤回磋商响应文件。磋商响应文件递交截止时间后送达的磋商响应文件，将被政采云平台拒收。</w:t>
            </w:r>
          </w:p>
          <w:p w14:paraId="5FFBD209">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（2）供应商应当在</w:t>
            </w:r>
            <w:r>
              <w:rPr>
                <w:rFonts w:hint="eastAsia" w:ascii="宋体" w:hAnsi="宋体" w:eastAsia="宋体" w:cs="宋体"/>
                <w:color w:val="auto"/>
                <w:sz w:val="22"/>
                <w:szCs w:val="22"/>
                <w:highlight w:val="none"/>
                <w:lang w:eastAsia="zh-CN"/>
              </w:rPr>
              <w:t>2025年</w:t>
            </w:r>
            <w:r>
              <w:rPr>
                <w:rFonts w:hint="eastAsia" w:ascii="宋体" w:hAnsi="宋体" w:eastAsia="宋体" w:cs="宋体"/>
                <w:color w:val="auto"/>
                <w:sz w:val="22"/>
                <w:szCs w:val="22"/>
                <w:highlight w:val="none"/>
                <w:lang w:val="en-US" w:eastAsia="zh-CN"/>
              </w:rPr>
              <w:t>02</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lang w:val="en-US" w:eastAsia="zh-CN"/>
              </w:rPr>
              <w:t>17</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分</w:t>
            </w:r>
            <w:r>
              <w:rPr>
                <w:rFonts w:hint="eastAsia" w:ascii="宋体" w:hAnsi="宋体" w:eastAsia="宋体" w:cs="宋体"/>
                <w:color w:val="auto"/>
                <w:kern w:val="0"/>
                <w:sz w:val="22"/>
                <w:szCs w:val="22"/>
                <w:highlight w:val="none"/>
              </w:rPr>
              <w:t>之前将以介质存储的数据电文形式的备份磋商响应文件密封送交到温州市瓯海区新桥街道高昂路1号牛山广场2号楼1409室，逾期送达或未密封将被拒收。</w:t>
            </w:r>
          </w:p>
          <w:p w14:paraId="5ED3ABD4">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供应商递交以介质存储的数据电文形式的备份磋商响应文件时，如出现下列情况之一的，将被拒收：</w:t>
            </w:r>
          </w:p>
          <w:p w14:paraId="7D8EB0D9">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1.未按规定密封或标记的磋商响应文件；</w:t>
            </w:r>
          </w:p>
          <w:p w14:paraId="05B0F6EE">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2.由于包装不妥，在送交途中严重破损或失散的；</w:t>
            </w:r>
          </w:p>
          <w:p w14:paraId="11515410">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3.未成功办理供应商报名手续的；</w:t>
            </w:r>
          </w:p>
          <w:p w14:paraId="015A47A3">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4.超过磋商响应文件递交截止时间送达的。</w:t>
            </w:r>
          </w:p>
          <w:p w14:paraId="539D8DEC">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5.仅提供备份磋商响应文件的，投标无效。</w:t>
            </w:r>
          </w:p>
          <w:p w14:paraId="0EDC459D">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仅提供备份磋商响应文件，造成项目开标评审及磋商活动无法进行下去的，投标（磋商响应）无效，相关风险由供应商自行承担。</w:t>
            </w:r>
          </w:p>
        </w:tc>
      </w:tr>
      <w:tr w14:paraId="5E4B5F87">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14:paraId="5FC06777">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lang w:val="en-US" w:eastAsia="zh-CN"/>
              </w:rPr>
              <w:t>9</w:t>
            </w:r>
          </w:p>
        </w:tc>
        <w:tc>
          <w:tcPr>
            <w:tcW w:w="1916" w:type="dxa"/>
            <w:tcBorders>
              <w:top w:val="single" w:color="auto" w:sz="4" w:space="0"/>
              <w:left w:val="single" w:color="auto" w:sz="4" w:space="0"/>
              <w:bottom w:val="single" w:color="auto" w:sz="4" w:space="0"/>
              <w:right w:val="single" w:color="auto" w:sz="4" w:space="0"/>
            </w:tcBorders>
            <w:vAlign w:val="center"/>
          </w:tcPr>
          <w:p w14:paraId="312D2126">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开标时间和评标地点</w:t>
            </w:r>
          </w:p>
        </w:tc>
        <w:tc>
          <w:tcPr>
            <w:tcW w:w="7540" w:type="dxa"/>
            <w:tcBorders>
              <w:top w:val="single" w:color="auto" w:sz="4" w:space="0"/>
              <w:left w:val="single" w:color="auto" w:sz="4" w:space="0"/>
              <w:bottom w:val="single" w:color="auto" w:sz="4" w:space="0"/>
              <w:right w:val="single" w:color="auto" w:sz="4" w:space="0"/>
            </w:tcBorders>
            <w:vAlign w:val="center"/>
          </w:tcPr>
          <w:p w14:paraId="071ED1AB">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开标时间：</w:t>
            </w:r>
            <w:r>
              <w:rPr>
                <w:rFonts w:hint="eastAsia" w:ascii="宋体" w:hAnsi="宋体" w:eastAsia="宋体" w:cs="宋体"/>
                <w:color w:val="auto"/>
                <w:sz w:val="22"/>
                <w:szCs w:val="22"/>
                <w:highlight w:val="none"/>
                <w:lang w:eastAsia="zh-CN"/>
              </w:rPr>
              <w:t>2025年</w:t>
            </w:r>
            <w:r>
              <w:rPr>
                <w:rFonts w:hint="eastAsia" w:ascii="宋体" w:hAnsi="宋体" w:eastAsia="宋体" w:cs="宋体"/>
                <w:color w:val="auto"/>
                <w:sz w:val="22"/>
                <w:szCs w:val="22"/>
                <w:highlight w:val="none"/>
                <w:lang w:val="en-US" w:eastAsia="zh-CN"/>
              </w:rPr>
              <w:t>02</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lang w:val="en-US" w:eastAsia="zh-CN"/>
              </w:rPr>
              <w:t>17</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分</w:t>
            </w:r>
          </w:p>
          <w:p w14:paraId="7A0F4A49">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开标地点：</w:t>
            </w:r>
            <w:r>
              <w:rPr>
                <w:rFonts w:hint="eastAsia" w:ascii="宋体" w:hAnsi="宋体" w:eastAsia="宋体" w:cs="宋体"/>
                <w:bCs/>
                <w:color w:val="auto"/>
                <w:kern w:val="0"/>
                <w:sz w:val="22"/>
                <w:szCs w:val="22"/>
                <w:highlight w:val="none"/>
              </w:rPr>
              <w:t>政采云平台（www.zcygov.cn）在线开标</w:t>
            </w:r>
          </w:p>
          <w:p w14:paraId="19D809DC">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评标地点：温州市公共资源交易中心鹿城分中心三楼评标</w:t>
            </w:r>
            <w:r>
              <w:rPr>
                <w:rFonts w:hint="eastAsia" w:ascii="宋体" w:hAnsi="宋体" w:eastAsia="宋体" w:cs="宋体"/>
                <w:color w:val="auto"/>
                <w:kern w:val="0"/>
                <w:sz w:val="22"/>
                <w:szCs w:val="22"/>
                <w:highlight w:val="none"/>
                <w:lang w:val="en-US" w:eastAsia="zh-CN"/>
              </w:rPr>
              <w:t>室</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温州市鹿城区宽带路18号</w:t>
            </w:r>
            <w:r>
              <w:rPr>
                <w:rFonts w:hint="eastAsia" w:ascii="宋体" w:hAnsi="宋体" w:eastAsia="宋体" w:cs="宋体"/>
                <w:color w:val="auto"/>
                <w:kern w:val="0"/>
                <w:sz w:val="22"/>
                <w:szCs w:val="22"/>
                <w:highlight w:val="none"/>
                <w:lang w:eastAsia="zh-CN"/>
              </w:rPr>
              <w:t>）</w:t>
            </w:r>
          </w:p>
        </w:tc>
      </w:tr>
      <w:tr w14:paraId="1D6CECC0">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14:paraId="049B987B">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20</w:t>
            </w:r>
          </w:p>
        </w:tc>
        <w:tc>
          <w:tcPr>
            <w:tcW w:w="1916" w:type="dxa"/>
            <w:tcBorders>
              <w:top w:val="single" w:color="auto" w:sz="4" w:space="0"/>
              <w:left w:val="single" w:color="auto" w:sz="4" w:space="0"/>
              <w:bottom w:val="single" w:color="auto" w:sz="4" w:space="0"/>
              <w:right w:val="single" w:color="auto" w:sz="4" w:space="0"/>
            </w:tcBorders>
            <w:vAlign w:val="center"/>
          </w:tcPr>
          <w:p w14:paraId="5FD21381">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电子加密磋商响应文件的解密和异常情况处理</w:t>
            </w:r>
          </w:p>
        </w:tc>
        <w:tc>
          <w:tcPr>
            <w:tcW w:w="7540" w:type="dxa"/>
            <w:tcBorders>
              <w:top w:val="single" w:color="auto" w:sz="4" w:space="0"/>
              <w:left w:val="single" w:color="auto" w:sz="4" w:space="0"/>
              <w:bottom w:val="single" w:color="auto" w:sz="4" w:space="0"/>
              <w:right w:val="single" w:color="auto" w:sz="4" w:space="0"/>
            </w:tcBorders>
            <w:vAlign w:val="center"/>
          </w:tcPr>
          <w:p w14:paraId="6A21AEEF">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（1）开标后，采购组织机构将向各供应商发出“电子加密磋商响应文件”的解密通知，各供应商代表应当在接到解密通知后30分钟内自行完成“电子加密磋商响应文件”的在线解密。</w:t>
            </w:r>
          </w:p>
          <w:p w14:paraId="4B9D08C6">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通过“政采云平台”成功上传递交的“电子加密磋商响应文件”无法按时解密，供应商如按规定递交了“备份磋商响应文件”的，以“备份磋商响应文件”为依据（由采购组织机构按“政采云平台”操作规范将“备份磋商响应文件”上传至“政采云平台”，上传成功后，“电子加密磋商响应文件”自动失效），否则视为磋商响应文件撤回。</w:t>
            </w:r>
          </w:p>
          <w:p w14:paraId="5BC408BB">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（3）磋商响应文件递交截止时间前，供应商仅递交了“备份磋商响应文件”而未将电子加密磋商响应文件上传至“政采云平台”的，投标无效。</w:t>
            </w:r>
          </w:p>
        </w:tc>
      </w:tr>
      <w:tr w14:paraId="1CA1FAED">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14:paraId="67FA2469">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21</w:t>
            </w:r>
          </w:p>
        </w:tc>
        <w:tc>
          <w:tcPr>
            <w:tcW w:w="1916" w:type="dxa"/>
            <w:tcBorders>
              <w:top w:val="single" w:color="auto" w:sz="4" w:space="0"/>
              <w:left w:val="single" w:color="auto" w:sz="4" w:space="0"/>
              <w:bottom w:val="single" w:color="auto" w:sz="4" w:space="0"/>
              <w:right w:val="single" w:color="auto" w:sz="4" w:space="0"/>
            </w:tcBorders>
            <w:vAlign w:val="center"/>
          </w:tcPr>
          <w:p w14:paraId="2B4D8F31">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磋商评审程序</w:t>
            </w:r>
          </w:p>
        </w:tc>
        <w:tc>
          <w:tcPr>
            <w:tcW w:w="7540" w:type="dxa"/>
            <w:tcBorders>
              <w:top w:val="single" w:color="auto" w:sz="4" w:space="0"/>
              <w:left w:val="single" w:color="auto" w:sz="4" w:space="0"/>
              <w:bottom w:val="single" w:color="auto" w:sz="4" w:space="0"/>
              <w:right w:val="single" w:color="auto" w:sz="4" w:space="0"/>
            </w:tcBorders>
            <w:vAlign w:val="center"/>
          </w:tcPr>
          <w:p w14:paraId="727A99B4">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1）磋商响应文件递交截止时间后，供应商登录政采云平台，用“项目采购－开标评标”功能对电子磋商响应文件进行在线解密。在线解密电子磋商文件时间为开标时间起半个小时内；</w:t>
            </w:r>
          </w:p>
          <w:p w14:paraId="1E5A9730">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采购</w:t>
            </w:r>
            <w:r>
              <w:rPr>
                <w:rFonts w:hint="eastAsia" w:ascii="宋体" w:hAnsi="宋体" w:eastAsia="宋体" w:cs="宋体"/>
                <w:color w:val="auto"/>
                <w:kern w:val="0"/>
                <w:sz w:val="22"/>
                <w:szCs w:val="22"/>
                <w:highlight w:val="none"/>
              </w:rPr>
              <w:t>代理机构对供应商进行资格审查；</w:t>
            </w:r>
          </w:p>
          <w:p w14:paraId="1AC551EA">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3）磋商小组对通过资格审查的磋商响应文件进行评分；</w:t>
            </w:r>
          </w:p>
          <w:p w14:paraId="58B59E32">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4）如有必要，磋商小组与供应商进行线上磋商；</w:t>
            </w:r>
          </w:p>
          <w:p w14:paraId="28040E71">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5）磋商小组要求供应商在规定的时间内在政采云平台提交二次（最终）报价；</w:t>
            </w:r>
          </w:p>
          <w:p w14:paraId="14AC1CC0">
            <w:pPr>
              <w:keepNext w:val="0"/>
              <w:keepLines w:val="0"/>
              <w:pageBreakBefore w:val="0"/>
              <w:tabs>
                <w:tab w:val="left" w:pos="4664"/>
              </w:tabs>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6）在系统上公开资格审查、商务技术标及报价标评分结果；</w:t>
            </w:r>
          </w:p>
          <w:p w14:paraId="3DA39881">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7）磋商小组编写磋商评审报告。</w:t>
            </w:r>
          </w:p>
          <w:p w14:paraId="63173A76">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说明：政采云公司如对电子化开标及评审程序有调整的，按调整后的程序操作。</w:t>
            </w:r>
          </w:p>
        </w:tc>
      </w:tr>
      <w:tr w14:paraId="0BE046C3">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0862D7BB">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2</w:t>
            </w:r>
          </w:p>
        </w:tc>
        <w:tc>
          <w:tcPr>
            <w:tcW w:w="1916" w:type="dxa"/>
            <w:tcBorders>
              <w:top w:val="single" w:color="auto" w:sz="4" w:space="0"/>
              <w:left w:val="single" w:color="auto" w:sz="4" w:space="0"/>
              <w:bottom w:val="single" w:color="auto" w:sz="4" w:space="0"/>
              <w:right w:val="single" w:color="auto" w:sz="4" w:space="0"/>
            </w:tcBorders>
            <w:vAlign w:val="center"/>
          </w:tcPr>
          <w:p w14:paraId="489BB57F">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磋商小组的组建</w:t>
            </w:r>
          </w:p>
        </w:tc>
        <w:tc>
          <w:tcPr>
            <w:tcW w:w="7540" w:type="dxa"/>
            <w:tcBorders>
              <w:top w:val="single" w:color="auto" w:sz="4" w:space="0"/>
              <w:left w:val="single" w:color="auto" w:sz="4" w:space="0"/>
              <w:bottom w:val="single" w:color="auto" w:sz="4" w:space="0"/>
              <w:right w:val="single" w:color="auto" w:sz="4" w:space="0"/>
            </w:tcBorders>
            <w:vAlign w:val="center"/>
          </w:tcPr>
          <w:p w14:paraId="44A78E8A">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磋商小组成员由采购人代表和有关技术、经济等方面的专家组成，磋商小组成员人数为3人及以上单数，</w:t>
            </w:r>
            <w:r>
              <w:rPr>
                <w:rFonts w:hint="eastAsia" w:ascii="宋体" w:hAnsi="宋体" w:eastAsia="宋体" w:cs="宋体"/>
                <w:bCs/>
                <w:color w:val="auto"/>
                <w:sz w:val="22"/>
                <w:szCs w:val="22"/>
                <w:highlight w:val="none"/>
              </w:rPr>
              <w:t>除采购人代表外的专家将在评标专家库中随机抽取产生。</w:t>
            </w:r>
          </w:p>
        </w:tc>
      </w:tr>
      <w:tr w14:paraId="5894C4E4">
        <w:tblPrEx>
          <w:tblCellMar>
            <w:top w:w="0" w:type="dxa"/>
            <w:left w:w="108" w:type="dxa"/>
            <w:bottom w:w="0" w:type="dxa"/>
            <w:right w:w="108" w:type="dxa"/>
          </w:tblCellMar>
        </w:tblPrEx>
        <w:trPr>
          <w:trHeight w:val="700" w:hRule="atLeast"/>
        </w:trPr>
        <w:tc>
          <w:tcPr>
            <w:tcW w:w="667" w:type="dxa"/>
            <w:tcBorders>
              <w:top w:val="single" w:color="auto" w:sz="4" w:space="0"/>
              <w:left w:val="single" w:color="auto" w:sz="4" w:space="0"/>
              <w:bottom w:val="single" w:color="auto" w:sz="4" w:space="0"/>
              <w:right w:val="single" w:color="auto" w:sz="4" w:space="0"/>
            </w:tcBorders>
            <w:vAlign w:val="center"/>
          </w:tcPr>
          <w:p w14:paraId="0A25547B">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3</w:t>
            </w:r>
          </w:p>
        </w:tc>
        <w:tc>
          <w:tcPr>
            <w:tcW w:w="1916" w:type="dxa"/>
            <w:tcBorders>
              <w:top w:val="single" w:color="auto" w:sz="4" w:space="0"/>
              <w:left w:val="single" w:color="auto" w:sz="4" w:space="0"/>
              <w:bottom w:val="single" w:color="auto" w:sz="4" w:space="0"/>
              <w:right w:val="single" w:color="auto" w:sz="4" w:space="0"/>
            </w:tcBorders>
            <w:vAlign w:val="center"/>
          </w:tcPr>
          <w:p w14:paraId="6260FA18">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原 件</w:t>
            </w:r>
          </w:p>
        </w:tc>
        <w:tc>
          <w:tcPr>
            <w:tcW w:w="7540" w:type="dxa"/>
            <w:tcBorders>
              <w:top w:val="single" w:color="auto" w:sz="4" w:space="0"/>
              <w:left w:val="single" w:color="auto" w:sz="4" w:space="0"/>
              <w:bottom w:val="single" w:color="auto" w:sz="4" w:space="0"/>
              <w:right w:val="single" w:color="auto" w:sz="4" w:space="0"/>
            </w:tcBorders>
            <w:vAlign w:val="center"/>
          </w:tcPr>
          <w:p w14:paraId="252937C2">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□提交，具体要求见供应商须知</w:t>
            </w:r>
          </w:p>
          <w:p w14:paraId="286DD449">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w:char="F0FE"/>
            </w:r>
            <w:r>
              <w:rPr>
                <w:rFonts w:hint="eastAsia" w:ascii="宋体" w:hAnsi="宋体" w:eastAsia="宋体" w:cs="宋体"/>
                <w:color w:val="auto"/>
                <w:kern w:val="0"/>
                <w:sz w:val="22"/>
                <w:szCs w:val="22"/>
                <w:highlight w:val="none"/>
              </w:rPr>
              <w:t>不提交</w:t>
            </w:r>
          </w:p>
        </w:tc>
      </w:tr>
      <w:tr w14:paraId="3716B60F">
        <w:tblPrEx>
          <w:tblCellMar>
            <w:top w:w="0" w:type="dxa"/>
            <w:left w:w="108" w:type="dxa"/>
            <w:bottom w:w="0" w:type="dxa"/>
            <w:right w:w="108" w:type="dxa"/>
          </w:tblCellMar>
        </w:tblPrEx>
        <w:trPr>
          <w:trHeight w:val="700" w:hRule="atLeast"/>
        </w:trPr>
        <w:tc>
          <w:tcPr>
            <w:tcW w:w="667" w:type="dxa"/>
            <w:tcBorders>
              <w:top w:val="single" w:color="auto" w:sz="4" w:space="0"/>
              <w:left w:val="single" w:color="auto" w:sz="4" w:space="0"/>
              <w:bottom w:val="single" w:color="auto" w:sz="4" w:space="0"/>
              <w:right w:val="single" w:color="auto" w:sz="4" w:space="0"/>
            </w:tcBorders>
            <w:vAlign w:val="center"/>
          </w:tcPr>
          <w:p w14:paraId="0BE6D5AB">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4</w:t>
            </w:r>
          </w:p>
        </w:tc>
        <w:tc>
          <w:tcPr>
            <w:tcW w:w="1916" w:type="dxa"/>
            <w:tcBorders>
              <w:top w:val="single" w:color="auto" w:sz="4" w:space="0"/>
              <w:left w:val="single" w:color="auto" w:sz="4" w:space="0"/>
              <w:bottom w:val="single" w:color="auto" w:sz="4" w:space="0"/>
              <w:right w:val="single" w:color="auto" w:sz="4" w:space="0"/>
            </w:tcBorders>
            <w:vAlign w:val="center"/>
          </w:tcPr>
          <w:p w14:paraId="3AB6E4ED">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履约保证金</w:t>
            </w:r>
          </w:p>
        </w:tc>
        <w:tc>
          <w:tcPr>
            <w:tcW w:w="7540" w:type="dxa"/>
            <w:tcBorders>
              <w:top w:val="single" w:color="auto" w:sz="4" w:space="0"/>
              <w:left w:val="single" w:color="auto" w:sz="4" w:space="0"/>
              <w:bottom w:val="single" w:color="auto" w:sz="4" w:space="0"/>
              <w:right w:val="single" w:color="auto" w:sz="4" w:space="0"/>
            </w:tcBorders>
            <w:vAlign w:val="center"/>
          </w:tcPr>
          <w:p w14:paraId="06E4DF83">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w:char="00FE"/>
            </w:r>
            <w:r>
              <w:rPr>
                <w:rFonts w:hint="eastAsia" w:ascii="宋体" w:hAnsi="宋体" w:eastAsia="宋体" w:cs="宋体"/>
                <w:color w:val="auto"/>
                <w:kern w:val="0"/>
                <w:sz w:val="22"/>
                <w:szCs w:val="22"/>
                <w:highlight w:val="none"/>
              </w:rPr>
              <w:t>不需要</w:t>
            </w:r>
          </w:p>
          <w:p w14:paraId="2C285809">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□需要</w:t>
            </w:r>
          </w:p>
        </w:tc>
      </w:tr>
      <w:tr w14:paraId="5AA04DEB">
        <w:tblPrEx>
          <w:tblCellMar>
            <w:top w:w="0" w:type="dxa"/>
            <w:left w:w="108" w:type="dxa"/>
            <w:bottom w:w="0" w:type="dxa"/>
            <w:right w:w="108" w:type="dxa"/>
          </w:tblCellMar>
        </w:tblPrEx>
        <w:trPr>
          <w:trHeight w:val="750" w:hRule="atLeast"/>
        </w:trPr>
        <w:tc>
          <w:tcPr>
            <w:tcW w:w="667" w:type="dxa"/>
            <w:tcBorders>
              <w:top w:val="single" w:color="auto" w:sz="4" w:space="0"/>
              <w:left w:val="single" w:color="auto" w:sz="4" w:space="0"/>
              <w:bottom w:val="single" w:color="auto" w:sz="4" w:space="0"/>
              <w:right w:val="single" w:color="auto" w:sz="4" w:space="0"/>
            </w:tcBorders>
            <w:vAlign w:val="center"/>
          </w:tcPr>
          <w:p w14:paraId="17F856E9">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5</w:t>
            </w:r>
          </w:p>
        </w:tc>
        <w:tc>
          <w:tcPr>
            <w:tcW w:w="1916" w:type="dxa"/>
            <w:tcBorders>
              <w:top w:val="single" w:color="auto" w:sz="4" w:space="0"/>
              <w:left w:val="single" w:color="auto" w:sz="4" w:space="0"/>
              <w:bottom w:val="single" w:color="auto" w:sz="4" w:space="0"/>
              <w:right w:val="single" w:color="auto" w:sz="4" w:space="0"/>
            </w:tcBorders>
            <w:vAlign w:val="center"/>
          </w:tcPr>
          <w:p w14:paraId="022D2893">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rPr>
              <w:t>政府采购扶持政策</w:t>
            </w:r>
          </w:p>
        </w:tc>
        <w:tc>
          <w:tcPr>
            <w:tcW w:w="7540" w:type="dxa"/>
            <w:tcBorders>
              <w:top w:val="single" w:color="auto" w:sz="4" w:space="0"/>
              <w:left w:val="single" w:color="auto" w:sz="4" w:space="0"/>
              <w:bottom w:val="single" w:color="auto" w:sz="4" w:space="0"/>
              <w:right w:val="single" w:color="auto" w:sz="4" w:space="0"/>
            </w:tcBorders>
            <w:vAlign w:val="center"/>
          </w:tcPr>
          <w:p w14:paraId="3EA24D54">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1.本项目属于预留份额专门面向中小企业/小微企业采购项目，监狱企业、残疾人福利性单位视为中小企业。</w:t>
            </w:r>
          </w:p>
          <w:p w14:paraId="7A0FB356">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2.中小企业/小微企业为满足转发财政部 工业和信息化部关于印发《政府采购促进中小企业发展管理办法》（财库﹝2020﹞46 号）的规定的中小企业。</w:t>
            </w:r>
          </w:p>
          <w:p w14:paraId="1EA7D98A">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3.专门面向中小企业/小微企业采购的项目，不再执行价格评审优惠的扶持政策。</w:t>
            </w:r>
          </w:p>
          <w:p w14:paraId="76E41ADD">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4.依据《政府采购促进中小企业发展管理办法》（财库﹝2020﹞46 号）规定享受扶持政策获得政府采购合同的，小微企业不得将合同分包给大中型企业，中型企业不得将合同分包给大型企业。</w:t>
            </w:r>
          </w:p>
          <w:p w14:paraId="01A9D2D2">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b w:val="0"/>
                <w:bCs/>
                <w:color w:val="auto"/>
                <w:sz w:val="22"/>
                <w:szCs w:val="22"/>
                <w:highlight w:val="none"/>
              </w:rPr>
              <w:t>5.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r>
              <w:rPr>
                <w:rFonts w:hint="eastAsia" w:ascii="宋体" w:hAnsi="宋体" w:eastAsia="宋体" w:cs="宋体"/>
                <w:b w:val="0"/>
                <w:bCs/>
                <w:color w:val="auto"/>
                <w:sz w:val="22"/>
                <w:szCs w:val="22"/>
                <w:highlight w:val="none"/>
                <w:lang w:eastAsia="zh-CN"/>
              </w:rPr>
              <w:t>。</w:t>
            </w:r>
          </w:p>
        </w:tc>
      </w:tr>
      <w:tr w14:paraId="2EE650F1">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27E2CDD6">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6</w:t>
            </w:r>
          </w:p>
        </w:tc>
        <w:tc>
          <w:tcPr>
            <w:tcW w:w="1916" w:type="dxa"/>
            <w:tcBorders>
              <w:top w:val="single" w:color="auto" w:sz="4" w:space="0"/>
              <w:left w:val="single" w:color="auto" w:sz="4" w:space="0"/>
              <w:bottom w:val="single" w:color="auto" w:sz="4" w:space="0"/>
              <w:right w:val="single" w:color="auto" w:sz="4" w:space="0"/>
            </w:tcBorders>
            <w:vAlign w:val="center"/>
          </w:tcPr>
          <w:p w14:paraId="47887E7B">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供应商信用查询</w:t>
            </w:r>
          </w:p>
        </w:tc>
        <w:tc>
          <w:tcPr>
            <w:tcW w:w="7540" w:type="dxa"/>
            <w:tcBorders>
              <w:top w:val="single" w:color="auto" w:sz="4" w:space="0"/>
              <w:left w:val="single" w:color="auto" w:sz="4" w:space="0"/>
              <w:bottom w:val="single" w:color="auto" w:sz="4" w:space="0"/>
              <w:right w:val="single" w:color="auto" w:sz="4" w:space="0"/>
            </w:tcBorders>
            <w:vAlign w:val="center"/>
          </w:tcPr>
          <w:p w14:paraId="4C8ED69C">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（1）供应商信用信息查询的查询渠道：“信用中国”（</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)；“中国政府采购网”（http://www.ccgp.gov.cn/）；</w:t>
            </w:r>
          </w:p>
          <w:p w14:paraId="4EF8C5BF">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（2）供应商信用信息查询截止时点：公告发布之日起至</w:t>
            </w:r>
            <w:r>
              <w:rPr>
                <w:rFonts w:hint="eastAsia" w:ascii="宋体" w:hAnsi="宋体" w:eastAsia="宋体" w:cs="宋体"/>
                <w:color w:val="auto"/>
                <w:sz w:val="22"/>
                <w:szCs w:val="22"/>
                <w:highlight w:val="none"/>
                <w:lang w:val="en-US" w:eastAsia="zh-CN"/>
              </w:rPr>
              <w:t>磋商响应</w:t>
            </w:r>
            <w:r>
              <w:rPr>
                <w:rFonts w:hint="eastAsia" w:ascii="宋体" w:hAnsi="宋体" w:eastAsia="宋体" w:cs="宋体"/>
                <w:color w:val="auto"/>
                <w:sz w:val="22"/>
                <w:szCs w:val="22"/>
                <w:highlight w:val="none"/>
              </w:rPr>
              <w:t>截止时间。</w:t>
            </w:r>
          </w:p>
          <w:p w14:paraId="7BDEB378">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（3）供应商信用信息查询记录和证据留存的具体方式：网页截图打印；</w:t>
            </w:r>
          </w:p>
          <w:p w14:paraId="2076200F">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w:t>
            </w:r>
          </w:p>
          <w:p w14:paraId="3029B519">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①在“信用中国”具有负面记录：列入失信被执行人、重大税收违法案件当事人名单、政府采购严重违法失信行为名单；</w:t>
            </w:r>
          </w:p>
          <w:p w14:paraId="624D6D2E">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②被“中国政府采购网”（www.ccgp.gov.cn）列入政府采购严重违法失信行为记录名单。</w:t>
            </w:r>
          </w:p>
          <w:p w14:paraId="6E295A78">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（5）具有以上（4）所述信息记录的供应商，其投标作无效投标处理。</w:t>
            </w:r>
          </w:p>
          <w:p w14:paraId="265BBC63">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rPr>
              <w:t>（6）▲</w:t>
            </w:r>
            <w:r>
              <w:rPr>
                <w:rFonts w:hint="eastAsia" w:ascii="宋体" w:hAnsi="宋体" w:eastAsia="宋体" w:cs="宋体"/>
                <w:b/>
                <w:color w:val="auto"/>
                <w:sz w:val="22"/>
                <w:szCs w:val="22"/>
                <w:highlight w:val="none"/>
                <w:u w:val="single"/>
              </w:rPr>
              <w:t>关于</w:t>
            </w:r>
            <w:r>
              <w:rPr>
                <w:rFonts w:hint="eastAsia" w:ascii="宋体" w:hAnsi="宋体" w:eastAsia="宋体" w:cs="宋体"/>
                <w:b/>
                <w:bCs/>
                <w:color w:val="auto"/>
                <w:sz w:val="22"/>
                <w:szCs w:val="22"/>
                <w:highlight w:val="none"/>
                <w:u w:val="single"/>
              </w:rPr>
              <w:t>“信用中国”（www.creditchina.gov.cn) 信用记录网页截图相关说明</w:t>
            </w:r>
            <w:r>
              <w:rPr>
                <w:rFonts w:hint="eastAsia" w:ascii="宋体" w:hAnsi="宋体" w:eastAsia="宋体" w:cs="宋体"/>
                <w:bCs/>
                <w:color w:val="auto"/>
                <w:sz w:val="22"/>
                <w:szCs w:val="22"/>
                <w:highlight w:val="none"/>
              </w:rPr>
              <w:t>：</w:t>
            </w:r>
          </w:p>
          <w:p w14:paraId="79A65A02">
            <w:pPr>
              <w:keepNext w:val="0"/>
              <w:keepLines w:val="0"/>
              <w:pageBreakBefore w:val="0"/>
              <w:kinsoku/>
              <w:wordWrap/>
              <w:overflowPunct/>
              <w:topLinePunct w:val="0"/>
              <w:bidi w:val="0"/>
              <w:snapToGrid/>
              <w:spacing w:line="240" w:lineRule="auto"/>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14:paraId="43192CF8">
            <w:pPr>
              <w:keepNext w:val="0"/>
              <w:keepLines w:val="0"/>
              <w:pageBreakBefore w:val="0"/>
              <w:kinsoku/>
              <w:wordWrap/>
              <w:overflowPunct/>
              <w:topLinePunct w:val="0"/>
              <w:bidi w:val="0"/>
              <w:snapToGrid/>
              <w:spacing w:line="240" w:lineRule="auto"/>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②若供应商在“信用中国”无数据，亦须将搜索结果页面打印，并附说明。</w:t>
            </w:r>
          </w:p>
          <w:p w14:paraId="37355ECE">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（7）具体结果以开标当日采购人或采购代理机构对</w:t>
            </w:r>
            <w:r>
              <w:rPr>
                <w:rFonts w:hint="eastAsia" w:ascii="宋体" w:hAnsi="宋体" w:eastAsia="宋体" w:cs="宋体"/>
                <w:color w:val="auto"/>
                <w:kern w:val="0"/>
                <w:sz w:val="22"/>
                <w:szCs w:val="22"/>
                <w:highlight w:val="none"/>
              </w:rPr>
              <w:t>投标人信用查询网页的</w:t>
            </w:r>
            <w:r>
              <w:rPr>
                <w:rFonts w:hint="eastAsia" w:ascii="宋体" w:hAnsi="宋体" w:eastAsia="宋体" w:cs="宋体"/>
                <w:bCs/>
                <w:color w:val="auto"/>
                <w:sz w:val="22"/>
                <w:szCs w:val="22"/>
                <w:highlight w:val="none"/>
              </w:rPr>
              <w:t>查询结果为准。</w:t>
            </w:r>
          </w:p>
        </w:tc>
      </w:tr>
      <w:tr w14:paraId="083D8985">
        <w:tblPrEx>
          <w:tblCellMar>
            <w:top w:w="0" w:type="dxa"/>
            <w:left w:w="108" w:type="dxa"/>
            <w:bottom w:w="0" w:type="dxa"/>
            <w:right w:w="108" w:type="dxa"/>
          </w:tblCellMar>
        </w:tblPrEx>
        <w:trPr>
          <w:trHeight w:val="468" w:hRule="atLeast"/>
        </w:trPr>
        <w:tc>
          <w:tcPr>
            <w:tcW w:w="667" w:type="dxa"/>
            <w:tcBorders>
              <w:top w:val="single" w:color="auto" w:sz="4" w:space="0"/>
              <w:left w:val="single" w:color="auto" w:sz="4" w:space="0"/>
              <w:bottom w:val="single" w:color="auto" w:sz="4" w:space="0"/>
              <w:right w:val="single" w:color="auto" w:sz="4" w:space="0"/>
            </w:tcBorders>
            <w:vAlign w:val="center"/>
          </w:tcPr>
          <w:p w14:paraId="603F3BA6">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7</w:t>
            </w:r>
          </w:p>
        </w:tc>
        <w:tc>
          <w:tcPr>
            <w:tcW w:w="1916" w:type="dxa"/>
            <w:tcBorders>
              <w:top w:val="single" w:color="auto" w:sz="4" w:space="0"/>
              <w:left w:val="single" w:color="auto" w:sz="4" w:space="0"/>
              <w:bottom w:val="single" w:color="auto" w:sz="4" w:space="0"/>
              <w:right w:val="single" w:color="auto" w:sz="4" w:space="0"/>
            </w:tcBorders>
            <w:vAlign w:val="center"/>
          </w:tcPr>
          <w:p w14:paraId="1FC50008">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合同备案</w:t>
            </w:r>
          </w:p>
        </w:tc>
        <w:tc>
          <w:tcPr>
            <w:tcW w:w="7540" w:type="dxa"/>
            <w:tcBorders>
              <w:top w:val="single" w:color="auto" w:sz="4" w:space="0"/>
              <w:left w:val="single" w:color="auto" w:sz="4" w:space="0"/>
              <w:bottom w:val="single" w:color="auto" w:sz="4" w:space="0"/>
              <w:right w:val="single" w:color="auto" w:sz="4" w:space="0"/>
            </w:tcBorders>
            <w:vAlign w:val="center"/>
          </w:tcPr>
          <w:p w14:paraId="2533C850">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（1）成交供应商须在成交通知书发出之日起30日历天内与采购人签订合同。</w:t>
            </w:r>
          </w:p>
          <w:p w14:paraId="42C1542F">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（2）成交供应商与采购人签订合同后，2日历天内将合同扫描件电子版发给采购代理机构：邮箱：</w:t>
            </w:r>
            <w:r>
              <w:rPr>
                <w:rFonts w:hint="eastAsia" w:ascii="宋体" w:hAnsi="宋体" w:eastAsia="宋体" w:cs="宋体"/>
                <w:b/>
                <w:color w:val="auto"/>
                <w:sz w:val="22"/>
                <w:szCs w:val="22"/>
                <w:highlight w:val="none"/>
                <w:u w:val="single"/>
              </w:rPr>
              <w:t>ye462978466@qq.com</w:t>
            </w:r>
            <w:r>
              <w:rPr>
                <w:rFonts w:hint="eastAsia" w:ascii="宋体" w:hAnsi="宋体" w:eastAsia="宋体" w:cs="宋体"/>
                <w:color w:val="auto"/>
                <w:sz w:val="22"/>
                <w:szCs w:val="22"/>
                <w:highlight w:val="none"/>
              </w:rPr>
              <w:t>。</w:t>
            </w:r>
          </w:p>
        </w:tc>
      </w:tr>
      <w:tr w14:paraId="0740015B">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3DD1B5B3">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8</w:t>
            </w:r>
          </w:p>
        </w:tc>
        <w:tc>
          <w:tcPr>
            <w:tcW w:w="1916" w:type="dxa"/>
            <w:tcBorders>
              <w:top w:val="single" w:color="auto" w:sz="4" w:space="0"/>
              <w:left w:val="single" w:color="auto" w:sz="4" w:space="0"/>
              <w:bottom w:val="single" w:color="auto" w:sz="4" w:space="0"/>
              <w:right w:val="single" w:color="auto" w:sz="4" w:space="0"/>
            </w:tcBorders>
            <w:vAlign w:val="center"/>
          </w:tcPr>
          <w:p w14:paraId="7B416B86">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合同履约管理</w:t>
            </w:r>
          </w:p>
        </w:tc>
        <w:tc>
          <w:tcPr>
            <w:tcW w:w="7540" w:type="dxa"/>
            <w:tcBorders>
              <w:top w:val="single" w:color="auto" w:sz="4" w:space="0"/>
              <w:left w:val="single" w:color="auto" w:sz="4" w:space="0"/>
              <w:bottom w:val="single" w:color="auto" w:sz="4" w:space="0"/>
              <w:right w:val="single" w:color="auto" w:sz="4" w:space="0"/>
            </w:tcBorders>
            <w:vAlign w:val="center"/>
          </w:tcPr>
          <w:p w14:paraId="78559FAE">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合同签订后，采购人依法加强对合同履约进行管理，并在中标单位服务、项目验收等重要环节，如实填写《合同验收报告》（或考核资料），并及时向同级财政部门报告验收过程中遇到的问题。</w:t>
            </w:r>
          </w:p>
        </w:tc>
      </w:tr>
      <w:tr w14:paraId="7B3BBC95">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vAlign w:val="center"/>
          </w:tcPr>
          <w:p w14:paraId="6862DB23">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9</w:t>
            </w:r>
          </w:p>
        </w:tc>
        <w:tc>
          <w:tcPr>
            <w:tcW w:w="1916" w:type="dxa"/>
            <w:tcBorders>
              <w:top w:val="single" w:color="auto" w:sz="4" w:space="0"/>
              <w:left w:val="single" w:color="auto" w:sz="4" w:space="0"/>
              <w:bottom w:val="single" w:color="auto" w:sz="4" w:space="0"/>
              <w:right w:val="single" w:color="auto" w:sz="4" w:space="0"/>
            </w:tcBorders>
            <w:vAlign w:val="center"/>
          </w:tcPr>
          <w:p w14:paraId="1DFD50B0">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解释权</w:t>
            </w:r>
          </w:p>
        </w:tc>
        <w:tc>
          <w:tcPr>
            <w:tcW w:w="7540" w:type="dxa"/>
            <w:tcBorders>
              <w:top w:val="single" w:color="auto" w:sz="4" w:space="0"/>
              <w:left w:val="single" w:color="auto" w:sz="4" w:space="0"/>
              <w:bottom w:val="single" w:color="auto" w:sz="4" w:space="0"/>
              <w:right w:val="single" w:color="auto" w:sz="4" w:space="0"/>
            </w:tcBorders>
            <w:vAlign w:val="center"/>
          </w:tcPr>
          <w:p w14:paraId="03402775">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构成本竞争性磋商文件的各个组成文件应互为解释，互为说明；如有不明确或不一致，构成合同文件组成内容的，以合同文件约定内容为准，且以专用合同条款约定的合同文件优先顺序解释；仅适用于招标投标阶段的约定，按采购公告、供应商须知、评标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2FB3A57A">
        <w:tblPrEx>
          <w:tblCellMar>
            <w:top w:w="0" w:type="dxa"/>
            <w:left w:w="108" w:type="dxa"/>
            <w:bottom w:w="0" w:type="dxa"/>
            <w:right w:w="108" w:type="dxa"/>
          </w:tblCellMar>
        </w:tblPrEx>
        <w:trPr>
          <w:trHeight w:val="380" w:hRule="atLeast"/>
        </w:trPr>
        <w:tc>
          <w:tcPr>
            <w:tcW w:w="667" w:type="dxa"/>
            <w:tcBorders>
              <w:top w:val="single" w:color="auto" w:sz="4" w:space="0"/>
              <w:left w:val="single" w:color="auto" w:sz="4" w:space="0"/>
              <w:bottom w:val="single" w:color="auto" w:sz="4" w:space="0"/>
              <w:right w:val="single" w:color="auto" w:sz="4" w:space="0"/>
            </w:tcBorders>
            <w:vAlign w:val="center"/>
          </w:tcPr>
          <w:p w14:paraId="57113F71">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30</w:t>
            </w:r>
          </w:p>
        </w:tc>
        <w:tc>
          <w:tcPr>
            <w:tcW w:w="1916" w:type="dxa"/>
            <w:tcBorders>
              <w:top w:val="single" w:color="auto" w:sz="4" w:space="0"/>
              <w:left w:val="single" w:color="auto" w:sz="4" w:space="0"/>
              <w:bottom w:val="single" w:color="auto" w:sz="4" w:space="0"/>
              <w:right w:val="single" w:color="auto" w:sz="4" w:space="0"/>
            </w:tcBorders>
            <w:vAlign w:val="center"/>
          </w:tcPr>
          <w:p w14:paraId="0D2FEAAD">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采购代理服务费</w:t>
            </w:r>
          </w:p>
        </w:tc>
        <w:tc>
          <w:tcPr>
            <w:tcW w:w="7540" w:type="dxa"/>
            <w:tcBorders>
              <w:top w:val="single" w:color="auto" w:sz="4" w:space="0"/>
              <w:left w:val="single" w:color="auto" w:sz="4" w:space="0"/>
              <w:bottom w:val="single" w:color="auto" w:sz="4" w:space="0"/>
              <w:right w:val="single" w:color="auto" w:sz="4" w:space="0"/>
            </w:tcBorders>
            <w:vAlign w:val="center"/>
          </w:tcPr>
          <w:p w14:paraId="3DF4E322">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（1）采购代理服务费按</w:t>
            </w:r>
            <w:r>
              <w:rPr>
                <w:rFonts w:hint="eastAsia" w:ascii="宋体" w:hAnsi="宋体" w:eastAsia="宋体" w:cs="宋体"/>
                <w:color w:val="auto"/>
                <w:sz w:val="22"/>
                <w:szCs w:val="22"/>
                <w:highlight w:val="none"/>
                <w:lang w:val="en-US" w:eastAsia="zh-CN"/>
              </w:rPr>
              <w:t>固定金额人民币叁仟元整计取</w:t>
            </w:r>
            <w:r>
              <w:rPr>
                <w:rStyle w:val="413"/>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rPr>
              <w:t>由中标供应商在领取中标通知书时向招标代理机构进行支付，该服务费须综合考虑在投标报价中</w:t>
            </w:r>
            <w:r>
              <w:rPr>
                <w:rFonts w:hint="eastAsia" w:ascii="宋体" w:hAnsi="宋体" w:eastAsia="宋体" w:cs="宋体"/>
                <w:b/>
                <w:bCs/>
                <w:color w:val="auto"/>
                <w:sz w:val="22"/>
                <w:szCs w:val="22"/>
                <w:highlight w:val="none"/>
              </w:rPr>
              <w:t>。</w:t>
            </w:r>
          </w:p>
          <w:p w14:paraId="2493D0A7">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（2）采购代理服务费可以是现金、支票或汇票。</w:t>
            </w:r>
          </w:p>
          <w:p w14:paraId="71D40A35">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（3）收款账户户名：温州市智信招标代理有限公司</w:t>
            </w:r>
          </w:p>
          <w:p w14:paraId="5F3F4305">
            <w:pPr>
              <w:keepNext w:val="0"/>
              <w:keepLines w:val="0"/>
              <w:pageBreakBefore w:val="0"/>
              <w:kinsoku/>
              <w:wordWrap/>
              <w:overflowPunct/>
              <w:topLinePunct w:val="0"/>
              <w:bidi w:val="0"/>
              <w:snapToGrid/>
              <w:spacing w:line="240" w:lineRule="auto"/>
              <w:ind w:firstLine="550" w:firstLineChars="25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收款账号：333504140018800009390</w:t>
            </w:r>
          </w:p>
          <w:p w14:paraId="3C557D04">
            <w:pPr>
              <w:keepNext w:val="0"/>
              <w:keepLines w:val="0"/>
              <w:pageBreakBefore w:val="0"/>
              <w:kinsoku/>
              <w:wordWrap/>
              <w:overflowPunct/>
              <w:topLinePunct w:val="0"/>
              <w:bidi w:val="0"/>
              <w:snapToGrid/>
              <w:spacing w:line="240" w:lineRule="auto"/>
              <w:ind w:firstLine="550" w:firstLineChars="250"/>
              <w:textAlignment w:val="auto"/>
              <w:rPr>
                <w:rFonts w:hint="eastAsia" w:ascii="宋体" w:hAnsi="宋体" w:eastAsia="宋体" w:cs="宋体"/>
                <w:b/>
                <w:bCs/>
                <w:color w:val="auto"/>
                <w:kern w:val="0"/>
                <w:sz w:val="22"/>
                <w:szCs w:val="22"/>
                <w:highlight w:val="none"/>
              </w:rPr>
            </w:pPr>
            <w:r>
              <w:rPr>
                <w:rFonts w:hint="eastAsia" w:ascii="宋体" w:hAnsi="宋体" w:eastAsia="宋体" w:cs="宋体"/>
                <w:color w:val="auto"/>
                <w:sz w:val="22"/>
                <w:szCs w:val="22"/>
                <w:highlight w:val="none"/>
              </w:rPr>
              <w:t>开户行：交通银行温州分行瓯海支行</w:t>
            </w:r>
          </w:p>
        </w:tc>
      </w:tr>
      <w:tr w14:paraId="3502F265">
        <w:tblPrEx>
          <w:tblCellMar>
            <w:top w:w="0" w:type="dxa"/>
            <w:left w:w="108" w:type="dxa"/>
            <w:bottom w:w="0" w:type="dxa"/>
            <w:right w:w="108" w:type="dxa"/>
          </w:tblCellMar>
        </w:tblPrEx>
        <w:trPr>
          <w:trHeight w:val="613" w:hRule="atLeast"/>
        </w:trPr>
        <w:tc>
          <w:tcPr>
            <w:tcW w:w="667" w:type="dxa"/>
            <w:tcBorders>
              <w:top w:val="single" w:color="auto" w:sz="4" w:space="0"/>
              <w:left w:val="single" w:color="auto" w:sz="4" w:space="0"/>
              <w:bottom w:val="single" w:color="auto" w:sz="4" w:space="0"/>
              <w:right w:val="single" w:color="auto" w:sz="4" w:space="0"/>
            </w:tcBorders>
            <w:vAlign w:val="center"/>
          </w:tcPr>
          <w:p w14:paraId="55CD378D">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1</w:t>
            </w:r>
          </w:p>
        </w:tc>
        <w:tc>
          <w:tcPr>
            <w:tcW w:w="1916" w:type="dxa"/>
            <w:tcBorders>
              <w:top w:val="single" w:color="auto" w:sz="4" w:space="0"/>
              <w:left w:val="single" w:color="auto" w:sz="4" w:space="0"/>
              <w:bottom w:val="single" w:color="auto" w:sz="4" w:space="0"/>
              <w:right w:val="single" w:color="auto" w:sz="4" w:space="0"/>
            </w:tcBorders>
            <w:vAlign w:val="center"/>
          </w:tcPr>
          <w:p w14:paraId="462A5D88">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项目类型</w:t>
            </w:r>
            <w:r>
              <w:rPr>
                <w:rFonts w:hint="eastAsia" w:ascii="宋体" w:hAnsi="宋体" w:eastAsia="宋体" w:cs="宋体"/>
                <w:b/>
                <w:bCs/>
                <w:color w:val="auto"/>
                <w:sz w:val="22"/>
                <w:szCs w:val="22"/>
                <w:highlight w:val="none"/>
                <w:lang w:val="en-US" w:eastAsia="zh-CN"/>
              </w:rPr>
              <w:t>及行业</w:t>
            </w:r>
          </w:p>
        </w:tc>
        <w:tc>
          <w:tcPr>
            <w:tcW w:w="7540" w:type="dxa"/>
            <w:tcBorders>
              <w:top w:val="single" w:color="auto" w:sz="4" w:space="0"/>
              <w:left w:val="single" w:color="auto" w:sz="4" w:space="0"/>
              <w:bottom w:val="single" w:color="auto" w:sz="4" w:space="0"/>
              <w:right w:val="single" w:color="auto" w:sz="4" w:space="0"/>
            </w:tcBorders>
            <w:vAlign w:val="center"/>
          </w:tcPr>
          <w:p w14:paraId="70C6FD3A">
            <w:pPr>
              <w:keepNext w:val="0"/>
              <w:keepLines w:val="0"/>
              <w:pageBreakBefore w:val="0"/>
              <w:kinsoku/>
              <w:wordWrap/>
              <w:overflowPunct/>
              <w:topLinePunct w:val="0"/>
              <w:bidi w:val="0"/>
              <w:snapToGrid/>
              <w:spacing w:line="240" w:lineRule="auto"/>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服务类</w:t>
            </w:r>
            <w:r>
              <w:rPr>
                <w:rFonts w:hint="eastAsia" w:ascii="宋体" w:hAnsi="宋体" w:eastAsia="宋体" w:cs="宋体"/>
                <w:b/>
                <w:bCs/>
                <w:color w:val="auto"/>
                <w:sz w:val="22"/>
                <w:szCs w:val="22"/>
                <w:highlight w:val="none"/>
                <w:lang w:val="en-US" w:eastAsia="zh-CN"/>
              </w:rPr>
              <w:t xml:space="preserve">  所属行业：租赁和商务服务业</w:t>
            </w:r>
          </w:p>
        </w:tc>
      </w:tr>
    </w:tbl>
    <w:p w14:paraId="024570AA">
      <w:pPr>
        <w:pStyle w:val="3"/>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8" w:name="_Toc58832081"/>
      <w:r>
        <w:rPr>
          <w:rFonts w:hint="eastAsia" w:ascii="宋体" w:hAnsi="宋体" w:eastAsia="宋体" w:cs="宋体"/>
          <w:color w:val="auto"/>
          <w:sz w:val="36"/>
          <w:szCs w:val="36"/>
          <w:highlight w:val="none"/>
        </w:rPr>
        <w:t>第一部分    供应商须知</w:t>
      </w:r>
      <w:bookmarkEnd w:id="8"/>
    </w:p>
    <w:p w14:paraId="462C2CAC">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9" w:name="_Toc57626724"/>
      <w:bookmarkStart w:id="10" w:name="_Toc22689"/>
      <w:bookmarkStart w:id="11" w:name="_Toc58832082"/>
      <w:bookmarkStart w:id="12" w:name="_Toc221356886"/>
      <w:bookmarkStart w:id="13" w:name="_Toc393699549"/>
      <w:r>
        <w:rPr>
          <w:rFonts w:hint="eastAsia" w:ascii="宋体" w:hAnsi="宋体" w:cs="宋体"/>
          <w:b/>
          <w:bCs/>
          <w:color w:val="auto"/>
          <w:sz w:val="22"/>
          <w:szCs w:val="22"/>
          <w:highlight w:val="none"/>
        </w:rPr>
        <w:t>一   说 明</w:t>
      </w:r>
      <w:bookmarkEnd w:id="9"/>
      <w:bookmarkEnd w:id="10"/>
      <w:bookmarkEnd w:id="11"/>
    </w:p>
    <w:p w14:paraId="7AB237E2">
      <w:pPr>
        <w:tabs>
          <w:tab w:val="left" w:pos="360"/>
        </w:tabs>
        <w:spacing w:line="360" w:lineRule="auto"/>
        <w:rPr>
          <w:rFonts w:hint="eastAsia" w:ascii="宋体" w:hAnsi="宋体" w:cs="宋体"/>
          <w:color w:val="auto"/>
          <w:sz w:val="22"/>
          <w:szCs w:val="22"/>
          <w:highlight w:val="none"/>
        </w:rPr>
      </w:pPr>
      <w:bookmarkStart w:id="14" w:name="_Toc25973"/>
      <w:r>
        <w:rPr>
          <w:rFonts w:hint="eastAsia" w:ascii="宋体" w:hAnsi="宋体" w:cs="宋体"/>
          <w:color w:val="auto"/>
          <w:sz w:val="22"/>
          <w:szCs w:val="22"/>
          <w:highlight w:val="none"/>
        </w:rPr>
        <w:t>1.本次采购是根据</w:t>
      </w:r>
      <w:r>
        <w:rPr>
          <w:rFonts w:hint="eastAsia" w:ascii="宋体" w:hAnsi="宋体" w:cs="宋体"/>
          <w:color w:val="auto"/>
          <w:kern w:val="0"/>
          <w:sz w:val="22"/>
          <w:szCs w:val="22"/>
          <w:highlight w:val="none"/>
        </w:rPr>
        <w:t>《中华人民共和国政府采购法》《</w:t>
      </w:r>
      <w:r>
        <w:rPr>
          <w:rFonts w:hint="eastAsia" w:ascii="宋体" w:hAnsi="宋体" w:cs="宋体"/>
          <w:color w:val="auto"/>
          <w:sz w:val="22"/>
          <w:szCs w:val="22"/>
          <w:highlight w:val="none"/>
        </w:rPr>
        <w:t>政府采购竞争性磋商采购方式管理暂行办法》《财政部关于政府采购竞争性磋商采购方式管理暂行办法有关问题的补充通知》等法律法规及有关规范性文件组织和实施的。欢迎国内合格的供应商前来磋商，现将有关事项公告如下：</w:t>
      </w:r>
    </w:p>
    <w:p w14:paraId="73E44275">
      <w:pPr>
        <w:tabs>
          <w:tab w:val="left" w:pos="360"/>
        </w:tabs>
        <w:spacing w:line="360" w:lineRule="auto"/>
        <w:rPr>
          <w:rFonts w:hint="eastAsia" w:ascii="宋体" w:hAnsi="宋体" w:cs="宋体"/>
          <w:bCs/>
          <w:color w:val="auto"/>
          <w:sz w:val="22"/>
          <w:szCs w:val="22"/>
          <w:highlight w:val="none"/>
        </w:rPr>
      </w:pPr>
      <w:r>
        <w:rPr>
          <w:rFonts w:hint="eastAsia" w:ascii="宋体" w:hAnsi="宋体" w:cs="宋体"/>
          <w:b/>
          <w:bCs/>
          <w:color w:val="auto"/>
          <w:sz w:val="22"/>
          <w:szCs w:val="22"/>
          <w:highlight w:val="none"/>
        </w:rPr>
        <w:t>2.合格供应商要求以本项目公告及供应商须知前附表表述为准。</w:t>
      </w:r>
    </w:p>
    <w:p w14:paraId="1E9A2E5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3.供应商代表</w:t>
      </w:r>
    </w:p>
    <w:p w14:paraId="442761B2">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指全权代表供应商参加投标活动并签署磋商响应文件的人。如果供应商代表不是法定代表人，须持有《法定代表人授权书》。</w:t>
      </w:r>
    </w:p>
    <w:p w14:paraId="670C4C6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4.磋商响应费用</w:t>
      </w:r>
    </w:p>
    <w:p w14:paraId="59BE2264">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供应商应承担所有与准备和参加投标有关费用，不论投标的结果如何，采购人及采购代理机构均无义务和责任承担这些费用。</w:t>
      </w:r>
    </w:p>
    <w:p w14:paraId="2ACF4C2A">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15" w:name="_Toc58832083"/>
      <w:bookmarkStart w:id="16" w:name="_Toc57626725"/>
      <w:r>
        <w:rPr>
          <w:rFonts w:hint="eastAsia" w:ascii="宋体" w:hAnsi="宋体" w:cs="宋体"/>
          <w:b/>
          <w:bCs/>
          <w:color w:val="auto"/>
          <w:sz w:val="22"/>
          <w:szCs w:val="22"/>
          <w:highlight w:val="none"/>
        </w:rPr>
        <w:t>二   采购文件</w:t>
      </w:r>
      <w:bookmarkEnd w:id="14"/>
      <w:bookmarkEnd w:id="15"/>
      <w:bookmarkEnd w:id="16"/>
    </w:p>
    <w:p w14:paraId="3A87F19B">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5.采购文件由采购文件目录所列内容及相关资料组成。</w:t>
      </w:r>
    </w:p>
    <w:p w14:paraId="21716D31">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6.质疑</w:t>
      </w:r>
    </w:p>
    <w:p w14:paraId="577805AA">
      <w:pPr>
        <w:tabs>
          <w:tab w:val="left" w:pos="540"/>
        </w:tabs>
        <w:spacing w:line="440" w:lineRule="exact"/>
        <w:rPr>
          <w:rFonts w:hint="eastAsia" w:ascii="宋体" w:hAnsi="宋体" w:cs="宋体"/>
          <w:color w:val="auto"/>
          <w:spacing w:val="6"/>
          <w:sz w:val="22"/>
          <w:highlight w:val="none"/>
        </w:rPr>
      </w:pPr>
      <w:r>
        <w:rPr>
          <w:rFonts w:hint="eastAsia" w:ascii="宋体" w:hAnsi="宋体" w:cs="宋体"/>
          <w:color w:val="auto"/>
          <w:sz w:val="22"/>
          <w:szCs w:val="22"/>
          <w:highlight w:val="none"/>
        </w:rPr>
        <w:t>6.1</w:t>
      </w:r>
      <w:r>
        <w:rPr>
          <w:rFonts w:hint="eastAsia" w:ascii="宋体" w:hAnsi="宋体" w:cs="宋体"/>
          <w:color w:val="auto"/>
          <w:spacing w:val="6"/>
          <w:sz w:val="22"/>
          <w:highlight w:val="none"/>
        </w:rPr>
        <w:t>供应商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44914B3E">
      <w:pPr>
        <w:tabs>
          <w:tab w:val="left" w:pos="540"/>
        </w:tabs>
        <w:spacing w:line="44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6.2供应商提出质疑应当提交质疑函和必要的证明材料，质疑函范本请到“浙江政府采购网下载专区”下载，质疑函内容及签署等相关要求请参看《政府采购质疑和投诉办法》相关规定。</w:t>
      </w:r>
    </w:p>
    <w:p w14:paraId="160B6237">
      <w:pPr>
        <w:tabs>
          <w:tab w:val="left" w:pos="540"/>
        </w:tabs>
        <w:spacing w:line="440" w:lineRule="exact"/>
        <w:rPr>
          <w:rFonts w:hint="eastAsia" w:ascii="宋体" w:hAnsi="宋体" w:cs="宋体"/>
          <w:b/>
          <w:bCs/>
          <w:color w:val="auto"/>
          <w:spacing w:val="6"/>
          <w:sz w:val="22"/>
          <w:highlight w:val="none"/>
        </w:rPr>
      </w:pPr>
      <w:r>
        <w:rPr>
          <w:rFonts w:hint="eastAsia" w:ascii="宋体" w:hAnsi="宋体" w:cs="宋体"/>
          <w:color w:val="auto"/>
          <w:spacing w:val="6"/>
          <w:sz w:val="22"/>
          <w:highlight w:val="none"/>
        </w:rPr>
        <w:t>6.3提出质疑的供应商应当是参与本项目采购活动的供应商。</w:t>
      </w:r>
      <w:r>
        <w:rPr>
          <w:rFonts w:hint="eastAsia" w:ascii="宋体" w:hAnsi="宋体" w:cs="宋体"/>
          <w:b/>
          <w:bCs/>
          <w:color w:val="auto"/>
          <w:spacing w:val="6"/>
          <w:sz w:val="22"/>
          <w:highlight w:val="none"/>
        </w:rPr>
        <w:t>供应商在法定质疑期内一次性提出针对同一采购程序环节的质疑。</w:t>
      </w:r>
    </w:p>
    <w:p w14:paraId="69805074">
      <w:pPr>
        <w:tabs>
          <w:tab w:val="left" w:pos="540"/>
        </w:tabs>
        <w:spacing w:line="440" w:lineRule="exact"/>
        <w:rPr>
          <w:rFonts w:hint="eastAsia" w:ascii="宋体" w:hAnsi="宋体" w:cs="宋体"/>
          <w:color w:val="auto"/>
          <w:spacing w:val="6"/>
          <w:sz w:val="22"/>
          <w:highlight w:val="none"/>
        </w:rPr>
      </w:pPr>
      <w:r>
        <w:rPr>
          <w:rFonts w:hint="eastAsia" w:ascii="宋体" w:hAnsi="宋体" w:cs="宋体"/>
          <w:b/>
          <w:bCs/>
          <w:color w:val="auto"/>
          <w:spacing w:val="6"/>
          <w:sz w:val="22"/>
          <w:highlight w:val="none"/>
        </w:rPr>
        <w:t>6.4</w:t>
      </w:r>
      <w:r>
        <w:rPr>
          <w:rFonts w:hint="eastAsia" w:ascii="宋体" w:hAnsi="宋体" w:cs="宋体"/>
          <w:color w:val="auto"/>
          <w:spacing w:val="6"/>
          <w:sz w:val="22"/>
          <w:highlight w:val="none"/>
        </w:rPr>
        <w:t>根据《政府采购质疑和投诉办法》第三十七条的规定，投诉人在全国范围12个月内三次以上投诉查无实据的，由财政部门列入不良行为记录名单。</w:t>
      </w:r>
    </w:p>
    <w:p w14:paraId="0723D665">
      <w:pPr>
        <w:tabs>
          <w:tab w:val="left" w:pos="540"/>
          <w:tab w:val="left" w:pos="2385"/>
        </w:tabs>
        <w:spacing w:line="44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7.投诉</w:t>
      </w:r>
      <w:r>
        <w:rPr>
          <w:rFonts w:hint="eastAsia" w:ascii="宋体" w:hAnsi="宋体" w:cs="宋体"/>
          <w:color w:val="auto"/>
          <w:spacing w:val="6"/>
          <w:sz w:val="22"/>
          <w:highlight w:val="none"/>
        </w:rPr>
        <w:tab/>
      </w:r>
    </w:p>
    <w:p w14:paraId="4D54AA08">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pacing w:val="6"/>
          <w:sz w:val="22"/>
          <w:highlight w:val="none"/>
        </w:rPr>
        <w:t>7.1质疑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4F7B2051">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8.采购文件的澄清或修改</w:t>
      </w:r>
    </w:p>
    <w:p w14:paraId="2E45F9F9">
      <w:pPr>
        <w:spacing w:line="44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8.1采购人或者采购代理机构可以对已发出的采购文件进行必要的澄清或者修改。澄清或者修改</w:t>
      </w:r>
      <w:r>
        <w:rPr>
          <w:rFonts w:hint="eastAsia" w:ascii="宋体" w:hAnsi="宋体" w:cs="宋体"/>
          <w:bCs/>
          <w:color w:val="auto"/>
          <w:spacing w:val="6"/>
          <w:highlight w:val="none"/>
        </w:rPr>
        <w:t>在浙江政府采购网上发布公告，同时政采云系统会向所有已按采购文件规定方式获取采购文件的潜在供应商发送更正提醒信息，潜在供应商请自行到浙江政府采购网上下载公告附件，潜在供应商在收到该公告附件后应于1日内，以书面或传真形式（签署意见并加盖公章）向采购代理机构回函给予确认。过期未回复的，视为默认接受。</w:t>
      </w:r>
      <w:r>
        <w:rPr>
          <w:rFonts w:hint="eastAsia" w:ascii="宋体" w:hAnsi="宋体" w:cs="宋体"/>
          <w:color w:val="auto"/>
          <w:spacing w:val="6"/>
          <w:sz w:val="22"/>
          <w:highlight w:val="none"/>
        </w:rPr>
        <w:t>澄清或者修改的内容为采购文件的组成部分。</w:t>
      </w:r>
    </w:p>
    <w:p w14:paraId="31943469">
      <w:pPr>
        <w:spacing w:line="44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8.2澄清或者修改的内容可能影响磋商响应文件编制的，采购人或者采购代理机构应当在磋商响应文件递交截止时间至少5日前，以书面形式（</w:t>
      </w:r>
      <w:r>
        <w:rPr>
          <w:rFonts w:hint="eastAsia" w:ascii="宋体" w:hAnsi="宋体" w:cs="宋体"/>
          <w:bCs/>
          <w:color w:val="auto"/>
          <w:spacing w:val="6"/>
          <w:highlight w:val="none"/>
        </w:rPr>
        <w:t>在浙江政府采购网上发布公告</w:t>
      </w:r>
      <w:r>
        <w:rPr>
          <w:rFonts w:hint="eastAsia" w:ascii="宋体" w:hAnsi="宋体" w:cs="宋体"/>
          <w:color w:val="auto"/>
          <w:spacing w:val="6"/>
          <w:sz w:val="22"/>
          <w:highlight w:val="none"/>
        </w:rPr>
        <w:t>）通知所有获取采购文件的潜在供应商；不足5日的，采购人或者采购代理机构应当顺延提交磋商响应文件的截止时间。</w:t>
      </w:r>
    </w:p>
    <w:p w14:paraId="487B0CF2">
      <w:pPr>
        <w:spacing w:line="360" w:lineRule="auto"/>
        <w:rPr>
          <w:rFonts w:hint="eastAsia" w:ascii="宋体" w:hAnsi="宋体" w:cs="宋体"/>
          <w:color w:val="auto"/>
          <w:sz w:val="22"/>
          <w:szCs w:val="22"/>
          <w:highlight w:val="none"/>
        </w:rPr>
      </w:pPr>
      <w:r>
        <w:rPr>
          <w:rFonts w:hint="eastAsia" w:ascii="宋体" w:hAnsi="宋体" w:cs="宋体"/>
          <w:color w:val="auto"/>
          <w:spacing w:val="6"/>
          <w:sz w:val="22"/>
          <w:highlight w:val="none"/>
        </w:rPr>
        <w:t>8.3采购文件如有补充更正均见“政采云”（http://www.zcygov.cn）。供应商须在开标前一日自行查看是否有补充更正文件，并按补充更正文件要求投标，否则责任自负。</w:t>
      </w:r>
    </w:p>
    <w:p w14:paraId="172B21F4">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17" w:name="_Toc4093"/>
      <w:bookmarkStart w:id="18" w:name="_Toc57626726"/>
      <w:bookmarkStart w:id="19" w:name="_Toc58832084"/>
      <w:r>
        <w:rPr>
          <w:rFonts w:hint="eastAsia" w:ascii="宋体" w:hAnsi="宋体" w:cs="宋体"/>
          <w:b/>
          <w:bCs/>
          <w:color w:val="auto"/>
          <w:sz w:val="22"/>
          <w:szCs w:val="22"/>
          <w:highlight w:val="none"/>
        </w:rPr>
        <w:t>三   磋商响应文件的编制</w:t>
      </w:r>
      <w:bookmarkEnd w:id="17"/>
      <w:bookmarkEnd w:id="18"/>
      <w:bookmarkEnd w:id="19"/>
    </w:p>
    <w:p w14:paraId="74476A05">
      <w:pPr>
        <w:spacing w:line="440" w:lineRule="exact"/>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9.磋商响应文件的形式和效力</w:t>
      </w:r>
    </w:p>
    <w:p w14:paraId="361E5013">
      <w:pPr>
        <w:tabs>
          <w:tab w:val="left" w:pos="360"/>
        </w:tabs>
        <w:spacing w:line="440" w:lineRule="exact"/>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9.1磋商响应文件分为电子磋商响应文件以及备份磋商响应文件，备份文件分为以介质存储的数据电文形式的备份磋商响应文件。</w:t>
      </w:r>
    </w:p>
    <w:p w14:paraId="7616D83B">
      <w:pPr>
        <w:tabs>
          <w:tab w:val="left" w:pos="360"/>
        </w:tabs>
        <w:spacing w:line="440" w:lineRule="exact"/>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9.2电子磋商响应文件，按“政采云供应商项目采购－电子招投标操作指南”及本采购文件要求制作、加密并递交。</w:t>
      </w:r>
    </w:p>
    <w:p w14:paraId="0B36E074">
      <w:pPr>
        <w:tabs>
          <w:tab w:val="left" w:pos="360"/>
        </w:tabs>
        <w:spacing w:line="440" w:lineRule="exact"/>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9.3以介质存储的数据电文形式的备份磋商响应文件，即电子磋商响应文件按“政采云供应商项目采购－电子招投标操作指南”制作的备份文件。</w:t>
      </w:r>
    </w:p>
    <w:p w14:paraId="652FAFEA">
      <w:pPr>
        <w:tabs>
          <w:tab w:val="left" w:pos="360"/>
        </w:tabs>
        <w:spacing w:line="440" w:lineRule="exact"/>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9.4磋商响应文件的效力</w:t>
      </w:r>
    </w:p>
    <w:p w14:paraId="6E9AEF4C">
      <w:pPr>
        <w:tabs>
          <w:tab w:val="left" w:pos="360"/>
        </w:tabs>
        <w:spacing w:line="440" w:lineRule="exact"/>
        <w:ind w:firstLine="440" w:firstLineChars="200"/>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磋商响应文件的启用，按先后顺位分别为电子磋商响应文件、以介质存储的数据电文形式的备份磋商响应文件。在下一顺位的磋商响应文件启用时，前一顺位的磋商响应文件自动失效。</w:t>
      </w:r>
    </w:p>
    <w:p w14:paraId="34823086">
      <w:pPr>
        <w:tabs>
          <w:tab w:val="left" w:pos="540"/>
        </w:tabs>
        <w:spacing w:line="440" w:lineRule="exact"/>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10.磋商响应文件的构成：</w:t>
      </w:r>
    </w:p>
    <w:p w14:paraId="242F8624">
      <w:pPr>
        <w:tabs>
          <w:tab w:val="left" w:pos="360"/>
        </w:tabs>
        <w:spacing w:line="440" w:lineRule="exact"/>
        <w:contextualSpacing/>
        <w:rPr>
          <w:rFonts w:hint="eastAsia" w:ascii="宋体" w:hAnsi="宋体" w:cs="宋体"/>
          <w:color w:val="auto"/>
          <w:sz w:val="22"/>
          <w:szCs w:val="22"/>
          <w:highlight w:val="none"/>
        </w:rPr>
      </w:pPr>
      <w:r>
        <w:rPr>
          <w:rFonts w:hint="eastAsia" w:ascii="宋体" w:hAnsi="宋体" w:cs="宋体"/>
          <w:b/>
          <w:bCs/>
          <w:color w:val="auto"/>
          <w:sz w:val="22"/>
          <w:szCs w:val="22"/>
          <w:highlight w:val="none"/>
        </w:rPr>
        <w:t>10.1 磋商响应文件包括资格审查资料、商务技术文件、报价文件三部分。</w:t>
      </w:r>
    </w:p>
    <w:p w14:paraId="00925857">
      <w:pPr>
        <w:spacing w:line="440" w:lineRule="exact"/>
        <w:contextualSpacing/>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10.1.1 磋商响应文件资格审查资料须包括下列部分：</w:t>
      </w:r>
    </w:p>
    <w:tbl>
      <w:tblPr>
        <w:tblStyle w:val="5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4239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9" w:type="dxa"/>
            <w:vAlign w:val="center"/>
          </w:tcPr>
          <w:p w14:paraId="10D86D7F">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115" w:type="dxa"/>
            <w:vAlign w:val="center"/>
          </w:tcPr>
          <w:p w14:paraId="0DBB59BE">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 容</w:t>
            </w:r>
          </w:p>
        </w:tc>
      </w:tr>
      <w:tr w14:paraId="6C56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vAlign w:val="center"/>
          </w:tcPr>
          <w:p w14:paraId="7EFE4E93">
            <w:pPr>
              <w:overflowPunct w:val="0"/>
              <w:spacing w:line="430" w:lineRule="exact"/>
              <w:jc w:val="center"/>
              <w:rPr>
                <w:rFonts w:hint="eastAsia" w:ascii="新宋体" w:hAnsi="新宋体" w:eastAsia="新宋体" w:cs="新宋体"/>
                <w:bCs/>
                <w:color w:val="auto"/>
                <w:sz w:val="22"/>
                <w:szCs w:val="22"/>
                <w:highlight w:val="none"/>
              </w:rPr>
            </w:pPr>
            <w:bookmarkStart w:id="20" w:name="_Hlk16667472"/>
            <w:r>
              <w:rPr>
                <w:rFonts w:hint="eastAsia" w:ascii="新宋体" w:hAnsi="新宋体" w:eastAsia="新宋体" w:cs="新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vAlign w:val="center"/>
          </w:tcPr>
          <w:p w14:paraId="5D56BB1D">
            <w:pPr>
              <w:rPr>
                <w:rFonts w:hint="eastAsia" w:ascii="新宋体" w:hAnsi="新宋体" w:eastAsia="新宋体" w:cs="楷体"/>
                <w:color w:val="auto"/>
                <w:kern w:val="0"/>
                <w:sz w:val="22"/>
                <w:szCs w:val="22"/>
                <w:highlight w:val="none"/>
              </w:rPr>
            </w:pPr>
            <w:r>
              <w:rPr>
                <w:rFonts w:hint="eastAsia" w:ascii="新宋体" w:hAnsi="新宋体" w:eastAsia="新宋体" w:cs="楷体"/>
                <w:color w:val="auto"/>
                <w:kern w:val="0"/>
                <w:sz w:val="22"/>
                <w:szCs w:val="22"/>
                <w:highlight w:val="none"/>
              </w:rPr>
              <w:t>法定代表人（单位负责人）授权书和被授权人有效身份证明</w:t>
            </w:r>
          </w:p>
        </w:tc>
      </w:tr>
      <w:tr w14:paraId="641A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3E3027CE">
            <w:pPr>
              <w:overflowPunct w:val="0"/>
              <w:spacing w:line="43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vAlign w:val="center"/>
          </w:tcPr>
          <w:p w14:paraId="7485A32D">
            <w:pPr>
              <w:rPr>
                <w:rFonts w:hint="eastAsia" w:ascii="新宋体" w:hAnsi="新宋体" w:eastAsia="新宋体" w:cs="楷体"/>
                <w:color w:val="auto"/>
                <w:kern w:val="0"/>
                <w:sz w:val="22"/>
                <w:szCs w:val="22"/>
                <w:highlight w:val="none"/>
              </w:rPr>
            </w:pPr>
            <w:r>
              <w:rPr>
                <w:rFonts w:hint="eastAsia" w:ascii="新宋体" w:hAnsi="新宋体" w:eastAsia="新宋体" w:cs="楷体"/>
                <w:color w:val="auto"/>
                <w:kern w:val="0"/>
                <w:sz w:val="22"/>
                <w:szCs w:val="22"/>
                <w:highlight w:val="none"/>
              </w:rPr>
              <w:t>营业执照（或事业法人登记证书或其他工商等登记证明材料）</w:t>
            </w:r>
          </w:p>
        </w:tc>
      </w:tr>
      <w:tr w14:paraId="796D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78513151">
            <w:pPr>
              <w:overflowPunct w:val="0"/>
              <w:spacing w:line="430" w:lineRule="exact"/>
              <w:jc w:val="center"/>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3</w:t>
            </w:r>
          </w:p>
        </w:tc>
        <w:tc>
          <w:tcPr>
            <w:tcW w:w="9115" w:type="dxa"/>
            <w:tcBorders>
              <w:top w:val="single" w:color="auto" w:sz="4" w:space="0"/>
              <w:left w:val="single" w:color="auto" w:sz="4" w:space="0"/>
              <w:bottom w:val="single" w:color="auto" w:sz="4" w:space="0"/>
              <w:right w:val="single" w:color="auto" w:sz="4" w:space="0"/>
            </w:tcBorders>
            <w:shd w:val="clear" w:color="auto" w:fill="auto"/>
            <w:vAlign w:val="center"/>
          </w:tcPr>
          <w:p w14:paraId="07BBFE62">
            <w:pPr>
              <w:rPr>
                <w:rFonts w:hint="default" w:ascii="新宋体" w:hAnsi="新宋体" w:eastAsia="新宋体" w:cs="楷体"/>
                <w:color w:val="auto"/>
                <w:kern w:val="0"/>
                <w:sz w:val="22"/>
                <w:szCs w:val="22"/>
                <w:highlight w:val="none"/>
                <w:lang w:val="en-US" w:eastAsia="zh-CN" w:bidi="ar-SA"/>
              </w:rPr>
            </w:pPr>
            <w:r>
              <w:rPr>
                <w:rFonts w:hint="eastAsia" w:ascii="新宋体" w:hAnsi="新宋体" w:eastAsia="新宋体" w:cs="楷体"/>
                <w:color w:val="auto"/>
                <w:kern w:val="0"/>
                <w:sz w:val="22"/>
                <w:szCs w:val="22"/>
                <w:highlight w:val="none"/>
                <w:lang w:val="en-US" w:eastAsia="zh-CN" w:bidi="ar-SA"/>
              </w:rPr>
              <w:t>保安服务许可证</w:t>
            </w:r>
          </w:p>
        </w:tc>
      </w:tr>
      <w:tr w14:paraId="1DE1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5F400616">
            <w:pPr>
              <w:overflowPunct w:val="0"/>
              <w:spacing w:line="43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rPr>
              <w:t>4</w:t>
            </w:r>
          </w:p>
        </w:tc>
        <w:tc>
          <w:tcPr>
            <w:tcW w:w="9115" w:type="dxa"/>
            <w:tcBorders>
              <w:top w:val="single" w:color="auto" w:sz="4" w:space="0"/>
              <w:left w:val="single" w:color="auto" w:sz="4" w:space="0"/>
              <w:bottom w:val="single" w:color="auto" w:sz="4" w:space="0"/>
              <w:right w:val="single" w:color="auto" w:sz="4" w:space="0"/>
            </w:tcBorders>
            <w:shd w:val="clear" w:color="auto" w:fill="auto"/>
            <w:vAlign w:val="center"/>
          </w:tcPr>
          <w:p w14:paraId="2ECCD810">
            <w:pPr>
              <w:rPr>
                <w:rFonts w:hint="eastAsia" w:ascii="新宋体" w:hAnsi="新宋体" w:eastAsia="新宋体" w:cs="楷体"/>
                <w:color w:val="auto"/>
                <w:kern w:val="0"/>
                <w:sz w:val="22"/>
                <w:szCs w:val="22"/>
                <w:highlight w:val="none"/>
                <w:lang w:val="en-US" w:eastAsia="zh-CN" w:bidi="ar-SA"/>
              </w:rPr>
            </w:pPr>
            <w:r>
              <w:rPr>
                <w:rFonts w:hint="eastAsia" w:ascii="宋体" w:hAnsi="宋体" w:cs="宋体"/>
                <w:color w:val="auto"/>
                <w:kern w:val="0"/>
                <w:sz w:val="22"/>
                <w:szCs w:val="22"/>
                <w:highlight w:val="none"/>
                <w:lang w:val="zh-CN"/>
              </w:rPr>
              <w:t>中小企业声明函（或监狱企业声明函、残疾人福利性单位声明函）（采购文件第二部分相关附件）</w:t>
            </w:r>
          </w:p>
        </w:tc>
      </w:tr>
      <w:tr w14:paraId="722F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2983C0D9">
            <w:pPr>
              <w:overflowPunct w:val="0"/>
              <w:spacing w:line="43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rPr>
              <w:t>5</w:t>
            </w:r>
          </w:p>
        </w:tc>
        <w:tc>
          <w:tcPr>
            <w:tcW w:w="9115" w:type="dxa"/>
            <w:tcBorders>
              <w:top w:val="single" w:color="auto" w:sz="4" w:space="0"/>
              <w:left w:val="single" w:color="auto" w:sz="4" w:space="0"/>
              <w:bottom w:val="single" w:color="auto" w:sz="4" w:space="0"/>
              <w:right w:val="single" w:color="auto" w:sz="4" w:space="0"/>
            </w:tcBorders>
            <w:shd w:val="clear" w:color="auto" w:fill="auto"/>
            <w:vAlign w:val="center"/>
          </w:tcPr>
          <w:p w14:paraId="30876396">
            <w:pPr>
              <w:rPr>
                <w:rFonts w:hint="eastAsia" w:ascii="新宋体" w:hAnsi="新宋体" w:eastAsia="新宋体" w:cs="Times New Roman"/>
                <w:bCs/>
                <w:color w:val="auto"/>
                <w:kern w:val="0"/>
                <w:sz w:val="22"/>
                <w:szCs w:val="22"/>
                <w:highlight w:val="none"/>
                <w:lang w:val="en-US" w:eastAsia="zh-CN" w:bidi="ar-SA"/>
              </w:rPr>
            </w:pPr>
            <w:r>
              <w:rPr>
                <w:rFonts w:hint="eastAsia" w:ascii="新宋体" w:hAnsi="新宋体" w:eastAsia="新宋体" w:cs="宋体"/>
                <w:color w:val="auto"/>
                <w:kern w:val="0"/>
                <w:sz w:val="22"/>
                <w:szCs w:val="22"/>
                <w:highlight w:val="none"/>
              </w:rPr>
              <w:t>资格条件承诺函</w:t>
            </w:r>
          </w:p>
        </w:tc>
      </w:tr>
      <w:tr w14:paraId="0B20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06662E53">
            <w:pPr>
              <w:overflowPunct w:val="0"/>
              <w:spacing w:line="430" w:lineRule="exact"/>
              <w:jc w:val="center"/>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6</w:t>
            </w:r>
          </w:p>
        </w:tc>
        <w:tc>
          <w:tcPr>
            <w:tcW w:w="9115" w:type="dxa"/>
            <w:tcBorders>
              <w:top w:val="single" w:color="auto" w:sz="4" w:space="0"/>
              <w:left w:val="single" w:color="auto" w:sz="4" w:space="0"/>
              <w:bottom w:val="single" w:color="auto" w:sz="4" w:space="0"/>
              <w:right w:val="single" w:color="auto" w:sz="4" w:space="0"/>
            </w:tcBorders>
            <w:shd w:val="clear" w:color="auto" w:fill="auto"/>
            <w:vAlign w:val="center"/>
          </w:tcPr>
          <w:p w14:paraId="43C466B3">
            <w:pPr>
              <w:rPr>
                <w:rFonts w:hint="eastAsia" w:ascii="新宋体" w:hAnsi="新宋体" w:eastAsia="新宋体" w:cs="楷体"/>
                <w:color w:val="auto"/>
                <w:kern w:val="0"/>
                <w:sz w:val="22"/>
                <w:szCs w:val="22"/>
                <w:highlight w:val="none"/>
                <w:lang w:val="en-US" w:eastAsia="zh-CN" w:bidi="ar-SA"/>
              </w:rPr>
            </w:pPr>
            <w:r>
              <w:rPr>
                <w:rFonts w:hint="eastAsia" w:ascii="新宋体" w:hAnsi="新宋体" w:eastAsia="新宋体" w:cs="新宋体"/>
                <w:bCs/>
                <w:color w:val="auto"/>
                <w:sz w:val="22"/>
                <w:szCs w:val="22"/>
                <w:highlight w:val="none"/>
              </w:rPr>
              <w:t>申请材料真实性声明</w:t>
            </w:r>
          </w:p>
        </w:tc>
      </w:tr>
      <w:bookmarkEnd w:id="20"/>
    </w:tbl>
    <w:p w14:paraId="6BE3C131">
      <w:pPr>
        <w:spacing w:line="430" w:lineRule="exact"/>
        <w:rPr>
          <w:rFonts w:hint="eastAsia" w:ascii="宋体" w:hAnsi="宋体" w:cs="宋体"/>
          <w:b/>
          <w:bCs/>
          <w:color w:val="auto"/>
          <w:sz w:val="22"/>
          <w:szCs w:val="22"/>
          <w:highlight w:val="none"/>
        </w:rPr>
      </w:pPr>
      <w:r>
        <w:rPr>
          <w:rFonts w:hint="eastAsia" w:ascii="新宋体" w:hAnsi="新宋体" w:eastAsia="新宋体" w:cs="新宋体"/>
          <w:b/>
          <w:bCs/>
          <w:color w:val="auto"/>
          <w:sz w:val="22"/>
          <w:szCs w:val="22"/>
          <w:highlight w:val="none"/>
        </w:rPr>
        <w:t>备注：</w:t>
      </w:r>
    </w:p>
    <w:p w14:paraId="56F31662">
      <w:pPr>
        <w:numPr>
          <w:ilvl w:val="0"/>
          <w:numId w:val="4"/>
        </w:numPr>
        <w:spacing w:line="430" w:lineRule="exact"/>
        <w:rPr>
          <w:rFonts w:hint="eastAsia" w:ascii="宋体" w:hAnsi="宋体" w:cs="宋体"/>
          <w:color w:val="auto"/>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采购活动，由单位负责人签署相关文件材料。</w:t>
      </w:r>
    </w:p>
    <w:p w14:paraId="7B62E1FD">
      <w:pPr>
        <w:numPr>
          <w:ilvl w:val="0"/>
          <w:numId w:val="4"/>
        </w:numPr>
        <w:spacing w:line="430" w:lineRule="exact"/>
        <w:rPr>
          <w:rFonts w:hint="eastAsia" w:ascii="宋体" w:hAnsi="宋体" w:cs="宋体"/>
          <w:color w:val="auto"/>
          <w:highlight w:val="none"/>
        </w:rPr>
      </w:pPr>
      <w:r>
        <w:rPr>
          <w:rFonts w:hint="eastAsia" w:ascii="宋体" w:hAnsi="宋体" w:cs="宋体"/>
          <w:color w:val="auto"/>
          <w:sz w:val="22"/>
          <w:szCs w:val="22"/>
          <w:highlight w:val="none"/>
        </w:rPr>
        <w:t>以上所需的各种证书、证件、证明、执照若系复印件，须在复印件上加盖供应商有效的公章。</w:t>
      </w:r>
    </w:p>
    <w:p w14:paraId="4D921B1D">
      <w:pPr>
        <w:spacing w:line="43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10.1.2 磋商响应文件商务技术标应包括下列部分：</w:t>
      </w:r>
    </w:p>
    <w:tbl>
      <w:tblPr>
        <w:tblStyle w:val="5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66B6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65E0E6A9">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9109" w:type="dxa"/>
            <w:noWrap w:val="0"/>
            <w:vAlign w:val="center"/>
          </w:tcPr>
          <w:p w14:paraId="5C75C19B">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内容</w:t>
            </w:r>
          </w:p>
        </w:tc>
      </w:tr>
      <w:tr w14:paraId="2279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2CDD3667">
            <w:pPr>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p>
        </w:tc>
        <w:tc>
          <w:tcPr>
            <w:tcW w:w="9109" w:type="dxa"/>
            <w:noWrap w:val="0"/>
            <w:vAlign w:val="center"/>
          </w:tcPr>
          <w:p w14:paraId="2FC8BF75">
            <w:pPr>
              <w:jc w:val="left"/>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针对评分细则，编制目录索引，注明评标细则项目所在投标文件页码，格式自拟</w:t>
            </w:r>
          </w:p>
        </w:tc>
      </w:tr>
      <w:tr w14:paraId="5E14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655C275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9109" w:type="dxa"/>
            <w:noWrap w:val="0"/>
            <w:vAlign w:val="center"/>
          </w:tcPr>
          <w:p w14:paraId="66DFF673">
            <w:pP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投标函</w:t>
            </w:r>
          </w:p>
        </w:tc>
      </w:tr>
      <w:tr w14:paraId="0D50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16378E3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9109" w:type="dxa"/>
            <w:noWrap w:val="0"/>
            <w:vAlign w:val="center"/>
          </w:tcPr>
          <w:p w14:paraId="0A489A51">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技术要求应答表、商务条款偏离表</w:t>
            </w:r>
          </w:p>
        </w:tc>
      </w:tr>
      <w:tr w14:paraId="3003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589F3644">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4</w:t>
            </w:r>
          </w:p>
        </w:tc>
        <w:tc>
          <w:tcPr>
            <w:tcW w:w="9109" w:type="dxa"/>
            <w:noWrap w:val="0"/>
            <w:vAlign w:val="center"/>
          </w:tcPr>
          <w:p w14:paraId="3D3737F1">
            <w:pPr>
              <w:rPr>
                <w:rFonts w:hint="eastAsia" w:ascii="宋体" w:hAnsi="宋体" w:eastAsia="宋体" w:cs="宋体"/>
                <w:color w:val="auto"/>
                <w:sz w:val="22"/>
                <w:szCs w:val="22"/>
                <w:highlight w:val="none"/>
              </w:rPr>
            </w:pPr>
            <w:r>
              <w:rPr>
                <w:rFonts w:hint="eastAsia" w:ascii="宋体" w:hAnsi="宋体" w:cs="宋体"/>
                <w:bCs/>
                <w:color w:val="auto"/>
                <w:sz w:val="22"/>
                <w:szCs w:val="22"/>
                <w:highlight w:val="none"/>
                <w:lang w:val="en-US" w:eastAsia="zh-CN"/>
              </w:rPr>
              <w:t>供应商</w:t>
            </w:r>
            <w:r>
              <w:rPr>
                <w:rFonts w:hint="eastAsia" w:ascii="宋体" w:hAnsi="宋体" w:eastAsia="宋体" w:cs="宋体"/>
                <w:bCs/>
                <w:color w:val="auto"/>
                <w:sz w:val="22"/>
                <w:szCs w:val="22"/>
                <w:highlight w:val="none"/>
                <w:lang w:val="en-US" w:eastAsia="zh-CN"/>
              </w:rPr>
              <w:t>综合实力</w:t>
            </w:r>
          </w:p>
        </w:tc>
      </w:tr>
      <w:tr w14:paraId="3BB6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23F1758E">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5</w:t>
            </w:r>
          </w:p>
        </w:tc>
        <w:tc>
          <w:tcPr>
            <w:tcW w:w="9109" w:type="dxa"/>
            <w:noWrap w:val="0"/>
            <w:vAlign w:val="center"/>
          </w:tcPr>
          <w:p w14:paraId="1F31500E">
            <w:pP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类似项目业绩</w:t>
            </w:r>
          </w:p>
        </w:tc>
      </w:tr>
      <w:tr w14:paraId="4C07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4BC9B82C">
            <w:pPr>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9109" w:type="dxa"/>
            <w:noWrap w:val="0"/>
            <w:vAlign w:val="center"/>
          </w:tcPr>
          <w:p w14:paraId="6B7C4C18">
            <w:pPr>
              <w:rPr>
                <w:rFonts w:hint="eastAsia" w:ascii="宋体" w:hAnsi="宋体" w:cs="宋体"/>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针对本项目所配备的服务团队人员</w:t>
            </w:r>
          </w:p>
        </w:tc>
      </w:tr>
      <w:tr w14:paraId="6114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202270E7">
            <w:pPr>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7</w:t>
            </w:r>
          </w:p>
        </w:tc>
        <w:tc>
          <w:tcPr>
            <w:tcW w:w="9109" w:type="dxa"/>
            <w:noWrap w:val="0"/>
            <w:vAlign w:val="center"/>
          </w:tcPr>
          <w:p w14:paraId="5B9FFA29">
            <w:pPr>
              <w:rPr>
                <w:rFonts w:hint="eastAsia" w:ascii="宋体" w:hAnsi="宋体" w:eastAsia="宋体" w:cs="宋体"/>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项目服务方案</w:t>
            </w:r>
          </w:p>
        </w:tc>
      </w:tr>
      <w:tr w14:paraId="3991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45A39B5D">
            <w:pPr>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8</w:t>
            </w:r>
          </w:p>
        </w:tc>
        <w:tc>
          <w:tcPr>
            <w:tcW w:w="9109" w:type="dxa"/>
            <w:noWrap w:val="0"/>
            <w:vAlign w:val="center"/>
          </w:tcPr>
          <w:p w14:paraId="5793E7E9">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sz w:val="22"/>
                <w:szCs w:val="22"/>
                <w:highlight w:val="none"/>
              </w:rPr>
              <w:t>资信证明文件（本部分为技术资信分评分内容，各投标人参照评分标准根据自身情况提供）</w:t>
            </w:r>
          </w:p>
        </w:tc>
      </w:tr>
      <w:tr w14:paraId="2845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71AE4BDD">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9109" w:type="dxa"/>
            <w:noWrap w:val="0"/>
            <w:vAlign w:val="center"/>
          </w:tcPr>
          <w:p w14:paraId="76F05AD5">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sz w:val="22"/>
                <w:szCs w:val="22"/>
                <w:highlight w:val="none"/>
              </w:rPr>
              <w:t>根据采购文件中的技术规格书以及采购文件技术资信评分表，投标人认为需要提供的文件和资料</w:t>
            </w:r>
          </w:p>
        </w:tc>
      </w:tr>
    </w:tbl>
    <w:p w14:paraId="479AF466">
      <w:pPr>
        <w:spacing w:line="43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备注：</w:t>
      </w:r>
    </w:p>
    <w:p w14:paraId="362BA132">
      <w:pPr>
        <w:numPr>
          <w:ilvl w:val="0"/>
          <w:numId w:val="5"/>
        </w:numPr>
        <w:spacing w:line="430" w:lineRule="exact"/>
        <w:rPr>
          <w:rFonts w:hint="eastAsia" w:ascii="宋体" w:hAnsi="宋体" w:cs="宋体"/>
          <w:color w:val="auto"/>
          <w:highlight w:val="none"/>
        </w:rPr>
      </w:pPr>
      <w:r>
        <w:rPr>
          <w:rFonts w:hint="eastAsia" w:ascii="宋体" w:hAnsi="宋体" w:cs="宋体"/>
          <w:color w:val="auto"/>
          <w:sz w:val="22"/>
          <w:szCs w:val="22"/>
          <w:highlight w:val="none"/>
        </w:rPr>
        <w:t>磋商响应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14:paraId="0BB5334D">
      <w:pPr>
        <w:numPr>
          <w:ilvl w:val="0"/>
          <w:numId w:val="5"/>
        </w:numPr>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以上所需的各种证书、证件、证明等若系复印件，须在复印件上加盖供应商有效的公章。</w:t>
      </w:r>
    </w:p>
    <w:p w14:paraId="019812CB">
      <w:pPr>
        <w:tabs>
          <w:tab w:val="left" w:pos="5355"/>
        </w:tabs>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10.1.3 磋商响应文件报价标应包括下列部分：</w:t>
      </w:r>
    </w:p>
    <w:bookmarkEnd w:id="12"/>
    <w:tbl>
      <w:tblPr>
        <w:tblStyle w:val="54"/>
        <w:tblW w:w="9854" w:type="dxa"/>
        <w:tblInd w:w="0" w:type="dxa"/>
        <w:tblLayout w:type="fixed"/>
        <w:tblCellMar>
          <w:top w:w="0" w:type="dxa"/>
          <w:left w:w="108" w:type="dxa"/>
          <w:bottom w:w="0" w:type="dxa"/>
          <w:right w:w="108" w:type="dxa"/>
        </w:tblCellMar>
      </w:tblPr>
      <w:tblGrid>
        <w:gridCol w:w="966"/>
        <w:gridCol w:w="8888"/>
      </w:tblGrid>
      <w:tr w14:paraId="3A3F0CB4">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3DEEE67">
            <w:pPr>
              <w:autoSpaceDE w:val="0"/>
              <w:autoSpaceDN w:val="0"/>
              <w:adjustRightInd w:val="0"/>
              <w:jc w:val="center"/>
              <w:rPr>
                <w:rFonts w:hint="eastAsia"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0B3A17B">
            <w:pPr>
              <w:autoSpaceDE w:val="0"/>
              <w:autoSpaceDN w:val="0"/>
              <w:adjustRightInd w:val="0"/>
              <w:jc w:val="center"/>
              <w:rPr>
                <w:rFonts w:hint="eastAsia"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内容</w:t>
            </w:r>
          </w:p>
        </w:tc>
      </w:tr>
      <w:tr w14:paraId="79980045">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0E5A321">
            <w:pPr>
              <w:autoSpaceDE w:val="0"/>
              <w:autoSpaceDN w:val="0"/>
              <w:adjustRightInd w:val="0"/>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4B29AE8">
            <w:pPr>
              <w:autoSpaceDE w:val="0"/>
              <w:autoSpaceDN w:val="0"/>
              <w:adjustRightInd w:val="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开标一览表</w:t>
            </w:r>
          </w:p>
        </w:tc>
      </w:tr>
      <w:tr w14:paraId="1EADAE39">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081414">
            <w:pPr>
              <w:autoSpaceDE w:val="0"/>
              <w:autoSpaceDN w:val="0"/>
              <w:adjustRightInd w:val="0"/>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FD018DB">
            <w:pPr>
              <w:autoSpaceDE w:val="0"/>
              <w:autoSpaceDN w:val="0"/>
              <w:adjustRightInd w:val="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分项报价表</w:t>
            </w:r>
          </w:p>
        </w:tc>
      </w:tr>
    </w:tbl>
    <w:p w14:paraId="4D8D219F">
      <w:pPr>
        <w:spacing w:line="440" w:lineRule="exact"/>
        <w:ind w:left="331" w:hanging="331" w:hangingChars="1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11.磋商响应文件编制</w:t>
      </w:r>
    </w:p>
    <w:p w14:paraId="0CB78E3C">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11.1本项目通过“政采云平台（www.zcygov.cn）”实行在线投标响应（电子投标）。供应商应通过“政采云电子交易客户端”，并按照本采购文件和“政采云平台”的要求编制并加密磋商响应文件。</w:t>
      </w:r>
    </w:p>
    <w:p w14:paraId="0C35B82C">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11.2供应商应当按照本章节 “磋商响应文件组成”规定的内容及顺序在“政采云电子交易客户端”编制磋商响应文件。其中“资格审查资料”和“商务技术文件”中不得出现本项目投标报价，如因供应商原因提前泄露投标报价，是供应商的责任。</w:t>
      </w:r>
    </w:p>
    <w:p w14:paraId="11A70396">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11.3本采购文件“第四部分 磋商响应文件格式”中有提供格式的，供应商须参照格式进行编制（格式中要求提供相关证明材料的还需后附相关证明材料），并按格式要求在指定位置根据要求进行签章，否则视为未提供；本文件“第四部分 磋商响应文件格式”未提供格式的，请各投标单位自行拟定格式，并加盖单位公章并由法定代表人或其授权代表签署（签字或盖章），否则视为未提供。</w:t>
      </w:r>
    </w:p>
    <w:p w14:paraId="53257FDB">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11.4磋商响应文件内容不完整、编排混乱导致磋商响应文件被误读、漏读或者查找不到相关内容的，是供应商的责任。</w:t>
      </w:r>
    </w:p>
    <w:p w14:paraId="4498F45C">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11.5磋商响应文件因字迹潦草或表达不清所引起的后果由供应商负责。</w:t>
      </w:r>
    </w:p>
    <w:p w14:paraId="2DC42C37">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11.6 供应商没有按照本章节 “磋商响应文件组成”要求提供全部资料，或者没有仔细阅读采购文件，或者没有对采购文件在各方面的要求做出实质性响应是供应商的风险，由此造成的一切后果由供应商自行承担。</w:t>
      </w:r>
    </w:p>
    <w:p w14:paraId="5B16F2AE">
      <w:pPr>
        <w:spacing w:line="440" w:lineRule="exact"/>
        <w:ind w:left="331" w:hanging="331" w:hangingChars="1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12.磋商响应文件的签章</w:t>
      </w:r>
    </w:p>
    <w:p w14:paraId="633239CF">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12.1磋商响应文件的签章要求：供应商须知前附表第</w:t>
      </w:r>
      <w:r>
        <w:rPr>
          <w:rFonts w:hint="eastAsia" w:ascii="宋体" w:hAnsi="宋体" w:cs="宋体"/>
          <w:color w:val="auto"/>
          <w:sz w:val="22"/>
          <w:szCs w:val="22"/>
          <w:highlight w:val="none"/>
          <w:lang w:val="en-US" w:eastAsia="zh-CN"/>
        </w:rPr>
        <w:t>17</w:t>
      </w:r>
      <w:r>
        <w:rPr>
          <w:rFonts w:hint="eastAsia" w:ascii="宋体" w:hAnsi="宋体" w:cs="宋体"/>
          <w:color w:val="auto"/>
          <w:sz w:val="22"/>
          <w:szCs w:val="22"/>
          <w:highlight w:val="none"/>
        </w:rPr>
        <w:t>款；</w:t>
      </w:r>
    </w:p>
    <w:p w14:paraId="68F20609">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12.2磋商响应文件应由供应商法定代表人或其授权代表签章（电子签章），同时加盖供应商公章（电子签章）。</w:t>
      </w:r>
    </w:p>
    <w:p w14:paraId="439F3041">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12.3电子签章操作指南详见采购公告附件《供应商项目采购－电子招投标操作指南》。</w:t>
      </w:r>
    </w:p>
    <w:p w14:paraId="2036BDF9">
      <w:pPr>
        <w:spacing w:line="440" w:lineRule="exact"/>
        <w:ind w:left="331" w:hanging="331" w:hangingChars="1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13.磋商响应文件的形式</w:t>
      </w:r>
    </w:p>
    <w:p w14:paraId="249F2AE8">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13.1磋商响应文件的形式：见供应商须知前附表第</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款；</w:t>
      </w:r>
    </w:p>
    <w:p w14:paraId="161E642C">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13.2“电子加密磋商响应文件”：“电子加密磋商响应文件”是指通过“政采云电子交易客户端”完成磋商响应文件编制后生成并加密的数据电文形式的磋商响应文件。</w:t>
      </w:r>
    </w:p>
    <w:p w14:paraId="186BDF12">
      <w:pPr>
        <w:tabs>
          <w:tab w:val="left" w:pos="360"/>
        </w:tabs>
        <w:spacing w:line="460" w:lineRule="exact"/>
        <w:rPr>
          <w:rFonts w:hint="eastAsia" w:ascii="宋体" w:hAnsi="宋体" w:cs="宋体"/>
          <w:b/>
          <w:color w:val="auto"/>
          <w:sz w:val="24"/>
          <w:highlight w:val="none"/>
        </w:rPr>
      </w:pPr>
      <w:r>
        <w:rPr>
          <w:rFonts w:hint="eastAsia" w:ascii="宋体" w:hAnsi="宋体" w:cs="宋体"/>
          <w:color w:val="auto"/>
          <w:sz w:val="22"/>
          <w:szCs w:val="22"/>
          <w:highlight w:val="none"/>
        </w:rPr>
        <w:t>13.3“备份磋商响应文件”：“备份磋商响应文件”是指与“电子加密磋商响应文件”同时生成的数据电文形式的电子文件（备份标书），其他方式编制的“备份磋商响应文件”视为无效的“备份磋商响应文件”。</w:t>
      </w:r>
    </w:p>
    <w:p w14:paraId="5F3C38BA">
      <w:pPr>
        <w:spacing w:line="440" w:lineRule="exact"/>
        <w:ind w:left="331" w:hanging="331" w:hangingChars="1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14.磋商响应文件的份数</w:t>
      </w:r>
    </w:p>
    <w:p w14:paraId="47731E71">
      <w:pPr>
        <w:tabs>
          <w:tab w:val="left" w:pos="5355"/>
        </w:tabs>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14.1磋商响应文件的份数：见供应商须知前附表第1</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款。</w:t>
      </w:r>
    </w:p>
    <w:p w14:paraId="16282214">
      <w:pPr>
        <w:tabs>
          <w:tab w:val="left" w:pos="540"/>
        </w:tabs>
        <w:spacing w:line="460" w:lineRule="exact"/>
        <w:rPr>
          <w:rFonts w:hint="eastAsia" w:ascii="宋体" w:hAnsi="宋体" w:cs="宋体"/>
          <w:color w:val="auto"/>
          <w:sz w:val="22"/>
          <w:szCs w:val="22"/>
          <w:highlight w:val="none"/>
        </w:rPr>
      </w:pPr>
      <w:r>
        <w:rPr>
          <w:rFonts w:hint="eastAsia" w:ascii="宋体" w:hAnsi="宋体" w:cs="宋体"/>
          <w:bCs/>
          <w:color w:val="auto"/>
          <w:sz w:val="22"/>
          <w:szCs w:val="22"/>
          <w:highlight w:val="none"/>
        </w:rPr>
        <w:t>15.投标报价</w:t>
      </w:r>
    </w:p>
    <w:p w14:paraId="269A3716">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15.1 供应商应报出本项目内容所包含的所有单价和总价，并且报出价格组成表，对于供应商价格组成表中未列出的项目或没有填写单价和总价的项目，在合同执行时采购人将不予支付，并认为这些项目费用已包括在投标报价内。</w:t>
      </w:r>
    </w:p>
    <w:p w14:paraId="04E3C9BB">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15.2 </w:t>
      </w:r>
      <w:r>
        <w:rPr>
          <w:rFonts w:hint="eastAsia" w:ascii="新宋体" w:hAnsi="新宋体" w:eastAsia="新宋体" w:cs="新宋体"/>
          <w:color w:val="auto"/>
          <w:sz w:val="22"/>
          <w:szCs w:val="22"/>
          <w:highlight w:val="none"/>
        </w:rPr>
        <w:t>本项目为总价合同，投标报价应是成交供应商在正确地完全履行合同义务后采购人应支付给成交供应商的全部服务费用，实行固定总价结算，供应商应根据上述因素自行考虑含入投标总价，否则由此而引起的一切费用均视为已包括在投标总价中</w:t>
      </w:r>
      <w:r>
        <w:rPr>
          <w:rFonts w:hint="eastAsia" w:ascii="宋体" w:hAnsi="宋体" w:cs="宋体"/>
          <w:color w:val="auto"/>
          <w:sz w:val="22"/>
          <w:szCs w:val="22"/>
          <w:highlight w:val="none"/>
        </w:rPr>
        <w:t>。</w:t>
      </w:r>
    </w:p>
    <w:p w14:paraId="17E0BDEE">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15.3 供应商须认真阅读、充分理解采购文件，如有疑问可在询疑截止时间前送达（或传真）采购代理机构，采购代理机构将会统一解答。任何因对本项目采购文件理解不清、产生歧义等由此产生的费用，视作包含在投标总价中。</w:t>
      </w:r>
    </w:p>
    <w:p w14:paraId="3473EBD7">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15.4 供应商必须按第三部分附件的开标一览表（统一格式）、投标分项报价表（统一格式）的内容填写单价、合价及其他事项，并由法定代表人或授权代表签署。</w:t>
      </w:r>
    </w:p>
    <w:p w14:paraId="2B3A7910">
      <w:pPr>
        <w:tabs>
          <w:tab w:val="left" w:pos="540"/>
        </w:tabs>
        <w:spacing w:line="460" w:lineRule="exact"/>
        <w:rPr>
          <w:rFonts w:hint="eastAsia" w:ascii="宋体" w:hAnsi="宋体" w:cs="宋体"/>
          <w:b/>
          <w:color w:val="auto"/>
          <w:sz w:val="22"/>
          <w:szCs w:val="22"/>
          <w:highlight w:val="none"/>
        </w:rPr>
      </w:pPr>
      <w:r>
        <w:rPr>
          <w:rFonts w:hint="eastAsia" w:ascii="宋体" w:hAnsi="宋体" w:cs="宋体"/>
          <w:color w:val="auto"/>
          <w:sz w:val="22"/>
          <w:szCs w:val="22"/>
          <w:highlight w:val="none"/>
        </w:rPr>
        <w:t>15.5 所有投标报价均以人民币报价。</w:t>
      </w:r>
    </w:p>
    <w:p w14:paraId="5245D948">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15.6 采购人不接受任何选择报价，对每一项货物/服务只允许一个报价。</w:t>
      </w:r>
    </w:p>
    <w:p w14:paraId="6ECB53E6">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15.7 采购人要求分类报价是为了方便评标，但在任何情况下不限制采购人以其认为最合适的条款、条件签订合同的权利。</w:t>
      </w:r>
    </w:p>
    <w:p w14:paraId="603D5F4D">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15.8 报价是成交的一个重要因素，但最低报价不是成交的唯一依据。</w:t>
      </w:r>
    </w:p>
    <w:p w14:paraId="70493C9F">
      <w:pPr>
        <w:tabs>
          <w:tab w:val="left" w:pos="-180"/>
          <w:tab w:val="left" w:pos="180"/>
          <w:tab w:val="left" w:pos="360"/>
        </w:tabs>
        <w:spacing w:line="440" w:lineRule="exact"/>
        <w:ind w:left="660" w:hanging="660" w:hangingChars="300"/>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 xml:space="preserve">16. </w:t>
      </w:r>
      <w:r>
        <w:rPr>
          <w:rFonts w:hint="eastAsia" w:ascii="宋体" w:hAnsi="宋体" w:cs="宋体"/>
          <w:b/>
          <w:bCs/>
          <w:color w:val="auto"/>
          <w:sz w:val="22"/>
          <w:szCs w:val="22"/>
          <w:highlight w:val="none"/>
        </w:rPr>
        <w:t>供应商如发生下列情况之一，将上报同级政府采购监督管理部门，追究其责任：</w:t>
      </w:r>
    </w:p>
    <w:p w14:paraId="41851D88">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（1）供应商在采购文件规定的磋商响应文件有效期内撤回投标；</w:t>
      </w:r>
    </w:p>
    <w:p w14:paraId="68717CA0">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（2）成交供应商未按成交通知书中规定的时间与采购人签订合同；</w:t>
      </w:r>
    </w:p>
    <w:p w14:paraId="05D70A13">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（3）供应商在采购文件中提供虚假技术指标及参数，经磋商小组确认属实的。</w:t>
      </w:r>
    </w:p>
    <w:p w14:paraId="61BBE6BF">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（4）经同级政府采购监督管理部门审查认定供应商有违反《中华人民共和国政府采购法》等有关法律法规的行为。</w:t>
      </w:r>
    </w:p>
    <w:p w14:paraId="2D101038">
      <w:pPr>
        <w:tabs>
          <w:tab w:val="left" w:pos="-180"/>
          <w:tab w:val="left" w:pos="180"/>
          <w:tab w:val="left" w:pos="360"/>
        </w:tabs>
        <w:spacing w:line="4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17. 磋商响应文件有效期</w:t>
      </w:r>
    </w:p>
    <w:p w14:paraId="50429CEA">
      <w:pPr>
        <w:tabs>
          <w:tab w:val="left" w:pos="540"/>
          <w:tab w:val="left" w:pos="992"/>
        </w:tabs>
        <w:autoSpaceDE w:val="0"/>
        <w:autoSpaceDN w:val="0"/>
        <w:adjustRightInd w:val="0"/>
        <w:spacing w:line="460" w:lineRule="atLeas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17.1 自开标之日起 90天内投标应保持有效。磋商响应文件有效期短于这个规定期限的投标将视为非响应性投标而予以拒绝。</w:t>
      </w:r>
    </w:p>
    <w:p w14:paraId="31C7A1DF">
      <w:pPr>
        <w:spacing w:line="440" w:lineRule="exact"/>
        <w:ind w:left="2"/>
        <w:rPr>
          <w:rFonts w:hint="eastAsia" w:ascii="宋体" w:hAnsi="宋体" w:cs="宋体"/>
          <w:color w:val="auto"/>
          <w:sz w:val="22"/>
          <w:szCs w:val="22"/>
          <w:highlight w:val="none"/>
        </w:rPr>
      </w:pPr>
      <w:r>
        <w:rPr>
          <w:rFonts w:hint="eastAsia" w:ascii="宋体" w:hAnsi="宋体" w:cs="宋体"/>
          <w:color w:val="auto"/>
          <w:kern w:val="0"/>
          <w:sz w:val="22"/>
          <w:szCs w:val="22"/>
          <w:highlight w:val="none"/>
        </w:rPr>
        <w:t>17.2 特殊情况下，在原磋商响应文件有效期截止前，采购人可与供应商协商延长磋商响应文件有效期，这种要求和答复均以书面形式进行。供应商可拒绝接受延期要求。同意延长磋商响应文件有效期的供应商不得修改磋商响应文件。</w:t>
      </w:r>
    </w:p>
    <w:p w14:paraId="1872C605">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21" w:name="_Toc18954"/>
      <w:bookmarkStart w:id="22" w:name="_Toc57626727"/>
      <w:bookmarkStart w:id="23" w:name="_Toc38618585"/>
      <w:bookmarkStart w:id="24" w:name="_Toc58832085"/>
      <w:r>
        <w:rPr>
          <w:rFonts w:hint="eastAsia" w:ascii="宋体" w:hAnsi="宋体" w:cs="宋体"/>
          <w:b/>
          <w:bCs/>
          <w:color w:val="auto"/>
          <w:sz w:val="22"/>
          <w:szCs w:val="22"/>
          <w:highlight w:val="none"/>
        </w:rPr>
        <w:t>四   磋商响应文件的递交</w:t>
      </w:r>
      <w:bookmarkEnd w:id="21"/>
      <w:bookmarkEnd w:id="22"/>
      <w:bookmarkEnd w:id="23"/>
      <w:bookmarkEnd w:id="24"/>
    </w:p>
    <w:p w14:paraId="53E5ED67">
      <w:pPr>
        <w:tabs>
          <w:tab w:val="left" w:pos="540"/>
        </w:tabs>
        <w:spacing w:line="460" w:lineRule="exact"/>
        <w:rPr>
          <w:rFonts w:hint="eastAsia" w:ascii="宋体" w:hAnsi="宋体" w:cs="宋体"/>
          <w:b/>
          <w:bCs/>
          <w:color w:val="auto"/>
          <w:kern w:val="0"/>
          <w:sz w:val="22"/>
          <w:szCs w:val="22"/>
          <w:highlight w:val="none"/>
        </w:rPr>
      </w:pPr>
      <w:bookmarkStart w:id="25" w:name="_Toc10467"/>
      <w:r>
        <w:rPr>
          <w:rFonts w:hint="eastAsia" w:ascii="宋体" w:hAnsi="宋体" w:cs="宋体"/>
          <w:b/>
          <w:bCs/>
          <w:color w:val="auto"/>
          <w:kern w:val="0"/>
          <w:sz w:val="22"/>
          <w:szCs w:val="22"/>
          <w:highlight w:val="none"/>
        </w:rPr>
        <w:t>18. 磋商响应文件的递交</w:t>
      </w:r>
    </w:p>
    <w:p w14:paraId="5D6285D1">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18.1磋商响应文件的上传、递交：见供应商须知前附表</w:t>
      </w:r>
      <w:r>
        <w:rPr>
          <w:rFonts w:hint="eastAsia" w:ascii="宋体" w:hAnsi="宋体" w:cs="宋体"/>
          <w:bCs/>
          <w:color w:val="auto"/>
          <w:kern w:val="0"/>
          <w:sz w:val="22"/>
          <w:szCs w:val="22"/>
          <w:highlight w:val="none"/>
          <w:lang w:val="en-US" w:eastAsia="zh-CN"/>
        </w:rPr>
        <w:t>第18款</w:t>
      </w:r>
      <w:r>
        <w:rPr>
          <w:rFonts w:hint="eastAsia" w:ascii="宋体" w:hAnsi="宋体" w:cs="宋体"/>
          <w:bCs/>
          <w:color w:val="auto"/>
          <w:kern w:val="0"/>
          <w:sz w:val="22"/>
          <w:szCs w:val="22"/>
          <w:highlight w:val="none"/>
        </w:rPr>
        <w:t>。</w:t>
      </w:r>
    </w:p>
    <w:p w14:paraId="39D7ECA7">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19. “电子加密磋商响应文件”解密和异常情况处理。</w:t>
      </w:r>
    </w:p>
    <w:p w14:paraId="16654CF3">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19.1“电子加密磋商响应文件”解密：见供应商须知前附表</w:t>
      </w:r>
      <w:r>
        <w:rPr>
          <w:rFonts w:hint="eastAsia" w:ascii="宋体" w:hAnsi="宋体" w:cs="宋体"/>
          <w:bCs/>
          <w:color w:val="auto"/>
          <w:kern w:val="0"/>
          <w:sz w:val="22"/>
          <w:szCs w:val="22"/>
          <w:highlight w:val="none"/>
          <w:lang w:val="en-US" w:eastAsia="zh-CN"/>
        </w:rPr>
        <w:t>第20款</w:t>
      </w:r>
      <w:r>
        <w:rPr>
          <w:rFonts w:hint="eastAsia" w:ascii="宋体" w:hAnsi="宋体" w:cs="宋体"/>
          <w:bCs/>
          <w:color w:val="auto"/>
          <w:kern w:val="0"/>
          <w:sz w:val="22"/>
          <w:szCs w:val="22"/>
          <w:highlight w:val="none"/>
        </w:rPr>
        <w:t>。</w:t>
      </w:r>
    </w:p>
    <w:p w14:paraId="26048C1E">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20. 磋商响应文件的补充、修改或撤回</w:t>
      </w:r>
    </w:p>
    <w:p w14:paraId="7B822F20">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20.1供应商应当在磋商响应文件递交截止时间前完成磋商响应文件的上传、递交，并可以补充、修改或者撤回磋商响应文件。补充或者修改磋商响应文件的，应当先行撤回原文件，补充、修改后重新上传、递交。磋商响应文件递交截止时间前未完成上传、递交的，视为撤回磋商响应文件。磋商响应文件递交截止时间后递交的磋商响应文件，“政采云平台”将予以拒收。</w:t>
      </w:r>
    </w:p>
    <w:p w14:paraId="3E4DC709">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20.2磋商响应文件递交截止时间后，供应商不得撤回、修改磋商响应文件。</w:t>
      </w:r>
    </w:p>
    <w:p w14:paraId="7F0081B3">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
          <w:bCs/>
          <w:color w:val="auto"/>
          <w:kern w:val="0"/>
          <w:sz w:val="22"/>
          <w:szCs w:val="22"/>
          <w:highlight w:val="none"/>
        </w:rPr>
        <w:t>21. 磋商响应文件的备选方案</w:t>
      </w:r>
    </w:p>
    <w:p w14:paraId="103A2F96">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21.1供应商不得递交任何的投标备选（替代）方案，否则其磋商响应文件将作无效标处理。与“电子加密磋商响应文件”同时生成的“备份磋商响应文件”不是投标备选（替代）方案。</w:t>
      </w:r>
    </w:p>
    <w:p w14:paraId="2B536FBB">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26" w:name="_Toc58832086"/>
      <w:bookmarkStart w:id="27" w:name="_Toc38618586"/>
      <w:bookmarkStart w:id="28" w:name="_Toc221356952"/>
      <w:bookmarkStart w:id="29" w:name="_Toc221423620"/>
      <w:bookmarkStart w:id="30" w:name="_Toc38203957"/>
      <w:bookmarkStart w:id="31" w:name="_Toc221356888"/>
      <w:bookmarkStart w:id="32" w:name="_Toc239145355"/>
      <w:bookmarkStart w:id="33" w:name="_Toc223715999"/>
      <w:bookmarkStart w:id="34" w:name="_Toc57626728"/>
      <w:bookmarkStart w:id="35" w:name="_Toc222114880"/>
      <w:bookmarkStart w:id="36" w:name="_Toc221374627"/>
      <w:bookmarkStart w:id="37" w:name="_Toc265529384"/>
      <w:bookmarkStart w:id="38" w:name="_Toc241404203"/>
      <w:r>
        <w:rPr>
          <w:rFonts w:hint="eastAsia" w:ascii="宋体" w:hAnsi="宋体" w:cs="宋体"/>
          <w:b/>
          <w:bCs/>
          <w:color w:val="auto"/>
          <w:sz w:val="22"/>
          <w:szCs w:val="22"/>
          <w:highlight w:val="none"/>
        </w:rPr>
        <w:t>五   开标</w:t>
      </w:r>
      <w:bookmarkEnd w:id="26"/>
      <w:bookmarkEnd w:id="27"/>
      <w:bookmarkEnd w:id="28"/>
      <w:bookmarkEnd w:id="29"/>
      <w:bookmarkEnd w:id="30"/>
      <w:bookmarkEnd w:id="31"/>
      <w:bookmarkEnd w:id="32"/>
      <w:bookmarkEnd w:id="33"/>
      <w:bookmarkEnd w:id="34"/>
      <w:bookmarkEnd w:id="35"/>
      <w:bookmarkEnd w:id="36"/>
      <w:bookmarkEnd w:id="37"/>
      <w:bookmarkEnd w:id="38"/>
    </w:p>
    <w:p w14:paraId="46D20A81">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22. 开标形式</w:t>
      </w:r>
    </w:p>
    <w:p w14:paraId="6284380F">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22.1 采购组织机构将按照采购文件规定的时间通过“政采云平台”组织开标、开启磋商响应文件，所有供应商均应当准时在线参加。</w:t>
      </w:r>
    </w:p>
    <w:p w14:paraId="366170DF">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23. 开标准备</w:t>
      </w:r>
    </w:p>
    <w:p w14:paraId="16C23175">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23.1开标的准备工作由采购组织机构负责落实。</w:t>
      </w:r>
    </w:p>
    <w:p w14:paraId="0EEFB7EC">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23.2采购组织机构将按照采购文件规定的时间通过“政采云平台”组织开标、开启磋商响应文件，所有供应商均应当准时在线参加。供应商如不参加开标大会的，视同认可开标结果，事后不得对采购相关人员、开标过程和开标结果提出异议，同时供应商因未在线参加开标而导致磋商响应文件无法按时解密等一切后果由供应商自己承担。</w:t>
      </w:r>
    </w:p>
    <w:p w14:paraId="05C03BEE">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24.开标流程（三阶段）</w:t>
      </w:r>
    </w:p>
    <w:p w14:paraId="639810CE">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24.1开标第一阶段</w:t>
      </w:r>
    </w:p>
    <w:p w14:paraId="1F4B26DF">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向各供应商发出电子加密磋商响应文件【开始解密】通知，由供应商按采购文件规定的时间内自行进行磋商响应文件解密。供应商在规定的时间内（开标时间起半个小时内）无法完成已递交的“电子加密磋商响应文件”解密的，如已按规定递交了备份磋商响应文件的，将由采购组织机构按“政采云平台”操作规范将备份磋商响应文件上传至“政采云平台”，上传成功后，“电子加密磋商响应文件”自动失效；</w:t>
      </w:r>
    </w:p>
    <w:p w14:paraId="24EE9844">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（2）磋商响应文件解密结束，各供应商签署《政府采购活动现场确认声明书》（见附件）后将扫描件发送至采购代理机构邮箱：</w:t>
      </w:r>
      <w:r>
        <w:rPr>
          <w:rFonts w:hint="eastAsia" w:ascii="宋体" w:hAnsi="宋体" w:cs="宋体"/>
          <w:b/>
          <w:color w:val="auto"/>
          <w:sz w:val="22"/>
          <w:szCs w:val="22"/>
          <w:highlight w:val="none"/>
          <w:u w:val="single"/>
        </w:rPr>
        <w:t>ye462978466@qq.com</w:t>
      </w:r>
      <w:r>
        <w:rPr>
          <w:rFonts w:hint="eastAsia" w:ascii="宋体" w:hAnsi="宋体" w:cs="宋体"/>
          <w:b/>
          <w:bCs/>
          <w:color w:val="auto"/>
          <w:kern w:val="0"/>
          <w:sz w:val="22"/>
          <w:szCs w:val="22"/>
          <w:highlight w:val="none"/>
        </w:rPr>
        <w:t>；</w:t>
      </w:r>
    </w:p>
    <w:p w14:paraId="4177C15A">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（3）开启磋商响应文件，进入资格审查；</w:t>
      </w:r>
    </w:p>
    <w:p w14:paraId="2AAEDA12">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（4）开启资格审查通过的供应商的商务技术文件进入符合性审查、商务技术评审；</w:t>
      </w:r>
    </w:p>
    <w:p w14:paraId="1C0E3F8D">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（5）第一阶段开标结束。</w:t>
      </w:r>
    </w:p>
    <w:p w14:paraId="10998985">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备注：开标大会的第一阶段结束后，采购人或采购代理机构将对依法对供应商的资格进行审查，资格审查结束后进入符合性审查和商务技术文件的评审工作，具体见本章节“供应商资格审查”相关规定。</w:t>
      </w:r>
    </w:p>
    <w:p w14:paraId="6D1DD935">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24.2开标大会第二阶段</w:t>
      </w:r>
    </w:p>
    <w:p w14:paraId="11DC2331">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符合性审查、商务技术文件的评审结束后，举行开标大会第二阶段会议。首先在“政采云平台”系统平台上公布符合性审查、商务技术评审无效供应商名称及理由；公布经商务技术评审后有效供应商的名单。</w:t>
      </w:r>
    </w:p>
    <w:p w14:paraId="758BF02E">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开启通过符合性审查、商务技术文件评审有效供应商的报价文件，在“政采云平台”系统平台上公布开标一览表有关内容，同时当场制作开标记录，供应商在线进行确认。开标结束后，由磋商小组对报价的合理性、准确性等进行审查核实。</w:t>
      </w:r>
    </w:p>
    <w:p w14:paraId="6064589A">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24.3开标第三阶段</w:t>
      </w:r>
    </w:p>
    <w:p w14:paraId="1440FEB2">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（1）供应商在规定的时间内在政采云平台提交二次（最终）报价；</w:t>
      </w:r>
    </w:p>
    <w:p w14:paraId="1C1C8EB4">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（2）开启供应商的二次（最终）报价文件，公布二次（最终）报价有关内容，同时当场制作开标记录，供应商在线进行确认。开标结束后，由磋商小组对报价的合理性、准确性等进行审查核实。</w:t>
      </w:r>
    </w:p>
    <w:p w14:paraId="4F2FD80F">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p>
    <w:p w14:paraId="2956E5BE">
      <w:pPr>
        <w:tabs>
          <w:tab w:val="left" w:pos="540"/>
        </w:tabs>
        <w:spacing w:line="460" w:lineRule="exact"/>
        <w:rPr>
          <w:rFonts w:hint="eastAsia" w:ascii="宋体" w:hAnsi="宋体" w:cs="宋体"/>
          <w:b/>
          <w:bCs/>
          <w:color w:val="auto"/>
          <w:kern w:val="0"/>
          <w:sz w:val="22"/>
          <w:szCs w:val="22"/>
          <w:highlight w:val="none"/>
        </w:rPr>
      </w:pPr>
      <w:bookmarkStart w:id="39" w:name="_Toc24550037"/>
      <w:bookmarkStart w:id="40" w:name="_Toc33194393"/>
      <w:r>
        <w:rPr>
          <w:rFonts w:hint="eastAsia" w:ascii="宋体" w:hAnsi="宋体" w:cs="宋体"/>
          <w:b/>
          <w:bCs/>
          <w:color w:val="auto"/>
          <w:kern w:val="0"/>
          <w:sz w:val="22"/>
          <w:szCs w:val="22"/>
          <w:highlight w:val="none"/>
        </w:rPr>
        <w:t>25. 供应商资格审查</w:t>
      </w:r>
      <w:bookmarkEnd w:id="39"/>
      <w:bookmarkEnd w:id="40"/>
    </w:p>
    <w:p w14:paraId="61575D7E">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25.1开标大会第一阶段结束后，采购人或采购代理机构首先依法对各供应商的资格进行审查，审查各供应商的资格是否满足采购文件的要求。采购人或采购代理机构对供应商所提交的资格审查材料仅负审核的责任。如发现供应商所提交的资格审查材料不合法或与事实不符，采购人可取消其成交资格并追究供应商的法律责任。</w:t>
      </w:r>
    </w:p>
    <w:p w14:paraId="4AE9A297">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25.2供应商提交的资格审查材料无法证明其符合采购文件规定的“供应商资格要求”的，采购人或采购代理机构将对其做资格审查不通过处理（无效投标），并不再将其投标提交磋商小组进行后续评审。</w:t>
      </w:r>
    </w:p>
    <w:p w14:paraId="07B44927">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25.3单位负责人为同一人或者存在直接控股、管理关系的不同供应商参加同一合同项下的政府采购活动的，相关供应商均作资格无效处理。</w:t>
      </w:r>
    </w:p>
    <w:p w14:paraId="1748AEA0">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41" w:name="_Toc38618587"/>
      <w:bookmarkStart w:id="42" w:name="_Toc58832087"/>
      <w:bookmarkStart w:id="43" w:name="_Toc57626729"/>
      <w:r>
        <w:rPr>
          <w:rFonts w:hint="eastAsia" w:ascii="宋体" w:hAnsi="宋体" w:cs="宋体"/>
          <w:b/>
          <w:bCs/>
          <w:color w:val="auto"/>
          <w:sz w:val="22"/>
          <w:szCs w:val="22"/>
          <w:highlight w:val="none"/>
        </w:rPr>
        <w:t>六   磋商</w:t>
      </w:r>
      <w:bookmarkEnd w:id="25"/>
      <w:bookmarkEnd w:id="41"/>
      <w:bookmarkEnd w:id="42"/>
      <w:bookmarkEnd w:id="43"/>
    </w:p>
    <w:p w14:paraId="353261BF">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26.磋商小组</w:t>
      </w:r>
    </w:p>
    <w:p w14:paraId="3CCBE7C3">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采购人按照《中华人民共和国政府采购法》等有关法律、法规的规定组建磋商小组，磋商小组成员由采购人代表和有关技术、经济等方面的专家组成，成员人数为3人及以上，除采购人代表外的专家将在评标专家库中随机抽取产生。</w:t>
      </w:r>
    </w:p>
    <w:p w14:paraId="01C24254">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27.磋商评审过程的保密性</w:t>
      </w:r>
    </w:p>
    <w:p w14:paraId="4F13ACD6">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开标后直至向成交供应商授予合同时止，凡与磋商评审有关的资料均不得向供应商及与磋商评审无关人员透露。如果供应商在磋商评审过程中试图向采购人和采购代理机构施加影响，其磋商响应文件将被否决。</w:t>
      </w:r>
    </w:p>
    <w:p w14:paraId="3E4FA719">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28.磋商和评审</w:t>
      </w:r>
    </w:p>
    <w:p w14:paraId="4AA205C4">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28.1 磋商小组根据磋商文件的规定，对磋商响应文件的有效性、完整性和对磋商文件的响应程度进行审查，以确定其是否对磋商文件作出了实质性响应。实质上没有响应磋商文件要求的磋商响应文件将被否决。</w:t>
      </w:r>
    </w:p>
    <w:p w14:paraId="1E893412">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28.2磋商响应文件的澄清</w:t>
      </w:r>
    </w:p>
    <w:p w14:paraId="455E30E4">
      <w:pPr>
        <w:spacing w:line="46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（1）磋商评审过程中供应商有义务对磋商小组提出就磋商响应文件中含义不明确、同类问题表述不</w:t>
      </w:r>
      <w:r>
        <w:rPr>
          <w:rFonts w:hint="eastAsia" w:ascii="宋体" w:hAnsi="宋体" w:cs="宋体"/>
          <w:color w:val="auto"/>
          <w:sz w:val="22"/>
          <w:szCs w:val="22"/>
          <w:highlight w:val="none"/>
        </w:rPr>
        <w:t>一致或者有明显的文字和计算错误的内容进行澄清、说明，或者纠正。并在磋商结束前，对澄清、说明或者纠正的相关内容在政采云平台以书面形式进行最终确认，并由磋商供应商代表签字（签章），但不得改变磋商响应文件的实质性内容。供应商的澄清、说明或者更正应当由法定代表人或其授权代表签字或者加盖公章（CA电子公章）。</w:t>
      </w:r>
    </w:p>
    <w:p w14:paraId="5A2F0E93">
      <w:pPr>
        <w:spacing w:line="460" w:lineRule="exac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（2）</w:t>
      </w:r>
      <w:r>
        <w:rPr>
          <w:rFonts w:hint="eastAsia" w:ascii="宋体" w:hAnsi="宋体" w:cs="宋体"/>
          <w:color w:val="auto"/>
          <w:kern w:val="0"/>
          <w:sz w:val="22"/>
          <w:szCs w:val="22"/>
          <w:highlight w:val="none"/>
        </w:rPr>
        <w:t>若磋商响应文件中所提交的证书、证明等材料若出现已过有效期、时间或其他主要信息不明确，且供应商书面澄清（书面澄清仅限在磋商响应文件递交截止时间前所提交磋商响应文件及相关材料中未被磋商小组审查出的内容）亦不明确的，评审过程中将不予认可，不再寻求外部证据（外部证据包括供应商在澄清过程中申请补交的证明材料或网络查询结果等非磋商响应文件本身内容）。</w:t>
      </w:r>
    </w:p>
    <w:p w14:paraId="0C4F2631">
      <w:pPr>
        <w:spacing w:line="46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（3）</w:t>
      </w:r>
      <w:r>
        <w:rPr>
          <w:rFonts w:hint="eastAsia" w:ascii="宋体" w:hAnsi="宋体" w:cs="宋体"/>
          <w:b/>
          <w:bCs/>
          <w:color w:val="auto"/>
          <w:sz w:val="22"/>
          <w:szCs w:val="22"/>
          <w:highlight w:val="none"/>
        </w:rPr>
        <w:t>如果供应商代表拒绝按磋商小组要求在“政采云平台”作出在线回复且无其他有效回复方式的，磋商小组可以否决其磋商响应文件。</w:t>
      </w:r>
    </w:p>
    <w:p w14:paraId="44419860">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28.3</w:t>
      </w:r>
      <w:r>
        <w:rPr>
          <w:rFonts w:hint="eastAsia" w:ascii="宋体" w:hAnsi="宋体" w:cs="宋体"/>
          <w:color w:val="auto"/>
          <w:sz w:val="22"/>
          <w:szCs w:val="22"/>
          <w:highlight w:val="none"/>
          <w:u w:val="single"/>
        </w:rPr>
        <w:t>▲</w:t>
      </w:r>
      <w:r>
        <w:rPr>
          <w:rFonts w:hint="eastAsia" w:ascii="宋体" w:hAnsi="宋体" w:cs="宋体"/>
          <w:b/>
          <w:bCs/>
          <w:color w:val="auto"/>
          <w:sz w:val="22"/>
          <w:szCs w:val="22"/>
          <w:highlight w:val="none"/>
          <w:u w:val="single"/>
        </w:rPr>
        <w:t>经澄清后，若偏差仍存在，且不可接受，磋商供应商则被认为是“没有实质性响应采购文件要求”，其磋商不进入下一步评审</w:t>
      </w:r>
      <w:r>
        <w:rPr>
          <w:rFonts w:hint="eastAsia" w:ascii="宋体" w:hAnsi="宋体" w:cs="宋体"/>
          <w:color w:val="auto"/>
          <w:sz w:val="22"/>
          <w:szCs w:val="22"/>
          <w:highlight w:val="none"/>
        </w:rPr>
        <w:t>。</w:t>
      </w:r>
    </w:p>
    <w:p w14:paraId="0376277D">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28.4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经电子签章的政采云平台上传文件，下同），并由磋商供应商代表签字。磋商轮次最多不超过3轮。</w:t>
      </w:r>
    </w:p>
    <w:p w14:paraId="20F7FA1F">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28.5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14:paraId="2EEA0012">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28.6在磋商过程中，磋商供应商不得向磋商小组成员询问磋商情况，不得进行旨在影响磋商结果的活动，否则将取消其磋商资格。</w:t>
      </w:r>
    </w:p>
    <w:p w14:paraId="64170A9B">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28.7在磋商过程中，磋商小组成员不得与磋商供应商私下交换意见，在竞争性磋商结束后，凡与磋商情况有接触的人不得将磋商情况扩散出磋商小组成员外。</w:t>
      </w:r>
    </w:p>
    <w:p w14:paraId="61E7A971">
      <w:pPr>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28.8磋商结束后，磋商小组将要求磋商供应商在规定的时间内，统一进行最后报价，最后报价不得高于一次报价（磋商小组另有决议的除外）。</w:t>
      </w:r>
    </w:p>
    <w:p w14:paraId="5B436C51">
      <w:pPr>
        <w:spacing w:line="460" w:lineRule="exact"/>
        <w:rPr>
          <w:rFonts w:hint="eastAsia" w:ascii="宋体" w:hAnsi="宋体" w:cs="宋体"/>
          <w:color w:val="auto"/>
          <w:sz w:val="22"/>
          <w:szCs w:val="22"/>
          <w:highlight w:val="none"/>
        </w:rPr>
      </w:pPr>
      <w:r>
        <w:rPr>
          <w:rFonts w:hint="eastAsia" w:ascii="宋体" w:hAnsi="宋体" w:eastAsia="新宋体"/>
          <w:b/>
          <w:bCs/>
          <w:color w:val="auto"/>
          <w:sz w:val="22"/>
          <w:szCs w:val="22"/>
          <w:highlight w:val="none"/>
          <w:lang w:val="en-US" w:eastAsia="zh-CN"/>
        </w:rPr>
        <w:t>28.9</w:t>
      </w:r>
      <w:r>
        <w:rPr>
          <w:rFonts w:hint="eastAsia" w:ascii="新宋体" w:hAnsi="新宋体" w:eastAsia="新宋体" w:cs="新宋体"/>
          <w:b/>
          <w:bCs/>
          <w:color w:val="auto"/>
          <w:kern w:val="0"/>
          <w:sz w:val="22"/>
          <w:szCs w:val="22"/>
          <w:highlight w:val="none"/>
          <w:u w:val="single"/>
          <w:lang w:eastAsia="zh-CN"/>
        </w:rPr>
        <w:t>磋商小组</w:t>
      </w:r>
      <w:r>
        <w:rPr>
          <w:rFonts w:hint="eastAsia" w:ascii="新宋体" w:hAnsi="新宋体" w:eastAsia="新宋体" w:cs="新宋体"/>
          <w:b/>
          <w:bCs/>
          <w:color w:val="auto"/>
          <w:kern w:val="0"/>
          <w:sz w:val="22"/>
          <w:szCs w:val="22"/>
          <w:highlight w:val="none"/>
          <w:u w:val="single"/>
        </w:rPr>
        <w:t>认为</w:t>
      </w:r>
      <w:r>
        <w:rPr>
          <w:rFonts w:hint="eastAsia" w:ascii="新宋体" w:hAnsi="新宋体" w:eastAsia="新宋体" w:cs="新宋体"/>
          <w:b/>
          <w:bCs/>
          <w:color w:val="auto"/>
          <w:kern w:val="0"/>
          <w:sz w:val="22"/>
          <w:szCs w:val="22"/>
          <w:highlight w:val="none"/>
          <w:u w:val="single"/>
          <w:lang w:eastAsia="zh-CN"/>
        </w:rPr>
        <w:t>供应商</w:t>
      </w:r>
      <w:r>
        <w:rPr>
          <w:rFonts w:hint="eastAsia" w:ascii="新宋体" w:hAnsi="新宋体" w:eastAsia="新宋体" w:cs="新宋体"/>
          <w:b/>
          <w:bCs/>
          <w:color w:val="auto"/>
          <w:kern w:val="0"/>
          <w:sz w:val="22"/>
          <w:szCs w:val="22"/>
          <w:highlight w:val="none"/>
          <w:u w:val="single"/>
        </w:rPr>
        <w:t>的报价明显低于其他通过符合性审查</w:t>
      </w:r>
      <w:r>
        <w:rPr>
          <w:rFonts w:hint="eastAsia" w:ascii="新宋体" w:hAnsi="新宋体" w:eastAsia="新宋体" w:cs="新宋体"/>
          <w:b/>
          <w:bCs/>
          <w:color w:val="auto"/>
          <w:kern w:val="0"/>
          <w:sz w:val="22"/>
          <w:szCs w:val="22"/>
          <w:highlight w:val="none"/>
          <w:u w:val="single"/>
          <w:lang w:eastAsia="zh-CN"/>
        </w:rPr>
        <w:t>供应商</w:t>
      </w:r>
      <w:r>
        <w:rPr>
          <w:rFonts w:hint="eastAsia" w:ascii="新宋体" w:hAnsi="新宋体" w:eastAsia="新宋体" w:cs="新宋体"/>
          <w:b/>
          <w:bCs/>
          <w:color w:val="auto"/>
          <w:kern w:val="0"/>
          <w:sz w:val="22"/>
          <w:szCs w:val="22"/>
          <w:highlight w:val="none"/>
          <w:u w:val="single"/>
        </w:rPr>
        <w:t>的报价，有可能影响产品质量或者不能诚信履约的，将要求其在合理时间内在“政采云平台”上作出在线澄清并提供书面说明，必要时提交相关证明材料；</w:t>
      </w:r>
      <w:r>
        <w:rPr>
          <w:rFonts w:hint="eastAsia" w:ascii="新宋体" w:hAnsi="新宋体" w:eastAsia="新宋体" w:cs="新宋体"/>
          <w:b/>
          <w:bCs/>
          <w:color w:val="auto"/>
          <w:kern w:val="0"/>
          <w:sz w:val="22"/>
          <w:szCs w:val="22"/>
          <w:highlight w:val="none"/>
          <w:u w:val="single"/>
          <w:lang w:eastAsia="zh-CN"/>
        </w:rPr>
        <w:t>供应商</w:t>
      </w:r>
      <w:r>
        <w:rPr>
          <w:rFonts w:hint="eastAsia" w:ascii="新宋体" w:hAnsi="新宋体" w:eastAsia="新宋体" w:cs="新宋体"/>
          <w:b/>
          <w:bCs/>
          <w:color w:val="auto"/>
          <w:kern w:val="0"/>
          <w:sz w:val="22"/>
          <w:szCs w:val="22"/>
          <w:highlight w:val="none"/>
          <w:u w:val="single"/>
        </w:rPr>
        <w:t>不能证明其报价合理性的，</w:t>
      </w:r>
      <w:r>
        <w:rPr>
          <w:rFonts w:hint="eastAsia" w:ascii="新宋体" w:hAnsi="新宋体" w:eastAsia="新宋体" w:cs="新宋体"/>
          <w:b/>
          <w:bCs/>
          <w:color w:val="auto"/>
          <w:kern w:val="0"/>
          <w:sz w:val="22"/>
          <w:szCs w:val="22"/>
          <w:highlight w:val="none"/>
          <w:u w:val="single"/>
          <w:lang w:eastAsia="zh-CN"/>
        </w:rPr>
        <w:t>磋商小组</w:t>
      </w:r>
      <w:r>
        <w:rPr>
          <w:rFonts w:hint="eastAsia" w:ascii="新宋体" w:hAnsi="新宋体" w:eastAsia="新宋体" w:cs="新宋体"/>
          <w:b/>
          <w:bCs/>
          <w:color w:val="auto"/>
          <w:kern w:val="0"/>
          <w:sz w:val="22"/>
          <w:szCs w:val="22"/>
          <w:highlight w:val="none"/>
          <w:u w:val="single"/>
        </w:rPr>
        <w:t>应当将其作为无效投标处理</w:t>
      </w:r>
      <w:r>
        <w:rPr>
          <w:rFonts w:hint="eastAsia" w:ascii="新宋体" w:hAnsi="新宋体" w:eastAsia="新宋体" w:cs="新宋体"/>
          <w:color w:val="auto"/>
          <w:kern w:val="0"/>
          <w:sz w:val="22"/>
          <w:szCs w:val="22"/>
          <w:highlight w:val="none"/>
        </w:rPr>
        <w:t>。</w:t>
      </w:r>
    </w:p>
    <w:p w14:paraId="413C32F7">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29.▲ </w:t>
      </w:r>
      <w:r>
        <w:rPr>
          <w:rFonts w:hint="eastAsia" w:ascii="宋体" w:hAnsi="宋体" w:cs="宋体"/>
          <w:b/>
          <w:bCs/>
          <w:color w:val="auto"/>
          <w:sz w:val="22"/>
          <w:szCs w:val="22"/>
          <w:highlight w:val="none"/>
          <w:u w:val="single"/>
        </w:rPr>
        <w:t>在磋商响应文件的评审过程中，有下列情况之一的，经磋商小组认定后按无效标处理</w:t>
      </w:r>
      <w:r>
        <w:rPr>
          <w:rFonts w:hint="eastAsia" w:ascii="宋体" w:hAnsi="宋体" w:cs="宋体"/>
          <w:color w:val="auto"/>
          <w:sz w:val="22"/>
          <w:szCs w:val="22"/>
          <w:highlight w:val="none"/>
        </w:rPr>
        <w:t>：</w:t>
      </w:r>
    </w:p>
    <w:p w14:paraId="2C91B191">
      <w:pPr>
        <w:numPr>
          <w:ilvl w:val="0"/>
          <w:numId w:val="6"/>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磋商响应文件未按采购文件的要求签章的；</w:t>
      </w:r>
    </w:p>
    <w:p w14:paraId="456CB4BC">
      <w:pPr>
        <w:numPr>
          <w:ilvl w:val="0"/>
          <w:numId w:val="6"/>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授权代表没有法定代表人合法、有效委托的；</w:t>
      </w:r>
    </w:p>
    <w:p w14:paraId="6E13F742">
      <w:pPr>
        <w:numPr>
          <w:ilvl w:val="0"/>
          <w:numId w:val="6"/>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未按采购文件要求提供资格审查资料原件扫描件的；</w:t>
      </w:r>
    </w:p>
    <w:p w14:paraId="60A5F573">
      <w:pPr>
        <w:numPr>
          <w:ilvl w:val="0"/>
          <w:numId w:val="6"/>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电子磋商响应文件解密失败的，且未在规定时间内提交备份磋商响应文件的；</w:t>
      </w:r>
    </w:p>
    <w:p w14:paraId="675AA1B6">
      <w:pPr>
        <w:numPr>
          <w:ilvl w:val="0"/>
          <w:numId w:val="6"/>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磋商响应文件内容不全或关键字迹模糊无法辨认的。</w:t>
      </w:r>
    </w:p>
    <w:p w14:paraId="663F5FDB">
      <w:pPr>
        <w:numPr>
          <w:ilvl w:val="0"/>
          <w:numId w:val="6"/>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供应商递交两份或多份内容不同的磋商响应文件，或在一份磋商响应文件中对同一项目报价有两个或多个报价，且未声明哪一个有效（大小写不一致的除外）。</w:t>
      </w:r>
    </w:p>
    <w:p w14:paraId="6F580215">
      <w:pPr>
        <w:numPr>
          <w:ilvl w:val="0"/>
          <w:numId w:val="6"/>
        </w:numPr>
        <w:snapToGrid w:val="0"/>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磋商响应文件附有采购人不能接受的条件；</w:t>
      </w:r>
    </w:p>
    <w:p w14:paraId="35401AEC">
      <w:pPr>
        <w:numPr>
          <w:ilvl w:val="0"/>
          <w:numId w:val="6"/>
        </w:numPr>
        <w:snapToGrid w:val="0"/>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磋商响应文件采用总价让利或百分比让利等让利方式报价；</w:t>
      </w:r>
    </w:p>
    <w:p w14:paraId="271C5B37">
      <w:pPr>
        <w:numPr>
          <w:ilvl w:val="0"/>
          <w:numId w:val="6"/>
        </w:numPr>
        <w:snapToGrid w:val="0"/>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供应商报价超过项目预算金额或最高限价的；</w:t>
      </w:r>
    </w:p>
    <w:p w14:paraId="63BE372C">
      <w:pPr>
        <w:numPr>
          <w:ilvl w:val="0"/>
          <w:numId w:val="6"/>
        </w:numPr>
        <w:snapToGrid w:val="0"/>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磋商小组认定不符合法律、法规和采购文件中规定的其他实质性要求的。</w:t>
      </w:r>
    </w:p>
    <w:p w14:paraId="0C799143">
      <w:pPr>
        <w:pStyle w:val="14"/>
        <w:numPr>
          <w:ilvl w:val="0"/>
          <w:numId w:val="6"/>
        </w:numPr>
        <w:snapToGrid w:val="0"/>
        <w:spacing w:line="440" w:lineRule="exact"/>
        <w:ind w:firstLine="418" w:firstLineChars="190"/>
        <w:rPr>
          <w:color w:val="auto"/>
          <w:sz w:val="22"/>
          <w:szCs w:val="22"/>
          <w:highlight w:val="none"/>
        </w:rPr>
      </w:pPr>
      <w:r>
        <w:rPr>
          <w:rFonts w:hint="eastAsia"/>
          <w:color w:val="auto"/>
          <w:sz w:val="22"/>
          <w:szCs w:val="22"/>
          <w:highlight w:val="none"/>
        </w:rPr>
        <w:t>不同供应商的电子投标（响应）文件上传的IP地址、MAC地址、硬盘序列号等硬件信息相同且无法合理解释的；</w:t>
      </w:r>
    </w:p>
    <w:p w14:paraId="712CE36B">
      <w:pPr>
        <w:pStyle w:val="14"/>
        <w:numPr>
          <w:ilvl w:val="0"/>
          <w:numId w:val="6"/>
        </w:numPr>
        <w:snapToGrid w:val="0"/>
        <w:spacing w:line="440" w:lineRule="exact"/>
        <w:ind w:firstLine="418" w:firstLineChars="190"/>
        <w:rPr>
          <w:color w:val="auto"/>
          <w:sz w:val="22"/>
          <w:szCs w:val="22"/>
          <w:highlight w:val="none"/>
        </w:rPr>
      </w:pPr>
      <w:r>
        <w:rPr>
          <w:rFonts w:hint="eastAsia"/>
          <w:color w:val="auto"/>
          <w:sz w:val="22"/>
          <w:szCs w:val="22"/>
          <w:highlight w:val="none"/>
        </w:rPr>
        <w:t>不同供应商的电子投标（响应）文件上传时的手机号信息相同且无法合理解释的。</w:t>
      </w:r>
    </w:p>
    <w:p w14:paraId="5C4FFD3C">
      <w:pPr>
        <w:snapToGrid w:val="0"/>
        <w:spacing w:line="440" w:lineRule="exact"/>
        <w:rPr>
          <w:rFonts w:hint="eastAsia" w:ascii="宋体" w:hAnsi="宋体" w:cs="宋体"/>
          <w:color w:val="auto"/>
          <w:sz w:val="22"/>
          <w:szCs w:val="22"/>
          <w:highlight w:val="none"/>
        </w:rPr>
      </w:pPr>
      <w:r>
        <w:rPr>
          <w:rFonts w:hint="eastAsia" w:ascii="宋体" w:hAnsi="宋体" w:cs="宋体"/>
          <w:b/>
          <w:bCs/>
          <w:color w:val="auto"/>
          <w:kern w:val="0"/>
          <w:sz w:val="22"/>
          <w:szCs w:val="22"/>
          <w:highlight w:val="none"/>
          <w:u w:val="single"/>
        </w:rPr>
        <w:t>30.有下列情形之一的，视为供应商串通投标，其磋商响应文件无效</w:t>
      </w:r>
      <w:r>
        <w:rPr>
          <w:rFonts w:hint="eastAsia" w:ascii="宋体" w:hAnsi="宋体" w:cs="宋体"/>
          <w:color w:val="auto"/>
          <w:kern w:val="0"/>
          <w:sz w:val="22"/>
          <w:szCs w:val="22"/>
          <w:highlight w:val="none"/>
        </w:rPr>
        <w:t>：</w:t>
      </w:r>
    </w:p>
    <w:p w14:paraId="1ECD480D">
      <w:pPr>
        <w:numPr>
          <w:ilvl w:val="0"/>
          <w:numId w:val="7"/>
        </w:numPr>
        <w:snapToGrid w:val="0"/>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不同供应商的磋商响应文件由同一单位或者个人编制；</w:t>
      </w:r>
    </w:p>
    <w:p w14:paraId="1E0BF8D1">
      <w:pPr>
        <w:numPr>
          <w:ilvl w:val="0"/>
          <w:numId w:val="7"/>
        </w:numPr>
        <w:snapToGrid w:val="0"/>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不同供应商委托同一单位或者个人办理投标事宜；</w:t>
      </w:r>
    </w:p>
    <w:p w14:paraId="14BC2E8C">
      <w:pPr>
        <w:numPr>
          <w:ilvl w:val="0"/>
          <w:numId w:val="7"/>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不同供应商的磋商响应文件载明的项目管理成员或者联系人员为同一人；</w:t>
      </w:r>
    </w:p>
    <w:p w14:paraId="202A31C0">
      <w:pPr>
        <w:numPr>
          <w:ilvl w:val="0"/>
          <w:numId w:val="7"/>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不同供应商的磋商响应文件异常一致或者投标报价呈规律性差异；</w:t>
      </w:r>
    </w:p>
    <w:p w14:paraId="5F8FA6F9">
      <w:pPr>
        <w:numPr>
          <w:ilvl w:val="0"/>
          <w:numId w:val="7"/>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不同供应商的磋商响应文件相互混装</w:t>
      </w:r>
      <w:r>
        <w:rPr>
          <w:rFonts w:hint="eastAsia" w:ascii="宋体" w:hAnsi="宋体" w:cs="宋体"/>
          <w:bCs/>
          <w:color w:val="auto"/>
          <w:sz w:val="22"/>
          <w:szCs w:val="22"/>
          <w:highlight w:val="none"/>
          <w:lang w:eastAsia="zh-CN"/>
        </w:rPr>
        <w:t>。</w:t>
      </w:r>
    </w:p>
    <w:p w14:paraId="32496C84">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31.推荐成交候选供应商</w:t>
      </w:r>
    </w:p>
    <w:p w14:paraId="10A0BE4D">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31.1 本项目采购由磋商小组向采购人推荐成交候选供应商。</w:t>
      </w:r>
    </w:p>
    <w:p w14:paraId="4C8CF3A8">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31.2 磋商小组根据综合评审情况，按照评审得分由高到低顺序，推荐综合得分前两名的供应商为成交候选供应商及成交备选供应商（得分相同最终报价低的排序前位；得分且最终报价相同的，</w:t>
      </w:r>
      <w:r>
        <w:rPr>
          <w:rFonts w:hint="eastAsia" w:ascii="新宋体" w:hAnsi="新宋体" w:eastAsia="新宋体"/>
          <w:color w:val="auto"/>
          <w:sz w:val="22"/>
          <w:szCs w:val="22"/>
          <w:highlight w:val="none"/>
        </w:rPr>
        <w:t>服务执行方案</w:t>
      </w:r>
      <w:r>
        <w:rPr>
          <w:rFonts w:hint="eastAsia" w:ascii="宋体" w:hAnsi="宋体" w:cs="宋体"/>
          <w:color w:val="auto"/>
          <w:sz w:val="22"/>
          <w:szCs w:val="22"/>
          <w:highlight w:val="none"/>
        </w:rPr>
        <w:t>得分最高的供应商推荐为成交候选供应商）。</w:t>
      </w:r>
    </w:p>
    <w:p w14:paraId="57FB83C7">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32.在磋商过程中符合竞争要求的供应商或者最终报价未超过采购预算的供应商不足3家：</w:t>
      </w:r>
    </w:p>
    <w:p w14:paraId="44A30D31">
      <w:pPr>
        <w:numPr>
          <w:ilvl w:val="0"/>
          <w:numId w:val="8"/>
        </w:numPr>
        <w:spacing w:line="440" w:lineRule="exact"/>
        <w:ind w:firstLine="418" w:firstLineChars="190"/>
        <w:rPr>
          <w:rFonts w:hint="eastAsia" w:ascii="宋体" w:hAnsi="宋体" w:cs="宋体"/>
          <w:color w:val="auto"/>
          <w:sz w:val="22"/>
          <w:szCs w:val="22"/>
          <w:highlight w:val="none"/>
        </w:rPr>
      </w:pPr>
      <w:r>
        <w:rPr>
          <w:rFonts w:hint="eastAsia" w:ascii="宋体" w:hAnsi="宋体" w:cs="宋体"/>
          <w:color w:val="auto"/>
          <w:sz w:val="22"/>
          <w:szCs w:val="22"/>
          <w:highlight w:val="none"/>
        </w:rPr>
        <w:t>磋商过程中符合竞争要求的供应商或者最终报价未超过采购预算的供应商为2家，则按照《财政部关于政府采购竞争性磋商采购方式管理暂行办法有关问题的补充通知》相关规定继续评审磋商程序，按照两名供应商的综合得分排名推荐为成交候选供应商及成交备选供应商。</w:t>
      </w:r>
    </w:p>
    <w:p w14:paraId="786D2979">
      <w:pPr>
        <w:numPr>
          <w:ilvl w:val="0"/>
          <w:numId w:val="8"/>
        </w:numPr>
        <w:spacing w:line="440" w:lineRule="exact"/>
        <w:ind w:firstLine="418" w:firstLineChars="190"/>
        <w:rPr>
          <w:rFonts w:hint="eastAsia" w:ascii="宋体" w:hAnsi="宋体" w:cs="宋体"/>
          <w:color w:val="auto"/>
          <w:sz w:val="22"/>
          <w:szCs w:val="22"/>
          <w:highlight w:val="none"/>
        </w:rPr>
      </w:pPr>
      <w:r>
        <w:rPr>
          <w:rFonts w:hint="eastAsia" w:ascii="宋体" w:hAnsi="宋体" w:cs="宋体"/>
          <w:color w:val="auto"/>
          <w:sz w:val="22"/>
          <w:szCs w:val="22"/>
          <w:highlight w:val="none"/>
        </w:rPr>
        <w:t>磋商过程中符合竞争要求的供应商或者最终报价未超过采购预算的供应商仅有1家，本项目流标，应重新组织采购流程。</w:t>
      </w:r>
    </w:p>
    <w:p w14:paraId="799AD56E">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33.采购人、采购代理机构及磋商小组不向落选的供应商解释落选原因，也不公布评审磋商过程中的相关细节，不退还磋商响应文件。</w:t>
      </w:r>
    </w:p>
    <w:p w14:paraId="7AC7CBBF">
      <w:pPr>
        <w:tabs>
          <w:tab w:val="left" w:pos="1365"/>
        </w:tabs>
        <w:spacing w:line="460" w:lineRule="exact"/>
        <w:ind w:left="550" w:hanging="550" w:hangingChars="250"/>
        <w:rPr>
          <w:rFonts w:hint="eastAsia" w:ascii="宋体" w:hAnsi="宋体" w:cs="宋体"/>
          <w:bCs/>
          <w:color w:val="auto"/>
          <w:sz w:val="22"/>
          <w:szCs w:val="22"/>
          <w:highlight w:val="none"/>
        </w:rPr>
      </w:pPr>
      <w:r>
        <w:rPr>
          <w:rFonts w:hint="eastAsia" w:ascii="宋体" w:hAnsi="宋体" w:cs="宋体"/>
          <w:color w:val="auto"/>
          <w:kern w:val="0"/>
          <w:sz w:val="22"/>
          <w:szCs w:val="22"/>
          <w:highlight w:val="none"/>
        </w:rPr>
        <w:t>34. 评标细则详见“磋商原则及方法”</w:t>
      </w:r>
      <w:r>
        <w:rPr>
          <w:rFonts w:hint="eastAsia" w:ascii="宋体" w:hAnsi="宋体" w:cs="宋体"/>
          <w:bCs/>
          <w:color w:val="auto"/>
          <w:sz w:val="22"/>
          <w:szCs w:val="22"/>
          <w:highlight w:val="none"/>
        </w:rPr>
        <w:t>。</w:t>
      </w:r>
    </w:p>
    <w:p w14:paraId="6752776B">
      <w:pPr>
        <w:spacing w:line="460" w:lineRule="exact"/>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35. 可中止电子交易活动的情形</w:t>
      </w:r>
    </w:p>
    <w:p w14:paraId="3A708018">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35.1采购过程中出现以下情形，导致电子交易平台无法正常运行，或者无法保证电子交易的公平、公正和安全时，采购组织机构可中止电子交易活动：</w:t>
      </w:r>
    </w:p>
    <w:p w14:paraId="270D6FEF">
      <w:pPr>
        <w:numPr>
          <w:ilvl w:val="2"/>
          <w:numId w:val="9"/>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电子交易平台发生故障而无法登录访问的；</w:t>
      </w:r>
    </w:p>
    <w:p w14:paraId="79445597">
      <w:pPr>
        <w:numPr>
          <w:ilvl w:val="2"/>
          <w:numId w:val="9"/>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电子交易平台应用或数据库出现错误，不能进行正常操作的；</w:t>
      </w:r>
    </w:p>
    <w:p w14:paraId="7367C834">
      <w:pPr>
        <w:numPr>
          <w:ilvl w:val="2"/>
          <w:numId w:val="9"/>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电子交易平台发现严重安全漏洞，有潜在泄密危险的；</w:t>
      </w:r>
    </w:p>
    <w:p w14:paraId="10DAE688">
      <w:pPr>
        <w:numPr>
          <w:ilvl w:val="2"/>
          <w:numId w:val="9"/>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病毒发作导致不能进行正常操作的；</w:t>
      </w:r>
    </w:p>
    <w:p w14:paraId="08A48AAD">
      <w:pPr>
        <w:numPr>
          <w:ilvl w:val="2"/>
          <w:numId w:val="9"/>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其他无法保证电子交易的公平、公正和安全的情况。</w:t>
      </w:r>
    </w:p>
    <w:p w14:paraId="7A7C403A">
      <w:pPr>
        <w:spacing w:line="46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14:paraId="742EDF77">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44" w:name="_Toc30604"/>
      <w:bookmarkStart w:id="45" w:name="_Toc58832088"/>
      <w:bookmarkStart w:id="46" w:name="_Toc57626730"/>
      <w:bookmarkStart w:id="47" w:name="_Toc38618588"/>
      <w:r>
        <w:rPr>
          <w:rFonts w:hint="eastAsia" w:ascii="宋体" w:hAnsi="宋体" w:cs="宋体"/>
          <w:b/>
          <w:bCs/>
          <w:color w:val="auto"/>
          <w:sz w:val="22"/>
          <w:szCs w:val="22"/>
          <w:highlight w:val="none"/>
        </w:rPr>
        <w:t>七   定标及授予合同</w:t>
      </w:r>
      <w:bookmarkEnd w:id="44"/>
      <w:bookmarkEnd w:id="45"/>
      <w:bookmarkEnd w:id="46"/>
      <w:bookmarkEnd w:id="47"/>
    </w:p>
    <w:p w14:paraId="061A30F1">
      <w:pPr>
        <w:tabs>
          <w:tab w:val="left" w:pos="540"/>
        </w:tabs>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36. 确定成交供应商</w:t>
      </w:r>
    </w:p>
    <w:p w14:paraId="6831F5BA">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36.1采购人自收到评标报告之日起5个工作日内，在评标报告确定的成交候选供应商名单中按顺序确定成交供应商。</w:t>
      </w:r>
    </w:p>
    <w:p w14:paraId="6C1B2942">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36.2成交供应商确定之日起2个工作日内，在“政采云”平台上公示成交结果，采购结果公示期限为1个工作日。</w:t>
      </w:r>
    </w:p>
    <w:p w14:paraId="5E451F28">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36.3在公告成交结果的同时，采购人向成交供应商发出成交通知书。</w:t>
      </w:r>
    </w:p>
    <w:p w14:paraId="0478C157">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36.4各供应商对评标结果如有异议，可在成交结果公示之日起7个工作日内以书面形式向采购人</w:t>
      </w:r>
      <w:r>
        <w:rPr>
          <w:rFonts w:hint="eastAsia" w:ascii="宋体" w:hAnsi="宋体" w:cs="宋体"/>
          <w:color w:val="auto"/>
          <w:sz w:val="22"/>
          <w:szCs w:val="22"/>
          <w:highlight w:val="none"/>
          <w:lang w:val="en-US" w:eastAsia="zh-CN"/>
        </w:rPr>
        <w:t>或采购代理机构</w:t>
      </w:r>
      <w:r>
        <w:rPr>
          <w:rFonts w:hint="eastAsia" w:ascii="宋体" w:hAnsi="宋体" w:cs="宋体"/>
          <w:color w:val="auto"/>
          <w:sz w:val="22"/>
          <w:szCs w:val="22"/>
          <w:highlight w:val="none"/>
        </w:rPr>
        <w:t>进行</w:t>
      </w:r>
      <w:r>
        <w:rPr>
          <w:rFonts w:hint="eastAsia" w:ascii="宋体" w:hAnsi="宋体" w:cs="宋体"/>
          <w:color w:val="auto"/>
          <w:sz w:val="22"/>
          <w:szCs w:val="22"/>
          <w:highlight w:val="none"/>
          <w:lang w:val="en-US" w:eastAsia="zh-CN"/>
        </w:rPr>
        <w:t>实名</w:t>
      </w:r>
      <w:r>
        <w:rPr>
          <w:rFonts w:hint="eastAsia" w:ascii="宋体" w:hAnsi="宋体" w:cs="宋体"/>
          <w:color w:val="auto"/>
          <w:sz w:val="22"/>
          <w:szCs w:val="22"/>
          <w:highlight w:val="none"/>
        </w:rPr>
        <w:t>投诉或质疑，但需对投诉或质疑内容的真实性承担法律责任。</w:t>
      </w:r>
    </w:p>
    <w:p w14:paraId="397927CC">
      <w:pPr>
        <w:tabs>
          <w:tab w:val="left" w:pos="540"/>
        </w:tabs>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37. 签订合同</w:t>
      </w:r>
    </w:p>
    <w:p w14:paraId="3CBE5E4A">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37.1公示期结束后，成交供应商须在5个工作日内主动联系采购人或采购机构领取成交通知书。成交供应商应当在成交通知书发出之日起30日内与采购人签订合同。成交供应商未经采购人许可，在规定时间内未到采购人处与采购人签订合同，则视为拒签合同。</w:t>
      </w:r>
    </w:p>
    <w:p w14:paraId="337964B3">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37.2采购文件、成交供应商的磋商响应文件及投标修改文件、评标过程中有关澄清文件及经双方签字的询标纪要（承诺）和成交通知书均作为合同附件。</w:t>
      </w:r>
    </w:p>
    <w:p w14:paraId="35A49439">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37.3拒签合同的责任</w:t>
      </w:r>
    </w:p>
    <w:p w14:paraId="14B2D471">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37.4成交供应商在规定时间内（30日历天）借故否认已经承诺的条件、拒签合同，以投标违约处理，并赔偿采购人由此造成的直接经济损失；采购人重新组织采购的，所需费用由原成交供应商承担。</w:t>
      </w:r>
    </w:p>
    <w:p w14:paraId="62457EB8">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38.成交供应商有以下情况的，则采购人有权决定是否将其成交资格转交成交备选供应商或重新组织项目采购流程：</w:t>
      </w:r>
    </w:p>
    <w:p w14:paraId="66DF8A51">
      <w:pPr>
        <w:numPr>
          <w:ilvl w:val="0"/>
          <w:numId w:val="10"/>
        </w:numPr>
        <w:spacing w:line="440" w:lineRule="exact"/>
        <w:ind w:firstLine="418" w:firstLineChars="190"/>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成交供应商主动放弃成交资格；</w:t>
      </w:r>
    </w:p>
    <w:p w14:paraId="3FAD4047">
      <w:pPr>
        <w:numPr>
          <w:ilvl w:val="0"/>
          <w:numId w:val="10"/>
        </w:numPr>
        <w:spacing w:line="440" w:lineRule="exact"/>
        <w:ind w:firstLine="418" w:firstLineChars="190"/>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成交供应商因不可抗力提出不能履行合同；</w:t>
      </w:r>
    </w:p>
    <w:p w14:paraId="49ACF190">
      <w:pPr>
        <w:numPr>
          <w:ilvl w:val="0"/>
          <w:numId w:val="10"/>
        </w:numPr>
        <w:spacing w:line="440" w:lineRule="exact"/>
        <w:ind w:firstLine="418" w:firstLineChars="190"/>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成交供应商未能在规定时间内与采购人签订合同；</w:t>
      </w:r>
    </w:p>
    <w:p w14:paraId="2DEACC16">
      <w:pPr>
        <w:numPr>
          <w:ilvl w:val="0"/>
          <w:numId w:val="10"/>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zh-CN"/>
        </w:rPr>
        <w:t>经质疑，采购人审查后，成交供应商确实在本次采购活动中存在违法违规行为或其他原因使质疑成立的。</w:t>
      </w:r>
    </w:p>
    <w:p w14:paraId="5769445C">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39.未详尽事宜，遵照有关法律法规及规范性文件的规定执行。</w:t>
      </w:r>
    </w:p>
    <w:p w14:paraId="4537A8B8">
      <w:pPr>
        <w:pStyle w:val="384"/>
        <w:spacing w:line="500" w:lineRule="exact"/>
        <w:ind w:firstLine="0" w:firstLineChars="0"/>
        <w:jc w:val="center"/>
        <w:rPr>
          <w:rFonts w:hint="eastAsia" w:hAnsi="宋体" w:cs="宋体"/>
          <w:b/>
          <w:color w:val="auto"/>
          <w:sz w:val="24"/>
          <w:szCs w:val="24"/>
          <w:highlight w:val="none"/>
        </w:rPr>
      </w:pPr>
      <w:r>
        <w:rPr>
          <w:rFonts w:hint="eastAsia" w:hAnsi="宋体" w:cs="宋体"/>
          <w:b/>
          <w:color w:val="auto"/>
          <w:sz w:val="24"/>
          <w:szCs w:val="24"/>
          <w:highlight w:val="none"/>
        </w:rPr>
        <w:br w:type="page"/>
      </w:r>
      <w:r>
        <w:rPr>
          <w:rFonts w:hint="eastAsia" w:hAnsi="宋体" w:cs="宋体"/>
          <w:b/>
          <w:color w:val="auto"/>
          <w:sz w:val="24"/>
          <w:szCs w:val="24"/>
          <w:highlight w:val="none"/>
        </w:rPr>
        <w:t>政府采购活动现场确认声明书</w:t>
      </w:r>
    </w:p>
    <w:p w14:paraId="78D42589">
      <w:pPr>
        <w:pStyle w:val="384"/>
        <w:spacing w:line="500" w:lineRule="exact"/>
        <w:ind w:firstLine="442"/>
        <w:rPr>
          <w:rFonts w:hint="eastAsia" w:hAnsi="宋体" w:cs="宋体"/>
          <w:b/>
          <w:color w:val="auto"/>
          <w:sz w:val="22"/>
          <w:szCs w:val="22"/>
          <w:highlight w:val="none"/>
        </w:rPr>
      </w:pPr>
      <w:r>
        <w:rPr>
          <w:rFonts w:hint="eastAsia" w:hAnsi="宋体" w:cs="宋体"/>
          <w:b/>
          <w:bCs/>
          <w:color w:val="auto"/>
          <w:sz w:val="22"/>
          <w:szCs w:val="22"/>
          <w:highlight w:val="none"/>
        </w:rPr>
        <w:t>温州市智信招标代理有限公司</w:t>
      </w:r>
      <w:r>
        <w:rPr>
          <w:rFonts w:hint="eastAsia" w:hAnsi="宋体" w:cs="宋体"/>
          <w:b/>
          <w:color w:val="auto"/>
          <w:kern w:val="0"/>
          <w:sz w:val="22"/>
          <w:szCs w:val="22"/>
          <w:highlight w:val="none"/>
        </w:rPr>
        <w:t>：</w:t>
      </w:r>
    </w:p>
    <w:p w14:paraId="41140D32">
      <w:pPr>
        <w:pStyle w:val="384"/>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（单位）</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（姓名）</w:t>
      </w:r>
      <w:r>
        <w:rPr>
          <w:rFonts w:hint="eastAsia" w:hAnsi="宋体" w:cs="宋体"/>
          <w:color w:val="auto"/>
          <w:spacing w:val="6"/>
          <w:sz w:val="22"/>
          <w:szCs w:val="22"/>
          <w:highlight w:val="none"/>
        </w:rPr>
        <w:t>合法授权参加</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）项目（编号：</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 xml:space="preserve">）政府采购活动，经与本单位法人代表（负责人）联系确认，现就有关公平竞争事项郑重声明如下： </w:t>
      </w:r>
    </w:p>
    <w:p w14:paraId="3D7114BC">
      <w:pPr>
        <w:pStyle w:val="383"/>
        <w:widowControl/>
        <w:numPr>
          <w:ilvl w:val="0"/>
          <w:numId w:val="11"/>
        </w:numPr>
        <w:snapToGrid w:val="0"/>
        <w:spacing w:line="480" w:lineRule="exact"/>
        <w:ind w:firstLine="415" w:firstLineChars="18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本单位与采购人之间 □不存在利害关系 □存在下列利害关系：</w:t>
      </w:r>
    </w:p>
    <w:p w14:paraId="466495A0">
      <w:pPr>
        <w:pStyle w:val="384"/>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A.投资关系    B.行政隶属关系    C.业务指导关系</w:t>
      </w:r>
    </w:p>
    <w:p w14:paraId="5CDCC53C">
      <w:pPr>
        <w:pStyle w:val="384"/>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D.其他可能影响采购公正的利害关系（如有，请如实说明）</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w:t>
      </w:r>
    </w:p>
    <w:p w14:paraId="15C04197">
      <w:pPr>
        <w:pStyle w:val="383"/>
        <w:widowControl/>
        <w:numPr>
          <w:ilvl w:val="0"/>
          <w:numId w:val="11"/>
        </w:numPr>
        <w:snapToGrid w:val="0"/>
        <w:spacing w:line="480" w:lineRule="exact"/>
        <w:ind w:firstLine="415" w:firstLineChars="18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现已清楚知道参加本项目采购活动的其他所有供应商名称，本单位 □与其他所有供应商之间均不存在利害关系 □与</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（供应商名称）之间存在下列利害关系：</w:t>
      </w:r>
    </w:p>
    <w:p w14:paraId="2F754B45">
      <w:pPr>
        <w:pStyle w:val="384"/>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A.法定代表人或负责人或实际控制人是同一人</w:t>
      </w:r>
    </w:p>
    <w:p w14:paraId="73A42714">
      <w:pPr>
        <w:pStyle w:val="384"/>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B.法定代表人或负责人或实际控制人是夫妻关系</w:t>
      </w:r>
    </w:p>
    <w:p w14:paraId="513F260A">
      <w:pPr>
        <w:pStyle w:val="384"/>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C.法定代表人或负责人或实际控制人是直系血亲关系</w:t>
      </w:r>
    </w:p>
    <w:p w14:paraId="795F0409">
      <w:pPr>
        <w:pStyle w:val="384"/>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D.法定代表人或负责人或实际控制人存在三代以内旁系血亲关系</w:t>
      </w:r>
    </w:p>
    <w:p w14:paraId="707D72BE">
      <w:pPr>
        <w:pStyle w:val="384"/>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E.法定代表人或负责人或实际控制人存在近姻亲关系</w:t>
      </w:r>
    </w:p>
    <w:p w14:paraId="35B3FA4E">
      <w:pPr>
        <w:pStyle w:val="384"/>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F.法定代表人或负责人或实际控制人存在股份控制或实际控制关系</w:t>
      </w:r>
    </w:p>
    <w:p w14:paraId="34DA1F53">
      <w:pPr>
        <w:pStyle w:val="384"/>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G.存在共同直接或间接投资设立子公司、联营企业和合营企业情况</w:t>
      </w:r>
    </w:p>
    <w:p w14:paraId="1533A0D2">
      <w:pPr>
        <w:pStyle w:val="384"/>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H.存在分级代理或代销关系、同一生产制造商关系、管理关系、重要业务（占主营业务收入50%以上）或重要财务往来关系（如融资）等其他实质性控制关系</w:t>
      </w:r>
    </w:p>
    <w:p w14:paraId="56202EE8">
      <w:pPr>
        <w:pStyle w:val="384"/>
        <w:spacing w:line="480" w:lineRule="exact"/>
        <w:ind w:firstLine="440"/>
        <w:rPr>
          <w:rFonts w:hint="eastAsia" w:hAnsi="宋体" w:cs="宋体"/>
          <w:color w:val="auto"/>
          <w:spacing w:val="6"/>
          <w:sz w:val="22"/>
          <w:szCs w:val="22"/>
          <w:highlight w:val="none"/>
        </w:rPr>
      </w:pPr>
      <w:r>
        <w:rPr>
          <w:rFonts w:hint="eastAsia" w:hAnsi="宋体" w:cs="宋体"/>
          <w:color w:val="auto"/>
          <w:sz w:val="22"/>
          <w:szCs w:val="22"/>
          <w:highlight w:val="none"/>
        </w:rPr>
        <w:t>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kern w:val="0"/>
          <w:sz w:val="22"/>
          <w:szCs w:val="22"/>
          <w:highlight w:val="none"/>
        </w:rPr>
        <w:t>。</w:t>
      </w:r>
    </w:p>
    <w:p w14:paraId="3BA03805">
      <w:pPr>
        <w:pStyle w:val="383"/>
        <w:widowControl/>
        <w:numPr>
          <w:ilvl w:val="0"/>
          <w:numId w:val="12"/>
        </w:numPr>
        <w:snapToGrid w:val="0"/>
        <w:spacing w:line="480" w:lineRule="exact"/>
        <w:ind w:firstLine="415" w:firstLineChars="189"/>
        <w:rPr>
          <w:rFonts w:hint="eastAsia" w:ascii="宋体" w:hAnsi="宋体" w:cs="宋体"/>
          <w:color w:val="auto"/>
          <w:kern w:val="0"/>
          <w:sz w:val="22"/>
          <w:szCs w:val="22"/>
          <w:highlight w:val="none"/>
        </w:rPr>
      </w:pP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严格遵守政府采购法律法规和现场纪律。</w:t>
      </w:r>
    </w:p>
    <w:p w14:paraId="65BA4276">
      <w:pPr>
        <w:pStyle w:val="383"/>
        <w:widowControl/>
        <w:numPr>
          <w:ilvl w:val="0"/>
          <w:numId w:val="12"/>
        </w:numPr>
        <w:snapToGrid w:val="0"/>
        <w:spacing w:line="480" w:lineRule="exact"/>
        <w:ind w:firstLine="415" w:firstLineChars="18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我发现供应商之间存在或可能存在上述第二条第</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项利害关系。</w:t>
      </w:r>
    </w:p>
    <w:p w14:paraId="4D828882">
      <w:pPr>
        <w:pStyle w:val="384"/>
        <w:spacing w:line="500" w:lineRule="exact"/>
        <w:ind w:firstLine="440"/>
        <w:rPr>
          <w:rFonts w:hint="eastAsia" w:hAnsi="宋体" w:cs="宋体"/>
          <w:color w:val="auto"/>
          <w:sz w:val="22"/>
          <w:szCs w:val="22"/>
          <w:highlight w:val="none"/>
        </w:rPr>
      </w:pPr>
    </w:p>
    <w:p w14:paraId="29950DD5">
      <w:pPr>
        <w:pStyle w:val="384"/>
        <w:spacing w:line="500" w:lineRule="exact"/>
        <w:ind w:firstLine="440"/>
        <w:rPr>
          <w:rFonts w:hint="eastAsia" w:hAnsi="宋体" w:cs="宋体"/>
          <w:color w:val="auto"/>
          <w:sz w:val="22"/>
          <w:szCs w:val="22"/>
          <w:highlight w:val="none"/>
          <w:u w:val="single"/>
        </w:rPr>
      </w:pPr>
      <w:r>
        <w:rPr>
          <w:rFonts w:hint="eastAsia" w:hAnsi="宋体" w:cs="宋体"/>
          <w:color w:val="auto"/>
          <w:sz w:val="22"/>
          <w:szCs w:val="22"/>
          <w:highlight w:val="none"/>
        </w:rPr>
        <w:t>供应商代表签字：</w:t>
      </w:r>
    </w:p>
    <w:p w14:paraId="391F37BC">
      <w:pPr>
        <w:spacing w:line="44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p>
    <w:p w14:paraId="1A8F742B">
      <w:pPr>
        <w:spacing w:line="440" w:lineRule="exact"/>
        <w:jc w:val="right"/>
        <w:rPr>
          <w:rFonts w:hint="eastAsia" w:ascii="宋体" w:hAnsi="宋体" w:cs="宋体"/>
          <w:color w:val="auto"/>
          <w:sz w:val="22"/>
          <w:szCs w:val="22"/>
          <w:highlight w:val="none"/>
        </w:rPr>
      </w:pPr>
    </w:p>
    <w:p w14:paraId="4D28164F">
      <w:pPr>
        <w:spacing w:line="440" w:lineRule="exact"/>
        <w:jc w:val="right"/>
        <w:rPr>
          <w:rFonts w:hint="eastAsia" w:ascii="宋体" w:hAnsi="宋体" w:cs="宋体"/>
          <w:b/>
          <w:bCs/>
          <w:color w:val="auto"/>
          <w:sz w:val="22"/>
          <w:szCs w:val="22"/>
          <w:highlight w:val="none"/>
        </w:rPr>
      </w:pPr>
      <w:r>
        <w:rPr>
          <w:rFonts w:hint="eastAsia" w:ascii="宋体" w:hAnsi="宋体" w:cs="宋体"/>
          <w:color w:val="auto"/>
          <w:sz w:val="22"/>
          <w:szCs w:val="22"/>
          <w:highlight w:val="none"/>
        </w:rPr>
        <w:t xml:space="preserve"> 年  月  日</w:t>
      </w:r>
    </w:p>
    <w:p w14:paraId="2EC0B11E">
      <w:pPr>
        <w:pStyle w:val="51"/>
        <w:ind w:firstLine="1732" w:firstLineChars="784"/>
        <w:jc w:val="both"/>
        <w:rPr>
          <w:rFonts w:hint="eastAsia" w:ascii="宋体" w:hAnsi="宋体" w:cs="宋体"/>
          <w:color w:val="auto"/>
          <w:kern w:val="2"/>
          <w:sz w:val="36"/>
          <w:szCs w:val="36"/>
          <w:highlight w:val="none"/>
        </w:rPr>
      </w:pPr>
      <w:r>
        <w:rPr>
          <w:rFonts w:hint="eastAsia" w:ascii="宋体" w:hAnsi="宋体" w:cs="宋体"/>
          <w:color w:val="auto"/>
          <w:sz w:val="22"/>
          <w:szCs w:val="22"/>
          <w:highlight w:val="none"/>
        </w:rPr>
        <w:br w:type="page"/>
      </w:r>
      <w:bookmarkStart w:id="48" w:name="_Toc495955195"/>
      <w:bookmarkStart w:id="49" w:name="_Toc8508"/>
      <w:bookmarkStart w:id="50" w:name="_Toc497985017"/>
      <w:r>
        <w:rPr>
          <w:rFonts w:hint="eastAsia" w:ascii="宋体" w:hAnsi="宋体" w:cs="宋体"/>
          <w:color w:val="auto"/>
          <w:kern w:val="2"/>
          <w:sz w:val="36"/>
          <w:szCs w:val="36"/>
          <w:highlight w:val="none"/>
        </w:rPr>
        <w:t xml:space="preserve">  </w:t>
      </w:r>
      <w:bookmarkStart w:id="51" w:name="_Toc58832089"/>
      <w:bookmarkStart w:id="52" w:name="_Toc21348"/>
      <w:r>
        <w:rPr>
          <w:rFonts w:hint="eastAsia" w:ascii="宋体" w:hAnsi="宋体" w:cs="宋体"/>
          <w:color w:val="auto"/>
          <w:sz w:val="36"/>
          <w:szCs w:val="36"/>
          <w:highlight w:val="none"/>
        </w:rPr>
        <w:t xml:space="preserve">第二部分   </w:t>
      </w:r>
      <w:r>
        <w:rPr>
          <w:rFonts w:hint="eastAsia" w:ascii="宋体" w:hAnsi="宋体" w:cs="宋体"/>
          <w:color w:val="auto"/>
          <w:kern w:val="2"/>
          <w:sz w:val="36"/>
          <w:szCs w:val="36"/>
          <w:highlight w:val="none"/>
        </w:rPr>
        <w:t>政府采购政策功能相关说明</w:t>
      </w:r>
      <w:bookmarkEnd w:id="48"/>
      <w:bookmarkEnd w:id="49"/>
      <w:bookmarkEnd w:id="50"/>
      <w:bookmarkEnd w:id="51"/>
      <w:bookmarkEnd w:id="52"/>
    </w:p>
    <w:p w14:paraId="3A2CFE2A">
      <w:pPr>
        <w:jc w:val="left"/>
        <w:rPr>
          <w:rFonts w:hint="eastAsia" w:ascii="宋体" w:hAnsi="宋体" w:cs="宋体"/>
          <w:b/>
          <w:color w:val="auto"/>
          <w:sz w:val="22"/>
          <w:highlight w:val="none"/>
        </w:rPr>
      </w:pPr>
    </w:p>
    <w:p w14:paraId="7D7C36E6">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小、微企业（含监狱企业、残疾人福利性单位）扶持政策说明</w:t>
      </w:r>
    </w:p>
    <w:p w14:paraId="15058B7C">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rPr>
        <w:t>1.文件依据</w:t>
      </w:r>
    </w:p>
    <w:p w14:paraId="11CBA482">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（1）关于印发《政府采购促进中小企业发展管理办法》的通知（财库[2020]46号）及财政部关于进一步加大政府采购支持中小企业力度的通知（财库〔2022〕19号）文件。</w:t>
      </w:r>
    </w:p>
    <w:p w14:paraId="37977768">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（2）浙江省财政厅《关于开展政府采购供应商网上注册登记和诚信管理工作的通知》（浙财采监〔2010〕8号）</w:t>
      </w:r>
    </w:p>
    <w:p w14:paraId="5AD68A5E">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（3）《工业和信息化部、国家统计局、国家发展和改革委员会、财政部关于印发中小企业划型标准规定的通知》（工信部联企业[2011]300号）</w:t>
      </w:r>
    </w:p>
    <w:p w14:paraId="5ECF0E4B">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（4）财政部、司法部《关于政府采购支持监狱企业发展有关问题的通知》（财库〔2014〕68号）</w:t>
      </w:r>
    </w:p>
    <w:p w14:paraId="5467695D">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（5）《财政部 民政部 中国残疾人联合会关于促进残疾人就业政府采购政策的通知》（财库〔2017〕 141号）</w:t>
      </w:r>
    </w:p>
    <w:p w14:paraId="56ECCE38">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（6）《浙江省财政厅  浙江省经济和信息化委员会关于简化中小企业类别确认流程有关事项的通知》（浙财采监〔2018〕2号）</w:t>
      </w:r>
    </w:p>
    <w:p w14:paraId="51C03AB9">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（7）《浙江省财政厅关于进一步发挥政府采购政策功能全力推动经济稳进提质的通知》（浙财采监〔2022〕3号）</w:t>
      </w:r>
    </w:p>
    <w:p w14:paraId="21298E2C">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（8）《浙江省财政厅关于进一步加大政府采购支持中小企业力度 助力扎实稳住经济的通知》（浙财采监〔2022〕8号）</w:t>
      </w:r>
    </w:p>
    <w:p w14:paraId="5ED3240B">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rPr>
        <w:t>2.供应商提供的货物、工程或者服务符合下列情形的，享受中小企业扶持政策：</w:t>
      </w:r>
    </w:p>
    <w:p w14:paraId="34016A53">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（1）在货物采购项目中，货物由中小企业制造，即货物由中小企业生产且使用该中小企业商号或者注册商标；</w:t>
      </w:r>
    </w:p>
    <w:p w14:paraId="03EB4BFC">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（2）在工程采购项目中，工程由中小企业承建，即工程施工单位为中小企业；</w:t>
      </w:r>
    </w:p>
    <w:p w14:paraId="2504CF2D">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（3）在服务采购项目中，服务由中小企业承接，即提供服务的人员为中小企业依照《中华人民共和国劳动合同法》订立劳动合同的从业人员。</w:t>
      </w:r>
    </w:p>
    <w:p w14:paraId="5850C30C">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rPr>
        <w:t>3.小微企业（含监狱企业、残疾人福利性单位）评审扶持政策</w:t>
      </w:r>
    </w:p>
    <w:p w14:paraId="4B6AB083">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（1）本项目对小型企业和微型企业（含监狱企业、残疾人福利性单位）的投标报价给予20%的扣除，用扣除后的价格参与评审。</w:t>
      </w:r>
    </w:p>
    <w:p w14:paraId="507E7E75">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（2）在货物采购项目中，供应商提供的货物既有中小企业制造货物，也有大型企业制造货物的，不享受中小企业扶持政策。</w:t>
      </w:r>
    </w:p>
    <w:p w14:paraId="2C3575C2">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（3）以联合体形式参加政府采购活动，联合体各方均为中小企业的，联合体视同中小企业。其中，联合体各方均为小微企业的，联合体视同小微企业。</w:t>
      </w:r>
    </w:p>
    <w:p w14:paraId="48DBF0DB">
      <w:pPr>
        <w:spacing w:line="440" w:lineRule="atLeast"/>
        <w:ind w:firstLine="440" w:firstLineChars="200"/>
        <w:jc w:val="left"/>
        <w:rPr>
          <w:rFonts w:hint="eastAsia" w:ascii="宋体" w:hAnsi="宋体" w:cs="宋体"/>
          <w:color w:val="auto"/>
          <w:highlight w:val="none"/>
        </w:rPr>
      </w:pPr>
      <w:r>
        <w:rPr>
          <w:rFonts w:hint="eastAsia" w:ascii="宋体" w:hAnsi="宋体" w:cs="宋体"/>
          <w:bCs/>
          <w:color w:val="auto"/>
          <w:sz w:val="22"/>
          <w:highlight w:val="none"/>
        </w:rPr>
        <w:t>（4）对于联合体协议或者分包意向协议约定小微企业合同份额占到合同总金额30%以上的，对其投标报价给予6%的扣除，用扣除后的价格参与评审。</w:t>
      </w:r>
    </w:p>
    <w:p w14:paraId="3F7DB658">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u w:val="single"/>
        </w:rPr>
        <w:t>4.享受小微企业价格扣除应提供以下证明材料（磋商响应文件报价文件中，不提供的不享受价格扣除）</w:t>
      </w:r>
      <w:r>
        <w:rPr>
          <w:rFonts w:hint="eastAsia" w:ascii="宋体" w:hAnsi="宋体" w:cs="宋体"/>
          <w:b/>
          <w:bCs/>
          <w:color w:val="auto"/>
          <w:sz w:val="22"/>
          <w:highlight w:val="none"/>
        </w:rPr>
        <w:t>：</w:t>
      </w:r>
    </w:p>
    <w:p w14:paraId="5264E6AE">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（1）《中小企业声明函》（原件，加盖供应商公章，格式见附件1）</w:t>
      </w:r>
    </w:p>
    <w:p w14:paraId="48003F0B">
      <w:pPr>
        <w:spacing w:line="440" w:lineRule="atLeast"/>
        <w:jc w:val="left"/>
        <w:rPr>
          <w:rFonts w:hint="eastAsia" w:ascii="宋体" w:hAnsi="宋体" w:cs="宋体"/>
          <w:bCs/>
          <w:color w:val="auto"/>
          <w:sz w:val="22"/>
          <w:highlight w:val="none"/>
        </w:rPr>
      </w:pPr>
      <w:r>
        <w:rPr>
          <w:rFonts w:hint="eastAsia" w:ascii="宋体" w:hAnsi="宋体" w:cs="宋体"/>
          <w:bCs/>
          <w:color w:val="auto"/>
          <w:sz w:val="22"/>
          <w:highlight w:val="none"/>
        </w:rPr>
        <w:t>5.</w:t>
      </w:r>
      <w:r>
        <w:rPr>
          <w:rFonts w:hint="eastAsia" w:ascii="宋体" w:hAnsi="宋体" w:cs="宋体"/>
          <w:b/>
          <w:bCs/>
          <w:color w:val="auto"/>
          <w:sz w:val="22"/>
          <w:highlight w:val="none"/>
          <w:u w:val="single"/>
        </w:rPr>
        <w:t>享受监狱企业价格扣除应提供以下证明材料（磋商响应文件报价文件中，不提供的不享受价格扣除）</w:t>
      </w:r>
      <w:r>
        <w:rPr>
          <w:rFonts w:hint="eastAsia" w:ascii="宋体" w:hAnsi="宋体" w:cs="宋体"/>
          <w:bCs/>
          <w:color w:val="auto"/>
          <w:sz w:val="22"/>
          <w:highlight w:val="none"/>
        </w:rPr>
        <w:t>：</w:t>
      </w:r>
    </w:p>
    <w:p w14:paraId="34D9B065">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733147B4">
      <w:pPr>
        <w:spacing w:line="440" w:lineRule="atLeast"/>
        <w:jc w:val="left"/>
        <w:rPr>
          <w:rFonts w:hint="eastAsia" w:ascii="宋体" w:hAnsi="宋体" w:cs="宋体"/>
          <w:bCs/>
          <w:color w:val="auto"/>
          <w:sz w:val="22"/>
          <w:highlight w:val="none"/>
        </w:rPr>
      </w:pPr>
      <w:r>
        <w:rPr>
          <w:rFonts w:hint="eastAsia" w:ascii="宋体" w:hAnsi="宋体" w:cs="宋体"/>
          <w:bCs/>
          <w:color w:val="auto"/>
          <w:sz w:val="22"/>
          <w:highlight w:val="none"/>
        </w:rPr>
        <w:t>6.</w:t>
      </w:r>
      <w:r>
        <w:rPr>
          <w:rFonts w:hint="eastAsia" w:ascii="宋体" w:hAnsi="宋体" w:cs="宋体"/>
          <w:b/>
          <w:bCs/>
          <w:color w:val="auto"/>
          <w:sz w:val="22"/>
          <w:highlight w:val="none"/>
          <w:u w:val="single"/>
        </w:rPr>
        <w:t>享受残疾人福利性单位价格扣除应提供以下证明材料（磋商响应文件报价文件中，不提供的不享受价格扣除）</w:t>
      </w:r>
      <w:r>
        <w:rPr>
          <w:rFonts w:hint="eastAsia" w:ascii="宋体" w:hAnsi="宋体" w:cs="宋体"/>
          <w:bCs/>
          <w:color w:val="auto"/>
          <w:sz w:val="22"/>
          <w:highlight w:val="none"/>
        </w:rPr>
        <w:t>：</w:t>
      </w:r>
    </w:p>
    <w:p w14:paraId="291630C4">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（1）残疾人福利性单位声明函（附件2）；</w:t>
      </w:r>
    </w:p>
    <w:p w14:paraId="1A65F6D7">
      <w:pPr>
        <w:spacing w:line="440" w:lineRule="atLeast"/>
        <w:jc w:val="left"/>
        <w:rPr>
          <w:rFonts w:hint="eastAsia" w:ascii="宋体" w:hAnsi="宋体" w:cs="宋体"/>
          <w:bCs/>
          <w:color w:val="auto"/>
          <w:sz w:val="22"/>
          <w:highlight w:val="none"/>
        </w:rPr>
      </w:pPr>
      <w:r>
        <w:rPr>
          <w:rFonts w:hint="eastAsia" w:ascii="宋体" w:hAnsi="宋体" w:cs="宋体"/>
          <w:bCs/>
          <w:color w:val="auto"/>
          <w:sz w:val="22"/>
          <w:highlight w:val="none"/>
        </w:rPr>
        <w:t>7.非单一产品采购，无法核实（按磋商响应文件资料）全部货物均为小微企业（含监狱企业、残疾人福利性单位）制造；或小微企业（含监狱企业、残疾人福利性单位）提供其他制造商制造的货物且无法核实（按磋商响应文件资料）制造商是否为小微企业（含监狱企业、残疾人福利性单位）的，不享受价格扣除。</w:t>
      </w:r>
    </w:p>
    <w:p w14:paraId="34B98034">
      <w:pPr>
        <w:pStyle w:val="262"/>
        <w:spacing w:before="120"/>
        <w:rPr>
          <w:rFonts w:hint="eastAsia" w:ascii="宋体" w:hAnsi="宋体" w:cs="宋体"/>
          <w:color w:val="auto"/>
          <w:highlight w:val="none"/>
        </w:rPr>
      </w:pPr>
      <w:r>
        <w:rPr>
          <w:rFonts w:hint="eastAsia" w:ascii="宋体" w:hAnsi="宋体" w:cs="宋体"/>
          <w:b/>
          <w:color w:val="auto"/>
          <w:sz w:val="22"/>
          <w:highlight w:val="none"/>
        </w:rPr>
        <w:t>8.享受扶持政策获得政府采购合同的，小微企业不得将合同分包给大中型企业，中型企业不得将合同分包给大型企业</w:t>
      </w:r>
    </w:p>
    <w:p w14:paraId="4770119A">
      <w:pPr>
        <w:pStyle w:val="262"/>
        <w:spacing w:before="120"/>
        <w:rPr>
          <w:rFonts w:hint="eastAsia" w:ascii="宋体" w:hAnsi="宋体" w:cs="宋体"/>
          <w:color w:val="auto"/>
          <w:highlight w:val="none"/>
        </w:rPr>
      </w:pPr>
    </w:p>
    <w:p w14:paraId="79ED480C">
      <w:pPr>
        <w:pStyle w:val="262"/>
        <w:spacing w:before="120"/>
        <w:rPr>
          <w:rFonts w:hint="eastAsia" w:ascii="宋体" w:hAnsi="宋体" w:cs="宋体"/>
          <w:color w:val="auto"/>
          <w:highlight w:val="none"/>
        </w:rPr>
      </w:pPr>
    </w:p>
    <w:p w14:paraId="08D4637C">
      <w:pPr>
        <w:pStyle w:val="262"/>
        <w:spacing w:before="120"/>
        <w:rPr>
          <w:rFonts w:hint="eastAsia" w:ascii="宋体" w:hAnsi="宋体" w:cs="宋体"/>
          <w:color w:val="auto"/>
          <w:highlight w:val="none"/>
        </w:rPr>
      </w:pPr>
    </w:p>
    <w:p w14:paraId="6AC9BC7B">
      <w:pPr>
        <w:pStyle w:val="262"/>
        <w:spacing w:before="120"/>
        <w:rPr>
          <w:rFonts w:hint="eastAsia" w:ascii="宋体" w:hAnsi="宋体" w:cs="宋体"/>
          <w:color w:val="auto"/>
          <w:highlight w:val="none"/>
        </w:rPr>
      </w:pPr>
    </w:p>
    <w:p w14:paraId="74AA6C9A">
      <w:pPr>
        <w:pStyle w:val="262"/>
        <w:spacing w:before="120"/>
        <w:rPr>
          <w:rFonts w:hint="eastAsia" w:ascii="宋体" w:hAnsi="宋体" w:cs="宋体"/>
          <w:color w:val="auto"/>
          <w:highlight w:val="none"/>
        </w:rPr>
      </w:pPr>
    </w:p>
    <w:p w14:paraId="487BD7B9">
      <w:pPr>
        <w:pStyle w:val="262"/>
        <w:spacing w:before="120"/>
        <w:rPr>
          <w:rFonts w:hint="eastAsia" w:ascii="宋体" w:hAnsi="宋体" w:cs="宋体"/>
          <w:color w:val="auto"/>
          <w:highlight w:val="none"/>
        </w:rPr>
      </w:pPr>
    </w:p>
    <w:p w14:paraId="14796383">
      <w:pPr>
        <w:widowControl/>
        <w:spacing w:before="100" w:beforeAutospacing="1" w:after="100" w:afterAutospacing="1" w:line="440" w:lineRule="atLeast"/>
        <w:jc w:val="left"/>
        <w:rPr>
          <w:rFonts w:hint="eastAsia" w:ascii="宋体" w:hAnsi="宋体" w:cs="宋体"/>
          <w:b/>
          <w:color w:val="auto"/>
          <w:sz w:val="24"/>
          <w:highlight w:val="none"/>
        </w:rPr>
      </w:pPr>
      <w:r>
        <w:rPr>
          <w:rFonts w:hint="eastAsia" w:ascii="宋体" w:hAnsi="宋体" w:cs="宋体"/>
          <w:bCs/>
          <w:color w:val="auto"/>
          <w:sz w:val="22"/>
          <w:szCs w:val="22"/>
          <w:highlight w:val="none"/>
        </w:rPr>
        <w:br w:type="page"/>
      </w:r>
      <w:r>
        <w:rPr>
          <w:rFonts w:hint="eastAsia" w:ascii="宋体" w:hAnsi="宋体" w:cs="宋体"/>
          <w:b/>
          <w:color w:val="auto"/>
          <w:sz w:val="24"/>
          <w:highlight w:val="none"/>
        </w:rPr>
        <w:t>附件1：</w:t>
      </w:r>
    </w:p>
    <w:p w14:paraId="37F7866A">
      <w:pPr>
        <w:widowControl/>
        <w:spacing w:before="100" w:beforeAutospacing="1" w:after="100" w:afterAutospacing="1" w:line="440" w:lineRule="atLeast"/>
        <w:jc w:val="center"/>
        <w:rPr>
          <w:rFonts w:hint="eastAsia" w:ascii="宋体" w:hAnsi="宋体" w:cs="宋体"/>
          <w:b/>
          <w:color w:val="auto"/>
          <w:sz w:val="24"/>
          <w:highlight w:val="none"/>
        </w:rPr>
      </w:pPr>
      <w:r>
        <w:rPr>
          <w:rFonts w:hint="eastAsia" w:ascii="宋体" w:hAnsi="宋体" w:cs="宋体"/>
          <w:b/>
          <w:bCs/>
          <w:color w:val="auto"/>
          <w:sz w:val="24"/>
          <w:highlight w:val="none"/>
        </w:rPr>
        <w:t>中小企业声明函（货物）</w:t>
      </w:r>
    </w:p>
    <w:p w14:paraId="7327556B">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cs="宋体"/>
          <w:bCs/>
          <w:color w:val="auto"/>
          <w:sz w:val="22"/>
          <w:szCs w:val="22"/>
          <w:highlight w:val="none"/>
          <w:u w:val="single"/>
        </w:rPr>
        <w:t>（单位名称）</w:t>
      </w:r>
      <w:r>
        <w:rPr>
          <w:rFonts w:hint="eastAsia" w:ascii="宋体" w:hAnsi="宋体" w:cs="宋体"/>
          <w:bCs/>
          <w:color w:val="auto"/>
          <w:sz w:val="22"/>
          <w:szCs w:val="22"/>
          <w:highlight w:val="none"/>
        </w:rPr>
        <w:t xml:space="preserve"> 的</w:t>
      </w:r>
      <w:r>
        <w:rPr>
          <w:rFonts w:hint="eastAsia" w:ascii="宋体" w:hAnsi="宋体" w:cs="宋体"/>
          <w:bCs/>
          <w:color w:val="auto"/>
          <w:sz w:val="22"/>
          <w:szCs w:val="22"/>
          <w:highlight w:val="none"/>
          <w:u w:val="single"/>
        </w:rPr>
        <w:t xml:space="preserve"> （项目名称） </w:t>
      </w:r>
      <w:r>
        <w:rPr>
          <w:rFonts w:hint="eastAsia" w:ascii="宋体" w:hAnsi="宋体" w:cs="宋体"/>
          <w:bCs/>
          <w:color w:val="auto"/>
          <w:sz w:val="22"/>
          <w:szCs w:val="22"/>
          <w:highlight w:val="none"/>
        </w:rPr>
        <w:t>采购活动，提供的货物全部由符合政策要求的中小企业制造。相关企业（含联合体中的中小企业、签订分包意向协议的中小企业）的具体情况如下：</w:t>
      </w:r>
    </w:p>
    <w:p w14:paraId="6121A238">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Cs/>
          <w:color w:val="auto"/>
          <w:sz w:val="22"/>
          <w:szCs w:val="22"/>
          <w:highlight w:val="none"/>
          <w:u w:val="single"/>
        </w:rPr>
        <w:t>（标的名称）</w:t>
      </w:r>
      <w:r>
        <w:rPr>
          <w:rFonts w:hint="eastAsia" w:ascii="宋体" w:hAnsi="宋体" w:cs="宋体"/>
          <w:bCs/>
          <w:color w:val="auto"/>
          <w:sz w:val="22"/>
          <w:szCs w:val="22"/>
          <w:highlight w:val="none"/>
        </w:rPr>
        <w:t xml:space="preserve"> ，属于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；制造商为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（中型企业、小型企业、微型企业）</w:t>
      </w:r>
      <w:r>
        <w:rPr>
          <w:rFonts w:hint="eastAsia" w:ascii="宋体" w:hAnsi="宋体" w:cs="宋体"/>
          <w:bCs/>
          <w:color w:val="auto"/>
          <w:sz w:val="22"/>
          <w:szCs w:val="22"/>
          <w:highlight w:val="none"/>
        </w:rPr>
        <w:t>；</w:t>
      </w:r>
    </w:p>
    <w:p w14:paraId="4E6E8596">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Cs/>
          <w:color w:val="auto"/>
          <w:sz w:val="22"/>
          <w:szCs w:val="22"/>
          <w:highlight w:val="none"/>
          <w:u w:val="single"/>
        </w:rPr>
        <w:t xml:space="preserve">（标的名称） </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；制造商为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万元，属于 （中型企业、小型企业、微型企业） ；</w:t>
      </w:r>
    </w:p>
    <w:p w14:paraId="1DB9728B">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p>
    <w:p w14:paraId="378AC20C">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以上企业，不属于大企业的分支机构，不存在控股股东为大企业的情形，也不存在与大企业的负责人为同一人的情形。</w:t>
      </w:r>
    </w:p>
    <w:p w14:paraId="411BC358">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本企业对上述声明内容的真实性负责。如有虚假，将依法承担相应责任。</w:t>
      </w:r>
    </w:p>
    <w:p w14:paraId="0566323A">
      <w:pPr>
        <w:widowControl/>
        <w:spacing w:before="100" w:beforeAutospacing="1" w:after="100" w:afterAutospacing="1" w:line="44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企业名称（盖章）：</w:t>
      </w:r>
    </w:p>
    <w:p w14:paraId="26BAF08D">
      <w:pPr>
        <w:widowControl/>
        <w:spacing w:before="100" w:beforeAutospacing="1" w:after="100" w:afterAutospacing="1" w:line="44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 期：</w:t>
      </w:r>
    </w:p>
    <w:p w14:paraId="59153261">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688BC41C">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59D9E5B7">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6C069011">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598BC326">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rPr>
        <w:t>注1.从业人员、营业收入、资产总额填报上一年度数据，无上一年度数据的新成立企业可不填报。</w:t>
      </w:r>
    </w:p>
    <w:p w14:paraId="34E62CD0">
      <w:pPr>
        <w:widowControl/>
        <w:spacing w:before="100" w:beforeAutospacing="1" w:after="100" w:afterAutospacing="1" w:line="4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bCs/>
          <w:color w:val="auto"/>
          <w:sz w:val="24"/>
          <w:highlight w:val="none"/>
        </w:rPr>
        <w:t>中小企业声明函（工程、服务）</w:t>
      </w:r>
    </w:p>
    <w:p w14:paraId="4577F09D">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cs="宋体"/>
          <w:bCs/>
          <w:color w:val="auto"/>
          <w:sz w:val="22"/>
          <w:szCs w:val="22"/>
          <w:highlight w:val="none"/>
          <w:u w:val="single"/>
        </w:rPr>
        <w:t>（单位名称）</w:t>
      </w:r>
      <w:r>
        <w:rPr>
          <w:rFonts w:hint="eastAsia" w:ascii="宋体" w:hAnsi="宋体" w:cs="宋体"/>
          <w:bCs/>
          <w:color w:val="auto"/>
          <w:sz w:val="22"/>
          <w:szCs w:val="22"/>
          <w:highlight w:val="none"/>
        </w:rPr>
        <w:t xml:space="preserve"> 的</w:t>
      </w:r>
      <w:r>
        <w:rPr>
          <w:rFonts w:hint="eastAsia" w:ascii="宋体" w:hAnsi="宋体" w:cs="宋体"/>
          <w:bCs/>
          <w:color w:val="auto"/>
          <w:sz w:val="22"/>
          <w:szCs w:val="22"/>
          <w:highlight w:val="none"/>
          <w:u w:val="single"/>
        </w:rPr>
        <w:t xml:space="preserve"> （项目名称） </w:t>
      </w:r>
      <w:r>
        <w:rPr>
          <w:rFonts w:hint="eastAsia" w:ascii="宋体" w:hAnsi="宋体" w:cs="宋体"/>
          <w:bCs/>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BD7B749">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Cs/>
          <w:color w:val="auto"/>
          <w:sz w:val="22"/>
          <w:szCs w:val="22"/>
          <w:highlight w:val="none"/>
          <w:u w:val="single"/>
        </w:rPr>
        <w:t>（标的名称）</w:t>
      </w:r>
      <w:r>
        <w:rPr>
          <w:rFonts w:hint="eastAsia" w:ascii="宋体" w:hAnsi="宋体" w:cs="宋体"/>
          <w:bCs/>
          <w:color w:val="auto"/>
          <w:sz w:val="22"/>
          <w:szCs w:val="22"/>
          <w:highlight w:val="none"/>
        </w:rPr>
        <w:t xml:space="preserve"> ，属于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；承建（承接）企业为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（中型企业、小型企业、微型企业）</w:t>
      </w:r>
      <w:r>
        <w:rPr>
          <w:rFonts w:hint="eastAsia" w:ascii="宋体" w:hAnsi="宋体" w:cs="宋体"/>
          <w:bCs/>
          <w:color w:val="auto"/>
          <w:sz w:val="22"/>
          <w:szCs w:val="22"/>
          <w:highlight w:val="none"/>
        </w:rPr>
        <w:t>；</w:t>
      </w:r>
    </w:p>
    <w:p w14:paraId="6C42CE5E">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Cs/>
          <w:color w:val="auto"/>
          <w:sz w:val="22"/>
          <w:szCs w:val="22"/>
          <w:highlight w:val="none"/>
          <w:u w:val="single"/>
        </w:rPr>
        <w:t xml:space="preserve">（标的名称） </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；承建（承接）企业为</w:t>
      </w:r>
      <w:r>
        <w:rPr>
          <w:rFonts w:hint="eastAsia" w:ascii="宋体" w:hAnsi="宋体" w:cs="宋体"/>
          <w:bCs/>
          <w:color w:val="auto"/>
          <w:sz w:val="22"/>
          <w:szCs w:val="22"/>
          <w:highlight w:val="none"/>
          <w:u w:val="single"/>
        </w:rPr>
        <w:t xml:space="preserve">（企业名称）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万元，属于 （中型企业、小型企业、微型企业） ；</w:t>
      </w:r>
    </w:p>
    <w:p w14:paraId="05DBAFD6">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p>
    <w:p w14:paraId="29FF26E6">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以上企业，不属于大企业的分支机构，不存在控股股东为大企业的情形，也不存在与大企业的负责人为同一人的情形。</w:t>
      </w:r>
    </w:p>
    <w:p w14:paraId="2D471210">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本企业对上述声明内容的真实性负责。如有虚假，将依法承担相应责任。</w:t>
      </w:r>
    </w:p>
    <w:p w14:paraId="11B99F73">
      <w:pPr>
        <w:widowControl/>
        <w:spacing w:line="50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企业名称（盖章）：</w:t>
      </w:r>
    </w:p>
    <w:p w14:paraId="699A7F7F">
      <w:pPr>
        <w:widowControl/>
        <w:spacing w:line="50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 期：</w:t>
      </w:r>
    </w:p>
    <w:p w14:paraId="27A55B9E">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2EB3B0D6">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651499AC">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679152C6">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6744F515">
      <w:pPr>
        <w:widowControl/>
        <w:spacing w:before="100" w:beforeAutospacing="1" w:after="100" w:afterAutospacing="1" w:line="440" w:lineRule="atLeast"/>
        <w:jc w:val="left"/>
        <w:rPr>
          <w:rFonts w:hint="eastAsia" w:ascii="宋体" w:hAnsi="宋体" w:cs="宋体"/>
          <w:b/>
          <w:color w:val="auto"/>
          <w:sz w:val="24"/>
          <w:highlight w:val="none"/>
        </w:rPr>
      </w:pPr>
      <w:r>
        <w:rPr>
          <w:rFonts w:hint="eastAsia" w:ascii="宋体" w:hAnsi="宋体" w:cs="宋体"/>
          <w:bCs/>
          <w:color w:val="auto"/>
          <w:sz w:val="18"/>
          <w:szCs w:val="18"/>
          <w:highlight w:val="none"/>
        </w:rPr>
        <w:t>注1.从业人员、营业收入、资产总额填报上一年度数据，无上一年度数据的新成立企业可不填报。</w:t>
      </w:r>
    </w:p>
    <w:p w14:paraId="2F230D9B">
      <w:pPr>
        <w:widowControl/>
        <w:spacing w:before="100" w:beforeAutospacing="1" w:after="100" w:afterAutospacing="1" w:line="440" w:lineRule="atLeast"/>
        <w:jc w:val="left"/>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附件2</w:t>
      </w:r>
    </w:p>
    <w:p w14:paraId="35FAB64F">
      <w:pPr>
        <w:widowControl/>
        <w:spacing w:before="100" w:beforeAutospacing="1" w:after="100" w:afterAutospacing="1" w:line="440" w:lineRule="atLeast"/>
        <w:jc w:val="center"/>
        <w:rPr>
          <w:rFonts w:hint="eastAsia" w:ascii="宋体" w:hAnsi="宋体" w:cs="宋体"/>
          <w:b/>
          <w:bCs/>
          <w:color w:val="auto"/>
          <w:sz w:val="24"/>
          <w:highlight w:val="none"/>
        </w:rPr>
      </w:pPr>
      <w:bookmarkStart w:id="53" w:name="OLE_LINK14"/>
      <w:bookmarkStart w:id="54" w:name="OLE_LINK13"/>
      <w:r>
        <w:rPr>
          <w:rFonts w:hint="eastAsia" w:ascii="宋体" w:hAnsi="宋体" w:cs="宋体"/>
          <w:b/>
          <w:bCs/>
          <w:color w:val="auto"/>
          <w:sz w:val="24"/>
          <w:highlight w:val="none"/>
        </w:rPr>
        <w:t>残疾人福利性单位声明函</w:t>
      </w:r>
      <w:bookmarkEnd w:id="53"/>
      <w:bookmarkEnd w:id="54"/>
    </w:p>
    <w:p w14:paraId="7C5C1F1F">
      <w:pPr>
        <w:spacing w:line="588" w:lineRule="exact"/>
        <w:rPr>
          <w:rFonts w:hint="eastAsia" w:ascii="宋体" w:hAnsi="宋体" w:cs="宋体"/>
          <w:b/>
          <w:color w:val="auto"/>
          <w:spacing w:val="6"/>
          <w:sz w:val="30"/>
          <w:szCs w:val="30"/>
          <w:highlight w:val="none"/>
        </w:rPr>
      </w:pPr>
    </w:p>
    <w:p w14:paraId="68A64836">
      <w:pPr>
        <w:spacing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color w:val="auto"/>
          <w:sz w:val="22"/>
          <w:szCs w:val="22"/>
          <w:highlight w:val="none"/>
        </w:rPr>
        <w:t>〔2017〕 141</w:t>
      </w:r>
      <w:r>
        <w:rPr>
          <w:rFonts w:hint="eastAsia" w:ascii="宋体" w:hAnsi="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DC8C7E">
      <w:pPr>
        <w:spacing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7C9CEC28">
      <w:pPr>
        <w:spacing w:line="588" w:lineRule="exact"/>
        <w:ind w:firstLine="464" w:firstLineChars="200"/>
        <w:rPr>
          <w:rFonts w:hint="eastAsia" w:ascii="宋体" w:hAnsi="宋体" w:cs="宋体"/>
          <w:color w:val="auto"/>
          <w:spacing w:val="6"/>
          <w:sz w:val="22"/>
          <w:szCs w:val="22"/>
          <w:highlight w:val="none"/>
        </w:rPr>
      </w:pPr>
    </w:p>
    <w:p w14:paraId="19C4B853">
      <w:pPr>
        <w:tabs>
          <w:tab w:val="left" w:pos="4860"/>
        </w:tabs>
        <w:spacing w:line="588" w:lineRule="exact"/>
        <w:ind w:right="1560" w:firstLine="464" w:firstLineChars="200"/>
        <w:rPr>
          <w:rFonts w:hint="eastAsia" w:ascii="宋体" w:hAnsi="宋体" w:cs="宋体"/>
          <w:color w:val="auto"/>
          <w:spacing w:val="6"/>
          <w:sz w:val="22"/>
          <w:szCs w:val="22"/>
          <w:highlight w:val="none"/>
        </w:rPr>
      </w:pPr>
    </w:p>
    <w:p w14:paraId="687C59C6">
      <w:pPr>
        <w:tabs>
          <w:tab w:val="left" w:pos="4860"/>
        </w:tabs>
        <w:spacing w:line="588" w:lineRule="exact"/>
        <w:ind w:right="1560"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供应商全称（盖章）：</w:t>
      </w:r>
    </w:p>
    <w:p w14:paraId="6DFECDD4">
      <w:pPr>
        <w:tabs>
          <w:tab w:val="left" w:pos="4860"/>
        </w:tabs>
        <w:spacing w:line="588" w:lineRule="exact"/>
        <w:ind w:right="1560"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日  期：</w:t>
      </w:r>
    </w:p>
    <w:p w14:paraId="1D6EC738">
      <w:pPr>
        <w:tabs>
          <w:tab w:val="left" w:pos="4860"/>
        </w:tabs>
        <w:spacing w:line="588" w:lineRule="exact"/>
        <w:ind w:right="1560" w:firstLine="464" w:firstLineChars="200"/>
        <w:jc w:val="center"/>
        <w:rPr>
          <w:rFonts w:hint="eastAsia" w:ascii="宋体" w:hAnsi="宋体" w:cs="宋体"/>
          <w:color w:val="auto"/>
          <w:spacing w:val="6"/>
          <w:sz w:val="22"/>
          <w:szCs w:val="22"/>
          <w:highlight w:val="none"/>
        </w:rPr>
      </w:pPr>
    </w:p>
    <w:p w14:paraId="6D23F33E">
      <w:pPr>
        <w:tabs>
          <w:tab w:val="left" w:pos="4860"/>
        </w:tabs>
        <w:spacing w:line="588" w:lineRule="exact"/>
        <w:ind w:right="1560" w:firstLine="464" w:firstLineChars="200"/>
        <w:jc w:val="center"/>
        <w:rPr>
          <w:rFonts w:hint="eastAsia" w:ascii="宋体" w:hAnsi="宋体" w:cs="宋体"/>
          <w:color w:val="auto"/>
          <w:spacing w:val="6"/>
          <w:sz w:val="22"/>
          <w:szCs w:val="22"/>
          <w:highlight w:val="none"/>
        </w:rPr>
      </w:pPr>
    </w:p>
    <w:p w14:paraId="150E0B24">
      <w:pPr>
        <w:tabs>
          <w:tab w:val="left" w:pos="4860"/>
        </w:tabs>
        <w:spacing w:line="588" w:lineRule="exact"/>
        <w:ind w:right="156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备注说明：</w:t>
      </w:r>
    </w:p>
    <w:p w14:paraId="05054708">
      <w:pPr>
        <w:numPr>
          <w:ilvl w:val="2"/>
          <w:numId w:val="13"/>
        </w:numPr>
        <w:tabs>
          <w:tab w:val="left" w:pos="0"/>
        </w:tabs>
        <w:spacing w:line="588" w:lineRule="exact"/>
        <w:ind w:left="0" w:right="114" w:firstLine="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如中标，将在中标公示中将此残疾人福利性单位声明函予以公示，接受社会监督。</w:t>
      </w:r>
    </w:p>
    <w:p w14:paraId="3DCBB5FF">
      <w:pPr>
        <w:numPr>
          <w:ilvl w:val="2"/>
          <w:numId w:val="13"/>
        </w:numPr>
        <w:tabs>
          <w:tab w:val="left" w:pos="0"/>
        </w:tabs>
        <w:spacing w:line="588" w:lineRule="exact"/>
        <w:ind w:left="0" w:right="114" w:firstLine="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供应商提供的《残疾人福利性单位声明函》与事实不符的，依照《政府采购法》第七十七条第一款的规定追究法律责任。</w:t>
      </w:r>
    </w:p>
    <w:p w14:paraId="171B2BA3">
      <w:pPr>
        <w:tabs>
          <w:tab w:val="left" w:pos="4860"/>
        </w:tabs>
        <w:spacing w:line="588" w:lineRule="exact"/>
        <w:ind w:right="1560"/>
        <w:jc w:val="left"/>
        <w:rPr>
          <w:rFonts w:hint="eastAsia" w:ascii="宋体" w:hAnsi="宋体" w:cs="宋体"/>
          <w:color w:val="auto"/>
          <w:sz w:val="22"/>
          <w:szCs w:val="22"/>
          <w:highlight w:val="none"/>
        </w:rPr>
      </w:pPr>
    </w:p>
    <w:p w14:paraId="4B33E667">
      <w:pPr>
        <w:pStyle w:val="51"/>
        <w:rPr>
          <w:rFonts w:hint="eastAsia" w:ascii="宋体" w:hAnsi="宋体" w:cs="宋体"/>
          <w:color w:val="auto"/>
          <w:sz w:val="22"/>
          <w:szCs w:val="22"/>
          <w:highlight w:val="none"/>
        </w:rPr>
      </w:pPr>
    </w:p>
    <w:p w14:paraId="07BDA2C7">
      <w:pPr>
        <w:spacing w:line="440" w:lineRule="exact"/>
        <w:rPr>
          <w:rFonts w:hint="eastAsia" w:ascii="宋体" w:hAnsi="宋体" w:cs="宋体"/>
          <w:b/>
          <w:bCs/>
          <w:color w:val="auto"/>
          <w:sz w:val="22"/>
          <w:szCs w:val="22"/>
          <w:highlight w:val="none"/>
        </w:rPr>
      </w:pPr>
    </w:p>
    <w:p w14:paraId="10279592">
      <w:pPr>
        <w:spacing w:line="440" w:lineRule="atLeast"/>
        <w:rPr>
          <w:rFonts w:hint="eastAsia" w:ascii="宋体" w:hAnsi="宋体" w:cs="宋体"/>
          <w:b/>
          <w:color w:val="auto"/>
          <w:sz w:val="24"/>
          <w:highlight w:val="none"/>
        </w:rPr>
      </w:pPr>
    </w:p>
    <w:p w14:paraId="4F664E69">
      <w:pPr>
        <w:pStyle w:val="3"/>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55" w:name="_Toc58832090"/>
      <w:r>
        <w:rPr>
          <w:rFonts w:hint="eastAsia" w:ascii="宋体" w:hAnsi="宋体" w:eastAsia="宋体" w:cs="宋体"/>
          <w:color w:val="auto"/>
          <w:sz w:val="36"/>
          <w:szCs w:val="36"/>
          <w:highlight w:val="none"/>
        </w:rPr>
        <w:t>第三部分   合同条款及格式</w:t>
      </w:r>
      <w:bookmarkEnd w:id="55"/>
    </w:p>
    <w:p w14:paraId="409E837D">
      <w:pPr>
        <w:rPr>
          <w:rFonts w:hint="eastAsia" w:ascii="宋体" w:hAnsi="宋体" w:cs="宋体"/>
          <w:color w:val="auto"/>
          <w:highlight w:val="none"/>
        </w:rPr>
      </w:pPr>
    </w:p>
    <w:p w14:paraId="095953B1">
      <w:pPr>
        <w:spacing w:line="400" w:lineRule="exact"/>
        <w:ind w:firstLine="440" w:firstLineChars="200"/>
        <w:rPr>
          <w:rFonts w:hint="eastAsia" w:ascii="新宋体" w:hAnsi="新宋体" w:eastAsia="新宋体" w:cs="新宋体"/>
          <w:color w:val="auto"/>
          <w:sz w:val="22"/>
          <w:szCs w:val="22"/>
          <w:highlight w:val="none"/>
        </w:rPr>
      </w:pPr>
      <w:bookmarkStart w:id="56" w:name="_Toc265529387"/>
      <w:bookmarkStart w:id="57" w:name="_Toc222114883"/>
      <w:bookmarkStart w:id="58" w:name="_Toc221356955"/>
      <w:bookmarkStart w:id="59" w:name="_Toc221374630"/>
      <w:bookmarkStart w:id="60" w:name="_Toc152045610"/>
      <w:bookmarkStart w:id="61" w:name="_Toc152042388"/>
      <w:bookmarkStart w:id="62" w:name="_Toc221423623"/>
      <w:bookmarkStart w:id="63" w:name="_Toc246996996"/>
      <w:bookmarkStart w:id="64" w:name="_Toc239145358"/>
      <w:bookmarkStart w:id="65" w:name="_Toc247085768"/>
      <w:bookmarkStart w:id="66" w:name="_Toc296602498"/>
      <w:bookmarkStart w:id="67" w:name="_Toc246996253"/>
      <w:bookmarkStart w:id="68" w:name="_Toc144974578"/>
      <w:bookmarkStart w:id="69" w:name="_Toc223716002"/>
      <w:bookmarkStart w:id="70" w:name="_Toc221356891"/>
      <w:bookmarkStart w:id="71" w:name="_Toc179632628"/>
      <w:bookmarkStart w:id="72" w:name="_Toc241404206"/>
      <w:r>
        <w:rPr>
          <w:rFonts w:hint="eastAsia" w:ascii="新宋体" w:hAnsi="新宋体" w:eastAsia="新宋体" w:cs="新宋体"/>
          <w:color w:val="auto"/>
          <w:sz w:val="22"/>
          <w:szCs w:val="22"/>
          <w:highlight w:val="none"/>
        </w:rPr>
        <w:t>说明：</w:t>
      </w:r>
      <w:r>
        <w:rPr>
          <w:rFonts w:hint="eastAsia" w:ascii="宋体" w:hAnsi="宋体" w:cs="宋体"/>
          <w:color w:val="auto"/>
          <w:kern w:val="0"/>
          <w:sz w:val="22"/>
          <w:szCs w:val="22"/>
          <w:highlight w:val="none"/>
          <w:lang w:val="zh-CN"/>
        </w:rPr>
        <w:t>本合同作为示范文本，</w:t>
      </w:r>
      <w:r>
        <w:rPr>
          <w:rFonts w:hint="eastAsia" w:ascii="新宋体" w:hAnsi="新宋体" w:eastAsia="新宋体" w:cs="新宋体"/>
          <w:color w:val="auto"/>
          <w:sz w:val="22"/>
          <w:szCs w:val="22"/>
          <w:highlight w:val="none"/>
        </w:rPr>
        <w:t>如甲、乙双方同意，合同格式也可以按照其他形式，但合同主要条款的相关内容应与本章节要求的内容相符，</w:t>
      </w:r>
      <w:r>
        <w:rPr>
          <w:rFonts w:hint="eastAsia" w:ascii="宋体" w:hAnsi="宋体" w:cs="宋体"/>
          <w:color w:val="auto"/>
          <w:kern w:val="0"/>
          <w:sz w:val="22"/>
          <w:szCs w:val="22"/>
          <w:highlight w:val="none"/>
          <w:lang w:val="zh-CN"/>
        </w:rPr>
        <w:t>具体以成交人与采购人所签定正式合同为准</w:t>
      </w:r>
    </w:p>
    <w:p w14:paraId="755A56B5">
      <w:pPr>
        <w:overflowPunct w:val="0"/>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              </w:t>
      </w:r>
    </w:p>
    <w:p w14:paraId="13B4EF28">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sz w:val="22"/>
          <w:szCs w:val="22"/>
          <w:lang w:eastAsia="zh-CN"/>
        </w:rPr>
      </w:pPr>
      <w:r>
        <w:rPr>
          <w:rFonts w:hint="eastAsia" w:ascii="宋体" w:hAnsi="宋体" w:eastAsia="宋体" w:cs="宋体"/>
          <w:b/>
          <w:bCs/>
          <w:sz w:val="22"/>
          <w:szCs w:val="22"/>
        </w:rPr>
        <w:t>甲方：</w:t>
      </w:r>
      <w:r>
        <w:rPr>
          <w:rFonts w:hint="eastAsia" w:ascii="宋体" w:hAnsi="宋体" w:eastAsia="宋体" w:cs="宋体"/>
          <w:b/>
          <w:bCs/>
          <w:sz w:val="22"/>
          <w:szCs w:val="22"/>
          <w:lang w:eastAsia="zh-CN"/>
        </w:rPr>
        <w:t>温州市鹿城区政务服务中心</w:t>
      </w:r>
    </w:p>
    <w:p w14:paraId="12F9318E">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乙方：</w:t>
      </w:r>
    </w:p>
    <w:p w14:paraId="0869308F">
      <w:pPr>
        <w:keepNext w:val="0"/>
        <w:keepLines w:val="0"/>
        <w:pageBreakBefore w:val="0"/>
        <w:widowControl w:val="0"/>
        <w:kinsoku/>
        <w:wordWrap/>
        <w:overflowPunct/>
        <w:topLinePunct w:val="0"/>
        <w:bidi w:val="0"/>
        <w:snapToGrid/>
        <w:spacing w:before="156" w:beforeLines="50"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u w:val="single"/>
          <w:lang w:eastAsia="zh-CN"/>
        </w:rPr>
        <w:t>鹿城区政务服务中心安保服务采购项目</w:t>
      </w:r>
      <w:r>
        <w:rPr>
          <w:rFonts w:hint="eastAsia" w:ascii="宋体" w:hAnsi="宋体" w:eastAsia="宋体" w:cs="宋体"/>
          <w:sz w:val="22"/>
          <w:szCs w:val="22"/>
          <w:u w:val="single"/>
        </w:rPr>
        <w:t>（项目编号：</w:t>
      </w:r>
      <w:r>
        <w:rPr>
          <w:rFonts w:hint="eastAsia" w:ascii="宋体" w:hAnsi="宋体" w:eastAsia="宋体" w:cs="宋体"/>
          <w:sz w:val="22"/>
          <w:szCs w:val="22"/>
          <w:u w:val="single"/>
          <w:lang w:eastAsia="zh-CN"/>
        </w:rPr>
        <w:t>ZXZB-F20250117-AB</w:t>
      </w:r>
      <w:r>
        <w:rPr>
          <w:rFonts w:hint="eastAsia" w:ascii="宋体" w:hAnsi="宋体" w:eastAsia="宋体" w:cs="宋体"/>
          <w:sz w:val="22"/>
          <w:szCs w:val="22"/>
          <w:u w:val="single"/>
        </w:rPr>
        <w:t>）</w:t>
      </w:r>
      <w:r>
        <w:rPr>
          <w:rFonts w:hint="eastAsia" w:ascii="宋体" w:hAnsi="宋体" w:eastAsia="宋体" w:cs="宋体"/>
          <w:sz w:val="22"/>
          <w:szCs w:val="22"/>
        </w:rPr>
        <w:t>于202</w:t>
      </w:r>
      <w:r>
        <w:rPr>
          <w:rFonts w:hint="eastAsia" w:ascii="宋体" w:hAnsi="宋体" w:eastAsia="宋体" w:cs="宋体"/>
          <w:sz w:val="22"/>
          <w:szCs w:val="22"/>
          <w:lang w:val="en-US" w:eastAsia="zh-CN"/>
        </w:rPr>
        <w:t>5</w:t>
      </w:r>
      <w:r>
        <w:rPr>
          <w:rFonts w:hint="eastAsia" w:ascii="宋体" w:hAnsi="宋体" w:eastAsia="宋体" w:cs="宋体"/>
          <w:sz w:val="22"/>
          <w:szCs w:val="22"/>
        </w:rPr>
        <w:t>年</w:t>
      </w:r>
      <w:r>
        <w:rPr>
          <w:rFonts w:hint="eastAsia" w:ascii="宋体" w:hAnsi="宋体" w:eastAsia="宋体" w:cs="宋体"/>
          <w:sz w:val="22"/>
          <w:szCs w:val="22"/>
          <w:lang w:val="en-US" w:eastAsia="zh-CN"/>
        </w:rPr>
        <w:t>XX</w:t>
      </w:r>
      <w:r>
        <w:rPr>
          <w:rFonts w:hint="eastAsia" w:ascii="宋体" w:hAnsi="宋体" w:eastAsia="宋体" w:cs="宋体"/>
          <w:sz w:val="22"/>
          <w:szCs w:val="22"/>
        </w:rPr>
        <w:t>月</w:t>
      </w:r>
      <w:r>
        <w:rPr>
          <w:rFonts w:hint="eastAsia" w:ascii="宋体" w:hAnsi="宋体" w:eastAsia="宋体" w:cs="宋体"/>
          <w:sz w:val="22"/>
          <w:szCs w:val="22"/>
          <w:lang w:val="en-US" w:eastAsia="zh-CN"/>
        </w:rPr>
        <w:t>XX</w:t>
      </w:r>
      <w:r>
        <w:rPr>
          <w:rFonts w:hint="eastAsia" w:ascii="宋体" w:hAnsi="宋体" w:eastAsia="宋体" w:cs="宋体"/>
          <w:sz w:val="22"/>
          <w:szCs w:val="22"/>
        </w:rPr>
        <w:t>日经</w:t>
      </w:r>
      <w:r>
        <w:rPr>
          <w:rFonts w:hint="eastAsia" w:ascii="宋体" w:hAnsi="宋体" w:eastAsia="宋体" w:cs="宋体"/>
          <w:sz w:val="22"/>
          <w:szCs w:val="22"/>
          <w:lang w:val="en-US" w:eastAsia="zh-CN"/>
        </w:rPr>
        <w:t>竞争性磋商</w:t>
      </w:r>
      <w:r>
        <w:rPr>
          <w:rFonts w:hint="eastAsia" w:ascii="宋体" w:hAnsi="宋体" w:eastAsia="宋体" w:cs="宋体"/>
          <w:sz w:val="22"/>
          <w:szCs w:val="22"/>
        </w:rPr>
        <w:t>，由</w:t>
      </w:r>
      <w:r>
        <w:rPr>
          <w:rFonts w:hint="eastAsia" w:ascii="宋体" w:hAnsi="宋体" w:eastAsia="宋体" w:cs="宋体"/>
          <w:sz w:val="22"/>
          <w:szCs w:val="22"/>
          <w:lang w:val="en-US" w:eastAsia="zh-CN"/>
        </w:rPr>
        <w:t>XX</w:t>
      </w:r>
      <w:r>
        <w:rPr>
          <w:rFonts w:hint="eastAsia" w:ascii="宋体" w:hAnsi="宋体" w:eastAsia="宋体" w:cs="宋体"/>
          <w:sz w:val="22"/>
          <w:szCs w:val="22"/>
        </w:rPr>
        <w:t>中标。甲、乙双方根据</w:t>
      </w:r>
      <w:r>
        <w:rPr>
          <w:rFonts w:hint="eastAsia" w:ascii="宋体" w:hAnsi="宋体" w:eastAsia="宋体" w:cs="宋体"/>
          <w:sz w:val="22"/>
          <w:szCs w:val="22"/>
          <w:lang w:val="en-US" w:eastAsia="zh-CN"/>
        </w:rPr>
        <w:t>采购文件及</w:t>
      </w:r>
      <w:r>
        <w:rPr>
          <w:rFonts w:hint="eastAsia" w:ascii="宋体" w:hAnsi="宋体" w:eastAsia="宋体" w:cs="宋体"/>
          <w:sz w:val="22"/>
          <w:szCs w:val="22"/>
        </w:rPr>
        <w:t>有关法律规定，本着友好合作、协商一致的原则，就乙方服务甲方</w:t>
      </w:r>
      <w:r>
        <w:rPr>
          <w:rFonts w:hint="eastAsia" w:ascii="宋体" w:hAnsi="宋体" w:eastAsia="宋体" w:cs="宋体"/>
          <w:sz w:val="22"/>
          <w:szCs w:val="22"/>
          <w:lang w:eastAsia="zh-CN"/>
        </w:rPr>
        <w:t>鹿城区政务服务中心安保服务采购项目</w:t>
      </w:r>
      <w:r>
        <w:rPr>
          <w:rFonts w:hint="eastAsia" w:ascii="宋体" w:hAnsi="宋体" w:eastAsia="宋体" w:cs="宋体"/>
          <w:sz w:val="22"/>
          <w:szCs w:val="22"/>
        </w:rPr>
        <w:t>的有关事宜达成协议如下：</w:t>
      </w:r>
    </w:p>
    <w:p w14:paraId="727F11A5">
      <w:pPr>
        <w:pStyle w:val="21"/>
        <w:keepNext w:val="0"/>
        <w:keepLines w:val="0"/>
        <w:pageBreakBefore w:val="0"/>
        <w:widowControl w:val="0"/>
        <w:numPr>
          <w:ilvl w:val="0"/>
          <w:numId w:val="14"/>
        </w:numPr>
        <w:kinsoku/>
        <w:wordWrap/>
        <w:overflowPunct/>
        <w:topLinePunct w:val="0"/>
        <w:bidi w:val="0"/>
        <w:snapToGrid/>
        <w:spacing w:after="0" w:line="360" w:lineRule="auto"/>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rPr>
        <w:t>服务期限:</w:t>
      </w:r>
      <w:r>
        <w:rPr>
          <w:rFonts w:hint="eastAsia" w:ascii="宋体" w:hAnsi="宋体" w:eastAsia="宋体" w:cs="宋体"/>
          <w:b/>
          <w:bCs/>
          <w:sz w:val="22"/>
          <w:szCs w:val="22"/>
          <w:lang w:val="en-US" w:eastAsia="zh-CN"/>
        </w:rPr>
        <w:t xml:space="preserve"> </w:t>
      </w:r>
      <w:r>
        <w:rPr>
          <w:rFonts w:hint="eastAsia" w:ascii="宋体" w:hAnsi="宋体" w:eastAsia="宋体" w:cs="宋体"/>
          <w:b w:val="0"/>
          <w:bCs w:val="0"/>
          <w:sz w:val="22"/>
          <w:szCs w:val="22"/>
          <w:lang w:val="en-US" w:eastAsia="zh-CN"/>
        </w:rPr>
        <w:t>本次合同服务期限为9个月，自2025年  月  日起至202 年    月  日止。</w:t>
      </w:r>
    </w:p>
    <w:p w14:paraId="72006C06">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第二条 服务地点：</w:t>
      </w:r>
      <w:r>
        <w:rPr>
          <w:rFonts w:hint="eastAsia" w:ascii="宋体" w:hAnsi="宋体" w:eastAsia="宋体" w:cs="宋体"/>
          <w:sz w:val="22"/>
          <w:szCs w:val="22"/>
          <w:u w:val="single"/>
          <w:lang w:eastAsia="zh-CN"/>
        </w:rPr>
        <w:t>鹿城区政务服务中心（</w:t>
      </w:r>
      <w:r>
        <w:rPr>
          <w:rFonts w:hint="eastAsia" w:ascii="宋体" w:hAnsi="宋体" w:eastAsia="宋体" w:cs="宋体"/>
          <w:sz w:val="22"/>
          <w:szCs w:val="22"/>
          <w:u w:val="single"/>
          <w:lang w:val="en-US" w:eastAsia="zh-CN"/>
        </w:rPr>
        <w:t>鹿城区宽带路18号</w:t>
      </w:r>
      <w:r>
        <w:rPr>
          <w:rFonts w:hint="eastAsia" w:ascii="宋体" w:hAnsi="宋体" w:eastAsia="宋体" w:cs="宋体"/>
          <w:sz w:val="22"/>
          <w:szCs w:val="22"/>
          <w:u w:val="single"/>
          <w:lang w:eastAsia="zh-CN"/>
        </w:rPr>
        <w:t>）</w:t>
      </w:r>
    </w:p>
    <w:p w14:paraId="76A566C2">
      <w:pPr>
        <w:keepNext w:val="0"/>
        <w:keepLines w:val="0"/>
        <w:pageBreakBefore w:val="0"/>
        <w:widowControl w:val="0"/>
        <w:tabs>
          <w:tab w:val="left" w:pos="720"/>
          <w:tab w:val="left" w:pos="960"/>
        </w:tabs>
        <w:kinsoku/>
        <w:wordWrap/>
        <w:overflowPunct/>
        <w:topLinePunct w:val="0"/>
        <w:bidi w:val="0"/>
        <w:snapToGrid/>
        <w:spacing w:line="360" w:lineRule="auto"/>
        <w:textAlignment w:val="auto"/>
        <w:rPr>
          <w:rFonts w:hint="eastAsia" w:ascii="宋体" w:hAnsi="宋体" w:eastAsia="宋体" w:cs="宋体"/>
          <w:b/>
          <w:sz w:val="22"/>
          <w:szCs w:val="22"/>
        </w:rPr>
      </w:pPr>
      <w:r>
        <w:rPr>
          <w:rFonts w:hint="eastAsia" w:ascii="宋体" w:hAnsi="宋体" w:eastAsia="宋体" w:cs="宋体"/>
          <w:b/>
          <w:bCs/>
          <w:sz w:val="22"/>
          <w:szCs w:val="22"/>
        </w:rPr>
        <w:t xml:space="preserve">第三条 </w:t>
      </w:r>
      <w:r>
        <w:rPr>
          <w:rFonts w:hint="eastAsia" w:ascii="宋体" w:hAnsi="宋体" w:eastAsia="宋体" w:cs="宋体"/>
          <w:b/>
          <w:sz w:val="22"/>
          <w:szCs w:val="22"/>
        </w:rPr>
        <w:t>服务人数及年服务费：</w:t>
      </w:r>
    </w:p>
    <w:p w14:paraId="6AEEDDA7">
      <w:pPr>
        <w:keepNext w:val="0"/>
        <w:keepLines w:val="0"/>
        <w:pageBreakBefore w:val="0"/>
        <w:widowControl w:val="0"/>
        <w:tabs>
          <w:tab w:val="left" w:pos="720"/>
        </w:tabs>
        <w:kinsoku/>
        <w:wordWrap/>
        <w:overflowPunct/>
        <w:topLinePunct w:val="0"/>
        <w:bidi w:val="0"/>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保安服务人数为</w:t>
      </w:r>
      <w:r>
        <w:rPr>
          <w:rFonts w:hint="eastAsia" w:ascii="宋体" w:hAnsi="宋体" w:eastAsia="宋体" w:cs="宋体"/>
          <w:sz w:val="22"/>
          <w:szCs w:val="22"/>
          <w:u w:val="single"/>
          <w:lang w:val="en-US" w:eastAsia="zh-CN"/>
        </w:rPr>
        <w:t>12</w:t>
      </w:r>
      <w:r>
        <w:rPr>
          <w:rFonts w:hint="eastAsia" w:ascii="宋体" w:hAnsi="宋体" w:eastAsia="宋体" w:cs="宋体"/>
          <w:sz w:val="22"/>
          <w:szCs w:val="22"/>
        </w:rPr>
        <w:t>人，服务费（按中标金额）：</w:t>
      </w:r>
      <w:r>
        <w:rPr>
          <w:rFonts w:hint="eastAsia" w:ascii="宋体" w:hAnsi="宋体" w:eastAsia="宋体" w:cs="宋体"/>
          <w:sz w:val="22"/>
          <w:szCs w:val="22"/>
          <w:lang w:val="en-US" w:eastAsia="zh-CN"/>
        </w:rPr>
        <w:t>XX元。</w:t>
      </w:r>
    </w:p>
    <w:p w14:paraId="08878DA6">
      <w:pPr>
        <w:keepNext w:val="0"/>
        <w:keepLines w:val="0"/>
        <w:pageBreakBefore w:val="0"/>
        <w:widowControl w:val="0"/>
        <w:kinsoku/>
        <w:wordWrap/>
        <w:overflowPunct/>
        <w:topLinePunct w:val="0"/>
        <w:bidi w:val="0"/>
        <w:snapToGrid/>
        <w:spacing w:line="360" w:lineRule="auto"/>
        <w:ind w:firstLine="440" w:firstLineChars="200"/>
        <w:textAlignment w:val="auto"/>
        <w:rPr>
          <w:rFonts w:hint="eastAsia" w:ascii="宋体" w:hAnsi="宋体" w:eastAsia="宋体" w:cs="宋体"/>
          <w:b/>
          <w:bCs/>
          <w:sz w:val="22"/>
          <w:szCs w:val="22"/>
        </w:rPr>
      </w:pPr>
      <w:r>
        <w:rPr>
          <w:rFonts w:hint="eastAsia" w:ascii="宋体" w:hAnsi="宋体" w:eastAsia="宋体" w:cs="宋体"/>
          <w:sz w:val="22"/>
          <w:szCs w:val="22"/>
        </w:rPr>
        <w:t>该价格已包括本项目提供保安服务所需的一切人员工资、奖金、各种加班费、夜餐费、各种社会保险、餐饮与交通、专用设备及工具、器械、消耗材料、服装、安全、仓储、管理费用、税费、利润、完成合同所需的一切本身和不可或缺的所有工作开支、政策性文件规定即合同包含的所有风险、责任等各项全部费用。乙方项目负责人为：</w:t>
      </w:r>
      <w:r>
        <w:rPr>
          <w:rFonts w:hint="eastAsia" w:ascii="宋体" w:hAnsi="宋体" w:eastAsia="宋体" w:cs="宋体"/>
          <w:sz w:val="22"/>
          <w:szCs w:val="22"/>
          <w:u w:val="single"/>
        </w:rPr>
        <w:t xml:space="preserve">    </w:t>
      </w:r>
      <w:r>
        <w:rPr>
          <w:rFonts w:hint="eastAsia" w:ascii="宋体" w:hAnsi="宋体" w:eastAsia="宋体" w:cs="宋体"/>
          <w:sz w:val="22"/>
          <w:szCs w:val="22"/>
        </w:rPr>
        <w:t>，联系方式：</w:t>
      </w:r>
    </w:p>
    <w:p w14:paraId="59816746">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第四条 服务具体内容：</w:t>
      </w:r>
    </w:p>
    <w:p w14:paraId="0E2E4AF8">
      <w:pPr>
        <w:pStyle w:val="21"/>
        <w:keepNext w:val="0"/>
        <w:keepLines w:val="0"/>
        <w:pageBreakBefore w:val="0"/>
        <w:widowControl w:val="0"/>
        <w:numPr>
          <w:ilvl w:val="0"/>
          <w:numId w:val="15"/>
        </w:numPr>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服务内容：形象岗、门卫、安全、停车、消控、监控、巡查、巡逻等。</w:t>
      </w:r>
    </w:p>
    <w:p w14:paraId="08FFA070">
      <w:pPr>
        <w:pStyle w:val="21"/>
        <w:keepNext w:val="0"/>
        <w:keepLines w:val="0"/>
        <w:pageBreakBefore w:val="0"/>
        <w:widowControl w:val="0"/>
        <w:numPr>
          <w:ilvl w:val="0"/>
          <w:numId w:val="15"/>
        </w:numPr>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人员配置及岗位配置要求</w:t>
      </w:r>
    </w:p>
    <w:tbl>
      <w:tblPr>
        <w:tblStyle w:val="54"/>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65"/>
        <w:gridCol w:w="1829"/>
        <w:gridCol w:w="2606"/>
        <w:gridCol w:w="1052"/>
        <w:gridCol w:w="1831"/>
      </w:tblGrid>
      <w:tr w14:paraId="26B9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46" w:type="dxa"/>
            <w:tcBorders>
              <w:bottom w:val="single" w:color="auto" w:sz="2" w:space="0"/>
              <w:tl2br w:val="nil"/>
              <w:tr2bl w:val="nil"/>
            </w:tcBorders>
            <w:shd w:val="clear" w:color="auto" w:fill="F79646"/>
            <w:vAlign w:val="center"/>
          </w:tcPr>
          <w:p w14:paraId="47AF70D2">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序号</w:t>
            </w:r>
          </w:p>
        </w:tc>
        <w:tc>
          <w:tcPr>
            <w:tcW w:w="1665" w:type="dxa"/>
            <w:tcBorders>
              <w:bottom w:val="single" w:color="auto" w:sz="2" w:space="0"/>
              <w:tl2br w:val="nil"/>
              <w:tr2bl w:val="nil"/>
            </w:tcBorders>
            <w:shd w:val="clear" w:color="auto" w:fill="F79646"/>
            <w:vAlign w:val="center"/>
          </w:tcPr>
          <w:p w14:paraId="5512808C">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区域</w:t>
            </w:r>
          </w:p>
        </w:tc>
        <w:tc>
          <w:tcPr>
            <w:tcW w:w="1829" w:type="dxa"/>
            <w:tcBorders>
              <w:bottom w:val="single" w:color="auto" w:sz="2" w:space="0"/>
              <w:tl2br w:val="nil"/>
              <w:tr2bl w:val="nil"/>
            </w:tcBorders>
            <w:shd w:val="clear" w:color="auto" w:fill="F79646"/>
            <w:vAlign w:val="center"/>
          </w:tcPr>
          <w:p w14:paraId="5F44674E">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职责要求</w:t>
            </w:r>
          </w:p>
        </w:tc>
        <w:tc>
          <w:tcPr>
            <w:tcW w:w="2606" w:type="dxa"/>
            <w:tcBorders>
              <w:bottom w:val="single" w:color="auto" w:sz="2" w:space="0"/>
              <w:tl2br w:val="nil"/>
              <w:tr2bl w:val="nil"/>
            </w:tcBorders>
            <w:shd w:val="clear" w:color="auto" w:fill="F79646"/>
            <w:vAlign w:val="center"/>
          </w:tcPr>
          <w:p w14:paraId="78969E9C">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工作时间</w:t>
            </w:r>
          </w:p>
        </w:tc>
        <w:tc>
          <w:tcPr>
            <w:tcW w:w="1052" w:type="dxa"/>
            <w:tcBorders>
              <w:bottom w:val="single" w:color="auto" w:sz="2" w:space="0"/>
              <w:tl2br w:val="nil"/>
              <w:tr2bl w:val="nil"/>
            </w:tcBorders>
            <w:shd w:val="clear" w:color="auto" w:fill="F79646"/>
            <w:vAlign w:val="center"/>
          </w:tcPr>
          <w:p w14:paraId="7FDEDFDA">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人数</w:t>
            </w:r>
          </w:p>
        </w:tc>
        <w:tc>
          <w:tcPr>
            <w:tcW w:w="1831" w:type="dxa"/>
            <w:tcBorders>
              <w:bottom w:val="single" w:color="auto" w:sz="2" w:space="0"/>
              <w:tl2br w:val="nil"/>
              <w:tr2bl w:val="nil"/>
            </w:tcBorders>
            <w:shd w:val="clear" w:color="auto" w:fill="F79646"/>
            <w:vAlign w:val="center"/>
          </w:tcPr>
          <w:p w14:paraId="275C654E">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工作总时间</w:t>
            </w:r>
          </w:p>
        </w:tc>
      </w:tr>
      <w:tr w14:paraId="6213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46" w:type="dxa"/>
            <w:vMerge w:val="restart"/>
            <w:tcBorders>
              <w:top w:val="single" w:color="auto" w:sz="2" w:space="0"/>
              <w:tl2br w:val="nil"/>
              <w:tr2bl w:val="nil"/>
            </w:tcBorders>
            <w:vAlign w:val="center"/>
          </w:tcPr>
          <w:p w14:paraId="381CBB04">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u w:val="single"/>
              </w:rPr>
            </w:pPr>
          </w:p>
          <w:p w14:paraId="5DAC6D3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u w:val="single"/>
                <w:lang w:eastAsia="zh-CN"/>
              </w:rPr>
            </w:pPr>
            <w:r>
              <w:rPr>
                <w:rFonts w:hint="eastAsia" w:ascii="宋体" w:hAnsi="宋体" w:eastAsia="宋体" w:cs="宋体"/>
                <w:sz w:val="22"/>
                <w:szCs w:val="22"/>
                <w:u w:val="single"/>
                <w:lang w:val="en-US" w:eastAsia="zh-CN"/>
              </w:rPr>
              <w:t>1</w:t>
            </w:r>
          </w:p>
        </w:tc>
        <w:tc>
          <w:tcPr>
            <w:tcW w:w="1665" w:type="dxa"/>
            <w:vMerge w:val="restart"/>
            <w:tcBorders>
              <w:top w:val="single" w:color="auto" w:sz="2" w:space="0"/>
              <w:tl2br w:val="nil"/>
              <w:tr2bl w:val="nil"/>
            </w:tcBorders>
            <w:vAlign w:val="center"/>
          </w:tcPr>
          <w:p w14:paraId="04CB5C6B">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u w:val="single"/>
              </w:rPr>
            </w:pPr>
          </w:p>
          <w:p w14:paraId="4AC85DDB">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u w:val="single"/>
                <w:lang w:eastAsia="zh-CN"/>
              </w:rPr>
            </w:pPr>
            <w:r>
              <w:rPr>
                <w:rFonts w:hint="eastAsia" w:ascii="宋体" w:hAnsi="宋体" w:eastAsia="宋体" w:cs="宋体"/>
                <w:sz w:val="22"/>
                <w:szCs w:val="22"/>
                <w:u w:val="single"/>
                <w:lang w:val="en-US" w:eastAsia="zh-CN"/>
              </w:rPr>
              <w:t>温州市鹿城区政务服务中心</w:t>
            </w:r>
          </w:p>
        </w:tc>
        <w:tc>
          <w:tcPr>
            <w:tcW w:w="1829" w:type="dxa"/>
            <w:tcBorders>
              <w:top w:val="single" w:color="auto" w:sz="2" w:space="0"/>
              <w:tl2br w:val="nil"/>
              <w:tr2bl w:val="nil"/>
            </w:tcBorders>
            <w:vAlign w:val="center"/>
          </w:tcPr>
          <w:p w14:paraId="19EF8CF3">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三楼评标室管理</w:t>
            </w:r>
          </w:p>
        </w:tc>
        <w:tc>
          <w:tcPr>
            <w:tcW w:w="2606" w:type="dxa"/>
            <w:tcBorders>
              <w:top w:val="single" w:color="auto" w:sz="2" w:space="0"/>
              <w:tl2br w:val="nil"/>
              <w:tr2bl w:val="nil"/>
            </w:tcBorders>
            <w:vAlign w:val="center"/>
          </w:tcPr>
          <w:p w14:paraId="4479EACE">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09：00-17：00</w:t>
            </w:r>
          </w:p>
        </w:tc>
        <w:tc>
          <w:tcPr>
            <w:tcW w:w="1052" w:type="dxa"/>
            <w:tcBorders>
              <w:top w:val="single" w:color="auto" w:sz="2" w:space="0"/>
              <w:tl2br w:val="nil"/>
              <w:tr2bl w:val="nil"/>
            </w:tcBorders>
            <w:vAlign w:val="center"/>
          </w:tcPr>
          <w:p w14:paraId="6DDC5B7E">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1831" w:type="dxa"/>
            <w:tcBorders>
              <w:top w:val="single" w:color="auto" w:sz="2" w:space="0"/>
              <w:tl2br w:val="nil"/>
              <w:tr2bl w:val="nil"/>
            </w:tcBorders>
            <w:vAlign w:val="center"/>
          </w:tcPr>
          <w:p w14:paraId="5EBF86CF">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8小时</w:t>
            </w:r>
          </w:p>
        </w:tc>
      </w:tr>
      <w:tr w14:paraId="0A20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l2br w:val="nil"/>
              <w:tr2bl w:val="nil"/>
            </w:tcBorders>
            <w:vAlign w:val="center"/>
          </w:tcPr>
          <w:p w14:paraId="718D01C6">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u w:val="single"/>
              </w:rPr>
            </w:pPr>
          </w:p>
        </w:tc>
        <w:tc>
          <w:tcPr>
            <w:tcW w:w="1665" w:type="dxa"/>
            <w:vMerge w:val="continue"/>
            <w:tcBorders>
              <w:tl2br w:val="nil"/>
              <w:tr2bl w:val="nil"/>
            </w:tcBorders>
            <w:vAlign w:val="center"/>
          </w:tcPr>
          <w:p w14:paraId="6BEDBB62">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u w:val="single"/>
              </w:rPr>
            </w:pPr>
          </w:p>
        </w:tc>
        <w:tc>
          <w:tcPr>
            <w:tcW w:w="1829" w:type="dxa"/>
            <w:vMerge w:val="restart"/>
            <w:tcBorders>
              <w:tl2br w:val="nil"/>
              <w:tr2bl w:val="nil"/>
            </w:tcBorders>
            <w:vAlign w:val="center"/>
          </w:tcPr>
          <w:p w14:paraId="72A5E11A">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政务中心大门管理</w:t>
            </w:r>
          </w:p>
        </w:tc>
        <w:tc>
          <w:tcPr>
            <w:tcW w:w="2606" w:type="dxa"/>
            <w:tcBorders>
              <w:tl2br w:val="nil"/>
              <w:tr2bl w:val="nil"/>
            </w:tcBorders>
            <w:vAlign w:val="center"/>
          </w:tcPr>
          <w:p w14:paraId="41E23A83">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07：30-1</w:t>
            </w:r>
            <w:r>
              <w:rPr>
                <w:rFonts w:hint="eastAsia" w:ascii="宋体" w:hAnsi="宋体" w:eastAsia="宋体" w:cs="宋体"/>
                <w:sz w:val="22"/>
                <w:szCs w:val="22"/>
                <w:lang w:val="en-US" w:eastAsia="zh-CN"/>
              </w:rPr>
              <w:t>5</w:t>
            </w:r>
            <w:r>
              <w:rPr>
                <w:rFonts w:hint="eastAsia" w:ascii="宋体" w:hAnsi="宋体" w:eastAsia="宋体" w:cs="宋体"/>
                <w:sz w:val="22"/>
                <w:szCs w:val="22"/>
              </w:rPr>
              <w:t>：30</w:t>
            </w:r>
          </w:p>
        </w:tc>
        <w:tc>
          <w:tcPr>
            <w:tcW w:w="1052" w:type="dxa"/>
            <w:tcBorders>
              <w:tl2br w:val="nil"/>
              <w:tr2bl w:val="nil"/>
            </w:tcBorders>
            <w:vAlign w:val="center"/>
          </w:tcPr>
          <w:p w14:paraId="3A737B12">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p>
        </w:tc>
        <w:tc>
          <w:tcPr>
            <w:tcW w:w="1831" w:type="dxa"/>
            <w:tcBorders>
              <w:tl2br w:val="nil"/>
              <w:tr2bl w:val="nil"/>
            </w:tcBorders>
            <w:vAlign w:val="center"/>
          </w:tcPr>
          <w:p w14:paraId="1482D964">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8</w:t>
            </w:r>
            <w:r>
              <w:rPr>
                <w:rFonts w:hint="eastAsia" w:ascii="宋体" w:hAnsi="宋体" w:eastAsia="宋体" w:cs="宋体"/>
                <w:sz w:val="22"/>
                <w:szCs w:val="22"/>
              </w:rPr>
              <w:t>小时</w:t>
            </w:r>
          </w:p>
        </w:tc>
      </w:tr>
      <w:tr w14:paraId="7F01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46" w:type="dxa"/>
            <w:vMerge w:val="continue"/>
            <w:tcBorders>
              <w:tl2br w:val="nil"/>
              <w:tr2bl w:val="nil"/>
            </w:tcBorders>
            <w:vAlign w:val="center"/>
          </w:tcPr>
          <w:p w14:paraId="56834F5A">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u w:val="single"/>
              </w:rPr>
            </w:pPr>
          </w:p>
        </w:tc>
        <w:tc>
          <w:tcPr>
            <w:tcW w:w="1665" w:type="dxa"/>
            <w:vMerge w:val="continue"/>
            <w:tcBorders>
              <w:tl2br w:val="nil"/>
              <w:tr2bl w:val="nil"/>
            </w:tcBorders>
            <w:vAlign w:val="center"/>
          </w:tcPr>
          <w:p w14:paraId="2B6B894A">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u w:val="single"/>
              </w:rPr>
            </w:pPr>
          </w:p>
        </w:tc>
        <w:tc>
          <w:tcPr>
            <w:tcW w:w="1829" w:type="dxa"/>
            <w:vMerge w:val="continue"/>
            <w:tcBorders>
              <w:tl2br w:val="nil"/>
              <w:tr2bl w:val="nil"/>
            </w:tcBorders>
            <w:vAlign w:val="center"/>
          </w:tcPr>
          <w:p w14:paraId="188F4E7B">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rPr>
            </w:pPr>
          </w:p>
        </w:tc>
        <w:tc>
          <w:tcPr>
            <w:tcW w:w="2606" w:type="dxa"/>
            <w:tcBorders>
              <w:tl2br w:val="nil"/>
              <w:tr2bl w:val="nil"/>
            </w:tcBorders>
            <w:vAlign w:val="center"/>
          </w:tcPr>
          <w:p w14:paraId="665BB464">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15</w:t>
            </w:r>
            <w:r>
              <w:rPr>
                <w:rFonts w:hint="eastAsia" w:ascii="宋体" w:hAnsi="宋体" w:eastAsia="宋体" w:cs="宋体"/>
                <w:sz w:val="22"/>
                <w:szCs w:val="22"/>
              </w:rPr>
              <w:t>：30-</w:t>
            </w:r>
            <w:r>
              <w:rPr>
                <w:rFonts w:hint="eastAsia" w:ascii="宋体" w:hAnsi="宋体" w:eastAsia="宋体" w:cs="宋体"/>
                <w:sz w:val="22"/>
                <w:szCs w:val="22"/>
                <w:lang w:val="en-US" w:eastAsia="zh-CN"/>
              </w:rPr>
              <w:t>23</w:t>
            </w:r>
            <w:r>
              <w:rPr>
                <w:rFonts w:hint="eastAsia" w:ascii="宋体" w:hAnsi="宋体" w:eastAsia="宋体" w:cs="宋体"/>
                <w:sz w:val="22"/>
                <w:szCs w:val="22"/>
              </w:rPr>
              <w:t>：30</w:t>
            </w:r>
          </w:p>
        </w:tc>
        <w:tc>
          <w:tcPr>
            <w:tcW w:w="1052" w:type="dxa"/>
            <w:tcBorders>
              <w:tl2br w:val="nil"/>
              <w:tr2bl w:val="nil"/>
            </w:tcBorders>
            <w:vAlign w:val="center"/>
          </w:tcPr>
          <w:p w14:paraId="7867C9EB">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831" w:type="dxa"/>
            <w:tcBorders>
              <w:tl2br w:val="nil"/>
              <w:tr2bl w:val="nil"/>
            </w:tcBorders>
            <w:vAlign w:val="center"/>
          </w:tcPr>
          <w:p w14:paraId="1A65C5B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8</w:t>
            </w:r>
            <w:r>
              <w:rPr>
                <w:rFonts w:hint="eastAsia" w:ascii="宋体" w:hAnsi="宋体" w:eastAsia="宋体" w:cs="宋体"/>
                <w:sz w:val="22"/>
                <w:szCs w:val="22"/>
              </w:rPr>
              <w:t>小时</w:t>
            </w:r>
          </w:p>
        </w:tc>
      </w:tr>
      <w:tr w14:paraId="02DA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46" w:type="dxa"/>
            <w:vMerge w:val="continue"/>
            <w:tcBorders>
              <w:tl2br w:val="nil"/>
              <w:tr2bl w:val="nil"/>
            </w:tcBorders>
            <w:vAlign w:val="center"/>
          </w:tcPr>
          <w:p w14:paraId="4E2C5AB5">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u w:val="single"/>
              </w:rPr>
            </w:pPr>
          </w:p>
        </w:tc>
        <w:tc>
          <w:tcPr>
            <w:tcW w:w="1665" w:type="dxa"/>
            <w:vMerge w:val="continue"/>
            <w:tcBorders>
              <w:tl2br w:val="nil"/>
              <w:tr2bl w:val="nil"/>
            </w:tcBorders>
            <w:vAlign w:val="center"/>
          </w:tcPr>
          <w:p w14:paraId="5BAEB90C">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u w:val="single"/>
              </w:rPr>
            </w:pPr>
          </w:p>
        </w:tc>
        <w:tc>
          <w:tcPr>
            <w:tcW w:w="1829" w:type="dxa"/>
            <w:vMerge w:val="continue"/>
            <w:tcBorders>
              <w:tl2br w:val="nil"/>
              <w:tr2bl w:val="nil"/>
            </w:tcBorders>
            <w:vAlign w:val="center"/>
          </w:tcPr>
          <w:p w14:paraId="71E5D606">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rPr>
            </w:pPr>
          </w:p>
        </w:tc>
        <w:tc>
          <w:tcPr>
            <w:tcW w:w="2606" w:type="dxa"/>
            <w:tcBorders>
              <w:tl2br w:val="nil"/>
              <w:tr2bl w:val="nil"/>
            </w:tcBorders>
            <w:vAlign w:val="center"/>
          </w:tcPr>
          <w:p w14:paraId="2A78D49B">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23</w:t>
            </w:r>
            <w:r>
              <w:rPr>
                <w:rFonts w:hint="eastAsia" w:ascii="宋体" w:hAnsi="宋体" w:eastAsia="宋体" w:cs="宋体"/>
                <w:sz w:val="22"/>
                <w:szCs w:val="22"/>
              </w:rPr>
              <w:t>：30-</w:t>
            </w:r>
            <w:r>
              <w:rPr>
                <w:rFonts w:hint="eastAsia" w:ascii="宋体" w:hAnsi="宋体" w:eastAsia="宋体" w:cs="宋体"/>
                <w:sz w:val="22"/>
                <w:szCs w:val="22"/>
                <w:lang w:val="en-US" w:eastAsia="zh-CN"/>
              </w:rPr>
              <w:t>07</w:t>
            </w:r>
            <w:r>
              <w:rPr>
                <w:rFonts w:hint="eastAsia" w:ascii="宋体" w:hAnsi="宋体" w:eastAsia="宋体" w:cs="宋体"/>
                <w:sz w:val="22"/>
                <w:szCs w:val="22"/>
              </w:rPr>
              <w:t>：30</w:t>
            </w:r>
          </w:p>
        </w:tc>
        <w:tc>
          <w:tcPr>
            <w:tcW w:w="1052" w:type="dxa"/>
            <w:tcBorders>
              <w:tl2br w:val="nil"/>
              <w:tr2bl w:val="nil"/>
            </w:tcBorders>
            <w:vAlign w:val="center"/>
          </w:tcPr>
          <w:p w14:paraId="4DF4F31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831" w:type="dxa"/>
            <w:tcBorders>
              <w:tl2br w:val="nil"/>
              <w:tr2bl w:val="nil"/>
            </w:tcBorders>
            <w:vAlign w:val="center"/>
          </w:tcPr>
          <w:p w14:paraId="7640562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8</w:t>
            </w:r>
            <w:r>
              <w:rPr>
                <w:rFonts w:hint="eastAsia" w:ascii="宋体" w:hAnsi="宋体" w:eastAsia="宋体" w:cs="宋体"/>
                <w:sz w:val="22"/>
                <w:szCs w:val="22"/>
              </w:rPr>
              <w:t>小时</w:t>
            </w:r>
          </w:p>
        </w:tc>
      </w:tr>
      <w:tr w14:paraId="2C75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46" w:type="dxa"/>
            <w:vMerge w:val="continue"/>
            <w:tcBorders>
              <w:tl2br w:val="nil"/>
              <w:tr2bl w:val="nil"/>
            </w:tcBorders>
            <w:vAlign w:val="center"/>
          </w:tcPr>
          <w:p w14:paraId="6C8B2DB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u w:val="single"/>
              </w:rPr>
            </w:pPr>
          </w:p>
        </w:tc>
        <w:tc>
          <w:tcPr>
            <w:tcW w:w="1665" w:type="dxa"/>
            <w:vMerge w:val="continue"/>
            <w:tcBorders>
              <w:tl2br w:val="nil"/>
              <w:tr2bl w:val="nil"/>
            </w:tcBorders>
            <w:vAlign w:val="center"/>
          </w:tcPr>
          <w:p w14:paraId="59F7274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u w:val="single"/>
              </w:rPr>
            </w:pPr>
          </w:p>
        </w:tc>
        <w:tc>
          <w:tcPr>
            <w:tcW w:w="1829" w:type="dxa"/>
            <w:vMerge w:val="restart"/>
            <w:tcBorders>
              <w:tl2br w:val="nil"/>
              <w:tr2bl w:val="nil"/>
            </w:tcBorders>
            <w:vAlign w:val="center"/>
          </w:tcPr>
          <w:p w14:paraId="6BE43AEB">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监控室</w:t>
            </w:r>
          </w:p>
        </w:tc>
        <w:tc>
          <w:tcPr>
            <w:tcW w:w="2606" w:type="dxa"/>
            <w:tcBorders>
              <w:tl2br w:val="nil"/>
              <w:tr2bl w:val="nil"/>
            </w:tcBorders>
            <w:vAlign w:val="center"/>
          </w:tcPr>
          <w:p w14:paraId="2847E8D9">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07</w:t>
            </w:r>
            <w:r>
              <w:rPr>
                <w:rFonts w:hint="eastAsia" w:ascii="宋体" w:hAnsi="宋体" w:eastAsia="宋体" w:cs="宋体"/>
                <w:sz w:val="22"/>
                <w:szCs w:val="22"/>
              </w:rPr>
              <w:t>：30-</w:t>
            </w:r>
            <w:r>
              <w:rPr>
                <w:rFonts w:hint="eastAsia" w:ascii="宋体" w:hAnsi="宋体" w:eastAsia="宋体" w:cs="宋体"/>
                <w:sz w:val="22"/>
                <w:szCs w:val="22"/>
                <w:lang w:val="en-US" w:eastAsia="zh-CN"/>
              </w:rPr>
              <w:t>15</w:t>
            </w:r>
            <w:r>
              <w:rPr>
                <w:rFonts w:hint="eastAsia" w:ascii="宋体" w:hAnsi="宋体" w:eastAsia="宋体" w:cs="宋体"/>
                <w:sz w:val="22"/>
                <w:szCs w:val="22"/>
              </w:rPr>
              <w:t>：30</w:t>
            </w:r>
          </w:p>
        </w:tc>
        <w:tc>
          <w:tcPr>
            <w:tcW w:w="1052" w:type="dxa"/>
            <w:tcBorders>
              <w:tl2br w:val="nil"/>
              <w:tr2bl w:val="nil"/>
            </w:tcBorders>
            <w:vAlign w:val="center"/>
          </w:tcPr>
          <w:p w14:paraId="2450FBA4">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p>
        </w:tc>
        <w:tc>
          <w:tcPr>
            <w:tcW w:w="1831" w:type="dxa"/>
            <w:tcBorders>
              <w:tl2br w:val="nil"/>
              <w:tr2bl w:val="nil"/>
            </w:tcBorders>
            <w:vAlign w:val="center"/>
          </w:tcPr>
          <w:p w14:paraId="4F107F96">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8小时</w:t>
            </w:r>
          </w:p>
        </w:tc>
      </w:tr>
      <w:tr w14:paraId="7623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46" w:type="dxa"/>
            <w:vMerge w:val="continue"/>
            <w:tcBorders>
              <w:tl2br w:val="nil"/>
              <w:tr2bl w:val="nil"/>
            </w:tcBorders>
            <w:vAlign w:val="center"/>
          </w:tcPr>
          <w:p w14:paraId="091633E5">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u w:val="single"/>
              </w:rPr>
            </w:pPr>
          </w:p>
        </w:tc>
        <w:tc>
          <w:tcPr>
            <w:tcW w:w="1665" w:type="dxa"/>
            <w:vMerge w:val="continue"/>
            <w:tcBorders>
              <w:tl2br w:val="nil"/>
              <w:tr2bl w:val="nil"/>
            </w:tcBorders>
            <w:vAlign w:val="center"/>
          </w:tcPr>
          <w:p w14:paraId="519193C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u w:val="single"/>
              </w:rPr>
            </w:pPr>
          </w:p>
        </w:tc>
        <w:tc>
          <w:tcPr>
            <w:tcW w:w="1829" w:type="dxa"/>
            <w:vMerge w:val="continue"/>
            <w:tcBorders>
              <w:tl2br w:val="nil"/>
              <w:tr2bl w:val="nil"/>
            </w:tcBorders>
            <w:vAlign w:val="center"/>
          </w:tcPr>
          <w:p w14:paraId="0CEF8C59">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rPr>
            </w:pPr>
          </w:p>
        </w:tc>
        <w:tc>
          <w:tcPr>
            <w:tcW w:w="2606" w:type="dxa"/>
            <w:tcBorders>
              <w:tl2br w:val="nil"/>
              <w:tr2bl w:val="nil"/>
            </w:tcBorders>
            <w:vAlign w:val="center"/>
          </w:tcPr>
          <w:p w14:paraId="5CB5CD6F">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15</w:t>
            </w:r>
            <w:r>
              <w:rPr>
                <w:rFonts w:hint="eastAsia" w:ascii="宋体" w:hAnsi="宋体" w:eastAsia="宋体" w:cs="宋体"/>
                <w:sz w:val="22"/>
                <w:szCs w:val="22"/>
              </w:rPr>
              <w:t>：30-23：30</w:t>
            </w:r>
          </w:p>
        </w:tc>
        <w:tc>
          <w:tcPr>
            <w:tcW w:w="1052" w:type="dxa"/>
            <w:tcBorders>
              <w:tl2br w:val="nil"/>
              <w:tr2bl w:val="nil"/>
            </w:tcBorders>
            <w:vAlign w:val="center"/>
          </w:tcPr>
          <w:p w14:paraId="5BA03E13">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p>
        </w:tc>
        <w:tc>
          <w:tcPr>
            <w:tcW w:w="1831" w:type="dxa"/>
            <w:tcBorders>
              <w:tl2br w:val="nil"/>
              <w:tr2bl w:val="nil"/>
            </w:tcBorders>
            <w:vAlign w:val="center"/>
          </w:tcPr>
          <w:p w14:paraId="44D37D02">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8小时</w:t>
            </w:r>
          </w:p>
        </w:tc>
      </w:tr>
      <w:tr w14:paraId="7632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46" w:type="dxa"/>
            <w:vMerge w:val="continue"/>
            <w:tcBorders>
              <w:tl2br w:val="nil"/>
              <w:tr2bl w:val="nil"/>
            </w:tcBorders>
            <w:vAlign w:val="center"/>
          </w:tcPr>
          <w:p w14:paraId="4B42D2B3">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u w:val="single"/>
              </w:rPr>
            </w:pPr>
          </w:p>
        </w:tc>
        <w:tc>
          <w:tcPr>
            <w:tcW w:w="1665" w:type="dxa"/>
            <w:vMerge w:val="continue"/>
            <w:tcBorders>
              <w:tl2br w:val="nil"/>
              <w:tr2bl w:val="nil"/>
            </w:tcBorders>
            <w:vAlign w:val="center"/>
          </w:tcPr>
          <w:p w14:paraId="3739B70B">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u w:val="single"/>
              </w:rPr>
            </w:pPr>
          </w:p>
        </w:tc>
        <w:tc>
          <w:tcPr>
            <w:tcW w:w="1829" w:type="dxa"/>
            <w:vMerge w:val="continue"/>
            <w:tcBorders>
              <w:tl2br w:val="nil"/>
              <w:tr2bl w:val="nil"/>
            </w:tcBorders>
            <w:vAlign w:val="center"/>
          </w:tcPr>
          <w:p w14:paraId="21F3A7EA">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rPr>
            </w:pPr>
          </w:p>
        </w:tc>
        <w:tc>
          <w:tcPr>
            <w:tcW w:w="2606" w:type="dxa"/>
            <w:tcBorders>
              <w:tl2br w:val="nil"/>
              <w:tr2bl w:val="nil"/>
            </w:tcBorders>
            <w:vAlign w:val="center"/>
          </w:tcPr>
          <w:p w14:paraId="4110C3A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23</w:t>
            </w:r>
            <w:r>
              <w:rPr>
                <w:rFonts w:hint="eastAsia" w:ascii="宋体" w:hAnsi="宋体" w:eastAsia="宋体" w:cs="宋体"/>
                <w:sz w:val="22"/>
                <w:szCs w:val="22"/>
              </w:rPr>
              <w:t>：30-</w:t>
            </w:r>
            <w:r>
              <w:rPr>
                <w:rFonts w:hint="eastAsia" w:ascii="宋体" w:hAnsi="宋体" w:eastAsia="宋体" w:cs="宋体"/>
                <w:sz w:val="22"/>
                <w:szCs w:val="22"/>
                <w:lang w:val="en-US" w:eastAsia="zh-CN"/>
              </w:rPr>
              <w:t>07</w:t>
            </w:r>
            <w:r>
              <w:rPr>
                <w:rFonts w:hint="eastAsia" w:ascii="宋体" w:hAnsi="宋体" w:eastAsia="宋体" w:cs="宋体"/>
                <w:sz w:val="22"/>
                <w:szCs w:val="22"/>
              </w:rPr>
              <w:t>：30</w:t>
            </w:r>
          </w:p>
        </w:tc>
        <w:tc>
          <w:tcPr>
            <w:tcW w:w="1052" w:type="dxa"/>
            <w:tcBorders>
              <w:tl2br w:val="nil"/>
              <w:tr2bl w:val="nil"/>
            </w:tcBorders>
            <w:vAlign w:val="center"/>
          </w:tcPr>
          <w:p w14:paraId="1D732FAC">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1831" w:type="dxa"/>
            <w:tcBorders>
              <w:tl2br w:val="nil"/>
              <w:tr2bl w:val="nil"/>
            </w:tcBorders>
            <w:vAlign w:val="center"/>
          </w:tcPr>
          <w:p w14:paraId="3BFA4BC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8小时</w:t>
            </w:r>
          </w:p>
        </w:tc>
      </w:tr>
      <w:tr w14:paraId="68D5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46" w:type="dxa"/>
            <w:vMerge w:val="continue"/>
            <w:tcBorders>
              <w:tl2br w:val="nil"/>
              <w:tr2bl w:val="nil"/>
            </w:tcBorders>
            <w:vAlign w:val="center"/>
          </w:tcPr>
          <w:p w14:paraId="079275BF">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u w:val="single"/>
              </w:rPr>
            </w:pPr>
          </w:p>
        </w:tc>
        <w:tc>
          <w:tcPr>
            <w:tcW w:w="1665" w:type="dxa"/>
            <w:vMerge w:val="continue"/>
            <w:tcBorders>
              <w:tl2br w:val="nil"/>
              <w:tr2bl w:val="nil"/>
            </w:tcBorders>
            <w:vAlign w:val="center"/>
          </w:tcPr>
          <w:p w14:paraId="06B1D4A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u w:val="single"/>
              </w:rPr>
            </w:pPr>
          </w:p>
        </w:tc>
        <w:tc>
          <w:tcPr>
            <w:tcW w:w="1829" w:type="dxa"/>
            <w:tcBorders>
              <w:tl2br w:val="nil"/>
              <w:tr2bl w:val="nil"/>
            </w:tcBorders>
            <w:vAlign w:val="center"/>
          </w:tcPr>
          <w:p w14:paraId="295E9194">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保安管理</w:t>
            </w:r>
          </w:p>
        </w:tc>
        <w:tc>
          <w:tcPr>
            <w:tcW w:w="2606" w:type="dxa"/>
            <w:tcBorders>
              <w:tl2br w:val="nil"/>
              <w:tr2bl w:val="nil"/>
            </w:tcBorders>
            <w:vAlign w:val="center"/>
          </w:tcPr>
          <w:p w14:paraId="47477ADC">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07</w:t>
            </w:r>
            <w:r>
              <w:rPr>
                <w:rFonts w:hint="eastAsia" w:ascii="宋体" w:hAnsi="宋体" w:eastAsia="宋体" w:cs="宋体"/>
                <w:sz w:val="22"/>
                <w:szCs w:val="22"/>
              </w:rPr>
              <w:t>：30-</w:t>
            </w:r>
            <w:r>
              <w:rPr>
                <w:rFonts w:hint="eastAsia" w:ascii="宋体" w:hAnsi="宋体" w:eastAsia="宋体" w:cs="宋体"/>
                <w:sz w:val="22"/>
                <w:szCs w:val="22"/>
                <w:lang w:val="en-US" w:eastAsia="zh-CN"/>
              </w:rPr>
              <w:t>17</w:t>
            </w:r>
            <w:r>
              <w:rPr>
                <w:rFonts w:hint="eastAsia" w:ascii="宋体" w:hAnsi="宋体" w:eastAsia="宋体" w:cs="宋体"/>
                <w:sz w:val="22"/>
                <w:szCs w:val="22"/>
              </w:rPr>
              <w:t>：30</w:t>
            </w:r>
          </w:p>
        </w:tc>
        <w:tc>
          <w:tcPr>
            <w:tcW w:w="1052" w:type="dxa"/>
            <w:tcBorders>
              <w:tl2br w:val="nil"/>
              <w:tr2bl w:val="nil"/>
            </w:tcBorders>
            <w:vAlign w:val="center"/>
          </w:tcPr>
          <w:p w14:paraId="53A3C7DC">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p>
        </w:tc>
        <w:tc>
          <w:tcPr>
            <w:tcW w:w="1831" w:type="dxa"/>
            <w:tcBorders>
              <w:tl2br w:val="nil"/>
              <w:tr2bl w:val="nil"/>
            </w:tcBorders>
            <w:vAlign w:val="center"/>
          </w:tcPr>
          <w:p w14:paraId="228725E5">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10小时</w:t>
            </w:r>
          </w:p>
        </w:tc>
      </w:tr>
      <w:tr w14:paraId="59CA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846" w:type="dxa"/>
            <w:tcBorders>
              <w:tl2br w:val="nil"/>
              <w:tr2bl w:val="nil"/>
            </w:tcBorders>
            <w:vAlign w:val="center"/>
          </w:tcPr>
          <w:p w14:paraId="7F313A1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u w:val="single"/>
              </w:rPr>
            </w:pPr>
          </w:p>
        </w:tc>
        <w:tc>
          <w:tcPr>
            <w:tcW w:w="3494" w:type="dxa"/>
            <w:gridSpan w:val="2"/>
            <w:tcBorders>
              <w:tl2br w:val="nil"/>
              <w:tr2bl w:val="nil"/>
            </w:tcBorders>
            <w:vAlign w:val="center"/>
          </w:tcPr>
          <w:p w14:paraId="45EDE08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u w:val="single"/>
              </w:rPr>
            </w:pPr>
            <w:r>
              <w:rPr>
                <w:rFonts w:hint="eastAsia" w:ascii="宋体" w:hAnsi="宋体" w:eastAsia="宋体" w:cs="宋体"/>
                <w:sz w:val="22"/>
                <w:szCs w:val="22"/>
                <w:u w:val="single"/>
              </w:rPr>
              <w:t>合计</w:t>
            </w:r>
          </w:p>
        </w:tc>
        <w:tc>
          <w:tcPr>
            <w:tcW w:w="2606" w:type="dxa"/>
            <w:tcBorders>
              <w:tl2br w:val="nil"/>
              <w:tr2bl w:val="nil"/>
            </w:tcBorders>
            <w:vAlign w:val="center"/>
          </w:tcPr>
          <w:p w14:paraId="1EB2CF4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u w:val="single"/>
              </w:rPr>
            </w:pPr>
          </w:p>
        </w:tc>
        <w:tc>
          <w:tcPr>
            <w:tcW w:w="1052" w:type="dxa"/>
            <w:tcBorders>
              <w:tl2br w:val="nil"/>
              <w:tr2bl w:val="nil"/>
            </w:tcBorders>
            <w:vAlign w:val="center"/>
          </w:tcPr>
          <w:p w14:paraId="7A62A234">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u w:val="single"/>
                <w:lang w:val="en-US" w:eastAsia="zh-CN"/>
              </w:rPr>
            </w:pPr>
            <w:r>
              <w:rPr>
                <w:rFonts w:hint="eastAsia" w:ascii="宋体" w:hAnsi="宋体" w:eastAsia="宋体" w:cs="宋体"/>
                <w:sz w:val="22"/>
                <w:szCs w:val="22"/>
                <w:u w:val="single"/>
                <w:lang w:val="en-US" w:eastAsia="zh-CN"/>
              </w:rPr>
              <w:t>12</w:t>
            </w:r>
          </w:p>
        </w:tc>
        <w:tc>
          <w:tcPr>
            <w:tcW w:w="1831" w:type="dxa"/>
            <w:tcBorders>
              <w:tl2br w:val="nil"/>
              <w:tr2bl w:val="nil"/>
            </w:tcBorders>
            <w:vAlign w:val="center"/>
          </w:tcPr>
          <w:p w14:paraId="368C06C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2"/>
                <w:szCs w:val="22"/>
              </w:rPr>
            </w:pPr>
          </w:p>
        </w:tc>
      </w:tr>
    </w:tbl>
    <w:p w14:paraId="4D2EBC1E">
      <w:pPr>
        <w:pStyle w:val="21"/>
        <w:keepNext w:val="0"/>
        <w:keepLines w:val="0"/>
        <w:pageBreakBefore w:val="0"/>
        <w:widowControl w:val="0"/>
        <w:numPr>
          <w:ilvl w:val="255"/>
          <w:numId w:val="0"/>
        </w:numPr>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注1：本次采购实际使用人员数量可能会低于采购文件中人员配置要求，具体所需人员数量以采购人按实际所需为准。不足人员服务费用按照比例从总价中扣回，扣回的金额使用具体相关事宜由采购人决定为准。</w:t>
      </w:r>
    </w:p>
    <w:p w14:paraId="7E8F83D6">
      <w:pPr>
        <w:pStyle w:val="21"/>
        <w:keepNext w:val="0"/>
        <w:keepLines w:val="0"/>
        <w:pageBreakBefore w:val="0"/>
        <w:widowControl w:val="0"/>
        <w:numPr>
          <w:ilvl w:val="0"/>
          <w:numId w:val="15"/>
        </w:numPr>
        <w:kinsoku/>
        <w:wordWrap/>
        <w:overflowPunct/>
        <w:topLinePunct w:val="0"/>
        <w:bidi w:val="0"/>
        <w:snapToGrid/>
        <w:spacing w:after="0" w:line="360" w:lineRule="auto"/>
        <w:textAlignment w:val="auto"/>
        <w:rPr>
          <w:rFonts w:hint="eastAsia" w:ascii="宋体" w:hAnsi="宋体" w:eastAsia="宋体" w:cs="宋体"/>
          <w:sz w:val="22"/>
          <w:szCs w:val="22"/>
        </w:rPr>
      </w:pPr>
      <w:bookmarkStart w:id="73" w:name="_Hlk157585418"/>
      <w:r>
        <w:rPr>
          <w:rFonts w:hint="eastAsia" w:ascii="宋体" w:hAnsi="宋体" w:eastAsia="宋体" w:cs="宋体"/>
          <w:sz w:val="22"/>
          <w:szCs w:val="22"/>
        </w:rPr>
        <w:t>服务时间</w:t>
      </w:r>
    </w:p>
    <w:p w14:paraId="2C8D2AB7">
      <w:pPr>
        <w:pStyle w:val="21"/>
        <w:keepNext w:val="0"/>
        <w:keepLines w:val="0"/>
        <w:pageBreakBefore w:val="0"/>
        <w:widowControl w:val="0"/>
        <w:kinsoku/>
        <w:wordWrap/>
        <w:overflowPunct/>
        <w:topLinePunct w:val="0"/>
        <w:bidi w:val="0"/>
        <w:snapToGrid/>
        <w:spacing w:after="0"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服务时间为每周七天，服务响应时间为7*24小时，普通岗位每天服务时间8小时，超时按加班时间计算。</w:t>
      </w:r>
    </w:p>
    <w:bookmarkEnd w:id="73"/>
    <w:p w14:paraId="01002232">
      <w:pPr>
        <w:pStyle w:val="21"/>
        <w:keepNext w:val="0"/>
        <w:keepLines w:val="0"/>
        <w:pageBreakBefore w:val="0"/>
        <w:widowControl w:val="0"/>
        <w:numPr>
          <w:ilvl w:val="0"/>
          <w:numId w:val="15"/>
        </w:numPr>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保安人员的主要工作任务：</w:t>
      </w:r>
    </w:p>
    <w:p w14:paraId="6FF28E1D">
      <w:pPr>
        <w:pStyle w:val="21"/>
        <w:keepNext w:val="0"/>
        <w:keepLines w:val="0"/>
        <w:pageBreakBefore w:val="0"/>
        <w:widowControl w:val="0"/>
        <w:numPr>
          <w:ilvl w:val="0"/>
          <w:numId w:val="16"/>
        </w:numPr>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负责</w:t>
      </w:r>
      <w:r>
        <w:rPr>
          <w:rFonts w:hint="eastAsia" w:ascii="宋体" w:hAnsi="宋体" w:eastAsia="宋体" w:cs="宋体"/>
          <w:sz w:val="22"/>
          <w:szCs w:val="22"/>
          <w:lang w:eastAsia="zh-CN"/>
        </w:rPr>
        <w:t>鹿城区政务服务中心</w:t>
      </w:r>
      <w:r>
        <w:rPr>
          <w:rFonts w:hint="eastAsia" w:ascii="宋体" w:hAnsi="宋体" w:eastAsia="宋体" w:cs="宋体"/>
          <w:sz w:val="22"/>
          <w:szCs w:val="22"/>
        </w:rPr>
        <w:t xml:space="preserve">的安全管理工作，对进出人员车辆、物资进行验证、检查、登记、劝阻无关人员出入，防止内部财物流失等案件和疫情发生。 </w:t>
      </w:r>
    </w:p>
    <w:p w14:paraId="70AEF711">
      <w:pPr>
        <w:pStyle w:val="21"/>
        <w:keepNext w:val="0"/>
        <w:keepLines w:val="0"/>
        <w:pageBreakBefore w:val="0"/>
        <w:widowControl w:val="0"/>
        <w:numPr>
          <w:ilvl w:val="0"/>
          <w:numId w:val="16"/>
        </w:numPr>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负责范围内巡逻检查，及时发现隐患，堵塞各种安全防范方面的漏洞。</w:t>
      </w:r>
    </w:p>
    <w:p w14:paraId="347DAF2F">
      <w:pPr>
        <w:pStyle w:val="21"/>
        <w:keepNext w:val="0"/>
        <w:keepLines w:val="0"/>
        <w:pageBreakBefore w:val="0"/>
        <w:widowControl w:val="0"/>
        <w:numPr>
          <w:ilvl w:val="0"/>
          <w:numId w:val="16"/>
        </w:numPr>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检查管理消防设施、保持良好状态，保持消防通道畅通。</w:t>
      </w:r>
    </w:p>
    <w:p w14:paraId="2CFB8F96">
      <w:pPr>
        <w:pStyle w:val="21"/>
        <w:keepNext w:val="0"/>
        <w:keepLines w:val="0"/>
        <w:pageBreakBefore w:val="0"/>
        <w:widowControl w:val="0"/>
        <w:numPr>
          <w:ilvl w:val="0"/>
          <w:numId w:val="16"/>
        </w:numPr>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发现执勤范围内或周边发生纠纷（打架斗殴），尽力进行劝解，并向甲方有关领导报告。</w:t>
      </w:r>
    </w:p>
    <w:p w14:paraId="042ED559">
      <w:pPr>
        <w:pStyle w:val="21"/>
        <w:keepNext w:val="0"/>
        <w:keepLines w:val="0"/>
        <w:pageBreakBefore w:val="0"/>
        <w:widowControl w:val="0"/>
        <w:numPr>
          <w:ilvl w:val="0"/>
          <w:numId w:val="16"/>
        </w:numPr>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如果管区内发生案件（灾害、事故）要保护现场，并及时向甲方有关领导或公安机关报告。</w:t>
      </w:r>
    </w:p>
    <w:p w14:paraId="0719FFC6">
      <w:pPr>
        <w:pStyle w:val="21"/>
        <w:keepNext w:val="0"/>
        <w:keepLines w:val="0"/>
        <w:pageBreakBefore w:val="0"/>
        <w:widowControl w:val="0"/>
        <w:numPr>
          <w:ilvl w:val="0"/>
          <w:numId w:val="16"/>
        </w:numPr>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甲方交办的与安全防范有关的其他工作任务。</w:t>
      </w:r>
    </w:p>
    <w:p w14:paraId="393451A2">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第五条 双方的权利义务</w:t>
      </w:r>
    </w:p>
    <w:p w14:paraId="0A326AA7">
      <w:pPr>
        <w:pStyle w:val="21"/>
        <w:keepNext w:val="0"/>
        <w:keepLines w:val="0"/>
        <w:pageBreakBefore w:val="0"/>
        <w:widowControl w:val="0"/>
        <w:numPr>
          <w:ilvl w:val="0"/>
          <w:numId w:val="17"/>
        </w:numPr>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、甲方的权利义务</w:t>
      </w:r>
    </w:p>
    <w:p w14:paraId="5F09F3BC">
      <w:pPr>
        <w:pStyle w:val="21"/>
        <w:keepNext w:val="0"/>
        <w:keepLines w:val="0"/>
        <w:pageBreakBefore w:val="0"/>
        <w:widowControl w:val="0"/>
        <w:numPr>
          <w:ilvl w:val="0"/>
          <w:numId w:val="18"/>
        </w:numPr>
        <w:kinsoku/>
        <w:wordWrap/>
        <w:overflowPunct/>
        <w:topLinePunct w:val="0"/>
        <w:bidi w:val="0"/>
        <w:snapToGrid/>
        <w:spacing w:after="0" w:line="360" w:lineRule="auto"/>
        <w:ind w:left="426" w:hanging="334" w:hangingChars="152"/>
        <w:jc w:val="left"/>
        <w:textAlignment w:val="auto"/>
        <w:rPr>
          <w:rFonts w:hint="eastAsia" w:ascii="宋体" w:hAnsi="宋体" w:eastAsia="宋体" w:cs="宋体"/>
          <w:sz w:val="22"/>
          <w:szCs w:val="22"/>
        </w:rPr>
      </w:pPr>
      <w:r>
        <w:rPr>
          <w:rFonts w:hint="eastAsia" w:ascii="宋体" w:hAnsi="宋体" w:eastAsia="宋体" w:cs="宋体"/>
          <w:sz w:val="22"/>
          <w:szCs w:val="22"/>
        </w:rPr>
        <w:t>甲方有监督、检查安保人员服务情况的权利，如有必要有权要求乙方调整或辞退安保人员，乙方不得以任何理由拒绝；对甲方造成经济和名誉损失的，甲方有权要求乙方予以赔偿、恢复名誉，或者从乙方保证金中予以相应扣除。</w:t>
      </w:r>
    </w:p>
    <w:p w14:paraId="20A51C64">
      <w:pPr>
        <w:pStyle w:val="21"/>
        <w:keepNext w:val="0"/>
        <w:keepLines w:val="0"/>
        <w:pageBreakBefore w:val="0"/>
        <w:widowControl w:val="0"/>
        <w:numPr>
          <w:ilvl w:val="0"/>
          <w:numId w:val="18"/>
        </w:numPr>
        <w:kinsoku/>
        <w:wordWrap/>
        <w:overflowPunct/>
        <w:topLinePunct w:val="0"/>
        <w:bidi w:val="0"/>
        <w:snapToGrid/>
        <w:spacing w:after="0" w:line="360" w:lineRule="auto"/>
        <w:ind w:left="426" w:hanging="334" w:hangingChars="152"/>
        <w:jc w:val="left"/>
        <w:textAlignment w:val="auto"/>
        <w:rPr>
          <w:rFonts w:hint="eastAsia" w:ascii="宋体" w:hAnsi="宋体" w:eastAsia="宋体" w:cs="宋体"/>
          <w:sz w:val="22"/>
          <w:szCs w:val="22"/>
        </w:rPr>
      </w:pPr>
      <w:bookmarkStart w:id="74" w:name="_Hlk157586060"/>
      <w:r>
        <w:rPr>
          <w:rFonts w:hint="eastAsia" w:ascii="宋体" w:hAnsi="宋体" w:eastAsia="宋体" w:cs="宋体"/>
          <w:sz w:val="22"/>
          <w:szCs w:val="22"/>
        </w:rPr>
        <w:t>甲方支持乙方开展区域安保管理服务，提供安保服务所需岗亭、设备设施、器械及其他相关用房。乙方的食宿等内容由乙方自行解决，经甲方书面同意且符合有关国家政策规定，乙方人员可搭伙就餐。</w:t>
      </w:r>
    </w:p>
    <w:bookmarkEnd w:id="74"/>
    <w:p w14:paraId="08BC1B50">
      <w:pPr>
        <w:pStyle w:val="21"/>
        <w:keepNext w:val="0"/>
        <w:keepLines w:val="0"/>
        <w:pageBreakBefore w:val="0"/>
        <w:widowControl w:val="0"/>
        <w:numPr>
          <w:ilvl w:val="0"/>
          <w:numId w:val="18"/>
        </w:numPr>
        <w:kinsoku/>
        <w:wordWrap/>
        <w:overflowPunct/>
        <w:topLinePunct w:val="0"/>
        <w:bidi w:val="0"/>
        <w:snapToGrid/>
        <w:spacing w:after="0" w:line="360" w:lineRule="auto"/>
        <w:ind w:left="426" w:hanging="334" w:hangingChars="152"/>
        <w:jc w:val="left"/>
        <w:textAlignment w:val="auto"/>
        <w:rPr>
          <w:rFonts w:hint="eastAsia" w:ascii="宋体" w:hAnsi="宋体" w:eastAsia="宋体" w:cs="宋体"/>
          <w:sz w:val="22"/>
          <w:szCs w:val="22"/>
        </w:rPr>
      </w:pPr>
      <w:r>
        <w:rPr>
          <w:rFonts w:hint="eastAsia" w:ascii="宋体" w:hAnsi="宋体" w:eastAsia="宋体" w:cs="宋体"/>
          <w:sz w:val="22"/>
          <w:szCs w:val="22"/>
        </w:rPr>
        <w:t>配备有效的消防设施，对乙方提出的安全防范评估报告存在的安全隐患应及时落实和改进，制定并执行内部安全防范规章制度，教育本单位员工配合和支持保安人员执行保安职责。</w:t>
      </w:r>
    </w:p>
    <w:p w14:paraId="468E480E">
      <w:pPr>
        <w:pStyle w:val="21"/>
        <w:keepNext w:val="0"/>
        <w:keepLines w:val="0"/>
        <w:pageBreakBefore w:val="0"/>
        <w:widowControl w:val="0"/>
        <w:numPr>
          <w:ilvl w:val="0"/>
          <w:numId w:val="18"/>
        </w:numPr>
        <w:kinsoku/>
        <w:wordWrap/>
        <w:overflowPunct/>
        <w:topLinePunct w:val="0"/>
        <w:bidi w:val="0"/>
        <w:snapToGrid/>
        <w:spacing w:after="0" w:line="360" w:lineRule="auto"/>
        <w:ind w:left="426" w:hanging="334" w:hangingChars="152"/>
        <w:jc w:val="left"/>
        <w:textAlignment w:val="auto"/>
        <w:rPr>
          <w:rFonts w:hint="eastAsia" w:ascii="宋体" w:hAnsi="宋体" w:eastAsia="宋体" w:cs="宋体"/>
          <w:sz w:val="22"/>
          <w:szCs w:val="22"/>
        </w:rPr>
      </w:pPr>
      <w:r>
        <w:rPr>
          <w:rFonts w:hint="eastAsia" w:ascii="宋体" w:hAnsi="宋体" w:eastAsia="宋体" w:cs="宋体"/>
          <w:sz w:val="22"/>
          <w:szCs w:val="22"/>
        </w:rPr>
        <w:t>在承包区域内的各项服务，其服务时间必须满足甲方的工作要求，包括双休日及节假日，无论乙方有什么理由，都不许停止服务工作。必要时甲方可要求乙方调整工作时间直至全天二十四小时工作。</w:t>
      </w:r>
    </w:p>
    <w:p w14:paraId="5FA0845A">
      <w:pPr>
        <w:pStyle w:val="21"/>
        <w:keepNext w:val="0"/>
        <w:keepLines w:val="0"/>
        <w:pageBreakBefore w:val="0"/>
        <w:widowControl w:val="0"/>
        <w:numPr>
          <w:ilvl w:val="0"/>
          <w:numId w:val="18"/>
        </w:numPr>
        <w:kinsoku/>
        <w:wordWrap/>
        <w:overflowPunct/>
        <w:topLinePunct w:val="0"/>
        <w:bidi w:val="0"/>
        <w:snapToGrid/>
        <w:spacing w:after="0" w:line="360" w:lineRule="auto"/>
        <w:ind w:left="426" w:hanging="334" w:hangingChars="152"/>
        <w:jc w:val="left"/>
        <w:textAlignment w:val="auto"/>
        <w:rPr>
          <w:rFonts w:hint="eastAsia" w:ascii="宋体" w:hAnsi="宋体" w:eastAsia="宋体" w:cs="宋体"/>
          <w:sz w:val="22"/>
          <w:szCs w:val="22"/>
        </w:rPr>
      </w:pPr>
      <w:r>
        <w:rPr>
          <w:rFonts w:hint="eastAsia" w:ascii="宋体" w:hAnsi="宋体" w:eastAsia="宋体" w:cs="宋体"/>
          <w:sz w:val="22"/>
          <w:szCs w:val="22"/>
        </w:rPr>
        <w:t>甲方定期或不定期对乙方进行考核管理，可根据对乙方人员的考核情况提出调换要求。</w:t>
      </w:r>
    </w:p>
    <w:p w14:paraId="41AFC5E2">
      <w:pPr>
        <w:pStyle w:val="21"/>
        <w:keepNext w:val="0"/>
        <w:keepLines w:val="0"/>
        <w:pageBreakBefore w:val="0"/>
        <w:widowControl w:val="0"/>
        <w:numPr>
          <w:ilvl w:val="0"/>
          <w:numId w:val="18"/>
        </w:numPr>
        <w:kinsoku/>
        <w:wordWrap/>
        <w:overflowPunct/>
        <w:topLinePunct w:val="0"/>
        <w:bidi w:val="0"/>
        <w:snapToGrid/>
        <w:spacing w:after="0" w:line="360" w:lineRule="auto"/>
        <w:ind w:left="426" w:hanging="334" w:hangingChars="152"/>
        <w:jc w:val="left"/>
        <w:textAlignment w:val="auto"/>
        <w:rPr>
          <w:rFonts w:hint="eastAsia" w:ascii="宋体" w:hAnsi="宋体" w:eastAsia="宋体" w:cs="宋体"/>
          <w:sz w:val="22"/>
          <w:szCs w:val="22"/>
        </w:rPr>
      </w:pPr>
      <w:r>
        <w:rPr>
          <w:rFonts w:hint="eastAsia" w:ascii="宋体" w:hAnsi="宋体" w:eastAsia="宋体" w:cs="宋体"/>
          <w:sz w:val="22"/>
          <w:szCs w:val="22"/>
        </w:rPr>
        <w:t>监督、检查保安员的工作表现情况，发现保安员有轻微违纪行为者，给予批评教育；对严重违反有关规章制度的，应对保安员工作表现情况提供书面评价，乙方必须在5个工作日内予以调换。</w:t>
      </w:r>
    </w:p>
    <w:p w14:paraId="78EF95E9">
      <w:pPr>
        <w:pStyle w:val="21"/>
        <w:keepNext w:val="0"/>
        <w:keepLines w:val="0"/>
        <w:pageBreakBefore w:val="0"/>
        <w:widowControl w:val="0"/>
        <w:numPr>
          <w:ilvl w:val="0"/>
          <w:numId w:val="18"/>
        </w:numPr>
        <w:kinsoku/>
        <w:wordWrap/>
        <w:overflowPunct/>
        <w:topLinePunct w:val="0"/>
        <w:bidi w:val="0"/>
        <w:snapToGrid/>
        <w:spacing w:after="0" w:line="360" w:lineRule="auto"/>
        <w:ind w:left="426" w:hanging="334" w:hangingChars="152"/>
        <w:jc w:val="left"/>
        <w:textAlignment w:val="auto"/>
        <w:rPr>
          <w:rFonts w:hint="eastAsia" w:ascii="宋体" w:hAnsi="宋体" w:eastAsia="宋体" w:cs="宋体"/>
          <w:sz w:val="22"/>
          <w:szCs w:val="22"/>
        </w:rPr>
      </w:pPr>
      <w:r>
        <w:rPr>
          <w:rFonts w:hint="eastAsia" w:ascii="宋体" w:hAnsi="宋体" w:eastAsia="宋体" w:cs="宋体"/>
          <w:sz w:val="22"/>
          <w:szCs w:val="22"/>
        </w:rPr>
        <w:t>甲方应按本合同约定的时间和方式定时向乙方支付保安服务费。</w:t>
      </w:r>
    </w:p>
    <w:p w14:paraId="69C1729D">
      <w:pPr>
        <w:pStyle w:val="21"/>
        <w:keepNext w:val="0"/>
        <w:keepLines w:val="0"/>
        <w:pageBreakBefore w:val="0"/>
        <w:widowControl w:val="0"/>
        <w:numPr>
          <w:ilvl w:val="0"/>
          <w:numId w:val="18"/>
        </w:numPr>
        <w:kinsoku/>
        <w:wordWrap/>
        <w:overflowPunct/>
        <w:topLinePunct w:val="0"/>
        <w:bidi w:val="0"/>
        <w:snapToGrid/>
        <w:spacing w:after="0" w:line="360" w:lineRule="auto"/>
        <w:ind w:left="426" w:hanging="334" w:hangingChars="152"/>
        <w:jc w:val="left"/>
        <w:textAlignment w:val="auto"/>
        <w:rPr>
          <w:rFonts w:hint="eastAsia" w:ascii="宋体" w:hAnsi="宋体" w:eastAsia="宋体" w:cs="宋体"/>
          <w:sz w:val="22"/>
          <w:szCs w:val="22"/>
        </w:rPr>
      </w:pPr>
      <w:r>
        <w:rPr>
          <w:rFonts w:hint="eastAsia" w:ascii="宋体" w:hAnsi="宋体" w:eastAsia="宋体" w:cs="宋体"/>
          <w:sz w:val="22"/>
          <w:szCs w:val="22"/>
        </w:rPr>
        <w:t>甲方应确保保安员每月享有半天的政治学习和业务培训的时间，并予以支持、落实代班人员。</w:t>
      </w:r>
    </w:p>
    <w:p w14:paraId="7800E7F3">
      <w:pPr>
        <w:pStyle w:val="21"/>
        <w:keepNext w:val="0"/>
        <w:keepLines w:val="0"/>
        <w:pageBreakBefore w:val="0"/>
        <w:widowControl w:val="0"/>
        <w:numPr>
          <w:ilvl w:val="0"/>
          <w:numId w:val="17"/>
        </w:numPr>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乙方的权利义务</w:t>
      </w:r>
    </w:p>
    <w:p w14:paraId="06DFB89B">
      <w:pPr>
        <w:pStyle w:val="21"/>
        <w:keepNext w:val="0"/>
        <w:keepLines w:val="0"/>
        <w:pageBreakBefore w:val="0"/>
        <w:widowControl w:val="0"/>
        <w:kinsoku/>
        <w:wordWrap/>
        <w:overflowPunct/>
        <w:topLinePunct w:val="0"/>
        <w:bidi w:val="0"/>
        <w:snapToGrid/>
        <w:spacing w:after="0"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应依法维护甲方的利益，严格要求保安员履行下列职责和要求，并遵守甲方符合法律规定的各项规章制度：</w:t>
      </w:r>
    </w:p>
    <w:p w14:paraId="53378377">
      <w:pPr>
        <w:pStyle w:val="21"/>
        <w:keepNext w:val="0"/>
        <w:keepLines w:val="0"/>
        <w:pageBreakBefore w:val="0"/>
        <w:widowControl w:val="0"/>
        <w:numPr>
          <w:ilvl w:val="0"/>
          <w:numId w:val="19"/>
        </w:numPr>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乙方承担工作区域内安全保卫相关责任。</w:t>
      </w:r>
    </w:p>
    <w:p w14:paraId="77AAEA0D">
      <w:pPr>
        <w:pStyle w:val="21"/>
        <w:keepNext w:val="0"/>
        <w:keepLines w:val="0"/>
        <w:pageBreakBefore w:val="0"/>
        <w:widowControl w:val="0"/>
        <w:numPr>
          <w:ilvl w:val="0"/>
          <w:numId w:val="19"/>
        </w:numPr>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乙方所有人员发生的事故由乙方自行全权负责，甲方不承担任何责任及经济责任。在乙方的责任区内由于乙方原因导致第三方的事故由乙方负责，甲方不承担任何责任及经济责任，如导致甲方先行赔付的,甲方有权向乙方追偿。</w:t>
      </w:r>
    </w:p>
    <w:p w14:paraId="29B5CE5E">
      <w:pPr>
        <w:pStyle w:val="21"/>
        <w:keepNext w:val="0"/>
        <w:keepLines w:val="0"/>
        <w:pageBreakBefore w:val="0"/>
        <w:widowControl w:val="0"/>
        <w:numPr>
          <w:ilvl w:val="0"/>
          <w:numId w:val="19"/>
        </w:numPr>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乙方招录的安保人员，必须符合有关规定，听从甲方的指挥。</w:t>
      </w:r>
    </w:p>
    <w:p w14:paraId="4E96344A">
      <w:pPr>
        <w:pStyle w:val="21"/>
        <w:keepNext w:val="0"/>
        <w:keepLines w:val="0"/>
        <w:pageBreakBefore w:val="0"/>
        <w:widowControl w:val="0"/>
        <w:numPr>
          <w:ilvl w:val="0"/>
          <w:numId w:val="19"/>
        </w:numPr>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安保人员在工作区域内执行安全保卫任务。</w:t>
      </w:r>
    </w:p>
    <w:p w14:paraId="16F7861D">
      <w:pPr>
        <w:pStyle w:val="21"/>
        <w:keepNext w:val="0"/>
        <w:keepLines w:val="0"/>
        <w:pageBreakBefore w:val="0"/>
        <w:widowControl w:val="0"/>
        <w:numPr>
          <w:ilvl w:val="0"/>
          <w:numId w:val="19"/>
        </w:numPr>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甲方与乙方派出的安保人员无劳动合同关系，乙方派出的安保人员发生劳资纠纷由乙方负责，与甲方无关。乙方必须为安保人员投保人身意外伤害险和社会保险，如发生意外伤害一切责任由乙方承担。</w:t>
      </w:r>
    </w:p>
    <w:p w14:paraId="1E244161">
      <w:pPr>
        <w:pStyle w:val="21"/>
        <w:keepNext w:val="0"/>
        <w:keepLines w:val="0"/>
        <w:pageBreakBefore w:val="0"/>
        <w:widowControl w:val="0"/>
        <w:numPr>
          <w:ilvl w:val="0"/>
          <w:numId w:val="19"/>
        </w:numPr>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所有人员的服装费用由乙方自行负责配备，服装方案和款式需经甲方核准。</w:t>
      </w:r>
    </w:p>
    <w:p w14:paraId="73DDC31D">
      <w:pPr>
        <w:pStyle w:val="21"/>
        <w:keepNext w:val="0"/>
        <w:keepLines w:val="0"/>
        <w:pageBreakBefore w:val="0"/>
        <w:widowControl w:val="0"/>
        <w:numPr>
          <w:ilvl w:val="0"/>
          <w:numId w:val="19"/>
        </w:numPr>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乙方招聘人员须通过有关部门政审后录用。乙方与甲方签订保密责任书，加强保密管理工作，明确保密责任，规范保密行为，确保国家机密和机关秘密安全。</w:t>
      </w:r>
    </w:p>
    <w:p w14:paraId="0E0470AF">
      <w:pPr>
        <w:pStyle w:val="21"/>
        <w:keepNext w:val="0"/>
        <w:keepLines w:val="0"/>
        <w:pageBreakBefore w:val="0"/>
        <w:widowControl w:val="0"/>
        <w:numPr>
          <w:ilvl w:val="0"/>
          <w:numId w:val="19"/>
        </w:numPr>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人身安全责任</w:t>
      </w:r>
    </w:p>
    <w:p w14:paraId="1E908731">
      <w:pPr>
        <w:pStyle w:val="21"/>
        <w:keepNext w:val="0"/>
        <w:keepLines w:val="0"/>
        <w:pageBreakBefore w:val="0"/>
        <w:widowControl w:val="0"/>
        <w:kinsoku/>
        <w:wordWrap/>
        <w:overflowPunct/>
        <w:topLinePunct w:val="0"/>
        <w:bidi w:val="0"/>
        <w:snapToGrid/>
        <w:spacing w:after="0"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1、第三者责任保险</w:t>
      </w:r>
    </w:p>
    <w:p w14:paraId="67C9E732">
      <w:pPr>
        <w:pStyle w:val="21"/>
        <w:keepNext w:val="0"/>
        <w:keepLines w:val="0"/>
        <w:pageBreakBefore w:val="0"/>
        <w:widowControl w:val="0"/>
        <w:kinsoku/>
        <w:wordWrap/>
        <w:overflowPunct/>
        <w:topLinePunct w:val="0"/>
        <w:bidi w:val="0"/>
        <w:snapToGrid/>
        <w:spacing w:after="0"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①乙方应对己方的服务人员以及第三方全权负责（乙方应投保第三责任险），在乙方的责任区内由于乙方原因导致第三方的人身伤害事故由乙方负责，甲方不承担任何责任，若甲方因此受到损失的，有权向乙方全额追偿。</w:t>
      </w:r>
    </w:p>
    <w:p w14:paraId="57D8538D">
      <w:pPr>
        <w:pStyle w:val="21"/>
        <w:keepNext w:val="0"/>
        <w:keepLines w:val="0"/>
        <w:pageBreakBefore w:val="0"/>
        <w:widowControl w:val="0"/>
        <w:kinsoku/>
        <w:wordWrap/>
        <w:overflowPunct/>
        <w:topLinePunct w:val="0"/>
        <w:bidi w:val="0"/>
        <w:snapToGrid/>
        <w:spacing w:after="0"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②乙方需在承包期内向甲方出示此保险单及已付清保险费的收据。</w:t>
      </w:r>
    </w:p>
    <w:p w14:paraId="62F66DEC">
      <w:pPr>
        <w:pStyle w:val="21"/>
        <w:keepNext w:val="0"/>
        <w:keepLines w:val="0"/>
        <w:pageBreakBefore w:val="0"/>
        <w:widowControl w:val="0"/>
        <w:kinsoku/>
        <w:wordWrap/>
        <w:overflowPunct/>
        <w:topLinePunct w:val="0"/>
        <w:bidi w:val="0"/>
        <w:snapToGrid/>
        <w:spacing w:after="0"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2、服务人员人身意外</w:t>
      </w:r>
    </w:p>
    <w:p w14:paraId="318CBA46">
      <w:pPr>
        <w:pStyle w:val="21"/>
        <w:keepNext w:val="0"/>
        <w:keepLines w:val="0"/>
        <w:pageBreakBefore w:val="0"/>
        <w:widowControl w:val="0"/>
        <w:kinsoku/>
        <w:wordWrap/>
        <w:overflowPunct/>
        <w:topLinePunct w:val="0"/>
        <w:bidi w:val="0"/>
        <w:snapToGrid/>
        <w:spacing w:after="0"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在承包期内，乙方所有人员的人身安全由乙方全权负责（乙方应对其员工投保人身意外险）。</w:t>
      </w:r>
    </w:p>
    <w:p w14:paraId="113B12C2">
      <w:pPr>
        <w:pStyle w:val="21"/>
        <w:keepNext w:val="0"/>
        <w:keepLines w:val="0"/>
        <w:pageBreakBefore w:val="0"/>
        <w:widowControl w:val="0"/>
        <w:kinsoku/>
        <w:wordWrap/>
        <w:overflowPunct/>
        <w:topLinePunct w:val="0"/>
        <w:bidi w:val="0"/>
        <w:snapToGrid/>
        <w:spacing w:after="0"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3、其他保险及费用</w:t>
      </w:r>
    </w:p>
    <w:p w14:paraId="0D9AC1AB">
      <w:pPr>
        <w:pStyle w:val="21"/>
        <w:keepNext w:val="0"/>
        <w:keepLines w:val="0"/>
        <w:pageBreakBefore w:val="0"/>
        <w:widowControl w:val="0"/>
        <w:kinsoku/>
        <w:wordWrap/>
        <w:overflowPunct/>
        <w:topLinePunct w:val="0"/>
        <w:bidi w:val="0"/>
        <w:snapToGrid/>
        <w:spacing w:after="0"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乙方应按政府有关规定与全体服务人员签订劳动合同，负责为全体服务人员办理社会保险并交纳相关费用。</w:t>
      </w:r>
    </w:p>
    <w:p w14:paraId="328A2878">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（8）乙方所有人员发生的事故由乙方自行全权负责，甲方不承担任何责任及经济责任。在乙方的责任区内由于乙方原因导致第三方的事故由乙方负责，甲方不承担任何责任及经济责任。</w:t>
      </w:r>
    </w:p>
    <w:p w14:paraId="421C2034">
      <w:pPr>
        <w:pStyle w:val="21"/>
        <w:keepNext w:val="0"/>
        <w:keepLines w:val="0"/>
        <w:pageBreakBefore w:val="0"/>
        <w:widowControl w:val="0"/>
        <w:numPr>
          <w:ilvl w:val="0"/>
          <w:numId w:val="20"/>
        </w:numPr>
        <w:kinsoku/>
        <w:wordWrap/>
        <w:overflowPunct/>
        <w:topLinePunct w:val="0"/>
        <w:bidi w:val="0"/>
        <w:snapToGrid/>
        <w:spacing w:after="0" w:line="360" w:lineRule="auto"/>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rPr>
        <w:t>保安执勤人员必须认真履行职责，严格遵守《保安员守则》的规定，保守客户业务机密，做好门卫，巡逻执勤，防火、防盗、防破坏、防自然灾害事故等安全防范工作。如发生纠纷或打架斗殴等积极劝阻制止，并向当地公安机关及甲方领导报告。执勤点有不安全因素要向甲方领导建议，由</w:t>
      </w:r>
      <w:r>
        <w:rPr>
          <w:rFonts w:hint="eastAsia" w:ascii="宋体" w:hAnsi="宋体" w:eastAsia="宋体" w:cs="宋体"/>
          <w:color w:val="000000" w:themeColor="text1"/>
          <w:sz w:val="22"/>
          <w:szCs w:val="22"/>
          <w14:textFill>
            <w14:solidFill>
              <w14:schemeClr w14:val="tx1"/>
            </w14:solidFill>
          </w14:textFill>
        </w:rPr>
        <w:t>甲方采取弥补措施。并应安装、配备必要保安防盗报警装置和消防器材。</w:t>
      </w:r>
      <w:r>
        <w:rPr>
          <w:rFonts w:hint="eastAsia" w:ascii="宋体" w:hAnsi="宋体" w:eastAsia="宋体" w:cs="宋体"/>
          <w:sz w:val="22"/>
          <w:szCs w:val="22"/>
        </w:rPr>
        <w:t>服务期开始一个月内，乙方应将《保安员守则》向甲方备案，如有变更，变更后的《保安员守则》应及时向甲方备案。</w:t>
      </w:r>
    </w:p>
    <w:p w14:paraId="7EEA1F4B">
      <w:pPr>
        <w:pStyle w:val="21"/>
        <w:keepNext w:val="0"/>
        <w:keepLines w:val="0"/>
        <w:pageBreakBefore w:val="0"/>
        <w:widowControl w:val="0"/>
        <w:numPr>
          <w:ilvl w:val="0"/>
          <w:numId w:val="20"/>
        </w:numPr>
        <w:kinsoku/>
        <w:wordWrap/>
        <w:overflowPunct/>
        <w:topLinePunct w:val="0"/>
        <w:bidi w:val="0"/>
        <w:snapToGrid/>
        <w:spacing w:after="0" w:line="360" w:lineRule="auto"/>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严格按规定着装，佩戴保安标志和上岗证件，注重仪表仪容。着装整齐，值班时不准擅离岗位、不准嬉笑打闹、不准看书报吃零食、不准玩手机及进行其他与工作无关的事。保持门岗内外清洁卫生。</w:t>
      </w:r>
    </w:p>
    <w:p w14:paraId="5EDE343B">
      <w:pPr>
        <w:pStyle w:val="21"/>
        <w:keepNext w:val="0"/>
        <w:keepLines w:val="0"/>
        <w:pageBreakBefore w:val="0"/>
        <w:widowControl w:val="0"/>
        <w:numPr>
          <w:ilvl w:val="0"/>
          <w:numId w:val="20"/>
        </w:numPr>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color w:val="000000" w:themeColor="text1"/>
          <w:sz w:val="22"/>
          <w:szCs w:val="22"/>
          <w14:textFill>
            <w14:solidFill>
              <w14:schemeClr w14:val="tx1"/>
            </w14:solidFill>
          </w14:textFill>
        </w:rPr>
        <w:t>坚持文明执勤、礼貌待人，不讲脏话。处理问题时</w:t>
      </w:r>
      <w:r>
        <w:rPr>
          <w:rFonts w:hint="eastAsia" w:ascii="宋体" w:hAnsi="宋体" w:eastAsia="宋体" w:cs="宋体"/>
          <w:sz w:val="22"/>
          <w:szCs w:val="22"/>
        </w:rPr>
        <w:t>要讲原则，态度和气不急不躁，以理服人，遇到争执不下的时候，可向甲方汇报。</w:t>
      </w:r>
    </w:p>
    <w:p w14:paraId="53B8BA5D">
      <w:pPr>
        <w:pStyle w:val="21"/>
        <w:keepNext w:val="0"/>
        <w:keepLines w:val="0"/>
        <w:pageBreakBefore w:val="0"/>
        <w:widowControl w:val="0"/>
        <w:numPr>
          <w:ilvl w:val="0"/>
          <w:numId w:val="20"/>
        </w:numPr>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做好来客登记、联系工作、信件收发工作，不准私拆单位及个人信件，不准打与工作无关的电话。认真填写保安执勤记录表，在甲方需要时及时提供。</w:t>
      </w:r>
    </w:p>
    <w:p w14:paraId="6517C0EC">
      <w:pPr>
        <w:pStyle w:val="21"/>
        <w:keepNext w:val="0"/>
        <w:keepLines w:val="0"/>
        <w:pageBreakBefore w:val="0"/>
        <w:widowControl w:val="0"/>
        <w:numPr>
          <w:ilvl w:val="0"/>
          <w:numId w:val="20"/>
        </w:numPr>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落实防火、防盗、防破坏等安全防范措施，发现责任区域内的安全隐患，及时报告甲方并协助予以处理。</w:t>
      </w:r>
    </w:p>
    <w:p w14:paraId="4D5EBD40">
      <w:pPr>
        <w:pStyle w:val="21"/>
        <w:keepNext w:val="0"/>
        <w:keepLines w:val="0"/>
        <w:pageBreakBefore w:val="0"/>
        <w:widowControl w:val="0"/>
        <w:numPr>
          <w:ilvl w:val="0"/>
          <w:numId w:val="20"/>
        </w:numPr>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确保保安员必须经过正规的保安培训，无违法犯罪前科，身体健康合格。</w:t>
      </w:r>
    </w:p>
    <w:p w14:paraId="750F68FF">
      <w:pPr>
        <w:pStyle w:val="21"/>
        <w:keepNext w:val="0"/>
        <w:keepLines w:val="0"/>
        <w:pageBreakBefore w:val="0"/>
        <w:widowControl w:val="0"/>
        <w:numPr>
          <w:ilvl w:val="0"/>
          <w:numId w:val="20"/>
        </w:numPr>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加强对保安员在岗的业务培训、政治思想、职业道德教育，工作监督和管理，确保安全服务的优质高效。</w:t>
      </w:r>
    </w:p>
    <w:p w14:paraId="5FF7E051">
      <w:pPr>
        <w:pStyle w:val="21"/>
        <w:keepNext w:val="0"/>
        <w:keepLines w:val="0"/>
        <w:pageBreakBefore w:val="0"/>
        <w:widowControl w:val="0"/>
        <w:numPr>
          <w:ilvl w:val="0"/>
          <w:numId w:val="20"/>
        </w:numPr>
        <w:kinsoku/>
        <w:wordWrap/>
        <w:overflowPunct/>
        <w:topLinePunct w:val="0"/>
        <w:bidi w:val="0"/>
        <w:snapToGrid/>
        <w:spacing w:after="0" w:line="360" w:lineRule="auto"/>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确保保安人员数量按照</w:t>
      </w:r>
      <w:r>
        <w:rPr>
          <w:rFonts w:hint="eastAsia" w:ascii="宋体" w:hAnsi="宋体" w:eastAsia="宋体" w:cs="宋体"/>
          <w:color w:val="000000" w:themeColor="text1"/>
          <w:sz w:val="22"/>
          <w:szCs w:val="22"/>
          <w:highlight w:val="none"/>
          <w14:textFill>
            <w14:solidFill>
              <w14:schemeClr w14:val="tx1"/>
            </w14:solidFill>
          </w14:textFill>
        </w:rPr>
        <w:t>甲方要求提供，未经甲方允许，不得擅自减少保安人员数量，否则一般岗位人员每缺编1名，扣减6000元/月；形象岗位、消控岗位和管理岗位人员每缺编1名，扣减10000元/月的违约金，并且因此造成甲方损失的由乙方负责赔偿。</w:t>
      </w:r>
    </w:p>
    <w:p w14:paraId="55462CBF">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第六条 收费标准及支付方式</w:t>
      </w:r>
    </w:p>
    <w:p w14:paraId="0CA7E32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sz w:val="22"/>
          <w:szCs w:val="22"/>
          <w:highlight w:val="none"/>
        </w:rPr>
      </w:pPr>
      <w:r>
        <w:rPr>
          <w:rFonts w:hint="eastAsia" w:ascii="宋体" w:hAnsi="宋体" w:cs="宋体"/>
          <w:b w:val="0"/>
          <w:bCs w:val="0"/>
          <w:sz w:val="22"/>
          <w:szCs w:val="22"/>
          <w:highlight w:val="none"/>
          <w:lang w:val="en-US" w:eastAsia="zh-CN"/>
        </w:rPr>
        <w:t>合同签订后甲方支付合同总金额的25%作为预付款，</w:t>
      </w:r>
      <w:r>
        <w:rPr>
          <w:rFonts w:hint="eastAsia" w:ascii="宋体" w:hAnsi="宋体" w:eastAsia="宋体" w:cs="宋体"/>
          <w:b w:val="0"/>
          <w:bCs w:val="0"/>
          <w:sz w:val="22"/>
          <w:szCs w:val="22"/>
          <w:highlight w:val="none"/>
          <w:lang w:val="en-US" w:eastAsia="zh-CN"/>
        </w:rPr>
        <w:t>乙方开具增值税发票，甲方在收到发票的7个工作日内</w:t>
      </w:r>
      <w:r>
        <w:rPr>
          <w:rFonts w:hint="eastAsia" w:ascii="宋体" w:hAnsi="宋体" w:cs="宋体"/>
          <w:b w:val="0"/>
          <w:bCs w:val="0"/>
          <w:sz w:val="22"/>
          <w:szCs w:val="22"/>
          <w:highlight w:val="none"/>
          <w:lang w:val="en-US" w:eastAsia="zh-CN"/>
        </w:rPr>
        <w:t>完成支付</w:t>
      </w:r>
      <w:r>
        <w:rPr>
          <w:rFonts w:hint="eastAsia" w:ascii="宋体" w:hAnsi="宋体" w:eastAsia="宋体" w:cs="宋体"/>
          <w:b w:val="0"/>
          <w:bCs w:val="0"/>
          <w:sz w:val="22"/>
          <w:szCs w:val="22"/>
          <w:highlight w:val="none"/>
        </w:rPr>
        <w:t>。</w:t>
      </w:r>
      <w:r>
        <w:rPr>
          <w:rFonts w:hint="eastAsia" w:ascii="宋体" w:hAnsi="宋体" w:cs="宋体"/>
          <w:b w:val="0"/>
          <w:bCs w:val="0"/>
          <w:sz w:val="22"/>
          <w:szCs w:val="22"/>
          <w:highlight w:val="none"/>
          <w:lang w:eastAsia="zh-CN"/>
        </w:rPr>
        <w:t>（</w:t>
      </w:r>
      <w:r>
        <w:rPr>
          <w:rFonts w:hint="eastAsia" w:ascii="宋体" w:hAnsi="宋体"/>
          <w:color w:val="auto"/>
          <w:spacing w:val="6"/>
          <w:sz w:val="22"/>
          <w:szCs w:val="22"/>
          <w:highlight w:val="none"/>
        </w:rPr>
        <w:t>在签订合同时，供应商明确表示无需预付款或者主动要求降低预付款比例的，采购单位可不适用前述规定。</w:t>
      </w:r>
      <w:r>
        <w:rPr>
          <w:rFonts w:hint="eastAsia" w:ascii="宋体" w:hAnsi="宋体"/>
          <w:color w:val="auto"/>
          <w:spacing w:val="6"/>
          <w:sz w:val="22"/>
          <w:szCs w:val="22"/>
          <w:highlight w:val="none"/>
          <w:lang w:eastAsia="zh-CN"/>
        </w:rPr>
        <w:t>）</w:t>
      </w:r>
    </w:p>
    <w:p w14:paraId="1407E6C9">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甲方按每人￥</w:t>
      </w:r>
      <w:r>
        <w:rPr>
          <w:rFonts w:hint="eastAsia" w:ascii="宋体" w:hAnsi="宋体" w:eastAsia="宋体" w:cs="宋体"/>
          <w:b w:val="0"/>
          <w:bCs w:val="0"/>
          <w:sz w:val="22"/>
          <w:szCs w:val="22"/>
          <w:highlight w:val="none"/>
          <w:lang w:val="en-US" w:eastAsia="zh-CN"/>
        </w:rPr>
        <w:t xml:space="preserve">  </w:t>
      </w:r>
      <w:r>
        <w:rPr>
          <w:rFonts w:hint="eastAsia" w:ascii="宋体" w:hAnsi="宋体" w:eastAsia="宋体" w:cs="宋体"/>
          <w:b w:val="0"/>
          <w:bCs w:val="0"/>
          <w:sz w:val="22"/>
          <w:szCs w:val="22"/>
          <w:highlight w:val="none"/>
        </w:rPr>
        <w:t>元/月的标准，所需保安人员数量以采购人按实际所需为准，暂按实际人数</w:t>
      </w:r>
      <w:r>
        <w:rPr>
          <w:rFonts w:hint="eastAsia" w:ascii="宋体" w:hAnsi="宋体" w:eastAsia="宋体" w:cs="宋体"/>
          <w:b w:val="0"/>
          <w:bCs w:val="0"/>
          <w:sz w:val="22"/>
          <w:szCs w:val="22"/>
          <w:highlight w:val="none"/>
          <w:lang w:val="en-US" w:eastAsia="zh-CN"/>
        </w:rPr>
        <w:t>12</w:t>
      </w:r>
      <w:r>
        <w:rPr>
          <w:rFonts w:hint="eastAsia" w:ascii="宋体" w:hAnsi="宋体" w:eastAsia="宋体" w:cs="宋体"/>
          <w:b w:val="0"/>
          <w:bCs w:val="0"/>
          <w:sz w:val="22"/>
          <w:szCs w:val="22"/>
          <w:highlight w:val="none"/>
        </w:rPr>
        <w:t>人计算，小计￥</w:t>
      </w:r>
      <w:r>
        <w:rPr>
          <w:rFonts w:hint="eastAsia" w:ascii="宋体" w:hAnsi="宋体" w:eastAsia="宋体" w:cs="宋体"/>
          <w:b w:val="0"/>
          <w:bCs w:val="0"/>
          <w:sz w:val="22"/>
          <w:szCs w:val="22"/>
          <w:highlight w:val="none"/>
          <w:lang w:val="en-US" w:eastAsia="zh-CN"/>
        </w:rPr>
        <w:t xml:space="preserve">  </w:t>
      </w:r>
      <w:r>
        <w:rPr>
          <w:rFonts w:hint="eastAsia" w:ascii="宋体" w:hAnsi="宋体" w:eastAsia="宋体" w:cs="宋体"/>
          <w:b w:val="0"/>
          <w:bCs w:val="0"/>
          <w:sz w:val="22"/>
          <w:szCs w:val="22"/>
          <w:highlight w:val="none"/>
        </w:rPr>
        <w:t>元/月，选择以下第（3）种周期进行付款：</w:t>
      </w:r>
    </w:p>
    <w:p w14:paraId="34DD616A">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（1）、按年结算支付；</w:t>
      </w:r>
    </w:p>
    <w:p w14:paraId="4F9DCC5C">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（2）、按半年度结算支付；</w:t>
      </w:r>
    </w:p>
    <w:p w14:paraId="1F226052">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（3）、按季度结算支付；</w:t>
      </w:r>
    </w:p>
    <w:p w14:paraId="3E45743E">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 xml:space="preserve">（4）、其他：             </w:t>
      </w:r>
    </w:p>
    <w:p w14:paraId="45042166">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lang w:val="en-US" w:eastAsia="zh-CN"/>
        </w:rPr>
        <w:t>在每季度服务完成，甲方考核合格后，乙方开具增值税发票，甲方在收到发票的7个工作日内</w:t>
      </w:r>
      <w:r>
        <w:rPr>
          <w:rFonts w:hint="eastAsia" w:ascii="宋体" w:hAnsi="宋体" w:eastAsia="宋体" w:cs="宋体"/>
          <w:b w:val="0"/>
          <w:bCs w:val="0"/>
          <w:sz w:val="22"/>
          <w:szCs w:val="22"/>
          <w:highlight w:val="none"/>
        </w:rPr>
        <w:t>足额将费用汇至乙方下列帐户或以现金方式缴付</w:t>
      </w:r>
      <w:r>
        <w:rPr>
          <w:rFonts w:hint="eastAsia" w:ascii="宋体" w:hAnsi="宋体" w:cs="宋体"/>
          <w:b w:val="0"/>
          <w:bCs w:val="0"/>
          <w:sz w:val="22"/>
          <w:szCs w:val="22"/>
          <w:highlight w:val="none"/>
          <w:lang w:eastAsia="zh-CN"/>
        </w:rPr>
        <w:t>（</w:t>
      </w:r>
      <w:r>
        <w:rPr>
          <w:rFonts w:hint="eastAsia" w:ascii="宋体" w:hAnsi="宋体" w:cs="宋体"/>
          <w:b w:val="0"/>
          <w:bCs w:val="0"/>
          <w:sz w:val="22"/>
          <w:szCs w:val="22"/>
          <w:highlight w:val="none"/>
          <w:lang w:val="en-US" w:eastAsia="zh-CN"/>
        </w:rPr>
        <w:t>若已支付预付款，则第一季度费用优先从预付款项扣除后结算</w:t>
      </w:r>
      <w:r>
        <w:rPr>
          <w:rFonts w:hint="eastAsia" w:ascii="宋体" w:hAnsi="宋体" w:cs="宋体"/>
          <w:b w:val="0"/>
          <w:bCs w:val="0"/>
          <w:sz w:val="22"/>
          <w:szCs w:val="22"/>
          <w:highlight w:val="none"/>
          <w:lang w:eastAsia="zh-CN"/>
        </w:rPr>
        <w:t>）</w:t>
      </w:r>
      <w:r>
        <w:rPr>
          <w:rFonts w:hint="eastAsia" w:ascii="宋体" w:hAnsi="宋体" w:eastAsia="宋体" w:cs="宋体"/>
          <w:b w:val="0"/>
          <w:bCs w:val="0"/>
          <w:sz w:val="22"/>
          <w:szCs w:val="22"/>
          <w:highlight w:val="none"/>
        </w:rPr>
        <w:t>。</w:t>
      </w:r>
    </w:p>
    <w:p w14:paraId="299CEF82">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开户行：</w:t>
      </w:r>
    </w:p>
    <w:p w14:paraId="65F88186">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户名：</w:t>
      </w:r>
    </w:p>
    <w:p w14:paraId="77CD3C99">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账号：</w:t>
      </w:r>
      <w:r>
        <w:rPr>
          <w:rFonts w:hint="eastAsia" w:ascii="宋体" w:hAnsi="宋体" w:eastAsia="宋体" w:cs="宋体"/>
          <w:b w:val="0"/>
          <w:bCs w:val="0"/>
          <w:sz w:val="22"/>
          <w:szCs w:val="22"/>
          <w:u w:val="single"/>
        </w:rPr>
        <w:t xml:space="preserve"> </w:t>
      </w:r>
    </w:p>
    <w:p w14:paraId="6C70C383">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rPr>
        <w:t>第七条 督查考核：</w:t>
      </w:r>
    </w:p>
    <w:p w14:paraId="4D5BCC92">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甲方每月定期、不定期对乙方派出的安保队伍根据考核内容进行督查考核，考核合格支付全额服务费，考核扣分超10分的，按附件中 《考核办法》内容扣留服务费，直至终止合同。</w:t>
      </w:r>
    </w:p>
    <w:p w14:paraId="72A429A4">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第八条 违约处理</w:t>
      </w:r>
    </w:p>
    <w:p w14:paraId="4DA5BF91">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bCs/>
          <w:sz w:val="22"/>
          <w:szCs w:val="22"/>
        </w:rPr>
      </w:pPr>
      <w:r>
        <w:rPr>
          <w:rFonts w:hint="eastAsia" w:ascii="宋体" w:hAnsi="宋体" w:eastAsia="宋体" w:cs="宋体"/>
          <w:bCs/>
          <w:sz w:val="22"/>
          <w:szCs w:val="22"/>
          <w:highlight w:val="none"/>
        </w:rPr>
        <w:t>1、甲方未按照本合同规定支付服务费且超过30天仍未支付的</w:t>
      </w:r>
      <w:r>
        <w:rPr>
          <w:rFonts w:hint="eastAsia" w:ascii="宋体" w:hAnsi="宋体" w:eastAsia="宋体" w:cs="宋体"/>
          <w:bCs/>
          <w:sz w:val="22"/>
          <w:szCs w:val="22"/>
        </w:rPr>
        <w:t>，乙方有权中止服务，因此所造成的损失与乙方无关。</w:t>
      </w:r>
    </w:p>
    <w:p w14:paraId="5E352398">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2、乙方未严格按照合同履行义务，经甲方三次（含本数）提出异议仍未改善的，甲方有权单方面解除合同，因此所造成乙方的损失与甲方无关</w:t>
      </w:r>
      <w:r>
        <w:rPr>
          <w:rFonts w:hint="eastAsia" w:ascii="宋体" w:hAnsi="宋体" w:eastAsia="宋体" w:cs="宋体"/>
          <w:color w:val="000000" w:themeColor="text1"/>
          <w:sz w:val="22"/>
          <w:szCs w:val="22"/>
          <w14:textFill>
            <w14:solidFill>
              <w14:schemeClr w14:val="tx1"/>
            </w14:solidFill>
          </w14:textFill>
        </w:rPr>
        <w:t xml:space="preserve">，因此造成甲方的损失由乙方赔偿。   </w:t>
      </w:r>
    </w:p>
    <w:p w14:paraId="194059F8">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3、因乙方原因或未严格按照合同履行义务，致使甲方或第三方人身、财产损失，由乙方负责赔偿。若造成甲方先行赔付的，甲方有权向乙方追偿。</w:t>
      </w:r>
    </w:p>
    <w:p w14:paraId="17EABC6F">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4、乙方中途不得无故终止服务，否则造成的一切损失由乙方承担。</w:t>
      </w:r>
    </w:p>
    <w:p w14:paraId="16F554C1">
      <w:pPr>
        <w:pStyle w:val="22"/>
        <w:keepNext w:val="0"/>
        <w:keepLines w:val="0"/>
        <w:pageBreakBefore w:val="0"/>
        <w:widowControl w:val="0"/>
        <w:kinsoku/>
        <w:wordWrap/>
        <w:overflowPunct/>
        <w:topLinePunct w:val="0"/>
        <w:bidi w:val="0"/>
        <w:snapToGrid/>
        <w:spacing w:line="360" w:lineRule="auto"/>
        <w:ind w:firstLine="0" w:firstLineChars="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rPr>
        <w:t>5、</w:t>
      </w:r>
      <w:r>
        <w:rPr>
          <w:rFonts w:hint="eastAsia" w:ascii="宋体" w:hAnsi="宋体" w:eastAsia="宋体" w:cs="宋体"/>
          <w:color w:val="000000" w:themeColor="text1"/>
          <w:sz w:val="22"/>
          <w:szCs w:val="22"/>
          <w14:textFill>
            <w14:solidFill>
              <w14:schemeClr w14:val="tx1"/>
            </w14:solidFill>
          </w14:textFill>
        </w:rPr>
        <w:t>乙方在履行本合同中知悉的有关保密信息应永久保密，否则乙方应向甲方支付本合同金额</w:t>
      </w:r>
      <w:r>
        <w:rPr>
          <w:rFonts w:hint="eastAsia" w:ascii="宋体" w:hAnsi="宋体" w:eastAsia="宋体" w:cs="宋体"/>
          <w:color w:val="000000" w:themeColor="text1"/>
          <w:sz w:val="22"/>
          <w:szCs w:val="22"/>
          <w:u w:val="single"/>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%的违约金，违约金不足以弥补甲方损失的，乙方应补足，涉及刑事的移交相关部门处理。</w:t>
      </w:r>
    </w:p>
    <w:p w14:paraId="061E69AC">
      <w:pPr>
        <w:pStyle w:val="23"/>
        <w:keepNext w:val="0"/>
        <w:keepLines w:val="0"/>
        <w:pageBreakBefore w:val="0"/>
        <w:widowControl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000000" w:themeColor="text1"/>
          <w:sz w:val="22"/>
          <w:szCs w:val="22"/>
          <w14:textFill>
            <w14:solidFill>
              <w14:schemeClr w14:val="tx1"/>
            </w14:solidFill>
          </w14:textFill>
        </w:rPr>
      </w:pPr>
      <w:bookmarkStart w:id="75" w:name="_Hlk157586842"/>
      <w:r>
        <w:rPr>
          <w:rFonts w:hint="eastAsia" w:ascii="宋体" w:hAnsi="宋体" w:eastAsia="宋体" w:cs="宋体"/>
          <w:color w:val="000000" w:themeColor="text1"/>
          <w:sz w:val="22"/>
          <w:szCs w:val="22"/>
          <w14:textFill>
            <w14:solidFill>
              <w14:schemeClr w14:val="tx1"/>
            </w14:solidFill>
          </w14:textFill>
        </w:rPr>
        <w:t>6、乙方不得将本合同部分或全部权利义务转让给第三人，否则，视为根本违约，甲方有权单方解除合同，乙方应向甲方支付违约金，违约金标准按本合同金额的</w:t>
      </w:r>
      <w:r>
        <w:rPr>
          <w:rFonts w:hint="eastAsia" w:ascii="宋体" w:hAnsi="宋体" w:eastAsia="宋体" w:cs="宋体"/>
          <w:color w:val="000000" w:themeColor="text1"/>
          <w:sz w:val="22"/>
          <w:szCs w:val="22"/>
          <w:u w:val="single"/>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%计算，违约金不足以弥补甲方损失的，乙方应据实补足。</w:t>
      </w:r>
    </w:p>
    <w:bookmarkEnd w:id="75"/>
    <w:p w14:paraId="060D7E7A">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第九条 争议处理</w:t>
      </w:r>
    </w:p>
    <w:p w14:paraId="28860E98">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在合同履行过程中，甲乙如发生与合同有关的争议，双方同意友好协商进行解决，协商不成的，任何一方均可向温州市鹿城区人民法院提起诉讼。</w:t>
      </w:r>
    </w:p>
    <w:p w14:paraId="370A007D">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第十条 合同说明</w:t>
      </w:r>
    </w:p>
    <w:p w14:paraId="260F6486">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本合同未尽事宜，双方另行协商给予补充。补充条款经双方签字盖章后，作为本合同的附件同时生效。本合同附件系本合同组成部门，与本合同具有同等效力。</w:t>
      </w:r>
    </w:p>
    <w:p w14:paraId="6EFE3C00">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双方对本合同及相关资料负有保密义务，不得公开或向第三人提供本合同及相关资料。</w:t>
      </w:r>
    </w:p>
    <w:p w14:paraId="04BB9DDF">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本合同一式</w:t>
      </w:r>
      <w:r>
        <w:rPr>
          <w:rFonts w:hint="eastAsia" w:ascii="宋体" w:hAnsi="宋体" w:eastAsia="宋体" w:cs="宋体"/>
          <w:sz w:val="22"/>
          <w:szCs w:val="22"/>
          <w:lang w:val="en-US" w:eastAsia="zh-CN"/>
        </w:rPr>
        <w:t>四</w:t>
      </w:r>
      <w:r>
        <w:rPr>
          <w:rFonts w:hint="eastAsia" w:ascii="宋体" w:hAnsi="宋体" w:eastAsia="宋体" w:cs="宋体"/>
          <w:sz w:val="22"/>
          <w:szCs w:val="22"/>
        </w:rPr>
        <w:t>份，甲乙双方各执</w:t>
      </w:r>
      <w:r>
        <w:rPr>
          <w:rFonts w:hint="eastAsia" w:ascii="宋体" w:hAnsi="宋体" w:eastAsia="宋体" w:cs="宋体"/>
          <w:sz w:val="22"/>
          <w:szCs w:val="22"/>
          <w:lang w:val="en-US" w:eastAsia="zh-CN"/>
        </w:rPr>
        <w:t>二</w:t>
      </w:r>
      <w:r>
        <w:rPr>
          <w:rFonts w:hint="eastAsia" w:ascii="宋体" w:hAnsi="宋体" w:eastAsia="宋体" w:cs="宋体"/>
          <w:sz w:val="22"/>
          <w:szCs w:val="22"/>
        </w:rPr>
        <w:t>份。双方签字盖章即日合同生效。</w:t>
      </w:r>
    </w:p>
    <w:p w14:paraId="7F56ED9B">
      <w:pPr>
        <w:pStyle w:val="21"/>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rPr>
        <w:t>签订声明：双方已对本合同所有条款的内容认识清楚，正确理解，确认无误，经慎重考虑，自愿同意并签署</w:t>
      </w:r>
    </w:p>
    <w:p w14:paraId="1C855D7F">
      <w:pPr>
        <w:pStyle w:val="21"/>
        <w:spacing w:after="0" w:line="400" w:lineRule="exact"/>
        <w:rPr>
          <w:rFonts w:hint="eastAsia" w:ascii="宋体" w:hAnsi="宋体" w:eastAsia="宋体" w:cs="宋体"/>
          <w:sz w:val="22"/>
          <w:szCs w:val="22"/>
        </w:rPr>
      </w:pPr>
    </w:p>
    <w:p w14:paraId="5D2AE2AB">
      <w:pPr>
        <w:pStyle w:val="21"/>
        <w:spacing w:after="0" w:line="400" w:lineRule="exact"/>
        <w:rPr>
          <w:rFonts w:hint="eastAsia" w:ascii="宋体" w:hAnsi="宋体" w:eastAsia="宋体" w:cs="宋体"/>
          <w:sz w:val="22"/>
          <w:szCs w:val="22"/>
        </w:rPr>
      </w:pPr>
    </w:p>
    <w:p w14:paraId="246D8B8A">
      <w:pPr>
        <w:pStyle w:val="21"/>
        <w:spacing w:after="0" w:line="400" w:lineRule="exact"/>
        <w:rPr>
          <w:rFonts w:hint="eastAsia" w:ascii="宋体" w:hAnsi="宋体" w:eastAsia="宋体" w:cs="宋体"/>
          <w:sz w:val="22"/>
          <w:szCs w:val="22"/>
        </w:rPr>
      </w:pPr>
    </w:p>
    <w:p w14:paraId="7C508823">
      <w:pPr>
        <w:pStyle w:val="21"/>
        <w:spacing w:after="0" w:line="400" w:lineRule="exact"/>
        <w:rPr>
          <w:rFonts w:hint="eastAsia" w:ascii="宋体" w:hAnsi="宋体" w:eastAsia="宋体" w:cs="宋体"/>
          <w:sz w:val="22"/>
          <w:szCs w:val="22"/>
        </w:rPr>
      </w:pPr>
    </w:p>
    <w:p w14:paraId="5E62D126">
      <w:pPr>
        <w:pStyle w:val="21"/>
        <w:spacing w:after="0" w:line="400" w:lineRule="exact"/>
        <w:rPr>
          <w:rFonts w:hint="eastAsia" w:ascii="宋体" w:hAnsi="宋体" w:eastAsia="宋体" w:cs="宋体"/>
          <w:sz w:val="22"/>
          <w:szCs w:val="22"/>
        </w:rPr>
      </w:pPr>
      <w:r>
        <w:rPr>
          <w:rFonts w:hint="eastAsia" w:ascii="宋体" w:hAnsi="宋体" w:eastAsia="宋体" w:cs="宋体"/>
          <w:sz w:val="22"/>
          <w:szCs w:val="22"/>
        </w:rPr>
        <w:t>甲方（签章）                               乙方（签章）</w:t>
      </w:r>
    </w:p>
    <w:p w14:paraId="7E7DCE12">
      <w:pPr>
        <w:pStyle w:val="21"/>
        <w:spacing w:after="0" w:line="400" w:lineRule="exact"/>
        <w:rPr>
          <w:rFonts w:hint="eastAsia" w:ascii="宋体" w:hAnsi="宋体" w:eastAsia="宋体" w:cs="宋体"/>
          <w:sz w:val="22"/>
          <w:szCs w:val="22"/>
        </w:rPr>
      </w:pPr>
    </w:p>
    <w:p w14:paraId="5EAE33A1">
      <w:pPr>
        <w:pStyle w:val="21"/>
        <w:spacing w:after="0" w:line="400" w:lineRule="exact"/>
        <w:rPr>
          <w:rFonts w:hint="eastAsia" w:ascii="宋体" w:hAnsi="宋体" w:eastAsia="宋体" w:cs="宋体"/>
          <w:sz w:val="22"/>
          <w:szCs w:val="22"/>
        </w:rPr>
      </w:pPr>
      <w:r>
        <w:rPr>
          <w:rFonts w:hint="eastAsia" w:ascii="宋体" w:hAnsi="宋体" w:eastAsia="宋体" w:cs="宋体"/>
          <w:sz w:val="22"/>
          <w:szCs w:val="22"/>
        </w:rPr>
        <w:t>法定代表人                                 法定代表人</w:t>
      </w:r>
    </w:p>
    <w:p w14:paraId="13BDECBD">
      <w:pPr>
        <w:pStyle w:val="21"/>
        <w:spacing w:after="0" w:line="400" w:lineRule="exact"/>
        <w:rPr>
          <w:rFonts w:hint="eastAsia" w:ascii="宋体" w:hAnsi="宋体" w:eastAsia="宋体" w:cs="宋体"/>
          <w:sz w:val="22"/>
          <w:szCs w:val="22"/>
        </w:rPr>
      </w:pPr>
    </w:p>
    <w:p w14:paraId="2905DFF6">
      <w:pPr>
        <w:pStyle w:val="21"/>
        <w:spacing w:after="0" w:line="400" w:lineRule="exact"/>
        <w:rPr>
          <w:rFonts w:hint="eastAsia" w:ascii="宋体" w:hAnsi="宋体" w:eastAsia="宋体" w:cs="宋体"/>
          <w:sz w:val="22"/>
          <w:szCs w:val="22"/>
        </w:rPr>
      </w:pPr>
      <w:r>
        <w:rPr>
          <w:rFonts w:hint="eastAsia" w:ascii="宋体" w:hAnsi="宋体" w:eastAsia="宋体" w:cs="宋体"/>
          <w:sz w:val="22"/>
          <w:szCs w:val="22"/>
        </w:rPr>
        <w:t xml:space="preserve">或授权代表（签字）                         或授权代表（签字） </w:t>
      </w:r>
    </w:p>
    <w:p w14:paraId="00418019">
      <w:pPr>
        <w:pStyle w:val="21"/>
        <w:spacing w:after="0" w:line="400" w:lineRule="exact"/>
        <w:rPr>
          <w:rFonts w:hint="eastAsia" w:ascii="宋体" w:hAnsi="宋体" w:eastAsia="宋体" w:cs="宋体"/>
          <w:sz w:val="22"/>
          <w:szCs w:val="22"/>
        </w:rPr>
      </w:pPr>
    </w:p>
    <w:p w14:paraId="0CBD8A57">
      <w:pPr>
        <w:pStyle w:val="21"/>
        <w:spacing w:after="0" w:line="400" w:lineRule="exact"/>
        <w:rPr>
          <w:rFonts w:hint="eastAsia" w:ascii="宋体" w:hAnsi="宋体" w:eastAsia="宋体" w:cs="宋体"/>
          <w:sz w:val="22"/>
          <w:szCs w:val="22"/>
        </w:rPr>
      </w:pPr>
      <w:r>
        <w:rPr>
          <w:rFonts w:hint="eastAsia" w:ascii="宋体" w:hAnsi="宋体" w:eastAsia="宋体" w:cs="宋体"/>
          <w:sz w:val="22"/>
          <w:szCs w:val="22"/>
        </w:rPr>
        <w:t>签订时间：                                 签订时间：</w:t>
      </w:r>
    </w:p>
    <w:p w14:paraId="3D8C0E8E">
      <w:pPr>
        <w:pStyle w:val="30"/>
        <w:snapToGrid w:val="0"/>
        <w:spacing w:line="360" w:lineRule="auto"/>
        <w:ind w:firstLine="1540" w:firstLineChars="700"/>
        <w:rPr>
          <w:rFonts w:hint="eastAsia" w:hAnsi="宋体" w:cs="宋体"/>
          <w:color w:val="auto"/>
          <w:sz w:val="22"/>
          <w:szCs w:val="22"/>
          <w:highlight w:val="none"/>
        </w:rPr>
      </w:pPr>
    </w:p>
    <w:p w14:paraId="313F64D2">
      <w:pPr>
        <w:spacing w:line="360" w:lineRule="auto"/>
        <w:ind w:firstLine="420"/>
        <w:rPr>
          <w:rFonts w:hint="eastAsia" w:ascii="宋体" w:hAnsi="宋体" w:cs="宋体"/>
          <w:color w:val="auto"/>
          <w:highlight w:val="none"/>
        </w:rPr>
      </w:pPr>
    </w:p>
    <w:p w14:paraId="3B833A53">
      <w:pPr>
        <w:pStyle w:val="21"/>
        <w:rPr>
          <w:rFonts w:hint="eastAsia" w:ascii="宋体" w:hAnsi="宋体" w:eastAsia="宋体" w:cs="宋体"/>
          <w:b/>
          <w:sz w:val="24"/>
        </w:rPr>
      </w:pPr>
      <w:bookmarkStart w:id="76" w:name="_Toc21106"/>
      <w:bookmarkStart w:id="77" w:name="_Toc58832091"/>
      <w:bookmarkStart w:id="78" w:name="_Toc5314"/>
    </w:p>
    <w:p w14:paraId="17D752AD">
      <w:pPr>
        <w:pStyle w:val="21"/>
        <w:rPr>
          <w:rFonts w:hint="eastAsia" w:ascii="宋体" w:hAnsi="宋体" w:eastAsia="宋体" w:cs="宋体"/>
          <w:b/>
          <w:sz w:val="24"/>
        </w:rPr>
      </w:pPr>
    </w:p>
    <w:p w14:paraId="34A12BE7">
      <w:pPr>
        <w:pStyle w:val="21"/>
        <w:rPr>
          <w:rFonts w:hint="eastAsia" w:ascii="宋体" w:hAnsi="宋体" w:eastAsia="宋体" w:cs="宋体"/>
          <w:b/>
          <w:sz w:val="24"/>
        </w:rPr>
      </w:pPr>
    </w:p>
    <w:p w14:paraId="7B635BB2">
      <w:pPr>
        <w:pStyle w:val="21"/>
        <w:rPr>
          <w:rFonts w:hint="eastAsia" w:ascii="宋体" w:hAnsi="宋体" w:eastAsia="宋体" w:cs="宋体"/>
          <w:b/>
          <w:sz w:val="24"/>
        </w:rPr>
      </w:pPr>
    </w:p>
    <w:p w14:paraId="132EE0A1">
      <w:pPr>
        <w:pStyle w:val="21"/>
        <w:rPr>
          <w:rFonts w:hint="eastAsia" w:ascii="宋体" w:hAnsi="宋体" w:eastAsia="宋体" w:cs="宋体"/>
          <w:b/>
          <w:sz w:val="24"/>
        </w:rPr>
      </w:pPr>
    </w:p>
    <w:p w14:paraId="5810E61D">
      <w:pPr>
        <w:pStyle w:val="21"/>
        <w:rPr>
          <w:rFonts w:hint="eastAsia" w:ascii="宋体" w:hAnsi="宋体" w:eastAsia="宋体" w:cs="宋体"/>
          <w:b/>
          <w:sz w:val="24"/>
        </w:rPr>
      </w:pPr>
    </w:p>
    <w:p w14:paraId="3F88190C">
      <w:pPr>
        <w:pStyle w:val="21"/>
        <w:rPr>
          <w:rFonts w:hAnsi="宋体"/>
          <w:sz w:val="84"/>
          <w:szCs w:val="84"/>
        </w:rPr>
      </w:pPr>
      <w:r>
        <w:rPr>
          <w:rFonts w:hint="eastAsia" w:ascii="宋体" w:hAnsi="宋体" w:eastAsia="宋体" w:cs="宋体"/>
          <w:b/>
          <w:sz w:val="24"/>
        </w:rPr>
        <w:t>附件</w:t>
      </w:r>
    </w:p>
    <w:p w14:paraId="15D9E2A2">
      <w:pPr>
        <w:pStyle w:val="21"/>
        <w:jc w:val="center"/>
        <w:rPr>
          <w:rFonts w:hAnsi="宋体"/>
          <w:sz w:val="84"/>
          <w:szCs w:val="84"/>
        </w:rPr>
      </w:pPr>
      <w:r>
        <w:rPr>
          <w:rFonts w:hint="eastAsia" w:hAnsi="宋体"/>
          <w:sz w:val="84"/>
          <w:szCs w:val="84"/>
        </w:rPr>
        <w:t>考核办法及细则</w:t>
      </w:r>
    </w:p>
    <w:p w14:paraId="35B42BD7"/>
    <w:p w14:paraId="2D684AE9">
      <w:pPr>
        <w:pStyle w:val="21"/>
      </w:pPr>
    </w:p>
    <w:p w14:paraId="20B367DC">
      <w:pPr>
        <w:pStyle w:val="252"/>
        <w:ind w:firstLine="210"/>
      </w:pPr>
    </w:p>
    <w:p w14:paraId="198C6DF1">
      <w:pPr>
        <w:pStyle w:val="252"/>
        <w:ind w:firstLine="0" w:firstLineChars="0"/>
      </w:pPr>
    </w:p>
    <w:p w14:paraId="2993D587">
      <w:pPr>
        <w:pStyle w:val="51"/>
        <w:rPr>
          <w:sz w:val="36"/>
          <w:szCs w:val="36"/>
        </w:rPr>
      </w:pPr>
    </w:p>
    <w:p w14:paraId="0B84FF3B">
      <w:pPr>
        <w:pStyle w:val="51"/>
        <w:rPr>
          <w:sz w:val="36"/>
          <w:szCs w:val="36"/>
        </w:rPr>
      </w:pPr>
      <w:r>
        <w:rPr>
          <w:rFonts w:hint="eastAsia"/>
          <w:sz w:val="36"/>
          <w:szCs w:val="36"/>
        </w:rPr>
        <w:t>目    录</w:t>
      </w:r>
    </w:p>
    <w:p w14:paraId="1362492F">
      <w:pPr>
        <w:pStyle w:val="51"/>
        <w:rPr>
          <w:sz w:val="36"/>
          <w:szCs w:val="36"/>
        </w:rPr>
      </w:pPr>
    </w:p>
    <w:p w14:paraId="674C089C">
      <w:pPr>
        <w:pStyle w:val="39"/>
        <w:tabs>
          <w:tab w:val="right" w:leader="dot" w:pos="9060"/>
        </w:tabs>
        <w:rPr>
          <w:rFonts w:ascii="宋体" w:hAnsi="宋体" w:cstheme="minorBidi"/>
          <w:sz w:val="27"/>
          <w:szCs w:val="28"/>
        </w:rPr>
      </w:pPr>
      <w:r>
        <w:rPr>
          <w:rFonts w:ascii="宋体" w:hAnsi="宋体"/>
          <w:b/>
          <w:bCs/>
          <w:sz w:val="36"/>
          <w:szCs w:val="36"/>
          <w:lang w:val="zh-CN"/>
        </w:rPr>
        <w:fldChar w:fldCharType="begin"/>
      </w:r>
      <w:r>
        <w:rPr>
          <w:rFonts w:ascii="宋体" w:hAnsi="宋体"/>
          <w:b/>
          <w:bCs/>
          <w:sz w:val="36"/>
          <w:szCs w:val="36"/>
          <w:lang w:val="zh-CN"/>
        </w:rPr>
        <w:instrText xml:space="preserve"> TOC \o "1-3" \h \z \u </w:instrText>
      </w:r>
      <w:r>
        <w:rPr>
          <w:rFonts w:ascii="宋体" w:hAnsi="宋体"/>
          <w:b/>
          <w:bCs/>
          <w:sz w:val="36"/>
          <w:szCs w:val="36"/>
          <w:lang w:val="zh-CN"/>
        </w:rPr>
        <w:fldChar w:fldCharType="separate"/>
      </w:r>
      <w:r>
        <w:fldChar w:fldCharType="begin"/>
      </w:r>
      <w:r>
        <w:instrText xml:space="preserve"> HYPERLINK \l "_Toc88205827" </w:instrText>
      </w:r>
      <w:r>
        <w:fldChar w:fldCharType="separate"/>
      </w:r>
      <w:r>
        <w:rPr>
          <w:rStyle w:val="65"/>
          <w:rFonts w:hint="eastAsia" w:ascii="宋体" w:hAnsi="宋体"/>
          <w:sz w:val="27"/>
          <w:szCs w:val="26"/>
          <w:lang w:eastAsia="zh-CN"/>
        </w:rPr>
        <w:t>鹿城区政务服务中心安保服务</w:t>
      </w:r>
      <w:r>
        <w:rPr>
          <w:rStyle w:val="65"/>
          <w:rFonts w:ascii="宋体" w:hAnsi="宋体"/>
          <w:sz w:val="27"/>
          <w:szCs w:val="26"/>
        </w:rPr>
        <w:t>考核办法</w:t>
      </w:r>
      <w:r>
        <w:rPr>
          <w:rFonts w:ascii="宋体" w:hAnsi="宋体"/>
          <w:sz w:val="27"/>
          <w:szCs w:val="26"/>
        </w:rPr>
        <w:tab/>
      </w:r>
      <w:r>
        <w:rPr>
          <w:rFonts w:ascii="宋体" w:hAnsi="宋体"/>
          <w:sz w:val="27"/>
          <w:szCs w:val="26"/>
        </w:rPr>
        <w:fldChar w:fldCharType="begin"/>
      </w:r>
      <w:r>
        <w:rPr>
          <w:rFonts w:ascii="宋体" w:hAnsi="宋体"/>
          <w:sz w:val="27"/>
          <w:szCs w:val="26"/>
        </w:rPr>
        <w:instrText xml:space="preserve"> PAGEREF _Toc88205827 \h </w:instrText>
      </w:r>
      <w:r>
        <w:rPr>
          <w:rFonts w:ascii="宋体" w:hAnsi="宋体"/>
          <w:sz w:val="27"/>
          <w:szCs w:val="26"/>
        </w:rPr>
        <w:fldChar w:fldCharType="separate"/>
      </w:r>
      <w:r>
        <w:rPr>
          <w:rFonts w:ascii="宋体" w:hAnsi="宋体"/>
          <w:sz w:val="27"/>
          <w:szCs w:val="26"/>
        </w:rPr>
        <w:t>10</w:t>
      </w:r>
      <w:r>
        <w:rPr>
          <w:rFonts w:ascii="宋体" w:hAnsi="宋体"/>
          <w:sz w:val="27"/>
          <w:szCs w:val="26"/>
        </w:rPr>
        <w:fldChar w:fldCharType="end"/>
      </w:r>
      <w:r>
        <w:rPr>
          <w:rFonts w:ascii="宋体" w:hAnsi="宋体"/>
          <w:sz w:val="27"/>
          <w:szCs w:val="26"/>
        </w:rPr>
        <w:fldChar w:fldCharType="end"/>
      </w:r>
    </w:p>
    <w:p w14:paraId="3C24BDEE">
      <w:pPr>
        <w:pStyle w:val="39"/>
        <w:tabs>
          <w:tab w:val="right" w:leader="dot" w:pos="9060"/>
        </w:tabs>
        <w:rPr>
          <w:rFonts w:ascii="宋体" w:hAnsi="宋体" w:cstheme="minorBidi"/>
          <w:sz w:val="27"/>
          <w:szCs w:val="28"/>
        </w:rPr>
      </w:pPr>
      <w:r>
        <w:fldChar w:fldCharType="begin"/>
      </w:r>
      <w:r>
        <w:instrText xml:space="preserve"> HYPERLINK \l "_Toc88205828" </w:instrText>
      </w:r>
      <w:r>
        <w:fldChar w:fldCharType="separate"/>
      </w:r>
      <w:r>
        <w:rPr>
          <w:rStyle w:val="65"/>
          <w:rFonts w:hint="eastAsia" w:ascii="宋体" w:hAnsi="宋体"/>
          <w:sz w:val="27"/>
          <w:szCs w:val="26"/>
          <w:lang w:eastAsia="zh-CN"/>
        </w:rPr>
        <w:t>鹿城区政务服务中心安保服务</w:t>
      </w:r>
      <w:r>
        <w:rPr>
          <w:rStyle w:val="65"/>
          <w:rFonts w:ascii="宋体" w:hAnsi="宋体"/>
          <w:sz w:val="27"/>
          <w:szCs w:val="26"/>
        </w:rPr>
        <w:t>范围与内容</w:t>
      </w:r>
      <w:r>
        <w:rPr>
          <w:rFonts w:ascii="宋体" w:hAnsi="宋体"/>
          <w:sz w:val="27"/>
          <w:szCs w:val="26"/>
        </w:rPr>
        <w:tab/>
      </w:r>
      <w:r>
        <w:rPr>
          <w:rFonts w:ascii="宋体" w:hAnsi="宋体"/>
          <w:sz w:val="27"/>
          <w:szCs w:val="26"/>
        </w:rPr>
        <w:fldChar w:fldCharType="begin"/>
      </w:r>
      <w:r>
        <w:rPr>
          <w:rFonts w:ascii="宋体" w:hAnsi="宋体"/>
          <w:sz w:val="27"/>
          <w:szCs w:val="26"/>
        </w:rPr>
        <w:instrText xml:space="preserve"> PAGEREF _Toc88205828 \h </w:instrText>
      </w:r>
      <w:r>
        <w:rPr>
          <w:rFonts w:ascii="宋体" w:hAnsi="宋体"/>
          <w:sz w:val="27"/>
          <w:szCs w:val="26"/>
        </w:rPr>
        <w:fldChar w:fldCharType="separate"/>
      </w:r>
      <w:r>
        <w:rPr>
          <w:rFonts w:ascii="宋体" w:hAnsi="宋体"/>
          <w:sz w:val="27"/>
          <w:szCs w:val="26"/>
        </w:rPr>
        <w:t>15</w:t>
      </w:r>
      <w:r>
        <w:rPr>
          <w:rFonts w:ascii="宋体" w:hAnsi="宋体"/>
          <w:sz w:val="27"/>
          <w:szCs w:val="26"/>
        </w:rPr>
        <w:fldChar w:fldCharType="end"/>
      </w:r>
      <w:r>
        <w:rPr>
          <w:rFonts w:ascii="宋体" w:hAnsi="宋体"/>
          <w:sz w:val="27"/>
          <w:szCs w:val="26"/>
        </w:rPr>
        <w:fldChar w:fldCharType="end"/>
      </w:r>
    </w:p>
    <w:p w14:paraId="3BD3300B">
      <w:pPr>
        <w:pStyle w:val="39"/>
        <w:tabs>
          <w:tab w:val="right" w:leader="dot" w:pos="9060"/>
        </w:tabs>
        <w:rPr>
          <w:rFonts w:ascii="宋体" w:hAnsi="宋体" w:cstheme="minorBidi"/>
          <w:sz w:val="27"/>
          <w:szCs w:val="28"/>
        </w:rPr>
      </w:pPr>
      <w:r>
        <w:fldChar w:fldCharType="begin"/>
      </w:r>
      <w:r>
        <w:instrText xml:space="preserve"> HYPERLINK \l "_Toc88205829" </w:instrText>
      </w:r>
      <w:r>
        <w:fldChar w:fldCharType="separate"/>
      </w:r>
      <w:r>
        <w:rPr>
          <w:rStyle w:val="65"/>
          <w:rFonts w:hint="eastAsia" w:ascii="宋体" w:hAnsi="宋体"/>
          <w:sz w:val="27"/>
          <w:szCs w:val="26"/>
          <w:lang w:eastAsia="zh-CN"/>
        </w:rPr>
        <w:t>鹿城区政务服务中心安保服务</w:t>
      </w:r>
      <w:r>
        <w:rPr>
          <w:rStyle w:val="65"/>
          <w:rFonts w:ascii="宋体" w:hAnsi="宋体"/>
          <w:sz w:val="27"/>
          <w:szCs w:val="26"/>
        </w:rPr>
        <w:t>规范</w:t>
      </w:r>
      <w:r>
        <w:rPr>
          <w:rFonts w:ascii="宋体" w:hAnsi="宋体"/>
          <w:sz w:val="27"/>
          <w:szCs w:val="26"/>
        </w:rPr>
        <w:tab/>
      </w:r>
      <w:r>
        <w:rPr>
          <w:rFonts w:ascii="宋体" w:hAnsi="宋体"/>
          <w:sz w:val="27"/>
          <w:szCs w:val="26"/>
        </w:rPr>
        <w:fldChar w:fldCharType="begin"/>
      </w:r>
      <w:r>
        <w:rPr>
          <w:rFonts w:ascii="宋体" w:hAnsi="宋体"/>
          <w:sz w:val="27"/>
          <w:szCs w:val="26"/>
        </w:rPr>
        <w:instrText xml:space="preserve"> PAGEREF _Toc88205829 \h </w:instrText>
      </w:r>
      <w:r>
        <w:rPr>
          <w:rFonts w:ascii="宋体" w:hAnsi="宋体"/>
          <w:sz w:val="27"/>
          <w:szCs w:val="26"/>
        </w:rPr>
        <w:fldChar w:fldCharType="separate"/>
      </w:r>
      <w:r>
        <w:rPr>
          <w:rFonts w:ascii="宋体" w:hAnsi="宋体"/>
          <w:sz w:val="27"/>
          <w:szCs w:val="26"/>
        </w:rPr>
        <w:t>17</w:t>
      </w:r>
      <w:r>
        <w:rPr>
          <w:rFonts w:ascii="宋体" w:hAnsi="宋体"/>
          <w:sz w:val="27"/>
          <w:szCs w:val="26"/>
        </w:rPr>
        <w:fldChar w:fldCharType="end"/>
      </w:r>
      <w:r>
        <w:rPr>
          <w:rFonts w:ascii="宋体" w:hAnsi="宋体"/>
          <w:sz w:val="27"/>
          <w:szCs w:val="26"/>
        </w:rPr>
        <w:fldChar w:fldCharType="end"/>
      </w:r>
    </w:p>
    <w:p w14:paraId="3297250A">
      <w:pPr>
        <w:snapToGrid w:val="0"/>
        <w:spacing w:line="400" w:lineRule="exact"/>
        <w:rPr>
          <w:rFonts w:ascii="宋体" w:hAnsi="宋体"/>
          <w:b/>
          <w:bCs/>
          <w:sz w:val="36"/>
          <w:szCs w:val="36"/>
          <w:lang w:val="zh-CN"/>
        </w:rPr>
      </w:pPr>
      <w:r>
        <w:rPr>
          <w:rFonts w:ascii="宋体" w:hAnsi="宋体"/>
          <w:b/>
          <w:bCs/>
          <w:sz w:val="36"/>
          <w:szCs w:val="36"/>
          <w:lang w:val="zh-CN"/>
        </w:rPr>
        <w:fldChar w:fldCharType="end"/>
      </w:r>
    </w:p>
    <w:p w14:paraId="1002C89B">
      <w:pPr>
        <w:pStyle w:val="21"/>
      </w:pPr>
    </w:p>
    <w:p w14:paraId="156B5DF6">
      <w:pPr>
        <w:widowControl/>
        <w:jc w:val="left"/>
        <w:rPr>
          <w:rFonts w:ascii="宋体" w:hAnsi="宋体"/>
          <w:b/>
          <w:bCs/>
          <w:sz w:val="32"/>
          <w:szCs w:val="32"/>
        </w:rPr>
      </w:pPr>
      <w:r>
        <w:rPr>
          <w:rFonts w:ascii="宋体" w:hAnsi="宋体"/>
          <w:b/>
          <w:bCs/>
          <w:sz w:val="32"/>
          <w:szCs w:val="32"/>
        </w:rPr>
        <w:br w:type="page"/>
      </w:r>
    </w:p>
    <w:p w14:paraId="6386B799">
      <w:pPr>
        <w:pStyle w:val="21"/>
        <w:rPr>
          <w:rFonts w:ascii="宋体" w:hAnsi="宋体" w:eastAsia="宋体" w:cs="宋体"/>
          <w:b/>
          <w:sz w:val="24"/>
        </w:rPr>
      </w:pPr>
    </w:p>
    <w:p w14:paraId="36019FAC">
      <w:pPr>
        <w:pStyle w:val="51"/>
        <w:rPr>
          <w:sz w:val="36"/>
          <w:szCs w:val="36"/>
        </w:rPr>
      </w:pPr>
      <w:bookmarkStart w:id="79" w:name="_Toc88205827"/>
      <w:r>
        <w:rPr>
          <w:rFonts w:hint="eastAsia"/>
          <w:sz w:val="36"/>
          <w:szCs w:val="36"/>
          <w:lang w:eastAsia="zh-CN"/>
        </w:rPr>
        <w:t>鹿城区政务服务中心安保服务</w:t>
      </w:r>
      <w:r>
        <w:rPr>
          <w:rFonts w:hint="eastAsia"/>
          <w:sz w:val="36"/>
          <w:szCs w:val="36"/>
        </w:rPr>
        <w:t>考核办法</w:t>
      </w:r>
      <w:bookmarkEnd w:id="79"/>
    </w:p>
    <w:p w14:paraId="63881D18">
      <w:pPr>
        <w:pStyle w:val="21"/>
        <w:rPr>
          <w:color w:val="000000" w:themeColor="text1"/>
          <w14:textFill>
            <w14:solidFill>
              <w14:schemeClr w14:val="tx1"/>
            </w14:solidFill>
          </w14:textFill>
        </w:rPr>
      </w:pPr>
    </w:p>
    <w:p w14:paraId="6386319A">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第一条为推进安保服务制度化、规范化、科学化,提升服务质量，实现“精细管理、用心服务、倾力保障”，确保</w:t>
      </w:r>
      <w:r>
        <w:rPr>
          <w:rFonts w:hint="eastAsia" w:ascii="宋体" w:hAnsi="宋体" w:cs="宋体"/>
          <w:color w:val="000000" w:themeColor="text1"/>
          <w:sz w:val="22"/>
          <w:szCs w:val="22"/>
          <w:lang w:eastAsia="zh-CN"/>
          <w14:textFill>
            <w14:solidFill>
              <w14:schemeClr w14:val="tx1"/>
            </w14:solidFill>
          </w14:textFill>
        </w:rPr>
        <w:t>鹿城区政务服务中心</w:t>
      </w:r>
      <w:r>
        <w:rPr>
          <w:rFonts w:hint="eastAsia" w:ascii="宋体" w:hAnsi="宋体" w:cs="宋体"/>
          <w:color w:val="000000" w:themeColor="text1"/>
          <w:sz w:val="22"/>
          <w:szCs w:val="22"/>
          <w14:textFill>
            <w14:solidFill>
              <w14:schemeClr w14:val="tx1"/>
            </w14:solidFill>
          </w14:textFill>
        </w:rPr>
        <w:t>安全、有序、便捷、高效运行，圆满完成安保各项工作目标，特制定本办法。</w:t>
      </w:r>
    </w:p>
    <w:p w14:paraId="795E43BA">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第二条考核对象为承担</w:t>
      </w:r>
      <w:r>
        <w:rPr>
          <w:rFonts w:hint="eastAsia" w:ascii="宋体" w:hAnsi="宋体" w:cs="宋体"/>
          <w:color w:val="000000" w:themeColor="text1"/>
          <w:sz w:val="22"/>
          <w:szCs w:val="22"/>
          <w:lang w:eastAsia="zh-CN"/>
          <w14:textFill>
            <w14:solidFill>
              <w14:schemeClr w14:val="tx1"/>
            </w14:solidFill>
          </w14:textFill>
        </w:rPr>
        <w:t>鹿城区政务服务中心安保服务</w:t>
      </w:r>
      <w:r>
        <w:rPr>
          <w:rFonts w:hint="eastAsia" w:ascii="宋体" w:hAnsi="宋体" w:cs="宋体"/>
          <w:color w:val="000000" w:themeColor="text1"/>
          <w:sz w:val="22"/>
          <w:szCs w:val="22"/>
          <w14:textFill>
            <w14:solidFill>
              <w14:schemeClr w14:val="tx1"/>
            </w14:solidFill>
          </w14:textFill>
        </w:rPr>
        <w:t>的服务单位。</w:t>
      </w:r>
    </w:p>
    <w:p w14:paraId="142290D7">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第三条考核内容</w:t>
      </w:r>
    </w:p>
    <w:p w14:paraId="02108415">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共性方面,分值20分。思想作风建设：考核职业道德、文明礼貌、工作作风、办事效率、团队精神、爱岗敬业和培训教育等。组织管理：考核组织框架层级管理、人员素质、人员管理等。制度建设：考核各项规章制度。培训教育：考核培训计划、内容、效果，员工的业务素质提高。能力建设：考核交办任务完成和应急事件处理，奖罚情况和满意率。具体见附件《</w:t>
      </w:r>
      <w:r>
        <w:rPr>
          <w:rFonts w:hint="eastAsia" w:ascii="宋体" w:hAnsi="宋体" w:cs="宋体"/>
          <w:color w:val="000000" w:themeColor="text1"/>
          <w:sz w:val="22"/>
          <w:szCs w:val="22"/>
          <w:lang w:eastAsia="zh-CN"/>
          <w14:textFill>
            <w14:solidFill>
              <w14:schemeClr w14:val="tx1"/>
            </w14:solidFill>
          </w14:textFill>
        </w:rPr>
        <w:t>鹿城区政务服务中心安保服务</w:t>
      </w:r>
      <w:r>
        <w:rPr>
          <w:rFonts w:hint="eastAsia" w:ascii="宋体" w:hAnsi="宋体" w:cs="宋体"/>
          <w:color w:val="000000" w:themeColor="text1"/>
          <w:sz w:val="22"/>
          <w:szCs w:val="22"/>
          <w14:textFill>
            <w14:solidFill>
              <w14:schemeClr w14:val="tx1"/>
            </w14:solidFill>
          </w14:textFill>
        </w:rPr>
        <w:t>考核细则（共性）》。</w:t>
      </w:r>
    </w:p>
    <w:p w14:paraId="49D68D79">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2、业务方面，分值80分。考核工作目标、工作机制和各项业务落实及合同约定的各项义务履行情况。具体见附件《</w:t>
      </w:r>
      <w:r>
        <w:rPr>
          <w:rFonts w:hint="eastAsia" w:ascii="宋体" w:hAnsi="宋体" w:cs="宋体"/>
          <w:color w:val="000000" w:themeColor="text1"/>
          <w:sz w:val="22"/>
          <w:szCs w:val="22"/>
          <w:lang w:eastAsia="zh-CN"/>
          <w14:textFill>
            <w14:solidFill>
              <w14:schemeClr w14:val="tx1"/>
            </w14:solidFill>
          </w14:textFill>
        </w:rPr>
        <w:t>鹿城区政务服务中心安保服务</w:t>
      </w:r>
      <w:r>
        <w:rPr>
          <w:rFonts w:hint="eastAsia" w:ascii="宋体" w:hAnsi="宋体" w:cs="宋体"/>
          <w:color w:val="000000" w:themeColor="text1"/>
          <w:sz w:val="22"/>
          <w:szCs w:val="22"/>
          <w14:textFill>
            <w14:solidFill>
              <w14:schemeClr w14:val="tx1"/>
            </w14:solidFill>
          </w14:textFill>
        </w:rPr>
        <w:t>考核细则（业务）》。</w:t>
      </w:r>
    </w:p>
    <w:p w14:paraId="6F6A4EED">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3、加减分方面，按实际情况设定分值。主要设日常督查、问题整改、专项活动、服务满意度回访，领导批示等考核内容。具体见附件《</w:t>
      </w:r>
      <w:r>
        <w:rPr>
          <w:rFonts w:hint="eastAsia" w:ascii="宋体" w:hAnsi="宋体" w:cs="宋体"/>
          <w:color w:val="000000" w:themeColor="text1"/>
          <w:sz w:val="22"/>
          <w:szCs w:val="22"/>
          <w:lang w:eastAsia="zh-CN"/>
          <w14:textFill>
            <w14:solidFill>
              <w14:schemeClr w14:val="tx1"/>
            </w14:solidFill>
          </w14:textFill>
        </w:rPr>
        <w:t>鹿城区政务服务中心安保服务</w:t>
      </w:r>
      <w:r>
        <w:rPr>
          <w:rFonts w:hint="eastAsia" w:ascii="宋体" w:hAnsi="宋体" w:cs="宋体"/>
          <w:color w:val="000000" w:themeColor="text1"/>
          <w:sz w:val="22"/>
          <w:szCs w:val="22"/>
          <w14:textFill>
            <w14:solidFill>
              <w14:schemeClr w14:val="tx1"/>
            </w14:solidFill>
          </w14:textFill>
        </w:rPr>
        <w:t>加减分考核细则》</w:t>
      </w:r>
    </w:p>
    <w:p w14:paraId="1AFF3A34">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4、综合评定。由共性方面、业务方面及加减分方面组成。</w:t>
      </w:r>
    </w:p>
    <w:p w14:paraId="3985FD32">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第四条加减分评定</w:t>
      </w:r>
    </w:p>
    <w:p w14:paraId="2FD3E6F7">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1、日常督查。配合共性细则出具人员定岗督查，采取定期与不定期、明查和暗访等方式进行督查。</w:t>
      </w:r>
    </w:p>
    <w:p w14:paraId="1F75C57A">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2、问题整改。配合共性及业务考核不定期抽查业务执行情况，对日常督促项目发放整改通知，纳入加减分考核项。</w:t>
      </w:r>
    </w:p>
    <w:p w14:paraId="08E82554">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3、专项活动。根据每月上报的优质项目完成情况和当月区委、区政府举办的大型或重要活动保障情况，</w:t>
      </w:r>
      <w:r>
        <w:rPr>
          <w:rFonts w:hint="eastAsia" w:ascii="宋体" w:hAnsi="宋体" w:cs="宋体"/>
          <w:color w:val="000000" w:themeColor="text1"/>
          <w:spacing w:val="-6"/>
          <w:sz w:val="22"/>
          <w:szCs w:val="22"/>
          <w14:textFill>
            <w14:solidFill>
              <w14:schemeClr w14:val="tx1"/>
            </w14:solidFill>
          </w14:textFill>
        </w:rPr>
        <w:t>视情况加减分</w:t>
      </w:r>
      <w:r>
        <w:rPr>
          <w:rFonts w:hint="eastAsia" w:ascii="宋体" w:hAnsi="宋体" w:cs="宋体"/>
          <w:color w:val="000000" w:themeColor="text1"/>
          <w:sz w:val="22"/>
          <w:szCs w:val="22"/>
          <w14:textFill>
            <w14:solidFill>
              <w14:schemeClr w14:val="tx1"/>
            </w14:solidFill>
          </w14:textFill>
        </w:rPr>
        <w:t>。</w:t>
      </w:r>
    </w:p>
    <w:p w14:paraId="7903FC59">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r>
        <w:rPr>
          <w:rFonts w:hint="eastAsia" w:ascii="宋体" w:hAnsi="宋体" w:cs="宋体"/>
          <w:color w:val="000000" w:themeColor="text1"/>
          <w:spacing w:val="-6"/>
          <w:sz w:val="22"/>
          <w:szCs w:val="22"/>
          <w14:textFill>
            <w14:solidFill>
              <w14:schemeClr w14:val="tx1"/>
            </w14:solidFill>
          </w14:textFill>
        </w:rPr>
        <w:t>领导批示。根据事件造成的影响及各级领导的批示，视情况加减分。</w:t>
      </w:r>
    </w:p>
    <w:p w14:paraId="17707E14">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5、根据其他情况，视情况加减分。</w:t>
      </w:r>
    </w:p>
    <w:p w14:paraId="059E46D4">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第五条合同约定的各项具体工作任务、目标、要求和标准作为考核依据。</w:t>
      </w:r>
    </w:p>
    <w:p w14:paraId="459E9567">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第六条考核人及考核方式</w:t>
      </w:r>
    </w:p>
    <w:p w14:paraId="56B3F13B">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鹿城区政务服务中心</w:t>
      </w:r>
      <w:r>
        <w:rPr>
          <w:rFonts w:hint="eastAsia" w:ascii="宋体" w:hAnsi="宋体" w:cs="宋体"/>
          <w:color w:val="000000" w:themeColor="text1"/>
          <w:sz w:val="22"/>
          <w:szCs w:val="22"/>
          <w14:textFill>
            <w14:solidFill>
              <w14:schemeClr w14:val="tx1"/>
            </w14:solidFill>
          </w14:textFill>
        </w:rPr>
        <w:t>作为考核人负责具体考核，按照考核细则、服务质量要求进行评定。考核采用每月一次，在月初完成上个月的考核。考核突出日常工作，对发现的问题通过现场打分、现场拍照、现场指正等方式即时记录并发书面整改通知书。考核实行扣分制，打分时按照检查中发现的问题，归入相应条款打分，在综合分中扣相应分数，单项扣分一般不超过标准得分，细则中特别注明的除外。</w:t>
      </w:r>
    </w:p>
    <w:p w14:paraId="3E4A612B">
      <w:pPr>
        <w:adjustRightInd w:val="0"/>
        <w:snapToGrid w:val="0"/>
        <w:spacing w:line="56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第七条考核人应将考核结果书面通知考核对象，考核对象对考核结果有异议的，应在3个工作日内向采购人提出书面申请，逾期考核结果自动生效。考核人与考核对象无法达成一致意见的，由</w:t>
      </w:r>
      <w:r>
        <w:rPr>
          <w:rFonts w:hint="eastAsia" w:ascii="宋体" w:hAnsi="宋体" w:cs="仿宋"/>
          <w:b/>
          <w:color w:val="000000" w:themeColor="text1"/>
          <w:sz w:val="22"/>
          <w:szCs w:val="22"/>
          <w:lang w:eastAsia="zh-CN"/>
          <w14:textFill>
            <w14:solidFill>
              <w14:schemeClr w14:val="tx1"/>
            </w14:solidFill>
          </w14:textFill>
        </w:rPr>
        <w:t>温州市鹿城区政务服务中心</w:t>
      </w:r>
      <w:r>
        <w:rPr>
          <w:rFonts w:hint="eastAsia" w:ascii="宋体" w:hAnsi="宋体" w:cs="宋体"/>
          <w:color w:val="000000" w:themeColor="text1"/>
          <w:sz w:val="22"/>
          <w:szCs w:val="22"/>
          <w14:textFill>
            <w14:solidFill>
              <w14:schemeClr w14:val="tx1"/>
            </w14:solidFill>
          </w14:textFill>
        </w:rPr>
        <w:t>确定。</w:t>
      </w:r>
    </w:p>
    <w:p w14:paraId="5C83FC99">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第八条考核结果应用</w:t>
      </w:r>
    </w:p>
    <w:p w14:paraId="2D22C590">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月度综合评定分在80分以下的，给予通报批评，并扣罚月平均服务费的5%；月度综合评定分在80(含80)-85分的，按扣罚月平均服务费的3%；月度综合评定分在85(含85)-90分的，按扣罚月平均服务费的2%；月度综合评定分在90（含90）-95分的，按扣罚月平均服务费的1%；95（含95）分以上的，每下降一分（相对100分）扣200元；100（含100）分以上的按照合同支付月实际支付费用。</w:t>
      </w:r>
    </w:p>
    <w:p w14:paraId="04BB64B2">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中标人月考核得分连续2次或年度累计3次80分以下的，作为考核对象违约，终止服务承包合同。</w:t>
      </w:r>
    </w:p>
    <w:p w14:paraId="48087D31">
      <w:pPr>
        <w:adjustRightInd w:val="0"/>
        <w:snapToGrid w:val="0"/>
        <w:spacing w:line="440" w:lineRule="exact"/>
        <w:ind w:firstLine="440" w:firstLineChars="200"/>
        <w:rPr>
          <w:rFonts w:hint="eastAsia" w:ascii="宋体" w:hAnsi="宋体" w:cs="宋体"/>
          <w:color w:val="000000" w:themeColor="text1"/>
          <w:sz w:val="22"/>
          <w:szCs w:val="22"/>
          <w:u w:val="single"/>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第九条服务单位须按照合同约定在其项目区域内配置工作人员。</w:t>
      </w:r>
      <w:r>
        <w:rPr>
          <w:rFonts w:hint="eastAsia" w:ascii="宋体" w:hAnsi="宋体" w:cs="宋体"/>
          <w:color w:val="000000" w:themeColor="text1"/>
          <w:sz w:val="22"/>
          <w:szCs w:val="22"/>
          <w:u w:val="single"/>
          <w14:textFill>
            <w14:solidFill>
              <w14:schemeClr w14:val="tx1"/>
            </w14:solidFill>
          </w14:textFill>
        </w:rPr>
        <w:t>若未按规定配置，一般岗位人员每缺编1名，扣减6000元/月</w:t>
      </w:r>
      <w:r>
        <w:rPr>
          <w:rFonts w:hint="eastAsia" w:ascii="宋体" w:hAnsi="宋体" w:cs="宋体"/>
          <w:color w:val="000000" w:themeColor="text1"/>
          <w:sz w:val="22"/>
          <w:szCs w:val="22"/>
          <w:u w:val="single"/>
          <w:lang w:eastAsia="zh-CN"/>
          <w14:textFill>
            <w14:solidFill>
              <w14:schemeClr w14:val="tx1"/>
            </w14:solidFill>
          </w14:textFill>
        </w:rPr>
        <w:t>。</w:t>
      </w:r>
    </w:p>
    <w:p w14:paraId="034B0751">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第十条对出现的问题，经指正后不按要求整改的、相关部门及领导反映并核查属实的、发生问题后报告不及时的，除了按规定直接扣分外，另加倍扣分。</w:t>
      </w:r>
    </w:p>
    <w:p w14:paraId="72820378">
      <w:pPr>
        <w:adjustRightInd w:val="0"/>
        <w:snapToGrid w:val="0"/>
        <w:spacing w:line="44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附件：</w:t>
      </w:r>
    </w:p>
    <w:p w14:paraId="3D311EDD">
      <w:pPr>
        <w:adjustRightInd w:val="0"/>
        <w:snapToGrid w:val="0"/>
        <w:spacing w:line="440" w:lineRule="exact"/>
        <w:ind w:firstLine="56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表1：</w:t>
      </w:r>
      <w:r>
        <w:rPr>
          <w:rFonts w:hint="eastAsia" w:ascii="宋体" w:hAnsi="宋体" w:cs="宋体"/>
          <w:color w:val="000000" w:themeColor="text1"/>
          <w:sz w:val="22"/>
          <w:szCs w:val="22"/>
          <w:lang w:eastAsia="zh-CN"/>
          <w14:textFill>
            <w14:solidFill>
              <w14:schemeClr w14:val="tx1"/>
            </w14:solidFill>
          </w14:textFill>
        </w:rPr>
        <w:t>鹿城区政务服务中心安保服务</w:t>
      </w:r>
      <w:r>
        <w:rPr>
          <w:rFonts w:hint="eastAsia" w:ascii="宋体" w:hAnsi="宋体" w:cs="宋体"/>
          <w:color w:val="000000" w:themeColor="text1"/>
          <w:sz w:val="22"/>
          <w:szCs w:val="22"/>
          <w14:textFill>
            <w14:solidFill>
              <w14:schemeClr w14:val="tx1"/>
            </w14:solidFill>
          </w14:textFill>
        </w:rPr>
        <w:t>考核细则（共性）</w:t>
      </w:r>
    </w:p>
    <w:p w14:paraId="209A9772">
      <w:pPr>
        <w:adjustRightInd w:val="0"/>
        <w:snapToGrid w:val="0"/>
        <w:spacing w:line="440" w:lineRule="exact"/>
        <w:ind w:firstLine="56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表2：</w:t>
      </w:r>
      <w:r>
        <w:rPr>
          <w:rFonts w:hint="eastAsia" w:ascii="宋体" w:hAnsi="宋体" w:cs="宋体"/>
          <w:color w:val="000000" w:themeColor="text1"/>
          <w:sz w:val="22"/>
          <w:szCs w:val="22"/>
          <w:lang w:eastAsia="zh-CN"/>
          <w14:textFill>
            <w14:solidFill>
              <w14:schemeClr w14:val="tx1"/>
            </w14:solidFill>
          </w14:textFill>
        </w:rPr>
        <w:t>鹿城区政务服务中心安保服务</w:t>
      </w:r>
      <w:r>
        <w:rPr>
          <w:rFonts w:hint="eastAsia" w:ascii="宋体" w:hAnsi="宋体" w:cs="宋体"/>
          <w:color w:val="000000" w:themeColor="text1"/>
          <w:sz w:val="22"/>
          <w:szCs w:val="22"/>
          <w14:textFill>
            <w14:solidFill>
              <w14:schemeClr w14:val="tx1"/>
            </w14:solidFill>
          </w14:textFill>
        </w:rPr>
        <w:t>考核细则（业务）</w:t>
      </w:r>
    </w:p>
    <w:p w14:paraId="1FD528CA">
      <w:pPr>
        <w:adjustRightInd w:val="0"/>
        <w:snapToGrid w:val="0"/>
        <w:spacing w:line="440" w:lineRule="exact"/>
        <w:ind w:firstLine="56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表3：</w:t>
      </w:r>
      <w:r>
        <w:rPr>
          <w:rFonts w:hint="eastAsia" w:ascii="宋体" w:hAnsi="宋体" w:cs="宋体"/>
          <w:color w:val="000000" w:themeColor="text1"/>
          <w:sz w:val="22"/>
          <w:szCs w:val="22"/>
          <w:lang w:eastAsia="zh-CN"/>
          <w14:textFill>
            <w14:solidFill>
              <w14:schemeClr w14:val="tx1"/>
            </w14:solidFill>
          </w14:textFill>
        </w:rPr>
        <w:t>鹿城区政务服务中心安保服务</w:t>
      </w:r>
      <w:r>
        <w:rPr>
          <w:rFonts w:hint="eastAsia" w:ascii="宋体" w:hAnsi="宋体" w:cs="宋体"/>
          <w:color w:val="000000" w:themeColor="text1"/>
          <w:sz w:val="22"/>
          <w:szCs w:val="22"/>
          <w14:textFill>
            <w14:solidFill>
              <w14:schemeClr w14:val="tx1"/>
            </w14:solidFill>
          </w14:textFill>
        </w:rPr>
        <w:t>加减分考核细则</w:t>
      </w:r>
    </w:p>
    <w:p w14:paraId="551D4AA6">
      <w:pPr>
        <w:pStyle w:val="22"/>
        <w:ind w:firstLine="210"/>
        <w:rPr>
          <w:color w:val="000000" w:themeColor="text1"/>
          <w14:textFill>
            <w14:solidFill>
              <w14:schemeClr w14:val="tx1"/>
            </w14:solidFill>
          </w14:textFill>
        </w:rPr>
      </w:pPr>
    </w:p>
    <w:p w14:paraId="108C7B43">
      <w:pPr>
        <w:pStyle w:val="22"/>
        <w:ind w:firstLine="210"/>
        <w:rPr>
          <w:color w:val="000000" w:themeColor="text1"/>
          <w14:textFill>
            <w14:solidFill>
              <w14:schemeClr w14:val="tx1"/>
            </w14:solidFill>
          </w14:textFill>
        </w:rPr>
      </w:pPr>
    </w:p>
    <w:p w14:paraId="0E933A08">
      <w:pPr>
        <w:pStyle w:val="22"/>
        <w:ind w:firstLine="210"/>
        <w:rPr>
          <w:color w:val="000000" w:themeColor="text1"/>
          <w14:textFill>
            <w14:solidFill>
              <w14:schemeClr w14:val="tx1"/>
            </w14:solidFill>
          </w14:textFill>
        </w:rPr>
      </w:pPr>
    </w:p>
    <w:p w14:paraId="5BF9CBAB">
      <w:pP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br w:type="page"/>
      </w:r>
    </w:p>
    <w:p w14:paraId="55E592DB">
      <w:pPr>
        <w:adjustRightInd w:val="0"/>
        <w:snapToGrid w:val="0"/>
        <w:spacing w:line="440" w:lineRule="exact"/>
        <w:ind w:firstLine="56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表:1：</w:t>
      </w:r>
    </w:p>
    <w:p w14:paraId="5CCB516F">
      <w:pPr>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lang w:eastAsia="zh-CN"/>
          <w14:textFill>
            <w14:solidFill>
              <w14:schemeClr w14:val="tx1"/>
            </w14:solidFill>
          </w14:textFill>
        </w:rPr>
        <w:t>鹿城区政务服务中心安保服务</w:t>
      </w:r>
      <w:r>
        <w:rPr>
          <w:rFonts w:hint="eastAsia" w:ascii="宋体" w:hAnsi="宋体" w:cs="宋体"/>
          <w:b/>
          <w:color w:val="000000" w:themeColor="text1"/>
          <w:sz w:val="32"/>
          <w:szCs w:val="32"/>
          <w14:textFill>
            <w14:solidFill>
              <w14:schemeClr w14:val="tx1"/>
            </w14:solidFill>
          </w14:textFill>
        </w:rPr>
        <w:t>考核细则（共性）</w:t>
      </w:r>
    </w:p>
    <w:tbl>
      <w:tblPr>
        <w:tblStyle w:val="54"/>
        <w:tblW w:w="10215" w:type="dxa"/>
        <w:jc w:val="center"/>
        <w:tblLayout w:type="fixed"/>
        <w:tblCellMar>
          <w:top w:w="0" w:type="dxa"/>
          <w:left w:w="108" w:type="dxa"/>
          <w:bottom w:w="0" w:type="dxa"/>
          <w:right w:w="108" w:type="dxa"/>
        </w:tblCellMar>
      </w:tblPr>
      <w:tblGrid>
        <w:gridCol w:w="457"/>
        <w:gridCol w:w="1505"/>
        <w:gridCol w:w="6263"/>
        <w:gridCol w:w="1990"/>
      </w:tblGrid>
      <w:tr w14:paraId="2905D96B">
        <w:tblPrEx>
          <w:tblCellMar>
            <w:top w:w="0" w:type="dxa"/>
            <w:left w:w="108" w:type="dxa"/>
            <w:bottom w:w="0" w:type="dxa"/>
            <w:right w:w="108" w:type="dxa"/>
          </w:tblCellMar>
        </w:tblPrEx>
        <w:trPr>
          <w:trHeight w:val="343"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390ADD3">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D939B44">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内 容</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274D67C">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考   评   内   容</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133A53A">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扣分标准</w:t>
            </w:r>
          </w:p>
        </w:tc>
      </w:tr>
      <w:tr w14:paraId="1F035782">
        <w:tblPrEx>
          <w:tblCellMar>
            <w:top w:w="0" w:type="dxa"/>
            <w:left w:w="108" w:type="dxa"/>
            <w:bottom w:w="0" w:type="dxa"/>
            <w:right w:w="108" w:type="dxa"/>
          </w:tblCellMar>
        </w:tblPrEx>
        <w:trPr>
          <w:trHeight w:val="538"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230536E">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c>
          <w:tcPr>
            <w:tcW w:w="1505"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14:paraId="7040C715">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思想作风建设</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42468FC">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员工的职业道德、工作作风、办事效率等良好，能爱岗敬业、遵章守纪、仪表端正、语言得当、举止得体，态度友善；团结、和谐。不从事非法违规活动，不从事有损委托方利益的活动。</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84665A4">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每发现一例扣0.5分</w:t>
            </w:r>
          </w:p>
        </w:tc>
      </w:tr>
      <w:tr w14:paraId="6BB51F98">
        <w:tblPrEx>
          <w:tblCellMar>
            <w:top w:w="0" w:type="dxa"/>
            <w:left w:w="108" w:type="dxa"/>
            <w:bottom w:w="0" w:type="dxa"/>
            <w:right w:w="108" w:type="dxa"/>
          </w:tblCellMar>
        </w:tblPrEx>
        <w:trPr>
          <w:trHeight w:val="832"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BED38E8">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c>
          <w:tcPr>
            <w:tcW w:w="1505"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14:paraId="44C40142">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组织管理</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67D8475">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组织框架层级结构合理，人员素质满足要求，配备的人员符合有关用工规定，满足岗位要求，应持证的持证上岗。人员配置到位、变动备案及时，人员工资设置合理。</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37AE67B">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每发现一例扣0.5分</w:t>
            </w:r>
          </w:p>
        </w:tc>
      </w:tr>
      <w:tr w14:paraId="0162067D">
        <w:tblPrEx>
          <w:tblCellMar>
            <w:top w:w="0" w:type="dxa"/>
            <w:left w:w="108" w:type="dxa"/>
            <w:bottom w:w="0" w:type="dxa"/>
            <w:right w:w="108" w:type="dxa"/>
          </w:tblCellMar>
        </w:tblPrEx>
        <w:trPr>
          <w:trHeight w:val="1083"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5CB7291">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EC16890">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制度建设</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C1911BB">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已制订工作目标、年度计划和具体实施方案，已建立各项制度、各岗位职责、工作标准，编制了各类操作规程、安全规程，制度完善且落实到位，建立的检查制度、例会制度等落实记录齐全，考核激励措施有效。</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DEE9EF1">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每发现一例扣0.5分</w:t>
            </w:r>
          </w:p>
        </w:tc>
      </w:tr>
      <w:tr w14:paraId="5FA618AA">
        <w:tblPrEx>
          <w:tblCellMar>
            <w:top w:w="0" w:type="dxa"/>
            <w:left w:w="108" w:type="dxa"/>
            <w:bottom w:w="0" w:type="dxa"/>
            <w:right w:w="108" w:type="dxa"/>
          </w:tblCellMar>
        </w:tblPrEx>
        <w:trPr>
          <w:trHeight w:val="1019"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3F186A2">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FEB482E">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培训教育</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70B55D9">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制定完整的培训计划，有明确的培训内容、培训对象，使新老员工的业务素质不断提高。培训记录规范、齐全、真实，积极组织考察学习，进一步开展项目部文化建设。</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6A2881B">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每发现一例扣0.5分</w:t>
            </w:r>
          </w:p>
        </w:tc>
      </w:tr>
      <w:tr w14:paraId="5D388677">
        <w:tblPrEx>
          <w:tblCellMar>
            <w:top w:w="0" w:type="dxa"/>
            <w:left w:w="108" w:type="dxa"/>
            <w:bottom w:w="0" w:type="dxa"/>
            <w:right w:w="108" w:type="dxa"/>
          </w:tblCellMar>
        </w:tblPrEx>
        <w:trPr>
          <w:trHeight w:val="58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BA39992">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444C5C8">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节能管理</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2E50472">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加强节能管理，落实节能措施和节能技改，报告完善。</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40CE5BD">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每发现一例扣0.5分</w:t>
            </w:r>
          </w:p>
        </w:tc>
      </w:tr>
      <w:tr w14:paraId="3688460D">
        <w:tblPrEx>
          <w:tblCellMar>
            <w:top w:w="0" w:type="dxa"/>
            <w:left w:w="108" w:type="dxa"/>
            <w:bottom w:w="0" w:type="dxa"/>
            <w:right w:w="108" w:type="dxa"/>
          </w:tblCellMar>
        </w:tblPrEx>
        <w:trPr>
          <w:trHeight w:val="1588" w:hRule="atLeast"/>
          <w:jc w:val="center"/>
        </w:trPr>
        <w:tc>
          <w:tcPr>
            <w:tcW w:w="45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65E9F31">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w:t>
            </w:r>
          </w:p>
        </w:tc>
        <w:tc>
          <w:tcPr>
            <w:tcW w:w="15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14AB3C7">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人员管理</w:t>
            </w:r>
          </w:p>
        </w:tc>
        <w:tc>
          <w:tcPr>
            <w:tcW w:w="626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FF70B96">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有考核激励办法和稳定人员、提升人员素质的具体措施，并严格履行、落实到位；</w:t>
            </w:r>
          </w:p>
          <w:p w14:paraId="4F0CD0E1">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人员薪金体系合理，支出备案及时</w:t>
            </w:r>
          </w:p>
          <w:p w14:paraId="0AE9F13A">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服装和劳保用品发放满足委托方要求，材料和样式经审核同意；</w:t>
            </w:r>
          </w:p>
          <w:p w14:paraId="6BEC476A">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执勤着装不规范，仪容仪表不端庄等员工工作状态较差的；</w:t>
            </w:r>
          </w:p>
          <w:p w14:paraId="3D0DE89D">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加强人员入职政审、培训教育活动；</w:t>
            </w:r>
          </w:p>
          <w:p w14:paraId="441D3EC8">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办公室、值班室（亭）及周边脏、乱、差的等员工办公环境无序的；</w:t>
            </w:r>
          </w:p>
          <w:p w14:paraId="04F186D8">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无故脱岗、串岗，迟到早退，服务态度差，不服从上级指挥管理，酒后上班，私自带人等违反劳动纪律的；</w:t>
            </w:r>
          </w:p>
        </w:tc>
        <w:tc>
          <w:tcPr>
            <w:tcW w:w="19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6C96FE5">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每发现一例扣0.5分</w:t>
            </w:r>
          </w:p>
        </w:tc>
      </w:tr>
      <w:tr w14:paraId="6C9C9F9D">
        <w:tblPrEx>
          <w:tblCellMar>
            <w:top w:w="0" w:type="dxa"/>
            <w:left w:w="108" w:type="dxa"/>
            <w:bottom w:w="0" w:type="dxa"/>
            <w:right w:w="108" w:type="dxa"/>
          </w:tblCellMar>
        </w:tblPrEx>
        <w:trPr>
          <w:trHeight w:val="992"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10D61DC">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0A57DBB">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相关方面管理</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91ECEC7">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严格落实维保单位及其他服务单位考核制度，定期对维保单位、外来施工单位、领导服务员进行帮助、指导、监督、考核，保证服务质量。</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85A7A06">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每发现一例扣0.5分</w:t>
            </w:r>
          </w:p>
        </w:tc>
      </w:tr>
      <w:tr w14:paraId="07EF3B2C">
        <w:tblPrEx>
          <w:tblCellMar>
            <w:top w:w="0" w:type="dxa"/>
            <w:left w:w="108" w:type="dxa"/>
            <w:bottom w:w="0" w:type="dxa"/>
            <w:right w:w="108" w:type="dxa"/>
          </w:tblCellMar>
        </w:tblPrEx>
        <w:trPr>
          <w:trHeight w:val="886"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11730AD">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8</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D65DF71">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持续改进</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9008E94">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定期向相关方征询意见，自觉配合考核，并根据反馈意见、考核结果及时调整改进、优化提高。员工合理化建议积极，及时落实有效可行建议。</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C00A517">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每发现一例扣0.5分</w:t>
            </w:r>
          </w:p>
        </w:tc>
      </w:tr>
      <w:tr w14:paraId="107528A9">
        <w:tblPrEx>
          <w:tblCellMar>
            <w:top w:w="0" w:type="dxa"/>
            <w:left w:w="108" w:type="dxa"/>
            <w:bottom w:w="0" w:type="dxa"/>
            <w:right w:w="108" w:type="dxa"/>
          </w:tblCellMar>
        </w:tblPrEx>
        <w:trPr>
          <w:trHeight w:val="832"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57F376C">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9</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BC9B5C1">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应急能力</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69BB9E7">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应急事件处理合理、效果良好，临时交办的任务及时完成、完成结果令人满意。重大任务必须事先制订周密的工作计划，并按照计划实施。</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A929331">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每发现一例扣</w:t>
            </w:r>
          </w:p>
          <w:p w14:paraId="6B2AB0DC">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1分</w:t>
            </w:r>
          </w:p>
        </w:tc>
      </w:tr>
      <w:tr w14:paraId="558F1EE4">
        <w:tblPrEx>
          <w:tblCellMar>
            <w:top w:w="0" w:type="dxa"/>
            <w:left w:w="108" w:type="dxa"/>
            <w:bottom w:w="0" w:type="dxa"/>
            <w:right w:w="108" w:type="dxa"/>
          </w:tblCellMar>
        </w:tblPrEx>
        <w:trPr>
          <w:trHeight w:val="832"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5AA298D">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B09131A">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完成任务</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8AAE766">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严格遵守委托方的各种制度、规定，以创建节约型文明机关为核心，不断深化服务管理，推行标准化服务，不断提升服务质量、服务管理水平，开展文明大院、平安大院、智能安保创建，安保服务管理达到省内领先。完成月度服务、管理任务。</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E389ECD">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每发现一例扣0.5分</w:t>
            </w:r>
          </w:p>
        </w:tc>
      </w:tr>
      <w:tr w14:paraId="5C907B8C">
        <w:tblPrEx>
          <w:tblCellMar>
            <w:top w:w="0" w:type="dxa"/>
            <w:left w:w="108" w:type="dxa"/>
            <w:bottom w:w="0" w:type="dxa"/>
            <w:right w:w="108" w:type="dxa"/>
          </w:tblCellMar>
        </w:tblPrEx>
        <w:trPr>
          <w:trHeight w:val="677" w:hRule="atLeast"/>
          <w:jc w:val="center"/>
        </w:trPr>
        <w:tc>
          <w:tcPr>
            <w:tcW w:w="10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1862A73">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总分值20分，每发现一个不符合项，按照0.5、1、1.5三档酌情扣分。</w:t>
            </w:r>
          </w:p>
        </w:tc>
      </w:tr>
    </w:tbl>
    <w:p w14:paraId="3BAB913D">
      <w:pPr>
        <w:adjustRightInd w:val="0"/>
        <w:snapToGrid w:val="0"/>
        <w:spacing w:line="440" w:lineRule="exact"/>
        <w:ind w:firstLine="56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表2：</w:t>
      </w:r>
    </w:p>
    <w:p w14:paraId="498CF3EB">
      <w:pPr>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lang w:eastAsia="zh-CN"/>
          <w14:textFill>
            <w14:solidFill>
              <w14:schemeClr w14:val="tx1"/>
            </w14:solidFill>
          </w14:textFill>
        </w:rPr>
        <w:t>鹿城区政务服务中心安保服务</w:t>
      </w:r>
      <w:r>
        <w:rPr>
          <w:rFonts w:hint="eastAsia" w:ascii="宋体" w:hAnsi="宋体" w:cs="宋体"/>
          <w:b/>
          <w:color w:val="000000" w:themeColor="text1"/>
          <w:sz w:val="32"/>
          <w:szCs w:val="32"/>
          <w14:textFill>
            <w14:solidFill>
              <w14:schemeClr w14:val="tx1"/>
            </w14:solidFill>
          </w14:textFill>
        </w:rPr>
        <w:t>考核细则（业务）</w:t>
      </w:r>
    </w:p>
    <w:tbl>
      <w:tblPr>
        <w:tblStyle w:val="54"/>
        <w:tblW w:w="10302" w:type="dxa"/>
        <w:jc w:val="center"/>
        <w:tblLayout w:type="fixed"/>
        <w:tblCellMar>
          <w:top w:w="28" w:type="dxa"/>
          <w:left w:w="108" w:type="dxa"/>
          <w:bottom w:w="28" w:type="dxa"/>
          <w:right w:w="108" w:type="dxa"/>
        </w:tblCellMar>
      </w:tblPr>
      <w:tblGrid>
        <w:gridCol w:w="471"/>
        <w:gridCol w:w="763"/>
        <w:gridCol w:w="7933"/>
        <w:gridCol w:w="1135"/>
      </w:tblGrid>
      <w:tr w14:paraId="0D3A0163">
        <w:tblPrEx>
          <w:tblCellMar>
            <w:top w:w="28" w:type="dxa"/>
            <w:left w:w="108" w:type="dxa"/>
            <w:bottom w:w="28" w:type="dxa"/>
            <w:right w:w="108" w:type="dxa"/>
          </w:tblCellMar>
        </w:tblPrEx>
        <w:trPr>
          <w:trHeight w:val="140" w:hRule="atLeast"/>
          <w:jc w:val="center"/>
        </w:trPr>
        <w:tc>
          <w:tcPr>
            <w:tcW w:w="471" w:type="dxa"/>
            <w:tcBorders>
              <w:top w:val="single" w:color="auto"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00B5394D">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763" w:type="dxa"/>
            <w:tcBorders>
              <w:top w:val="single" w:color="auto"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17170D32">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内容</w:t>
            </w:r>
          </w:p>
        </w:tc>
        <w:tc>
          <w:tcPr>
            <w:tcW w:w="7933" w:type="dxa"/>
            <w:tcBorders>
              <w:top w:val="single" w:color="auto"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57474DF0">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考   评   内   容</w:t>
            </w:r>
          </w:p>
        </w:tc>
        <w:tc>
          <w:tcPr>
            <w:tcW w:w="1135" w:type="dxa"/>
            <w:tcBorders>
              <w:top w:val="single" w:color="auto"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061D0280">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扣分标准</w:t>
            </w:r>
          </w:p>
        </w:tc>
      </w:tr>
      <w:tr w14:paraId="6A960024">
        <w:tblPrEx>
          <w:tblCellMar>
            <w:top w:w="28" w:type="dxa"/>
            <w:left w:w="108" w:type="dxa"/>
            <w:bottom w:w="28" w:type="dxa"/>
            <w:right w:w="108" w:type="dxa"/>
          </w:tblCellMar>
        </w:tblPrEx>
        <w:trPr>
          <w:jc w:val="center"/>
        </w:trPr>
        <w:tc>
          <w:tcPr>
            <w:tcW w:w="471" w:type="dxa"/>
            <w:vMerge w:val="restart"/>
            <w:tcBorders>
              <w:top w:val="single" w:color="000000" w:sz="4" w:space="0"/>
              <w:left w:val="single" w:color="000000" w:sz="4" w:space="0"/>
              <w:bottom w:val="nil"/>
              <w:right w:val="single" w:color="000000" w:sz="4" w:space="0"/>
            </w:tcBorders>
            <w:shd w:val="clear" w:color="auto" w:fill="auto"/>
            <w:tcMar>
              <w:left w:w="15" w:type="dxa"/>
              <w:right w:w="15" w:type="dxa"/>
            </w:tcMar>
            <w:vAlign w:val="center"/>
          </w:tcPr>
          <w:p w14:paraId="5EA95CCA">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c>
          <w:tcPr>
            <w:tcW w:w="763" w:type="dxa"/>
            <w:vMerge w:val="restart"/>
            <w:tcBorders>
              <w:top w:val="single" w:color="000000" w:sz="4" w:space="0"/>
              <w:left w:val="single" w:color="000000" w:sz="4" w:space="0"/>
              <w:bottom w:val="nil"/>
              <w:right w:val="single" w:color="000000" w:sz="4" w:space="0"/>
            </w:tcBorders>
            <w:shd w:val="clear" w:color="auto" w:fill="auto"/>
            <w:tcMar>
              <w:left w:w="15" w:type="dxa"/>
              <w:right w:w="15" w:type="dxa"/>
            </w:tcMar>
            <w:vAlign w:val="center"/>
          </w:tcPr>
          <w:p w14:paraId="5BB3DFF6">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人员配备</w:t>
            </w:r>
          </w:p>
        </w:tc>
        <w:tc>
          <w:tcPr>
            <w:tcW w:w="7933" w:type="dxa"/>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2FC2BDBA">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人员、岗位配置合理，配备的人员符合有关用工规定，满足岗位要求，应持证的持证上岗；整个队伍保持稳定，人员流动率小于20%/年；</w:t>
            </w:r>
          </w:p>
        </w:tc>
        <w:tc>
          <w:tcPr>
            <w:tcW w:w="1135" w:type="dxa"/>
            <w:vMerge w:val="restart"/>
            <w:tcBorders>
              <w:top w:val="single" w:color="000000" w:sz="4" w:space="0"/>
              <w:left w:val="single" w:color="000000" w:sz="4" w:space="0"/>
              <w:bottom w:val="nil"/>
              <w:right w:val="single" w:color="000000" w:sz="4" w:space="0"/>
            </w:tcBorders>
            <w:shd w:val="clear" w:color="auto" w:fill="auto"/>
            <w:tcMar>
              <w:left w:w="15" w:type="dxa"/>
              <w:right w:w="15" w:type="dxa"/>
            </w:tcMar>
            <w:vAlign w:val="center"/>
          </w:tcPr>
          <w:p w14:paraId="73D3AC66">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每发现一例扣1分</w:t>
            </w:r>
          </w:p>
        </w:tc>
      </w:tr>
      <w:tr w14:paraId="27D850A1">
        <w:tblPrEx>
          <w:tblCellMar>
            <w:top w:w="28" w:type="dxa"/>
            <w:left w:w="108" w:type="dxa"/>
            <w:bottom w:w="28" w:type="dxa"/>
            <w:right w:w="108" w:type="dxa"/>
          </w:tblCellMar>
        </w:tblPrEx>
        <w:trPr>
          <w:jc w:val="center"/>
        </w:trPr>
        <w:tc>
          <w:tcPr>
            <w:tcW w:w="471" w:type="dxa"/>
            <w:vMerge w:val="continue"/>
            <w:tcBorders>
              <w:top w:val="single" w:color="000000" w:sz="4" w:space="0"/>
              <w:left w:val="single" w:color="000000" w:sz="4" w:space="0"/>
              <w:bottom w:val="nil"/>
              <w:right w:val="single" w:color="000000" w:sz="4" w:space="0"/>
            </w:tcBorders>
            <w:shd w:val="clear" w:color="auto" w:fill="auto"/>
            <w:tcMar>
              <w:left w:w="15" w:type="dxa"/>
              <w:right w:w="15" w:type="dxa"/>
            </w:tcMar>
            <w:vAlign w:val="center"/>
          </w:tcPr>
          <w:p w14:paraId="4E7BBD5B">
            <w:pPr>
              <w:jc w:val="center"/>
              <w:rPr>
                <w:rFonts w:ascii="宋体" w:hAnsi="宋体" w:cs="宋体"/>
                <w:color w:val="000000" w:themeColor="text1"/>
                <w:sz w:val="22"/>
                <w14:textFill>
                  <w14:solidFill>
                    <w14:schemeClr w14:val="tx1"/>
                  </w14:solidFill>
                </w14:textFill>
              </w:rPr>
            </w:pPr>
          </w:p>
        </w:tc>
        <w:tc>
          <w:tcPr>
            <w:tcW w:w="763" w:type="dxa"/>
            <w:vMerge w:val="continue"/>
            <w:tcBorders>
              <w:top w:val="single" w:color="000000" w:sz="4" w:space="0"/>
              <w:left w:val="single" w:color="000000" w:sz="4" w:space="0"/>
              <w:bottom w:val="nil"/>
              <w:right w:val="single" w:color="000000" w:sz="4" w:space="0"/>
            </w:tcBorders>
            <w:shd w:val="clear" w:color="auto" w:fill="auto"/>
            <w:tcMar>
              <w:left w:w="15" w:type="dxa"/>
              <w:right w:w="15" w:type="dxa"/>
            </w:tcMar>
            <w:vAlign w:val="center"/>
          </w:tcPr>
          <w:p w14:paraId="7B610F4C">
            <w:pPr>
              <w:jc w:val="center"/>
              <w:rPr>
                <w:rFonts w:ascii="宋体" w:hAnsi="宋体" w:cs="宋体"/>
                <w:color w:val="000000" w:themeColor="text1"/>
                <w:sz w:val="22"/>
                <w14:textFill>
                  <w14:solidFill>
                    <w14:schemeClr w14:val="tx1"/>
                  </w14:solidFill>
                </w14:textFill>
              </w:rPr>
            </w:pPr>
          </w:p>
        </w:tc>
        <w:tc>
          <w:tcPr>
            <w:tcW w:w="7933" w:type="dxa"/>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34DF3CAF">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人员经政审合格，持证上岗，了解设备工作原理，能处理一些简单问题，熟悉掌握操作规程，及时消除故障；</w:t>
            </w:r>
          </w:p>
        </w:tc>
        <w:tc>
          <w:tcPr>
            <w:tcW w:w="1135" w:type="dxa"/>
            <w:vMerge w:val="continue"/>
            <w:tcBorders>
              <w:top w:val="single" w:color="000000" w:sz="4" w:space="0"/>
              <w:left w:val="single" w:color="000000" w:sz="4" w:space="0"/>
              <w:bottom w:val="nil"/>
              <w:right w:val="single" w:color="000000" w:sz="4" w:space="0"/>
            </w:tcBorders>
            <w:shd w:val="clear" w:color="auto" w:fill="auto"/>
            <w:tcMar>
              <w:left w:w="15" w:type="dxa"/>
              <w:right w:w="15" w:type="dxa"/>
            </w:tcMar>
            <w:vAlign w:val="center"/>
          </w:tcPr>
          <w:p w14:paraId="4E4A4C23">
            <w:pPr>
              <w:jc w:val="center"/>
              <w:rPr>
                <w:rFonts w:ascii="宋体" w:hAnsi="宋体" w:cs="宋体"/>
                <w:color w:val="000000" w:themeColor="text1"/>
                <w:sz w:val="22"/>
                <w14:textFill>
                  <w14:solidFill>
                    <w14:schemeClr w14:val="tx1"/>
                  </w14:solidFill>
                </w14:textFill>
              </w:rPr>
            </w:pPr>
          </w:p>
        </w:tc>
      </w:tr>
      <w:tr w14:paraId="09858854">
        <w:tblPrEx>
          <w:tblCellMar>
            <w:top w:w="28" w:type="dxa"/>
            <w:left w:w="108" w:type="dxa"/>
            <w:bottom w:w="28" w:type="dxa"/>
            <w:right w:w="108" w:type="dxa"/>
          </w:tblCellMar>
        </w:tblPrEx>
        <w:trPr>
          <w:jc w:val="center"/>
        </w:trPr>
        <w:tc>
          <w:tcPr>
            <w:tcW w:w="471" w:type="dxa"/>
            <w:vMerge w:val="continue"/>
            <w:tcBorders>
              <w:top w:val="single" w:color="000000" w:sz="4" w:space="0"/>
              <w:left w:val="single" w:color="000000" w:sz="4" w:space="0"/>
              <w:bottom w:val="nil"/>
              <w:right w:val="single" w:color="000000" w:sz="4" w:space="0"/>
            </w:tcBorders>
            <w:shd w:val="clear" w:color="auto" w:fill="auto"/>
            <w:tcMar>
              <w:left w:w="15" w:type="dxa"/>
              <w:right w:w="15" w:type="dxa"/>
            </w:tcMar>
            <w:vAlign w:val="center"/>
          </w:tcPr>
          <w:p w14:paraId="43924C3D">
            <w:pPr>
              <w:jc w:val="center"/>
              <w:rPr>
                <w:rFonts w:ascii="宋体" w:hAnsi="宋体" w:cs="宋体"/>
                <w:color w:val="000000" w:themeColor="text1"/>
                <w:sz w:val="22"/>
                <w14:textFill>
                  <w14:solidFill>
                    <w14:schemeClr w14:val="tx1"/>
                  </w14:solidFill>
                </w14:textFill>
              </w:rPr>
            </w:pPr>
          </w:p>
        </w:tc>
        <w:tc>
          <w:tcPr>
            <w:tcW w:w="763" w:type="dxa"/>
            <w:vMerge w:val="continue"/>
            <w:tcBorders>
              <w:top w:val="single" w:color="000000" w:sz="4" w:space="0"/>
              <w:left w:val="single" w:color="000000" w:sz="4" w:space="0"/>
              <w:bottom w:val="nil"/>
              <w:right w:val="single" w:color="000000" w:sz="4" w:space="0"/>
            </w:tcBorders>
            <w:shd w:val="clear" w:color="auto" w:fill="auto"/>
            <w:tcMar>
              <w:left w:w="15" w:type="dxa"/>
              <w:right w:w="15" w:type="dxa"/>
            </w:tcMar>
            <w:vAlign w:val="center"/>
          </w:tcPr>
          <w:p w14:paraId="6612D82C">
            <w:pPr>
              <w:jc w:val="center"/>
              <w:rPr>
                <w:rFonts w:ascii="宋体" w:hAnsi="宋体" w:cs="宋体"/>
                <w:color w:val="000000" w:themeColor="text1"/>
                <w:sz w:val="22"/>
                <w14:textFill>
                  <w14:solidFill>
                    <w14:schemeClr w14:val="tx1"/>
                  </w14:solidFill>
                </w14:textFill>
              </w:rPr>
            </w:pPr>
          </w:p>
        </w:tc>
        <w:tc>
          <w:tcPr>
            <w:tcW w:w="7933" w:type="dxa"/>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44F99A74">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岗位：见招标文件第四部分要求；</w:t>
            </w:r>
          </w:p>
        </w:tc>
        <w:tc>
          <w:tcPr>
            <w:tcW w:w="1135" w:type="dxa"/>
            <w:vMerge w:val="continue"/>
            <w:tcBorders>
              <w:top w:val="single" w:color="000000" w:sz="4" w:space="0"/>
              <w:left w:val="single" w:color="000000" w:sz="4" w:space="0"/>
              <w:bottom w:val="nil"/>
              <w:right w:val="single" w:color="000000" w:sz="4" w:space="0"/>
            </w:tcBorders>
            <w:shd w:val="clear" w:color="auto" w:fill="auto"/>
            <w:tcMar>
              <w:left w:w="15" w:type="dxa"/>
              <w:right w:w="15" w:type="dxa"/>
            </w:tcMar>
            <w:vAlign w:val="center"/>
          </w:tcPr>
          <w:p w14:paraId="790B326A">
            <w:pPr>
              <w:jc w:val="center"/>
              <w:rPr>
                <w:rFonts w:ascii="宋体" w:hAnsi="宋体" w:cs="宋体"/>
                <w:color w:val="000000" w:themeColor="text1"/>
                <w:sz w:val="22"/>
                <w14:textFill>
                  <w14:solidFill>
                    <w14:schemeClr w14:val="tx1"/>
                  </w14:solidFill>
                </w14:textFill>
              </w:rPr>
            </w:pPr>
          </w:p>
        </w:tc>
      </w:tr>
      <w:tr w14:paraId="625A465A">
        <w:tblPrEx>
          <w:tblCellMar>
            <w:top w:w="28" w:type="dxa"/>
            <w:left w:w="108" w:type="dxa"/>
            <w:bottom w:w="28" w:type="dxa"/>
            <w:right w:w="108" w:type="dxa"/>
          </w:tblCellMar>
        </w:tblPrEx>
        <w:trPr>
          <w:jc w:val="center"/>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7C11B577">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13676625">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制度建设</w:t>
            </w:r>
          </w:p>
        </w:tc>
        <w:tc>
          <w:tcPr>
            <w:tcW w:w="7933" w:type="dxa"/>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50BE4AD9">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消防安全管理、巡逻检查、门卫管理、车辆管理、秩序管理等制度完善；</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17467068">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每发现一例扣1分</w:t>
            </w:r>
          </w:p>
        </w:tc>
      </w:tr>
      <w:tr w14:paraId="2D3CD767">
        <w:tblPrEx>
          <w:tblCellMar>
            <w:top w:w="28" w:type="dxa"/>
            <w:left w:w="108" w:type="dxa"/>
            <w:bottom w:w="28" w:type="dxa"/>
            <w:right w:w="108" w:type="dxa"/>
          </w:tblCellMar>
        </w:tblPrEx>
        <w:trPr>
          <w:trHeight w:val="445"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7CCB16E6">
            <w:pPr>
              <w:jc w:val="center"/>
              <w:rPr>
                <w:rFonts w:ascii="宋体" w:hAnsi="宋体" w:cs="宋体"/>
                <w:color w:val="000000" w:themeColor="text1"/>
                <w:sz w:val="22"/>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6C5694B6">
            <w:pPr>
              <w:jc w:val="center"/>
              <w:rPr>
                <w:rFonts w:ascii="宋体" w:hAnsi="宋体" w:cs="宋体"/>
                <w:color w:val="000000" w:themeColor="text1"/>
                <w:sz w:val="22"/>
                <w14:textFill>
                  <w14:solidFill>
                    <w14:schemeClr w14:val="tx1"/>
                  </w14:solidFill>
                </w14:textFill>
              </w:rPr>
            </w:pPr>
          </w:p>
        </w:tc>
        <w:tc>
          <w:tcPr>
            <w:tcW w:w="7933" w:type="dxa"/>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1EE50424">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管理人员分工明确、合理，岗位职责明确，落实到位，能根据实际情况和要求对制度进行更新；</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78BE1AFE">
            <w:pPr>
              <w:jc w:val="center"/>
              <w:rPr>
                <w:rFonts w:ascii="宋体" w:hAnsi="宋体" w:cs="宋体"/>
                <w:color w:val="000000" w:themeColor="text1"/>
                <w:sz w:val="22"/>
                <w14:textFill>
                  <w14:solidFill>
                    <w14:schemeClr w14:val="tx1"/>
                  </w14:solidFill>
                </w14:textFill>
              </w:rPr>
            </w:pPr>
          </w:p>
        </w:tc>
      </w:tr>
      <w:tr w14:paraId="3FDB1CD4">
        <w:tblPrEx>
          <w:tblCellMar>
            <w:top w:w="28" w:type="dxa"/>
            <w:left w:w="108" w:type="dxa"/>
            <w:bottom w:w="28" w:type="dxa"/>
            <w:right w:w="108" w:type="dxa"/>
          </w:tblCellMar>
        </w:tblPrEx>
        <w:trPr>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4D1B70AB">
            <w:pPr>
              <w:jc w:val="center"/>
              <w:rPr>
                <w:rFonts w:ascii="宋体" w:hAnsi="宋体" w:cs="宋体"/>
                <w:color w:val="000000" w:themeColor="text1"/>
                <w:sz w:val="22"/>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069ADD14">
            <w:pPr>
              <w:jc w:val="center"/>
              <w:rPr>
                <w:rFonts w:ascii="宋体" w:hAnsi="宋体" w:cs="宋体"/>
                <w:color w:val="000000" w:themeColor="text1"/>
                <w:sz w:val="22"/>
                <w14:textFill>
                  <w14:solidFill>
                    <w14:schemeClr w14:val="tx1"/>
                  </w14:solidFill>
                </w14:textFill>
              </w:rPr>
            </w:pPr>
          </w:p>
        </w:tc>
        <w:tc>
          <w:tcPr>
            <w:tcW w:w="7933" w:type="dxa"/>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6F5E2752">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人员守则、纪律、权限、保密制度完善；</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12080F9C">
            <w:pPr>
              <w:jc w:val="center"/>
              <w:rPr>
                <w:rFonts w:ascii="宋体" w:hAnsi="宋体" w:cs="宋体"/>
                <w:color w:val="000000" w:themeColor="text1"/>
                <w:sz w:val="22"/>
                <w14:textFill>
                  <w14:solidFill>
                    <w14:schemeClr w14:val="tx1"/>
                  </w14:solidFill>
                </w14:textFill>
              </w:rPr>
            </w:pPr>
          </w:p>
        </w:tc>
      </w:tr>
      <w:tr w14:paraId="27DC7CDB">
        <w:tblPrEx>
          <w:tblCellMar>
            <w:top w:w="28" w:type="dxa"/>
            <w:left w:w="108" w:type="dxa"/>
            <w:bottom w:w="28" w:type="dxa"/>
            <w:right w:w="108" w:type="dxa"/>
          </w:tblCellMar>
        </w:tblPrEx>
        <w:trPr>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7D8B6C9F">
            <w:pPr>
              <w:jc w:val="center"/>
              <w:rPr>
                <w:rFonts w:ascii="宋体" w:hAnsi="宋体" w:cs="宋体"/>
                <w:color w:val="000000" w:themeColor="text1"/>
                <w:sz w:val="22"/>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437B9DC9">
            <w:pPr>
              <w:jc w:val="center"/>
              <w:rPr>
                <w:rFonts w:ascii="宋体" w:hAnsi="宋体" w:cs="宋体"/>
                <w:color w:val="000000" w:themeColor="text1"/>
                <w:sz w:val="22"/>
                <w14:textFill>
                  <w14:solidFill>
                    <w14:schemeClr w14:val="tx1"/>
                  </w14:solidFill>
                </w14:textFill>
              </w:rPr>
            </w:pPr>
          </w:p>
        </w:tc>
        <w:tc>
          <w:tcPr>
            <w:tcW w:w="7933" w:type="dxa"/>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2EFB7BC0">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交接班制度、考勤制度、物资管理制度完善，记录齐全；</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2BE50FCE">
            <w:pPr>
              <w:jc w:val="center"/>
              <w:rPr>
                <w:rFonts w:ascii="宋体" w:hAnsi="宋体" w:cs="宋体"/>
                <w:color w:val="000000" w:themeColor="text1"/>
                <w:sz w:val="22"/>
                <w14:textFill>
                  <w14:solidFill>
                    <w14:schemeClr w14:val="tx1"/>
                  </w14:solidFill>
                </w14:textFill>
              </w:rPr>
            </w:pPr>
          </w:p>
        </w:tc>
      </w:tr>
      <w:tr w14:paraId="452D43CE">
        <w:tblPrEx>
          <w:tblCellMar>
            <w:top w:w="28" w:type="dxa"/>
            <w:left w:w="108" w:type="dxa"/>
            <w:bottom w:w="28" w:type="dxa"/>
            <w:right w:w="108" w:type="dxa"/>
          </w:tblCellMar>
        </w:tblPrEx>
        <w:trPr>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3DCB408B">
            <w:pPr>
              <w:jc w:val="center"/>
              <w:rPr>
                <w:rFonts w:ascii="宋体" w:hAnsi="宋体" w:cs="宋体"/>
                <w:color w:val="000000" w:themeColor="text1"/>
                <w:sz w:val="22"/>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68B85E16">
            <w:pPr>
              <w:jc w:val="center"/>
              <w:rPr>
                <w:rFonts w:ascii="宋体" w:hAnsi="宋体" w:cs="宋体"/>
                <w:color w:val="000000" w:themeColor="text1"/>
                <w:sz w:val="22"/>
                <w14:textFill>
                  <w14:solidFill>
                    <w14:schemeClr w14:val="tx1"/>
                  </w14:solidFill>
                </w14:textFill>
              </w:rPr>
            </w:pPr>
          </w:p>
        </w:tc>
        <w:tc>
          <w:tcPr>
            <w:tcW w:w="7933" w:type="dxa"/>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3FF6D85C">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监控室制度、电视监控系统的维护管理制度完善；</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74C6DB06">
            <w:pPr>
              <w:jc w:val="center"/>
              <w:rPr>
                <w:rFonts w:ascii="宋体" w:hAnsi="宋体" w:cs="宋体"/>
                <w:color w:val="000000" w:themeColor="text1"/>
                <w:sz w:val="22"/>
                <w14:textFill>
                  <w14:solidFill>
                    <w14:schemeClr w14:val="tx1"/>
                  </w14:solidFill>
                </w14:textFill>
              </w:rPr>
            </w:pPr>
          </w:p>
        </w:tc>
      </w:tr>
      <w:tr w14:paraId="3D995E6E">
        <w:tblPrEx>
          <w:tblCellMar>
            <w:top w:w="28" w:type="dxa"/>
            <w:left w:w="108" w:type="dxa"/>
            <w:bottom w:w="28" w:type="dxa"/>
            <w:right w:w="108" w:type="dxa"/>
          </w:tblCellMar>
        </w:tblPrEx>
        <w:trPr>
          <w:jc w:val="center"/>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4FA1E095">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354C942F">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管理成效</w:t>
            </w:r>
          </w:p>
        </w:tc>
        <w:tc>
          <w:tcPr>
            <w:tcW w:w="7933" w:type="dxa"/>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7347614F">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每一个队员熟悉各项制度，尤其是与自身岗位相关的制度；</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22DEE35E">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每发现一例扣1分</w:t>
            </w:r>
          </w:p>
        </w:tc>
      </w:tr>
      <w:tr w14:paraId="108D61DD">
        <w:tblPrEx>
          <w:tblCellMar>
            <w:top w:w="28" w:type="dxa"/>
            <w:left w:w="108" w:type="dxa"/>
            <w:bottom w:w="28" w:type="dxa"/>
            <w:right w:w="108" w:type="dxa"/>
          </w:tblCellMar>
        </w:tblPrEx>
        <w:trPr>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22FC898A">
            <w:pPr>
              <w:jc w:val="center"/>
              <w:rPr>
                <w:rFonts w:ascii="宋体" w:hAnsi="宋体" w:cs="宋体"/>
                <w:color w:val="000000" w:themeColor="text1"/>
                <w:sz w:val="22"/>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45B08EB5">
            <w:pPr>
              <w:jc w:val="center"/>
              <w:rPr>
                <w:rFonts w:ascii="宋体" w:hAnsi="宋体" w:cs="宋体"/>
                <w:color w:val="000000" w:themeColor="text1"/>
                <w:sz w:val="22"/>
                <w14:textFill>
                  <w14:solidFill>
                    <w14:schemeClr w14:val="tx1"/>
                  </w14:solidFill>
                </w14:textFill>
              </w:rPr>
            </w:pPr>
          </w:p>
        </w:tc>
        <w:tc>
          <w:tcPr>
            <w:tcW w:w="7933" w:type="dxa"/>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34D405C8">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各类登记本记录完整、清晰、准确，各类台帐齐完；</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2D62F566">
            <w:pPr>
              <w:jc w:val="center"/>
              <w:rPr>
                <w:rFonts w:ascii="宋体" w:hAnsi="宋体" w:cs="宋体"/>
                <w:color w:val="000000" w:themeColor="text1"/>
                <w:sz w:val="22"/>
                <w14:textFill>
                  <w14:solidFill>
                    <w14:schemeClr w14:val="tx1"/>
                  </w14:solidFill>
                </w14:textFill>
              </w:rPr>
            </w:pPr>
          </w:p>
        </w:tc>
      </w:tr>
      <w:tr w14:paraId="79802855">
        <w:tblPrEx>
          <w:tblCellMar>
            <w:top w:w="28" w:type="dxa"/>
            <w:left w:w="108" w:type="dxa"/>
            <w:bottom w:w="28" w:type="dxa"/>
            <w:right w:w="108" w:type="dxa"/>
          </w:tblCellMar>
        </w:tblPrEx>
        <w:trPr>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798AC7F7">
            <w:pPr>
              <w:jc w:val="center"/>
              <w:rPr>
                <w:rFonts w:ascii="宋体" w:hAnsi="宋体" w:cs="宋体"/>
                <w:color w:val="000000" w:themeColor="text1"/>
                <w:sz w:val="22"/>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4EDE13EE">
            <w:pPr>
              <w:jc w:val="center"/>
              <w:rPr>
                <w:rFonts w:ascii="宋体" w:hAnsi="宋体" w:cs="宋体"/>
                <w:color w:val="000000" w:themeColor="text1"/>
                <w:sz w:val="22"/>
                <w14:textFill>
                  <w14:solidFill>
                    <w14:schemeClr w14:val="tx1"/>
                  </w14:solidFill>
                </w14:textFill>
              </w:rPr>
            </w:pPr>
          </w:p>
        </w:tc>
        <w:tc>
          <w:tcPr>
            <w:tcW w:w="7933" w:type="dxa"/>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22DCE793">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保安人员各项教育、专业技能培训有计划进行，落实到位，有成效；</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7B8A52EF">
            <w:pPr>
              <w:jc w:val="center"/>
              <w:rPr>
                <w:rFonts w:ascii="宋体" w:hAnsi="宋体" w:cs="宋体"/>
                <w:color w:val="000000" w:themeColor="text1"/>
                <w:sz w:val="22"/>
                <w14:textFill>
                  <w14:solidFill>
                    <w14:schemeClr w14:val="tx1"/>
                  </w14:solidFill>
                </w14:textFill>
              </w:rPr>
            </w:pPr>
          </w:p>
        </w:tc>
      </w:tr>
      <w:tr w14:paraId="6B29E458">
        <w:tblPrEx>
          <w:tblCellMar>
            <w:top w:w="28" w:type="dxa"/>
            <w:left w:w="108" w:type="dxa"/>
            <w:bottom w:w="28" w:type="dxa"/>
            <w:right w:w="108" w:type="dxa"/>
          </w:tblCellMar>
        </w:tblPrEx>
        <w:trPr>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15211AE5">
            <w:pPr>
              <w:jc w:val="center"/>
              <w:rPr>
                <w:rFonts w:ascii="宋体" w:hAnsi="宋体" w:cs="宋体"/>
                <w:color w:val="000000" w:themeColor="text1"/>
                <w:sz w:val="22"/>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2084EFC0">
            <w:pPr>
              <w:jc w:val="center"/>
              <w:rPr>
                <w:rFonts w:ascii="宋体" w:hAnsi="宋体" w:cs="宋体"/>
                <w:color w:val="000000" w:themeColor="text1"/>
                <w:sz w:val="22"/>
                <w14:textFill>
                  <w14:solidFill>
                    <w14:schemeClr w14:val="tx1"/>
                  </w14:solidFill>
                </w14:textFill>
              </w:rPr>
            </w:pPr>
          </w:p>
        </w:tc>
        <w:tc>
          <w:tcPr>
            <w:tcW w:w="7933" w:type="dxa"/>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570FEDE0">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穿着统一的制服及许可装饰品，需经审核同意；装备设施良好，满足要求；</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045E76C9">
            <w:pPr>
              <w:jc w:val="center"/>
              <w:rPr>
                <w:rFonts w:ascii="宋体" w:hAnsi="宋体" w:cs="宋体"/>
                <w:color w:val="000000" w:themeColor="text1"/>
                <w:sz w:val="22"/>
                <w14:textFill>
                  <w14:solidFill>
                    <w14:schemeClr w14:val="tx1"/>
                  </w14:solidFill>
                </w14:textFill>
              </w:rPr>
            </w:pPr>
          </w:p>
        </w:tc>
      </w:tr>
      <w:tr w14:paraId="494CDA67">
        <w:tblPrEx>
          <w:tblCellMar>
            <w:top w:w="28" w:type="dxa"/>
            <w:left w:w="108" w:type="dxa"/>
            <w:bottom w:w="28" w:type="dxa"/>
            <w:right w:w="108" w:type="dxa"/>
          </w:tblCellMar>
        </w:tblPrEx>
        <w:trPr>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415FE126">
            <w:pPr>
              <w:jc w:val="center"/>
              <w:rPr>
                <w:rFonts w:ascii="宋体" w:hAnsi="宋体" w:cs="宋体"/>
                <w:color w:val="000000" w:themeColor="text1"/>
                <w:sz w:val="22"/>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4C5D0EA4">
            <w:pPr>
              <w:jc w:val="center"/>
              <w:rPr>
                <w:rFonts w:ascii="宋体" w:hAnsi="宋体" w:cs="宋体"/>
                <w:color w:val="000000" w:themeColor="text1"/>
                <w:sz w:val="22"/>
                <w14:textFill>
                  <w14:solidFill>
                    <w14:schemeClr w14:val="tx1"/>
                  </w14:solidFill>
                </w14:textFill>
              </w:rPr>
            </w:pPr>
          </w:p>
        </w:tc>
        <w:tc>
          <w:tcPr>
            <w:tcW w:w="7933" w:type="dxa"/>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2C719ECF">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人员进出、工资备案及时，重要人事变动要提前报备；</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0760CECA">
            <w:pPr>
              <w:jc w:val="center"/>
              <w:rPr>
                <w:rFonts w:ascii="宋体" w:hAnsi="宋体" w:cs="宋体"/>
                <w:color w:val="000000" w:themeColor="text1"/>
                <w:sz w:val="22"/>
                <w14:textFill>
                  <w14:solidFill>
                    <w14:schemeClr w14:val="tx1"/>
                  </w14:solidFill>
                </w14:textFill>
              </w:rPr>
            </w:pPr>
          </w:p>
        </w:tc>
      </w:tr>
      <w:tr w14:paraId="1FA90B42">
        <w:tblPrEx>
          <w:tblCellMar>
            <w:top w:w="28" w:type="dxa"/>
            <w:left w:w="108" w:type="dxa"/>
            <w:bottom w:w="28" w:type="dxa"/>
            <w:right w:w="108" w:type="dxa"/>
          </w:tblCellMar>
        </w:tblPrEx>
        <w:trPr>
          <w:trHeight w:val="213"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1CABB574">
            <w:pPr>
              <w:jc w:val="center"/>
              <w:rPr>
                <w:rFonts w:ascii="宋体" w:hAnsi="宋体" w:cs="宋体"/>
                <w:color w:val="000000" w:themeColor="text1"/>
                <w:sz w:val="22"/>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67A0A6E3">
            <w:pPr>
              <w:jc w:val="center"/>
              <w:rPr>
                <w:rFonts w:ascii="宋体" w:hAnsi="宋体" w:cs="宋体"/>
                <w:color w:val="000000" w:themeColor="text1"/>
                <w:sz w:val="22"/>
                <w14:textFill>
                  <w14:solidFill>
                    <w14:schemeClr w14:val="tx1"/>
                  </w14:solidFill>
                </w14:textFill>
              </w:rPr>
            </w:pPr>
          </w:p>
        </w:tc>
        <w:tc>
          <w:tcPr>
            <w:tcW w:w="7933" w:type="dxa"/>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05FBFBF3">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定期向队员了解工作意见和建议，向业主汇报工作，对发现问题及时处理并上报，形成畅通的沟通渠道；</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6360B813">
            <w:pPr>
              <w:jc w:val="center"/>
              <w:rPr>
                <w:rFonts w:ascii="宋体" w:hAnsi="宋体" w:cs="宋体"/>
                <w:color w:val="000000" w:themeColor="text1"/>
                <w:sz w:val="22"/>
                <w14:textFill>
                  <w14:solidFill>
                    <w14:schemeClr w14:val="tx1"/>
                  </w14:solidFill>
                </w14:textFill>
              </w:rPr>
            </w:pPr>
          </w:p>
        </w:tc>
      </w:tr>
      <w:tr w14:paraId="71226525">
        <w:tblPrEx>
          <w:tblCellMar>
            <w:top w:w="28" w:type="dxa"/>
            <w:left w:w="108" w:type="dxa"/>
            <w:bottom w:w="28" w:type="dxa"/>
            <w:right w:w="108" w:type="dxa"/>
          </w:tblCellMar>
        </w:tblPrEx>
        <w:trPr>
          <w:trHeight w:val="377"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2A4AE0C6">
            <w:pPr>
              <w:jc w:val="center"/>
              <w:rPr>
                <w:rFonts w:ascii="宋体" w:hAnsi="宋体" w:cs="宋体"/>
                <w:color w:val="000000" w:themeColor="text1"/>
                <w:sz w:val="22"/>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0B0B04AF">
            <w:pPr>
              <w:jc w:val="center"/>
              <w:rPr>
                <w:rFonts w:ascii="宋体" w:hAnsi="宋体" w:cs="宋体"/>
                <w:color w:val="000000" w:themeColor="text1"/>
                <w:sz w:val="22"/>
                <w14:textFill>
                  <w14:solidFill>
                    <w14:schemeClr w14:val="tx1"/>
                  </w14:solidFill>
                </w14:textFill>
              </w:rPr>
            </w:pPr>
          </w:p>
        </w:tc>
        <w:tc>
          <w:tcPr>
            <w:tcW w:w="7933" w:type="dxa"/>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01916E24">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遇突发事件或安全检查时，积极配合有关部门执行任务，并指定专职人员协助工作，直至完成任务；</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5B54D04D">
            <w:pPr>
              <w:jc w:val="center"/>
              <w:rPr>
                <w:rFonts w:ascii="宋体" w:hAnsi="宋体" w:cs="宋体"/>
                <w:color w:val="000000" w:themeColor="text1"/>
                <w:sz w:val="22"/>
                <w14:textFill>
                  <w14:solidFill>
                    <w14:schemeClr w14:val="tx1"/>
                  </w14:solidFill>
                </w14:textFill>
              </w:rPr>
            </w:pPr>
          </w:p>
        </w:tc>
      </w:tr>
      <w:tr w14:paraId="38F9A30F">
        <w:tblPrEx>
          <w:tblCellMar>
            <w:top w:w="28" w:type="dxa"/>
            <w:left w:w="108" w:type="dxa"/>
            <w:bottom w:w="28" w:type="dxa"/>
            <w:right w:w="108" w:type="dxa"/>
          </w:tblCellMar>
        </w:tblPrEx>
        <w:trPr>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04056420">
            <w:pPr>
              <w:jc w:val="center"/>
              <w:rPr>
                <w:rFonts w:ascii="宋体" w:hAnsi="宋体" w:cs="宋体"/>
                <w:color w:val="000000" w:themeColor="text1"/>
                <w:sz w:val="22"/>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4F53DED9">
            <w:pPr>
              <w:jc w:val="center"/>
              <w:rPr>
                <w:rFonts w:ascii="宋体" w:hAnsi="宋体" w:cs="宋体"/>
                <w:color w:val="000000" w:themeColor="text1"/>
                <w:sz w:val="22"/>
                <w14:textFill>
                  <w14:solidFill>
                    <w14:schemeClr w14:val="tx1"/>
                  </w14:solidFill>
                </w14:textFill>
              </w:rPr>
            </w:pPr>
          </w:p>
        </w:tc>
        <w:tc>
          <w:tcPr>
            <w:tcW w:w="7933" w:type="dxa"/>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4AEE1AA0">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管理层以身作则，经常性开展认真检查和指导，发现问题及时整改或报告；</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6C6472E1">
            <w:pPr>
              <w:jc w:val="center"/>
              <w:rPr>
                <w:rFonts w:ascii="宋体" w:hAnsi="宋体" w:cs="宋体"/>
                <w:color w:val="000000" w:themeColor="text1"/>
                <w:sz w:val="22"/>
                <w14:textFill>
                  <w14:solidFill>
                    <w14:schemeClr w14:val="tx1"/>
                  </w14:solidFill>
                </w14:textFill>
              </w:rPr>
            </w:pPr>
          </w:p>
        </w:tc>
      </w:tr>
      <w:tr w14:paraId="503FDD79">
        <w:tblPrEx>
          <w:tblCellMar>
            <w:top w:w="28" w:type="dxa"/>
            <w:left w:w="108" w:type="dxa"/>
            <w:bottom w:w="28" w:type="dxa"/>
            <w:right w:w="108" w:type="dxa"/>
          </w:tblCellMar>
        </w:tblPrEx>
        <w:trPr>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2A075911">
            <w:pPr>
              <w:jc w:val="center"/>
              <w:rPr>
                <w:rFonts w:ascii="宋体" w:hAnsi="宋体" w:cs="宋体"/>
                <w:color w:val="000000" w:themeColor="text1"/>
                <w:sz w:val="22"/>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48D7461B">
            <w:pPr>
              <w:jc w:val="center"/>
              <w:rPr>
                <w:rFonts w:ascii="宋体" w:hAnsi="宋体" w:cs="宋体"/>
                <w:color w:val="000000" w:themeColor="text1"/>
                <w:sz w:val="22"/>
                <w14:textFill>
                  <w14:solidFill>
                    <w14:schemeClr w14:val="tx1"/>
                  </w14:solidFill>
                </w14:textFill>
              </w:rPr>
            </w:pPr>
          </w:p>
        </w:tc>
        <w:tc>
          <w:tcPr>
            <w:tcW w:w="7933" w:type="dxa"/>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1648E71E">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有稳定有效的提升人员素质的考核激励办法和具体措施，履行、落实到位；</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08EEF160">
            <w:pPr>
              <w:jc w:val="center"/>
              <w:rPr>
                <w:rFonts w:ascii="宋体" w:hAnsi="宋体" w:cs="宋体"/>
                <w:color w:val="000000" w:themeColor="text1"/>
                <w:sz w:val="22"/>
                <w14:textFill>
                  <w14:solidFill>
                    <w14:schemeClr w14:val="tx1"/>
                  </w14:solidFill>
                </w14:textFill>
              </w:rPr>
            </w:pPr>
          </w:p>
        </w:tc>
      </w:tr>
      <w:tr w14:paraId="31608399">
        <w:tblPrEx>
          <w:tblCellMar>
            <w:top w:w="28" w:type="dxa"/>
            <w:left w:w="108" w:type="dxa"/>
            <w:bottom w:w="28" w:type="dxa"/>
            <w:right w:w="108" w:type="dxa"/>
          </w:tblCellMar>
        </w:tblPrEx>
        <w:trPr>
          <w:jc w:val="center"/>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6D361857">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3A316F0E">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日常服务情况</w:t>
            </w:r>
          </w:p>
        </w:tc>
        <w:tc>
          <w:tcPr>
            <w:tcW w:w="7933" w:type="dxa"/>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62D36D19">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管理区域内工作生活秩序正常；</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06273460">
            <w:pPr>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每发现一例扣1分</w:t>
            </w:r>
          </w:p>
        </w:tc>
      </w:tr>
      <w:tr w14:paraId="05894960">
        <w:tblPrEx>
          <w:tblCellMar>
            <w:top w:w="28" w:type="dxa"/>
            <w:left w:w="108" w:type="dxa"/>
            <w:bottom w:w="28" w:type="dxa"/>
            <w:right w:w="108" w:type="dxa"/>
          </w:tblCellMar>
        </w:tblPrEx>
        <w:trPr>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07B8F0F5">
            <w:pPr>
              <w:jc w:val="center"/>
              <w:rPr>
                <w:rFonts w:ascii="宋体" w:hAnsi="宋体" w:cs="宋体"/>
                <w:color w:val="000000" w:themeColor="text1"/>
                <w:sz w:val="22"/>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782AC614">
            <w:pPr>
              <w:jc w:val="center"/>
              <w:rPr>
                <w:rFonts w:ascii="宋体" w:hAnsi="宋体" w:cs="宋体"/>
                <w:color w:val="000000" w:themeColor="text1"/>
                <w:sz w:val="22"/>
                <w14:textFill>
                  <w14:solidFill>
                    <w14:schemeClr w14:val="tx1"/>
                  </w14:solidFill>
                </w14:textFill>
              </w:rPr>
            </w:pPr>
          </w:p>
        </w:tc>
        <w:tc>
          <w:tcPr>
            <w:tcW w:w="7933" w:type="dxa"/>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39ACAF09">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监控工作到位，按时做好消防巡查，消防装置完好；</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41016CDD">
            <w:pPr>
              <w:jc w:val="center"/>
              <w:rPr>
                <w:rFonts w:ascii="宋体" w:hAnsi="宋体" w:cs="宋体"/>
                <w:color w:val="000000" w:themeColor="text1"/>
                <w:sz w:val="22"/>
                <w14:textFill>
                  <w14:solidFill>
                    <w14:schemeClr w14:val="tx1"/>
                  </w14:solidFill>
                </w14:textFill>
              </w:rPr>
            </w:pPr>
          </w:p>
        </w:tc>
      </w:tr>
      <w:tr w14:paraId="272808C5">
        <w:tblPrEx>
          <w:tblCellMar>
            <w:top w:w="28" w:type="dxa"/>
            <w:left w:w="108" w:type="dxa"/>
            <w:bottom w:w="28" w:type="dxa"/>
            <w:right w:w="108" w:type="dxa"/>
          </w:tblCellMar>
        </w:tblPrEx>
        <w:trPr>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41A8F953">
            <w:pPr>
              <w:jc w:val="center"/>
              <w:rPr>
                <w:rFonts w:ascii="宋体" w:hAnsi="宋体" w:cs="宋体"/>
                <w:color w:val="000000" w:themeColor="text1"/>
                <w:sz w:val="22"/>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036B50E1">
            <w:pPr>
              <w:jc w:val="center"/>
              <w:rPr>
                <w:rFonts w:ascii="宋体" w:hAnsi="宋体" w:cs="宋体"/>
                <w:color w:val="000000" w:themeColor="text1"/>
                <w:sz w:val="22"/>
                <w14:textFill>
                  <w14:solidFill>
                    <w14:schemeClr w14:val="tx1"/>
                  </w14:solidFill>
                </w14:textFill>
              </w:rPr>
            </w:pPr>
          </w:p>
        </w:tc>
        <w:tc>
          <w:tcPr>
            <w:tcW w:w="7933" w:type="dxa"/>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6A0F673C">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维持停车库（场）秩序良好；</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2E6235CA">
            <w:pPr>
              <w:jc w:val="center"/>
              <w:rPr>
                <w:rFonts w:ascii="宋体" w:hAnsi="宋体" w:cs="宋体"/>
                <w:color w:val="000000" w:themeColor="text1"/>
                <w:sz w:val="22"/>
                <w14:textFill>
                  <w14:solidFill>
                    <w14:schemeClr w14:val="tx1"/>
                  </w14:solidFill>
                </w14:textFill>
              </w:rPr>
            </w:pPr>
          </w:p>
        </w:tc>
      </w:tr>
      <w:tr w14:paraId="5900FCF9">
        <w:tblPrEx>
          <w:tblCellMar>
            <w:top w:w="28" w:type="dxa"/>
            <w:left w:w="108" w:type="dxa"/>
            <w:bottom w:w="28" w:type="dxa"/>
            <w:right w:w="108" w:type="dxa"/>
          </w:tblCellMar>
        </w:tblPrEx>
        <w:trPr>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4A34D726">
            <w:pPr>
              <w:jc w:val="center"/>
              <w:rPr>
                <w:rFonts w:ascii="宋体" w:hAnsi="宋体" w:cs="宋体"/>
                <w:color w:val="000000" w:themeColor="text1"/>
                <w:sz w:val="22"/>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10E85AE9">
            <w:pPr>
              <w:jc w:val="center"/>
              <w:rPr>
                <w:rFonts w:ascii="宋体" w:hAnsi="宋体" w:cs="宋体"/>
                <w:color w:val="000000" w:themeColor="text1"/>
                <w:sz w:val="22"/>
                <w14:textFill>
                  <w14:solidFill>
                    <w14:schemeClr w14:val="tx1"/>
                  </w14:solidFill>
                </w14:textFill>
              </w:rPr>
            </w:pPr>
          </w:p>
        </w:tc>
        <w:tc>
          <w:tcPr>
            <w:tcW w:w="7933" w:type="dxa"/>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424B011A">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人员、车辆及物资出入管理，大楼内重要部位和附属设备的安全管理到位；</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538FCDED">
            <w:pPr>
              <w:jc w:val="center"/>
              <w:rPr>
                <w:rFonts w:ascii="宋体" w:hAnsi="宋体" w:cs="宋体"/>
                <w:color w:val="000000" w:themeColor="text1"/>
                <w:sz w:val="22"/>
                <w14:textFill>
                  <w14:solidFill>
                    <w14:schemeClr w14:val="tx1"/>
                  </w14:solidFill>
                </w14:textFill>
              </w:rPr>
            </w:pPr>
          </w:p>
        </w:tc>
      </w:tr>
      <w:tr w14:paraId="66690A4D">
        <w:tblPrEx>
          <w:tblCellMar>
            <w:top w:w="28" w:type="dxa"/>
            <w:left w:w="108" w:type="dxa"/>
            <w:bottom w:w="28" w:type="dxa"/>
            <w:right w:w="108" w:type="dxa"/>
          </w:tblCellMar>
        </w:tblPrEx>
        <w:trPr>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6FA782C0">
            <w:pPr>
              <w:jc w:val="center"/>
              <w:rPr>
                <w:rFonts w:ascii="宋体" w:hAnsi="宋体" w:cs="宋体"/>
                <w:color w:val="000000" w:themeColor="text1"/>
                <w:sz w:val="22"/>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19C3BF97">
            <w:pPr>
              <w:jc w:val="center"/>
              <w:rPr>
                <w:rFonts w:ascii="宋体" w:hAnsi="宋体" w:cs="宋体"/>
                <w:color w:val="000000" w:themeColor="text1"/>
                <w:sz w:val="22"/>
                <w14:textFill>
                  <w14:solidFill>
                    <w14:schemeClr w14:val="tx1"/>
                  </w14:solidFill>
                </w14:textFill>
              </w:rPr>
            </w:pPr>
          </w:p>
        </w:tc>
        <w:tc>
          <w:tcPr>
            <w:tcW w:w="7933" w:type="dxa"/>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2B2164ED">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服务良好，执勤文明，廉洁自律；</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6AD273C0">
            <w:pPr>
              <w:jc w:val="center"/>
              <w:rPr>
                <w:rFonts w:ascii="宋体" w:hAnsi="宋体" w:cs="宋体"/>
                <w:color w:val="000000" w:themeColor="text1"/>
                <w:sz w:val="22"/>
                <w14:textFill>
                  <w14:solidFill>
                    <w14:schemeClr w14:val="tx1"/>
                  </w14:solidFill>
                </w14:textFill>
              </w:rPr>
            </w:pPr>
          </w:p>
        </w:tc>
      </w:tr>
      <w:tr w14:paraId="5D3B2A56">
        <w:tblPrEx>
          <w:tblCellMar>
            <w:top w:w="28" w:type="dxa"/>
            <w:left w:w="108" w:type="dxa"/>
            <w:bottom w:w="28" w:type="dxa"/>
            <w:right w:w="108" w:type="dxa"/>
          </w:tblCellMar>
        </w:tblPrEx>
        <w:trPr>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736BA47D">
            <w:pPr>
              <w:jc w:val="center"/>
              <w:rPr>
                <w:rFonts w:ascii="宋体" w:hAnsi="宋体" w:cs="宋体"/>
                <w:color w:val="000000" w:themeColor="text1"/>
                <w:sz w:val="22"/>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585FCB62">
            <w:pPr>
              <w:jc w:val="center"/>
              <w:rPr>
                <w:rFonts w:ascii="宋体" w:hAnsi="宋体" w:cs="宋体"/>
                <w:color w:val="000000" w:themeColor="text1"/>
                <w:sz w:val="22"/>
                <w14:textFill>
                  <w14:solidFill>
                    <w14:schemeClr w14:val="tx1"/>
                  </w14:solidFill>
                </w14:textFill>
              </w:rPr>
            </w:pPr>
          </w:p>
        </w:tc>
        <w:tc>
          <w:tcPr>
            <w:tcW w:w="7933" w:type="dxa"/>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3DA7E1DB">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及时、出色的完成业主交办的临时性任务；</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2B6CE078">
            <w:pPr>
              <w:jc w:val="center"/>
              <w:rPr>
                <w:rFonts w:ascii="宋体" w:hAnsi="宋体" w:cs="宋体"/>
                <w:color w:val="000000" w:themeColor="text1"/>
                <w:sz w:val="22"/>
                <w14:textFill>
                  <w14:solidFill>
                    <w14:schemeClr w14:val="tx1"/>
                  </w14:solidFill>
                </w14:textFill>
              </w:rPr>
            </w:pPr>
          </w:p>
        </w:tc>
      </w:tr>
      <w:tr w14:paraId="1BA89E8A">
        <w:tblPrEx>
          <w:tblCellMar>
            <w:top w:w="28" w:type="dxa"/>
            <w:left w:w="108" w:type="dxa"/>
            <w:bottom w:w="28" w:type="dxa"/>
            <w:right w:w="108" w:type="dxa"/>
          </w:tblCellMar>
        </w:tblPrEx>
        <w:trPr>
          <w:trHeight w:val="415"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5C0F7049">
            <w:pPr>
              <w:jc w:val="center"/>
              <w:rPr>
                <w:rFonts w:ascii="宋体" w:hAnsi="宋体" w:cs="宋体"/>
                <w:color w:val="000000" w:themeColor="text1"/>
                <w:sz w:val="22"/>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10BA22DF">
            <w:pPr>
              <w:jc w:val="center"/>
              <w:rPr>
                <w:rFonts w:ascii="宋体" w:hAnsi="宋体" w:cs="宋体"/>
                <w:color w:val="000000" w:themeColor="text1"/>
                <w:sz w:val="22"/>
                <w14:textFill>
                  <w14:solidFill>
                    <w14:schemeClr w14:val="tx1"/>
                  </w14:solidFill>
                </w14:textFill>
              </w:rPr>
            </w:pPr>
          </w:p>
        </w:tc>
        <w:tc>
          <w:tcPr>
            <w:tcW w:w="7933" w:type="dxa"/>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2BBB8BE8">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意外突发事件处置和报告正确、及时，避免或减少损失、危害，能堵截、防范案件、事故；</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38A889A6">
            <w:pPr>
              <w:jc w:val="center"/>
              <w:rPr>
                <w:rFonts w:ascii="宋体" w:hAnsi="宋体" w:cs="宋体"/>
                <w:color w:val="000000" w:themeColor="text1"/>
                <w:sz w:val="22"/>
                <w14:textFill>
                  <w14:solidFill>
                    <w14:schemeClr w14:val="tx1"/>
                  </w14:solidFill>
                </w14:textFill>
              </w:rPr>
            </w:pPr>
          </w:p>
        </w:tc>
      </w:tr>
      <w:tr w14:paraId="3174835F">
        <w:tblPrEx>
          <w:tblCellMar>
            <w:top w:w="28" w:type="dxa"/>
            <w:left w:w="108" w:type="dxa"/>
            <w:bottom w:w="28" w:type="dxa"/>
            <w:right w:w="108" w:type="dxa"/>
          </w:tblCellMar>
        </w:tblPrEx>
        <w:trPr>
          <w:trHeight w:val="257"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44020C60">
            <w:pPr>
              <w:jc w:val="center"/>
              <w:rPr>
                <w:rFonts w:ascii="宋体" w:hAnsi="宋体" w:cs="宋体"/>
                <w:color w:val="000000" w:themeColor="text1"/>
                <w:sz w:val="22"/>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0556BD3F">
            <w:pPr>
              <w:jc w:val="center"/>
              <w:rPr>
                <w:rFonts w:ascii="宋体" w:hAnsi="宋体" w:cs="宋体"/>
                <w:color w:val="000000" w:themeColor="text1"/>
                <w:sz w:val="22"/>
                <w14:textFill>
                  <w14:solidFill>
                    <w14:schemeClr w14:val="tx1"/>
                  </w14:solidFill>
                </w14:textFill>
              </w:rPr>
            </w:pPr>
          </w:p>
        </w:tc>
        <w:tc>
          <w:tcPr>
            <w:tcW w:w="7933" w:type="dxa"/>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76D5E8EC">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监视监控、日常巡查、消防管理等日常管理到位的；</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47AA04F4">
            <w:pPr>
              <w:jc w:val="center"/>
              <w:rPr>
                <w:rFonts w:ascii="宋体" w:hAnsi="宋体" w:cs="宋体"/>
                <w:color w:val="000000" w:themeColor="text1"/>
                <w:sz w:val="22"/>
                <w14:textFill>
                  <w14:solidFill>
                    <w14:schemeClr w14:val="tx1"/>
                  </w14:solidFill>
                </w14:textFill>
              </w:rPr>
            </w:pPr>
          </w:p>
        </w:tc>
      </w:tr>
      <w:tr w14:paraId="21089419">
        <w:tblPrEx>
          <w:tblCellMar>
            <w:top w:w="28" w:type="dxa"/>
            <w:left w:w="108" w:type="dxa"/>
            <w:bottom w:w="28" w:type="dxa"/>
            <w:right w:w="108" w:type="dxa"/>
          </w:tblCellMar>
        </w:tblPrEx>
        <w:trPr>
          <w:trHeight w:val="96" w:hRule="atLeast"/>
          <w:jc w:val="center"/>
        </w:trPr>
        <w:tc>
          <w:tcPr>
            <w:tcW w:w="10302" w:type="dxa"/>
            <w:gridSpan w:val="4"/>
            <w:tcBorders>
              <w:top w:val="single" w:color="000000" w:sz="4" w:space="0"/>
              <w:left w:val="single" w:color="000000" w:sz="4" w:space="0"/>
              <w:bottom w:val="single" w:color="000000" w:sz="4" w:space="0"/>
              <w:right w:val="single" w:color="000000" w:sz="4" w:space="0"/>
            </w:tcBorders>
            <w:shd w:val="clear" w:color="auto" w:fill="auto"/>
            <w:tcMar>
              <w:left w:w="15" w:type="dxa"/>
              <w:right w:w="15" w:type="dxa"/>
            </w:tcMar>
            <w:vAlign w:val="center"/>
          </w:tcPr>
          <w:p w14:paraId="7AC8B994">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总分值80分，每发现一个不符合项，扣1分。</w:t>
            </w:r>
          </w:p>
        </w:tc>
      </w:tr>
    </w:tbl>
    <w:p w14:paraId="6E8FC660">
      <w:pPr>
        <w:widowControl/>
        <w:jc w:val="lef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br w:type="page"/>
      </w:r>
    </w:p>
    <w:p w14:paraId="7021FAA3">
      <w:pPr>
        <w:adjustRightInd w:val="0"/>
        <w:snapToGrid w:val="0"/>
        <w:spacing w:line="440" w:lineRule="exact"/>
        <w:ind w:firstLine="56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表3：</w:t>
      </w:r>
    </w:p>
    <w:p w14:paraId="751E579B">
      <w:pPr>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lang w:eastAsia="zh-CN"/>
          <w14:textFill>
            <w14:solidFill>
              <w14:schemeClr w14:val="tx1"/>
            </w14:solidFill>
          </w14:textFill>
        </w:rPr>
        <w:t>鹿城区政务服务中心安保服务</w:t>
      </w:r>
      <w:r>
        <w:rPr>
          <w:rFonts w:hint="eastAsia" w:ascii="宋体" w:hAnsi="宋体" w:cs="宋体"/>
          <w:b/>
          <w:color w:val="000000" w:themeColor="text1"/>
          <w:sz w:val="32"/>
          <w:szCs w:val="32"/>
          <w14:textFill>
            <w14:solidFill>
              <w14:schemeClr w14:val="tx1"/>
            </w14:solidFill>
          </w14:textFill>
        </w:rPr>
        <w:t>加减分考核细则</w:t>
      </w:r>
    </w:p>
    <w:tbl>
      <w:tblPr>
        <w:tblStyle w:val="54"/>
        <w:tblW w:w="9668" w:type="dxa"/>
        <w:tblInd w:w="0" w:type="dxa"/>
        <w:tblLayout w:type="fixed"/>
        <w:tblCellMar>
          <w:top w:w="0" w:type="dxa"/>
          <w:left w:w="108" w:type="dxa"/>
          <w:bottom w:w="0" w:type="dxa"/>
          <w:right w:w="108" w:type="dxa"/>
        </w:tblCellMar>
      </w:tblPr>
      <w:tblGrid>
        <w:gridCol w:w="532"/>
        <w:gridCol w:w="664"/>
        <w:gridCol w:w="7506"/>
        <w:gridCol w:w="966"/>
      </w:tblGrid>
      <w:tr w14:paraId="6C1FEE05">
        <w:tblPrEx>
          <w:tblCellMar>
            <w:top w:w="0" w:type="dxa"/>
            <w:left w:w="108" w:type="dxa"/>
            <w:bottom w:w="0" w:type="dxa"/>
            <w:right w:w="108" w:type="dxa"/>
          </w:tblCellMar>
        </w:tblPrEx>
        <w:trPr>
          <w:trHeight w:val="275"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ACB15A2">
            <w:pPr>
              <w:adjustRightInd w:val="0"/>
              <w:spacing w:line="260" w:lineRule="exact"/>
              <w:jc w:val="center"/>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序号</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3B1BDE7">
            <w:pPr>
              <w:adjustRightInd w:val="0"/>
              <w:spacing w:line="260" w:lineRule="exact"/>
              <w:jc w:val="center"/>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内 容</w:t>
            </w:r>
          </w:p>
        </w:tc>
        <w:tc>
          <w:tcPr>
            <w:tcW w:w="7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7FA7773">
            <w:pPr>
              <w:adjustRightInd w:val="0"/>
              <w:spacing w:line="260" w:lineRule="exact"/>
              <w:jc w:val="center"/>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考   评   内   容</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BC6675F">
            <w:pPr>
              <w:adjustRightInd w:val="0"/>
              <w:spacing w:line="260" w:lineRule="exact"/>
              <w:jc w:val="center"/>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扣分标准</w:t>
            </w:r>
          </w:p>
        </w:tc>
      </w:tr>
      <w:tr w14:paraId="7FDBD7C4">
        <w:tblPrEx>
          <w:tblCellMar>
            <w:top w:w="0" w:type="dxa"/>
            <w:left w:w="108" w:type="dxa"/>
            <w:bottom w:w="0" w:type="dxa"/>
            <w:right w:w="108" w:type="dxa"/>
          </w:tblCellMar>
        </w:tblPrEx>
        <w:trPr>
          <w:trHeight w:val="2154"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6494778">
            <w:pPr>
              <w:adjustRightInd w:val="0"/>
              <w:spacing w:line="260" w:lineRule="exact"/>
              <w:jc w:val="center"/>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617BFCE">
            <w:pPr>
              <w:adjustRightInd w:val="0"/>
              <w:spacing w:line="260" w:lineRule="exact"/>
              <w:jc w:val="center"/>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日常督查</w:t>
            </w:r>
          </w:p>
        </w:tc>
        <w:tc>
          <w:tcPr>
            <w:tcW w:w="7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BA5CF94">
            <w:pPr>
              <w:numPr>
                <w:ilvl w:val="0"/>
                <w:numId w:val="21"/>
              </w:numPr>
              <w:adjustRightInd w:val="0"/>
              <w:jc w:val="left"/>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因员工个人素质、工作能力、服务态度等原因，影响大楼正常办公或造成损失的，</w:t>
            </w:r>
            <w:r>
              <w:rPr>
                <w:rFonts w:hint="eastAsia" w:ascii="宋体" w:hAnsi="宋体" w:cs="宋体"/>
                <w:color w:val="000000" w:themeColor="text1"/>
                <w:kern w:val="0"/>
                <w:sz w:val="22"/>
                <w:szCs w:val="22"/>
                <w14:textFill>
                  <w14:solidFill>
                    <w14:schemeClr w14:val="tx1"/>
                  </w14:solidFill>
                </w14:textFill>
              </w:rPr>
              <w:t>受到通报批评，被有效投诉或被第三方单位报道引发信访的，扣0.5-1.5分；</w:t>
            </w:r>
          </w:p>
          <w:p w14:paraId="1B35FEE6">
            <w:pPr>
              <w:numPr>
                <w:ilvl w:val="0"/>
                <w:numId w:val="21"/>
              </w:numPr>
              <w:adjustRightInd w:val="0"/>
              <w:jc w:val="left"/>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工作成绩突出，好人好事受表扬的，加0.5-1.5；</w:t>
            </w:r>
          </w:p>
          <w:p w14:paraId="3B069391">
            <w:pPr>
              <w:numPr>
                <w:ilvl w:val="0"/>
                <w:numId w:val="21"/>
              </w:numPr>
              <w:adjustRightInd w:val="0"/>
              <w:jc w:val="left"/>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定期人员岗位巡查，采取定期与不定期、明查和暗访等方式进行督查，发现缺勤或在岗违规行为的，每次扣0.5分；</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6EA64B8">
            <w:pPr>
              <w:adjustRightInd w:val="0"/>
              <w:spacing w:line="260" w:lineRule="exact"/>
              <w:jc w:val="center"/>
              <w:rPr>
                <w:rFonts w:ascii="宋体" w:hAnsi="宋体" w:cs="宋体"/>
                <w:color w:val="000000" w:themeColor="text1"/>
                <w:sz w:val="22"/>
                <w14:textFill>
                  <w14:solidFill>
                    <w14:schemeClr w14:val="tx1"/>
                  </w14:solidFill>
                </w14:textFill>
              </w:rPr>
            </w:pPr>
          </w:p>
        </w:tc>
      </w:tr>
      <w:tr w14:paraId="62B40DBD">
        <w:tblPrEx>
          <w:tblCellMar>
            <w:top w:w="0" w:type="dxa"/>
            <w:left w:w="108" w:type="dxa"/>
            <w:bottom w:w="0" w:type="dxa"/>
            <w:right w:w="108" w:type="dxa"/>
          </w:tblCellMar>
        </w:tblPrEx>
        <w:trPr>
          <w:trHeight w:val="1353"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3EA876B">
            <w:pPr>
              <w:adjustRightInd w:val="0"/>
              <w:spacing w:line="260" w:lineRule="exact"/>
              <w:jc w:val="center"/>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6FAD255">
            <w:pPr>
              <w:adjustRightInd w:val="0"/>
              <w:spacing w:line="260" w:lineRule="exact"/>
              <w:jc w:val="center"/>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问题整改</w:t>
            </w:r>
          </w:p>
        </w:tc>
        <w:tc>
          <w:tcPr>
            <w:tcW w:w="7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12EFB11">
            <w:pPr>
              <w:adjustRightInd w:val="0"/>
              <w:jc w:val="left"/>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1、日常巡查发现问题的，核实后，以整改通知单形式告知标段，未按时处理或未处理无说明回复的，酌情扣分0.5-3分；</w:t>
            </w:r>
          </w:p>
          <w:p w14:paraId="1A25D75B">
            <w:pPr>
              <w:adjustRightInd w:val="0"/>
              <w:jc w:val="left"/>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2、第三方投诉、第三方质检问题反馈、12345信访件等，以整改通知单形式告知标段，但不能及时整改的，酌情扣分0.5-3分；</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1AD874B">
            <w:pPr>
              <w:adjustRightInd w:val="0"/>
              <w:spacing w:line="260" w:lineRule="exact"/>
              <w:jc w:val="center"/>
              <w:rPr>
                <w:rFonts w:ascii="宋体" w:hAnsi="宋体" w:cs="宋体"/>
                <w:color w:val="000000" w:themeColor="text1"/>
                <w:sz w:val="22"/>
                <w14:textFill>
                  <w14:solidFill>
                    <w14:schemeClr w14:val="tx1"/>
                  </w14:solidFill>
                </w14:textFill>
              </w:rPr>
            </w:pPr>
          </w:p>
        </w:tc>
      </w:tr>
      <w:tr w14:paraId="4C27F665">
        <w:tblPrEx>
          <w:tblCellMar>
            <w:top w:w="0" w:type="dxa"/>
            <w:left w:w="108" w:type="dxa"/>
            <w:bottom w:w="0" w:type="dxa"/>
            <w:right w:w="108" w:type="dxa"/>
          </w:tblCellMar>
        </w:tblPrEx>
        <w:trPr>
          <w:trHeight w:val="1145"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C463C92">
            <w:pPr>
              <w:adjustRightInd w:val="0"/>
              <w:spacing w:line="260" w:lineRule="exact"/>
              <w:jc w:val="center"/>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EF4DF67">
            <w:pPr>
              <w:adjustRightInd w:val="0"/>
              <w:spacing w:line="260" w:lineRule="exact"/>
              <w:jc w:val="center"/>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专项活动</w:t>
            </w:r>
          </w:p>
        </w:tc>
        <w:tc>
          <w:tcPr>
            <w:tcW w:w="7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0768A00">
            <w:pPr>
              <w:adjustRightInd w:val="0"/>
              <w:jc w:val="left"/>
              <w:textAlignment w:val="center"/>
              <w:rPr>
                <w:rFonts w:ascii="宋体" w:hAnsi="宋体" w:cs="宋体"/>
                <w:color w:val="000000" w:themeColor="text1"/>
                <w:kern w:val="0"/>
                <w:sz w:val="22"/>
                <w14:textFill>
                  <w14:solidFill>
                    <w14:schemeClr w14:val="tx1"/>
                  </w14:solidFill>
                </w14:textFill>
              </w:rPr>
            </w:pPr>
            <w:r>
              <w:rPr>
                <w:rStyle w:val="417"/>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kern w:val="0"/>
                <w:sz w:val="22"/>
                <w:szCs w:val="22"/>
                <w14:textFill>
                  <w14:solidFill>
                    <w14:schemeClr w14:val="tx1"/>
                  </w14:solidFill>
                </w14:textFill>
              </w:rPr>
              <w:t>考核小组每月初按照上报的优质项目赋分，根据每月优质项目完成情况，酌情进行加减分，共计不超过10分；</w:t>
            </w:r>
          </w:p>
          <w:p w14:paraId="1A674A9C">
            <w:pPr>
              <w:adjustRightInd w:val="0"/>
              <w:jc w:val="left"/>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2、当月区委、区政府举办的大型或重要活动保障情况，视情况进行加减分，每项加1-5分。</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C644409">
            <w:pPr>
              <w:adjustRightInd w:val="0"/>
              <w:spacing w:line="260" w:lineRule="exact"/>
              <w:jc w:val="center"/>
              <w:rPr>
                <w:rFonts w:ascii="宋体" w:hAnsi="宋体" w:cs="宋体"/>
                <w:color w:val="000000" w:themeColor="text1"/>
                <w:sz w:val="22"/>
                <w14:textFill>
                  <w14:solidFill>
                    <w14:schemeClr w14:val="tx1"/>
                  </w14:solidFill>
                </w14:textFill>
              </w:rPr>
            </w:pPr>
          </w:p>
        </w:tc>
      </w:tr>
      <w:tr w14:paraId="3CF30D86">
        <w:tblPrEx>
          <w:tblCellMar>
            <w:top w:w="0" w:type="dxa"/>
            <w:left w:w="108" w:type="dxa"/>
            <w:bottom w:w="0" w:type="dxa"/>
            <w:right w:w="108" w:type="dxa"/>
          </w:tblCellMar>
        </w:tblPrEx>
        <w:trPr>
          <w:trHeight w:val="2325"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788120B">
            <w:pPr>
              <w:adjustRightInd w:val="0"/>
              <w:spacing w:line="260" w:lineRule="exact"/>
              <w:jc w:val="center"/>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5C575A1">
            <w:pPr>
              <w:adjustRightInd w:val="0"/>
              <w:spacing w:line="260" w:lineRule="exact"/>
              <w:jc w:val="center"/>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领导批示</w:t>
            </w:r>
          </w:p>
        </w:tc>
        <w:tc>
          <w:tcPr>
            <w:tcW w:w="7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14F754D">
            <w:pPr>
              <w:adjustRightInd w:val="0"/>
              <w:jc w:val="left"/>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1、发生事件造成重大影响的，区领导有口头或书面指示的，视造成后果情况，依次扣15-20分；</w:t>
            </w:r>
          </w:p>
          <w:p w14:paraId="27AFC1F7">
            <w:pPr>
              <w:adjustRightInd w:val="0"/>
              <w:jc w:val="left"/>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2、发生事件造成严重影响的，局主要领导有口头或书面指示的，视造成后果情况，依次扣10-15分；</w:t>
            </w:r>
          </w:p>
          <w:p w14:paraId="6A41A741">
            <w:pPr>
              <w:adjustRightInd w:val="0"/>
              <w:jc w:val="left"/>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3、发生事件造成较大影响的，局分管领导有口头或书面指示的，视造成后果情况，依次扣5-10分；</w:t>
            </w:r>
          </w:p>
          <w:p w14:paraId="60743ACD">
            <w:pPr>
              <w:adjustRightInd w:val="0"/>
              <w:jc w:val="left"/>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4、发生事件造成一般影响的，局、处室领导有口头或书面指示的，视造成后果情况，依次扣2-5分；</w:t>
            </w:r>
          </w:p>
          <w:p w14:paraId="54981672">
            <w:pPr>
              <w:adjustRightInd w:val="0"/>
              <w:jc w:val="left"/>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5、服务工作得到各级领导口头或书面表扬的，视情况加1-15分；</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53CED7B">
            <w:pPr>
              <w:adjustRightInd w:val="0"/>
              <w:spacing w:line="260" w:lineRule="exact"/>
              <w:jc w:val="center"/>
              <w:rPr>
                <w:rFonts w:ascii="宋体" w:hAnsi="宋体" w:cs="宋体"/>
                <w:color w:val="000000" w:themeColor="text1"/>
                <w:sz w:val="22"/>
                <w14:textFill>
                  <w14:solidFill>
                    <w14:schemeClr w14:val="tx1"/>
                  </w14:solidFill>
                </w14:textFill>
              </w:rPr>
            </w:pPr>
          </w:p>
        </w:tc>
      </w:tr>
      <w:tr w14:paraId="5154BA3C">
        <w:tblPrEx>
          <w:tblCellMar>
            <w:top w:w="0" w:type="dxa"/>
            <w:left w:w="108" w:type="dxa"/>
            <w:bottom w:w="0" w:type="dxa"/>
            <w:right w:w="108" w:type="dxa"/>
          </w:tblCellMar>
        </w:tblPrEx>
        <w:trPr>
          <w:trHeight w:val="798"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0AF1B00">
            <w:pPr>
              <w:adjustRightInd w:val="0"/>
              <w:spacing w:line="260" w:lineRule="exact"/>
              <w:jc w:val="center"/>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DEFAC16">
            <w:pPr>
              <w:adjustRightInd w:val="0"/>
              <w:spacing w:line="260" w:lineRule="exact"/>
              <w:jc w:val="center"/>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其他</w:t>
            </w:r>
          </w:p>
        </w:tc>
        <w:tc>
          <w:tcPr>
            <w:tcW w:w="7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FCB1287">
            <w:pPr>
              <w:adjustRightInd w:val="0"/>
              <w:jc w:val="left"/>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根据其他情况酌情加减1-5分。</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8BA9766">
            <w:pPr>
              <w:adjustRightInd w:val="0"/>
              <w:spacing w:line="260" w:lineRule="exact"/>
              <w:jc w:val="center"/>
              <w:rPr>
                <w:rFonts w:ascii="宋体" w:hAnsi="宋体" w:cs="宋体"/>
                <w:color w:val="000000" w:themeColor="text1"/>
                <w:sz w:val="22"/>
                <w14:textFill>
                  <w14:solidFill>
                    <w14:schemeClr w14:val="tx1"/>
                  </w14:solidFill>
                </w14:textFill>
              </w:rPr>
            </w:pPr>
          </w:p>
        </w:tc>
      </w:tr>
      <w:tr w14:paraId="4F8CCE05">
        <w:tblPrEx>
          <w:tblCellMar>
            <w:top w:w="0" w:type="dxa"/>
            <w:left w:w="108" w:type="dxa"/>
            <w:bottom w:w="0" w:type="dxa"/>
            <w:right w:w="108" w:type="dxa"/>
          </w:tblCellMar>
        </w:tblPrEx>
        <w:trPr>
          <w:trHeight w:val="600" w:hRule="atLeast"/>
        </w:trPr>
        <w:tc>
          <w:tcPr>
            <w:tcW w:w="96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B7693A9">
            <w:pPr>
              <w:adjustRightInd w:val="0"/>
              <w:spacing w:line="260" w:lineRule="exact"/>
              <w:jc w:val="center"/>
              <w:rPr>
                <w:rFonts w:ascii="宋体" w:hAnsi="宋体" w:cs="宋体"/>
                <w:color w:val="000000" w:themeColor="text1"/>
                <w:sz w:val="22"/>
                <w14:textFill>
                  <w14:solidFill>
                    <w14:schemeClr w14:val="tx1"/>
                  </w14:solidFill>
                </w14:textFill>
              </w:rPr>
            </w:pPr>
          </w:p>
        </w:tc>
      </w:tr>
    </w:tbl>
    <w:p w14:paraId="14E61BED">
      <w:pPr>
        <w:pStyle w:val="22"/>
        <w:ind w:firstLine="210"/>
        <w:rPr>
          <w:color w:val="000000" w:themeColor="text1"/>
          <w14:textFill>
            <w14:solidFill>
              <w14:schemeClr w14:val="tx1"/>
            </w14:solidFill>
          </w14:textFill>
        </w:rPr>
      </w:pPr>
    </w:p>
    <w:p w14:paraId="5D73D76E">
      <w:pPr>
        <w:widowControl/>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br w:type="page"/>
      </w:r>
    </w:p>
    <w:p w14:paraId="62C2A128">
      <w:pPr>
        <w:pStyle w:val="51"/>
        <w:rPr>
          <w:rFonts w:ascii="仿宋" w:hAnsi="仿宋" w:eastAsia="仿宋"/>
          <w:color w:val="000000" w:themeColor="text1"/>
          <w:sz w:val="36"/>
          <w:szCs w:val="36"/>
          <w14:textFill>
            <w14:solidFill>
              <w14:schemeClr w14:val="tx1"/>
            </w14:solidFill>
          </w14:textFill>
        </w:rPr>
      </w:pPr>
      <w:bookmarkStart w:id="80" w:name="_Toc88205828"/>
      <w:r>
        <w:rPr>
          <w:rFonts w:hint="eastAsia"/>
          <w:color w:val="000000" w:themeColor="text1"/>
          <w:sz w:val="36"/>
          <w:szCs w:val="36"/>
          <w:lang w:eastAsia="zh-CN"/>
          <w14:textFill>
            <w14:solidFill>
              <w14:schemeClr w14:val="tx1"/>
            </w14:solidFill>
          </w14:textFill>
        </w:rPr>
        <w:t>鹿城区政务服务中心安保服务</w:t>
      </w:r>
      <w:r>
        <w:rPr>
          <w:rFonts w:hint="eastAsia"/>
          <w:color w:val="000000" w:themeColor="text1"/>
          <w:sz w:val="36"/>
          <w:szCs w:val="36"/>
          <w14:textFill>
            <w14:solidFill>
              <w14:schemeClr w14:val="tx1"/>
            </w14:solidFill>
          </w14:textFill>
        </w:rPr>
        <w:t>范围与内容</w:t>
      </w:r>
      <w:bookmarkEnd w:id="80"/>
    </w:p>
    <w:p w14:paraId="4D10F0B7">
      <w:pPr>
        <w:adjustRightInd w:val="0"/>
        <w:snapToGrid w:val="0"/>
        <w:spacing w:line="440" w:lineRule="exact"/>
        <w:ind w:firstLine="420" w:firstLineChars="150"/>
        <w:rPr>
          <w:rFonts w:ascii="仿宋" w:hAnsi="仿宋" w:eastAsia="仿宋"/>
          <w:color w:val="000000" w:themeColor="text1"/>
          <w:sz w:val="28"/>
          <w:szCs w:val="28"/>
          <w14:textFill>
            <w14:solidFill>
              <w14:schemeClr w14:val="tx1"/>
            </w14:solidFill>
          </w14:textFill>
        </w:rPr>
      </w:pPr>
    </w:p>
    <w:p w14:paraId="16E27BB6">
      <w:pPr>
        <w:adjustRightInd w:val="0"/>
        <w:snapToGrid w:val="0"/>
        <w:spacing w:line="440" w:lineRule="exact"/>
        <w:ind w:firstLine="442" w:firstLineChars="200"/>
        <w:rPr>
          <w:rFonts w:ascii="Times New Roman" w:hAnsi="Times New Roman" w:eastAsia="宋体" w:cs="Times New Roman"/>
          <w:color w:val="000000"/>
        </w:rPr>
      </w:pPr>
      <w:r>
        <w:rPr>
          <w:rFonts w:hint="eastAsia" w:ascii="宋体" w:hAnsi="宋体" w:eastAsia="宋体" w:cs="Times New Roman"/>
          <w:b/>
          <w:color w:val="000000"/>
          <w:sz w:val="22"/>
          <w:szCs w:val="22"/>
        </w:rPr>
        <w:t>一、范围：</w:t>
      </w:r>
      <w:r>
        <w:rPr>
          <w:rFonts w:hint="eastAsia" w:ascii="宋体" w:hAnsi="宋体" w:eastAsia="宋体" w:cs="Times New Roman"/>
          <w:b w:val="0"/>
          <w:bCs/>
          <w:color w:val="000000"/>
          <w:sz w:val="22"/>
          <w:szCs w:val="22"/>
        </w:rPr>
        <w:t>鹿城区政务服务中心的正常秩序、安全保卫、出入登记、门卫、安检、信访劝导、监控、消防、停车库（场）秩序等管理工作。</w:t>
      </w:r>
    </w:p>
    <w:p w14:paraId="291D8DF8">
      <w:pPr>
        <w:adjustRightInd w:val="0"/>
        <w:snapToGrid w:val="0"/>
        <w:spacing w:line="440" w:lineRule="exact"/>
        <w:ind w:firstLine="442" w:firstLineChars="200"/>
        <w:rPr>
          <w:rFonts w:ascii="宋体" w:hAnsi="宋体" w:eastAsia="宋体" w:cs="Times New Roman"/>
          <w:bCs/>
          <w:color w:val="000000"/>
          <w:sz w:val="22"/>
          <w:szCs w:val="22"/>
        </w:rPr>
      </w:pPr>
      <w:r>
        <w:rPr>
          <w:rFonts w:hint="eastAsia" w:ascii="宋体" w:hAnsi="宋体" w:eastAsia="宋体" w:cs="Times New Roman"/>
          <w:b/>
          <w:color w:val="000000"/>
          <w:sz w:val="22"/>
          <w:szCs w:val="22"/>
        </w:rPr>
        <w:t>二、内容</w:t>
      </w:r>
      <w:r>
        <w:rPr>
          <w:rFonts w:hint="eastAsia" w:ascii="宋体" w:hAnsi="宋体" w:eastAsia="宋体" w:cs="Times New Roman"/>
          <w:bCs/>
          <w:color w:val="000000"/>
          <w:sz w:val="22"/>
          <w:szCs w:val="22"/>
        </w:rPr>
        <w:t>：认真贯彻执行国家法律法规和有关保安行业的方针政策，严格执行《保安服务管理条例》，遵循“预防为主、突出重点、保障安全”的方针，全面掌握</w:t>
      </w:r>
      <w:r>
        <w:rPr>
          <w:rFonts w:hint="eastAsia" w:ascii="宋体" w:hAnsi="宋体" w:cs="Times New Roman"/>
          <w:bCs/>
          <w:color w:val="000000"/>
          <w:sz w:val="22"/>
          <w:szCs w:val="22"/>
          <w:lang w:eastAsia="zh-CN"/>
        </w:rPr>
        <w:t>鹿城区政务服务中心</w:t>
      </w:r>
      <w:r>
        <w:rPr>
          <w:rFonts w:hint="eastAsia" w:ascii="宋体" w:hAnsi="宋体" w:eastAsia="宋体" w:cs="Times New Roman"/>
          <w:bCs/>
          <w:color w:val="000000"/>
          <w:sz w:val="22"/>
          <w:szCs w:val="22"/>
        </w:rPr>
        <w:t>安全保卫工作状况，健全各项管理制度、工作考核和责任追究机制，落实各项安全保卫工作措施，</w:t>
      </w:r>
      <w:r>
        <w:rPr>
          <w:rFonts w:hint="eastAsia" w:ascii="宋体" w:hAnsi="宋体" w:eastAsia="宋体" w:cs="宋体"/>
          <w:color w:val="000000"/>
          <w:kern w:val="0"/>
          <w:sz w:val="22"/>
          <w:szCs w:val="22"/>
        </w:rPr>
        <w:t>采取门卫、守护、巡逻、押运、随身护卫、人群控制、技术防范、安全咨询等形式，</w:t>
      </w:r>
      <w:r>
        <w:rPr>
          <w:rFonts w:hint="eastAsia" w:ascii="宋体" w:hAnsi="宋体" w:eastAsia="宋体" w:cs="Times New Roman"/>
          <w:bCs/>
          <w:color w:val="000000"/>
          <w:sz w:val="22"/>
          <w:szCs w:val="22"/>
        </w:rPr>
        <w:t>维护安保区域的秩序和安全，保障机关工作顺利进行。</w:t>
      </w:r>
    </w:p>
    <w:p w14:paraId="21376BA5">
      <w:pPr>
        <w:adjustRightInd w:val="0"/>
        <w:snapToGrid w:val="0"/>
        <w:spacing w:line="440" w:lineRule="exact"/>
        <w:ind w:firstLine="440" w:firstLineChars="200"/>
        <w:rPr>
          <w:rFonts w:ascii="宋体" w:hAnsi="宋体" w:eastAsia="宋体" w:cs="Times New Roman"/>
          <w:color w:val="000000"/>
          <w:sz w:val="22"/>
          <w:szCs w:val="22"/>
        </w:rPr>
      </w:pPr>
      <w:r>
        <w:rPr>
          <w:rFonts w:hint="eastAsia" w:ascii="宋体" w:hAnsi="宋体" w:eastAsia="宋体" w:cs="Times New Roman"/>
          <w:color w:val="000000"/>
          <w:sz w:val="22"/>
          <w:szCs w:val="22"/>
        </w:rPr>
        <w:t>（一）根据安保区域内的建筑结构特点、重要部位的分布情况和安全保卫工作的需要，足额配备安全保卫力量。安全保卫人员应符合《保安服务管理条例》的要求，具备相应的政治、业务、身体素质。</w:t>
      </w:r>
    </w:p>
    <w:p w14:paraId="0EA6F7F6">
      <w:pPr>
        <w:adjustRightInd w:val="0"/>
        <w:snapToGrid w:val="0"/>
        <w:spacing w:line="440" w:lineRule="exact"/>
        <w:ind w:firstLine="440" w:firstLineChars="200"/>
        <w:rPr>
          <w:rFonts w:ascii="宋体" w:hAnsi="宋体" w:eastAsia="宋体" w:cs="Times New Roman"/>
          <w:color w:val="000000"/>
          <w:sz w:val="22"/>
          <w:szCs w:val="22"/>
        </w:rPr>
      </w:pPr>
      <w:r>
        <w:rPr>
          <w:rFonts w:hint="eastAsia" w:ascii="宋体" w:hAnsi="宋体" w:eastAsia="宋体" w:cs="Times New Roman"/>
          <w:color w:val="000000"/>
          <w:sz w:val="22"/>
          <w:szCs w:val="22"/>
        </w:rPr>
        <w:t>（二）认真遵守</w:t>
      </w:r>
      <w:r>
        <w:rPr>
          <w:rFonts w:hint="eastAsia" w:ascii="宋体" w:hAnsi="宋体" w:cs="Times New Roman"/>
          <w:color w:val="000000"/>
          <w:sz w:val="22"/>
          <w:szCs w:val="22"/>
          <w:lang w:eastAsia="zh-CN"/>
        </w:rPr>
        <w:t>鹿城区政务服务中心</w:t>
      </w:r>
      <w:r>
        <w:rPr>
          <w:rFonts w:hint="eastAsia" w:ascii="宋体" w:hAnsi="宋体" w:eastAsia="宋体" w:cs="Times New Roman"/>
          <w:color w:val="000000"/>
          <w:sz w:val="22"/>
          <w:szCs w:val="22"/>
        </w:rPr>
        <w:t>各项规章制度，建立健全以下各项安全保卫工作制度，并严格落实。</w:t>
      </w:r>
    </w:p>
    <w:p w14:paraId="6BCB1F9A">
      <w:pPr>
        <w:adjustRightInd w:val="0"/>
        <w:snapToGrid w:val="0"/>
        <w:spacing w:line="440" w:lineRule="exact"/>
        <w:ind w:firstLine="440" w:firstLineChars="200"/>
        <w:rPr>
          <w:rFonts w:ascii="宋体" w:hAnsi="宋体" w:eastAsia="宋体" w:cs="Times New Roman"/>
          <w:color w:val="000000"/>
          <w:sz w:val="22"/>
          <w:szCs w:val="22"/>
        </w:rPr>
      </w:pPr>
      <w:r>
        <w:rPr>
          <w:rFonts w:hint="eastAsia" w:ascii="宋体" w:hAnsi="宋体" w:eastAsia="宋体" w:cs="Times New Roman"/>
          <w:color w:val="000000"/>
          <w:sz w:val="22"/>
          <w:szCs w:val="22"/>
        </w:rPr>
        <w:t>出入（门岗）管理制度、值班巡逻制度、视频巡查制度、重大节假日领导带班值班制度、监（消）控中心管理制度、登记制度，安全检查制度、重大节假日及日常检查制度。重要部位管理制度、交通安全管理制度、安防设施管理制度、消防设施管理制度、报告制度、考核及奖惩制度、教育培训制度和消防安全管理制度等。</w:t>
      </w:r>
    </w:p>
    <w:p w14:paraId="1EBC8B21">
      <w:pPr>
        <w:adjustRightInd w:val="0"/>
        <w:snapToGrid w:val="0"/>
        <w:spacing w:line="440" w:lineRule="exact"/>
        <w:ind w:firstLine="440" w:firstLineChars="200"/>
        <w:rPr>
          <w:rFonts w:ascii="宋体" w:hAnsi="宋体" w:eastAsia="宋体" w:cs="Times New Roman"/>
          <w:color w:val="000000"/>
          <w:sz w:val="22"/>
          <w:szCs w:val="22"/>
        </w:rPr>
      </w:pPr>
      <w:r>
        <w:rPr>
          <w:rFonts w:hint="eastAsia" w:ascii="宋体" w:hAnsi="宋体" w:eastAsia="宋体" w:cs="Times New Roman"/>
          <w:color w:val="000000"/>
          <w:sz w:val="22"/>
          <w:szCs w:val="22"/>
        </w:rPr>
        <w:t>（三）制订科学规范的安全防范措施，不断完善各项安全保卫措施。根据《浙江省党政机关反恐怖防范标准（试行）》要求，做好视频监控系统、入侵报警系统、出入口控制系统、电子巡查系统、防爆安检系统、监控中心、应急广播系统等系统的运行管理。</w:t>
      </w:r>
    </w:p>
    <w:p w14:paraId="438C58DB">
      <w:pPr>
        <w:adjustRightInd w:val="0"/>
        <w:snapToGrid w:val="0"/>
        <w:spacing w:line="440" w:lineRule="exact"/>
        <w:ind w:firstLine="440" w:firstLineChars="200"/>
        <w:rPr>
          <w:rFonts w:ascii="宋体" w:hAnsi="宋体" w:eastAsia="宋体" w:cs="Times New Roman"/>
          <w:color w:val="000000"/>
          <w:sz w:val="22"/>
          <w:szCs w:val="22"/>
        </w:rPr>
      </w:pPr>
      <w:r>
        <w:rPr>
          <w:rFonts w:hint="eastAsia" w:ascii="宋体" w:hAnsi="宋体" w:eastAsia="宋体" w:cs="Times New Roman"/>
          <w:color w:val="000000"/>
          <w:sz w:val="22"/>
          <w:szCs w:val="22"/>
        </w:rPr>
        <w:t>（四）严格执行《中华人民共和国公共安全行业标准保安服务操作规程与质量控制(GAT594-2006)》，规范着装，文明礼貌服务。统一规范着装，精神饱满，采用</w:t>
      </w:r>
      <w:r>
        <w:rPr>
          <w:rFonts w:hint="eastAsia" w:ascii="宋体" w:hAnsi="宋体" w:eastAsia="宋体" w:cs="Times New Roman"/>
          <w:bCs/>
          <w:color w:val="000000"/>
          <w:sz w:val="22"/>
          <w:szCs w:val="22"/>
        </w:rPr>
        <w:t>统一、规范的执勤动作和执勤用语，</w:t>
      </w:r>
      <w:r>
        <w:rPr>
          <w:rFonts w:hint="eastAsia" w:ascii="宋体" w:hAnsi="宋体" w:eastAsia="宋体" w:cs="Times New Roman"/>
          <w:color w:val="000000"/>
          <w:sz w:val="22"/>
          <w:szCs w:val="22"/>
        </w:rPr>
        <w:t>文明礼貌执勤，提供优质服务，树立良好品牌形象。</w:t>
      </w:r>
    </w:p>
    <w:p w14:paraId="058A0B8C">
      <w:pPr>
        <w:adjustRightInd w:val="0"/>
        <w:snapToGrid w:val="0"/>
        <w:spacing w:line="440" w:lineRule="exact"/>
        <w:ind w:firstLine="440" w:firstLineChars="200"/>
        <w:rPr>
          <w:rFonts w:ascii="宋体" w:hAnsi="宋体" w:eastAsia="宋体" w:cs="Times New Roman"/>
          <w:color w:val="000000"/>
          <w:sz w:val="22"/>
          <w:szCs w:val="22"/>
        </w:rPr>
      </w:pPr>
      <w:r>
        <w:rPr>
          <w:rFonts w:hint="eastAsia" w:ascii="宋体" w:hAnsi="宋体" w:eastAsia="宋体" w:cs="Times New Roman"/>
          <w:color w:val="000000"/>
          <w:sz w:val="22"/>
          <w:szCs w:val="22"/>
        </w:rPr>
        <w:t>（五）主要工作</w:t>
      </w:r>
    </w:p>
    <w:p w14:paraId="3E5EF630">
      <w:pPr>
        <w:adjustRightInd w:val="0"/>
        <w:snapToGrid w:val="0"/>
        <w:spacing w:line="440" w:lineRule="exact"/>
        <w:ind w:firstLine="440" w:firstLineChars="200"/>
        <w:rPr>
          <w:rFonts w:ascii="宋体" w:hAnsi="宋体" w:eastAsia="宋体" w:cs="Times New Roman"/>
          <w:bCs/>
          <w:color w:val="000000"/>
          <w:sz w:val="22"/>
          <w:szCs w:val="22"/>
        </w:rPr>
      </w:pPr>
      <w:r>
        <w:rPr>
          <w:rFonts w:hint="eastAsia" w:ascii="宋体" w:hAnsi="宋体" w:eastAsia="宋体" w:cs="Times New Roman"/>
          <w:bCs/>
          <w:color w:val="000000"/>
          <w:sz w:val="22"/>
          <w:szCs w:val="22"/>
        </w:rPr>
        <w:t>1、维护安保区域内的正常工作生活秩序。负责24小时安全保卫、门岗、监控、消防值勤。负责出入登记管理，负责监控系统的运行管理。</w:t>
      </w:r>
    </w:p>
    <w:p w14:paraId="112D5C19">
      <w:pPr>
        <w:adjustRightInd w:val="0"/>
        <w:snapToGrid w:val="0"/>
        <w:spacing w:line="440" w:lineRule="exact"/>
        <w:ind w:firstLine="440" w:firstLineChars="200"/>
        <w:rPr>
          <w:rFonts w:ascii="宋体" w:hAnsi="宋体" w:eastAsia="宋体" w:cs="Times New Roman"/>
          <w:bCs/>
          <w:color w:val="000000"/>
          <w:sz w:val="22"/>
          <w:szCs w:val="22"/>
        </w:rPr>
      </w:pPr>
      <w:r>
        <w:rPr>
          <w:rFonts w:hint="eastAsia" w:ascii="宋体" w:hAnsi="宋体" w:eastAsia="宋体" w:cs="Times New Roman"/>
          <w:bCs/>
          <w:color w:val="000000"/>
          <w:sz w:val="22"/>
          <w:szCs w:val="22"/>
        </w:rPr>
        <w:t>2、负责安保区域内防火、防盗、防投毒、防爆炸、防抢、防涉密、防治安灾害事故等安全防范工作。</w:t>
      </w:r>
    </w:p>
    <w:p w14:paraId="52E95E99">
      <w:pPr>
        <w:adjustRightInd w:val="0"/>
        <w:snapToGrid w:val="0"/>
        <w:spacing w:line="440" w:lineRule="exact"/>
        <w:ind w:firstLine="440" w:firstLineChars="200"/>
        <w:rPr>
          <w:rFonts w:ascii="宋体" w:hAnsi="宋体" w:eastAsia="宋体" w:cs="Times New Roman"/>
          <w:bCs/>
          <w:color w:val="000000"/>
          <w:sz w:val="22"/>
          <w:szCs w:val="22"/>
        </w:rPr>
      </w:pPr>
      <w:r>
        <w:rPr>
          <w:rFonts w:hint="eastAsia" w:ascii="宋体" w:hAnsi="宋体" w:eastAsia="宋体" w:cs="Times New Roman"/>
          <w:bCs/>
          <w:color w:val="000000"/>
          <w:sz w:val="22"/>
          <w:szCs w:val="22"/>
        </w:rPr>
        <w:t>3、一天24小时车辆管理和安全保卫值勤。指挥车辆按规定车位整齐停放，维持交通秩序，纠正违规乱停乱放的车辆、并对违规司机进行劝教。</w:t>
      </w:r>
    </w:p>
    <w:p w14:paraId="26BDE6DA">
      <w:pPr>
        <w:adjustRightInd w:val="0"/>
        <w:snapToGrid w:val="0"/>
        <w:spacing w:line="440" w:lineRule="exact"/>
        <w:ind w:firstLine="440" w:firstLineChars="200"/>
        <w:rPr>
          <w:rFonts w:ascii="宋体" w:hAnsi="宋体" w:eastAsia="宋体" w:cs="Times New Roman"/>
          <w:bCs/>
          <w:color w:val="000000"/>
          <w:sz w:val="22"/>
          <w:szCs w:val="22"/>
        </w:rPr>
      </w:pPr>
      <w:r>
        <w:rPr>
          <w:rFonts w:hint="eastAsia" w:ascii="宋体" w:hAnsi="宋体" w:eastAsia="宋体" w:cs="Times New Roman"/>
          <w:bCs/>
          <w:color w:val="000000"/>
          <w:sz w:val="22"/>
          <w:szCs w:val="22"/>
        </w:rPr>
        <w:t>4、负责安全、安保、环境秩序巡查，保证安全，维护正常秩序。对可疑情况和发现的问题要及时处理，作好记录并报告。巡视、检查、汇报及统计记录；</w:t>
      </w:r>
    </w:p>
    <w:p w14:paraId="05F6E280">
      <w:pPr>
        <w:adjustRightInd w:val="0"/>
        <w:snapToGrid w:val="0"/>
        <w:spacing w:line="440" w:lineRule="exact"/>
        <w:ind w:firstLine="440" w:firstLineChars="200"/>
        <w:rPr>
          <w:rFonts w:ascii="宋体" w:hAnsi="宋体" w:eastAsia="宋体" w:cs="Times New Roman"/>
          <w:bCs/>
          <w:color w:val="000000"/>
          <w:sz w:val="22"/>
          <w:szCs w:val="22"/>
        </w:rPr>
      </w:pPr>
      <w:r>
        <w:rPr>
          <w:rFonts w:hint="eastAsia" w:ascii="宋体" w:hAnsi="宋体" w:eastAsia="宋体" w:cs="Times New Roman"/>
          <w:bCs/>
          <w:color w:val="000000"/>
          <w:sz w:val="22"/>
          <w:szCs w:val="22"/>
        </w:rPr>
        <w:t>5、负责各项大型活动的安全保卫、秩序管理工作。</w:t>
      </w:r>
    </w:p>
    <w:p w14:paraId="206F4AB2">
      <w:pPr>
        <w:adjustRightInd w:val="0"/>
        <w:snapToGrid w:val="0"/>
        <w:spacing w:line="440" w:lineRule="exact"/>
        <w:ind w:firstLine="440" w:firstLineChars="200"/>
        <w:rPr>
          <w:rFonts w:ascii="宋体" w:hAnsi="宋体" w:eastAsia="宋体" w:cs="Times New Roman"/>
          <w:bCs/>
          <w:color w:val="000000"/>
          <w:sz w:val="22"/>
          <w:szCs w:val="22"/>
        </w:rPr>
      </w:pPr>
      <w:r>
        <w:rPr>
          <w:rFonts w:hint="eastAsia" w:ascii="宋体" w:hAnsi="宋体" w:eastAsia="宋体" w:cs="Times New Roman"/>
          <w:bCs/>
          <w:color w:val="000000"/>
          <w:sz w:val="22"/>
          <w:szCs w:val="22"/>
        </w:rPr>
        <w:t>6、接受业主的领导，开展安全防范工作和日常管理工作，遵守采购人的规章制度，服从管理，听从指挥。</w:t>
      </w:r>
    </w:p>
    <w:p w14:paraId="3F329F82">
      <w:pPr>
        <w:adjustRightInd w:val="0"/>
        <w:snapToGrid w:val="0"/>
        <w:spacing w:line="440" w:lineRule="exact"/>
        <w:ind w:firstLine="440" w:firstLineChars="200"/>
        <w:rPr>
          <w:rFonts w:ascii="宋体" w:hAnsi="宋体" w:eastAsia="宋体" w:cs="Times New Roman"/>
          <w:bCs/>
          <w:color w:val="000000"/>
          <w:sz w:val="22"/>
          <w:szCs w:val="22"/>
        </w:rPr>
      </w:pPr>
      <w:r>
        <w:rPr>
          <w:rFonts w:hint="eastAsia" w:ascii="宋体" w:hAnsi="宋体" w:eastAsia="宋体" w:cs="Times New Roman"/>
          <w:bCs/>
          <w:color w:val="000000"/>
          <w:sz w:val="22"/>
          <w:szCs w:val="22"/>
        </w:rPr>
        <w:t>7、对特设的重点区域、重点设备的安全保卫和管理。</w:t>
      </w:r>
    </w:p>
    <w:p w14:paraId="235FDCF6">
      <w:pPr>
        <w:adjustRightInd w:val="0"/>
        <w:snapToGrid w:val="0"/>
        <w:spacing w:line="440" w:lineRule="exact"/>
        <w:ind w:firstLine="440" w:firstLineChars="200"/>
        <w:rPr>
          <w:rFonts w:ascii="宋体" w:hAnsi="宋体" w:eastAsia="宋体" w:cs="Times New Roman"/>
          <w:bCs/>
          <w:color w:val="000000"/>
          <w:sz w:val="22"/>
          <w:szCs w:val="22"/>
        </w:rPr>
      </w:pPr>
      <w:r>
        <w:rPr>
          <w:rFonts w:hint="eastAsia" w:ascii="宋体" w:hAnsi="宋体" w:eastAsia="宋体" w:cs="Times New Roman"/>
          <w:bCs/>
          <w:color w:val="000000"/>
          <w:sz w:val="22"/>
          <w:szCs w:val="22"/>
        </w:rPr>
        <w:t>8、负责安保区域内的安保工作宣传，参与协助采购人专项抢险、防台防汛、应急事件处理、接待护卫等工作。</w:t>
      </w:r>
    </w:p>
    <w:p w14:paraId="038ADA51">
      <w:pPr>
        <w:adjustRightInd w:val="0"/>
        <w:snapToGrid w:val="0"/>
        <w:spacing w:line="440" w:lineRule="exact"/>
        <w:ind w:firstLine="440" w:firstLineChars="200"/>
        <w:rPr>
          <w:rFonts w:ascii="宋体" w:hAnsi="宋体" w:eastAsia="宋体" w:cs="Times New Roman"/>
          <w:bCs/>
          <w:color w:val="000000"/>
          <w:sz w:val="22"/>
          <w:szCs w:val="22"/>
        </w:rPr>
      </w:pPr>
      <w:r>
        <w:rPr>
          <w:rFonts w:hint="eastAsia" w:ascii="宋体" w:hAnsi="宋体" w:eastAsia="宋体" w:cs="Times New Roman"/>
          <w:bCs/>
          <w:color w:val="000000"/>
          <w:sz w:val="22"/>
          <w:szCs w:val="22"/>
        </w:rPr>
        <w:t>9、建立规范的消防户籍资料，接受消防业务主管部门的指导监督和检查，对发现的安全隐患，及时通知责任单位进行整改。开展消防监督检查，定期巡视、试验、维修、更新消防器材和设备。强化对易燃、易爆、化学品及其它危险物品的管理，保障安保区域内的消防安全。</w:t>
      </w:r>
    </w:p>
    <w:p w14:paraId="57087877">
      <w:pPr>
        <w:adjustRightInd w:val="0"/>
        <w:snapToGrid w:val="0"/>
        <w:spacing w:line="440" w:lineRule="exact"/>
        <w:ind w:firstLine="440" w:firstLineChars="200"/>
        <w:rPr>
          <w:rFonts w:ascii="宋体" w:hAnsi="宋体" w:eastAsia="宋体" w:cs="Times New Roman"/>
          <w:bCs/>
          <w:color w:val="000000"/>
          <w:sz w:val="22"/>
          <w:szCs w:val="22"/>
        </w:rPr>
      </w:pPr>
      <w:r>
        <w:rPr>
          <w:rFonts w:hint="eastAsia" w:ascii="宋体" w:hAnsi="宋体" w:eastAsia="宋体" w:cs="Times New Roman"/>
          <w:bCs/>
          <w:color w:val="000000"/>
          <w:sz w:val="22"/>
          <w:szCs w:val="22"/>
        </w:rPr>
        <w:t>10、负责安保区域内的非法信访处置工作。</w:t>
      </w:r>
    </w:p>
    <w:p w14:paraId="376E2E3D">
      <w:pPr>
        <w:adjustRightInd w:val="0"/>
        <w:snapToGrid w:val="0"/>
        <w:spacing w:line="440" w:lineRule="exact"/>
        <w:ind w:firstLine="440" w:firstLineChars="200"/>
        <w:rPr>
          <w:rFonts w:ascii="宋体" w:hAnsi="宋体" w:eastAsia="宋体" w:cs="Times New Roman"/>
          <w:bCs/>
          <w:color w:val="000000"/>
          <w:sz w:val="22"/>
          <w:szCs w:val="22"/>
        </w:rPr>
      </w:pPr>
      <w:r>
        <w:rPr>
          <w:rFonts w:hint="eastAsia" w:ascii="宋体" w:hAnsi="宋体" w:eastAsia="宋体" w:cs="Times New Roman"/>
          <w:bCs/>
          <w:color w:val="000000"/>
          <w:sz w:val="22"/>
          <w:szCs w:val="22"/>
        </w:rPr>
        <w:t>11、建立完善各项应急预案，包括防恐怖袭击、台风、爆炸、火灾、异常上访、停电、停水等突发案（事）件处置预案，并定期组织培训、演练。</w:t>
      </w:r>
    </w:p>
    <w:p w14:paraId="1E59AF4F">
      <w:pPr>
        <w:adjustRightInd w:val="0"/>
        <w:snapToGrid w:val="0"/>
        <w:spacing w:line="440" w:lineRule="exact"/>
        <w:ind w:firstLine="440" w:firstLineChars="200"/>
        <w:rPr>
          <w:rFonts w:ascii="宋体" w:hAnsi="宋体" w:eastAsia="宋体" w:cs="Times New Roman"/>
          <w:color w:val="000000"/>
          <w:sz w:val="22"/>
          <w:szCs w:val="22"/>
        </w:rPr>
      </w:pPr>
      <w:r>
        <w:rPr>
          <w:rFonts w:hint="eastAsia" w:ascii="宋体" w:hAnsi="宋体" w:eastAsia="宋体" w:cs="Times New Roman"/>
          <w:bCs/>
          <w:color w:val="000000"/>
          <w:sz w:val="22"/>
          <w:szCs w:val="22"/>
        </w:rPr>
        <w:t>12、严格管理有关装备、设施，并规范使用。</w:t>
      </w:r>
    </w:p>
    <w:p w14:paraId="72D7D293">
      <w:pPr>
        <w:rPr>
          <w:rFonts w:ascii="Times New Roman" w:hAnsi="Times New Roman" w:eastAsia="宋体" w:cs="Times New Roman"/>
          <w:color w:val="000000"/>
        </w:rPr>
      </w:pPr>
    </w:p>
    <w:p w14:paraId="24FB68CC">
      <w:pPr>
        <w:keepNext/>
        <w:pageBreakBefore/>
        <w:widowControl/>
        <w:shd w:val="clear" w:color="FFFFFF" w:fill="FFFFFF"/>
        <w:spacing w:before="640" w:after="560" w:line="460" w:lineRule="exact"/>
        <w:jc w:val="center"/>
        <w:outlineLvl w:val="0"/>
        <w:rPr>
          <w:rFonts w:ascii="黑体" w:hAnsi="Times New Roman" w:eastAsia="黑体" w:cs="Times New Roman"/>
          <w:color w:val="000000"/>
          <w:kern w:val="0"/>
          <w:sz w:val="32"/>
          <w:szCs w:val="20"/>
          <w:lang w:val="en-US" w:eastAsia="zh-CN" w:bidi="ar-SA"/>
        </w:rPr>
      </w:pPr>
      <w:r>
        <w:rPr>
          <w:rFonts w:hint="eastAsia" w:ascii="黑体" w:hAnsi="Times New Roman" w:eastAsia="黑体" w:cs="Times New Roman"/>
          <w:color w:val="000000"/>
          <w:kern w:val="0"/>
          <w:sz w:val="32"/>
          <w:szCs w:val="20"/>
          <w:lang w:val="en-US" w:eastAsia="zh-CN" w:bidi="ar-SA"/>
        </w:rPr>
        <w:t>鹿城区政务服务中心安保服务规范</w:t>
      </w:r>
    </w:p>
    <w:p w14:paraId="3B43A5DA">
      <w:pPr>
        <w:numPr>
          <w:ilvl w:val="0"/>
          <w:numId w:val="22"/>
        </w:numPr>
        <w:spacing w:beforeLines="0" w:afterLines="0" w:line="440" w:lineRule="exact"/>
        <w:ind w:firstLine="442" w:firstLineChars="200"/>
        <w:jc w:val="both"/>
        <w:outlineLvl w:val="1"/>
        <w:rPr>
          <w:rFonts w:ascii="宋体" w:hAnsi="宋体" w:eastAsia="宋体" w:cs="Times New Roman"/>
          <w:b/>
          <w:bCs/>
          <w:color w:val="000000"/>
          <w:sz w:val="22"/>
          <w:szCs w:val="22"/>
          <w:lang w:val="en-US" w:eastAsia="zh-CN" w:bidi="ar-SA"/>
        </w:rPr>
      </w:pPr>
      <w:r>
        <w:rPr>
          <w:rFonts w:hint="eastAsia" w:ascii="宋体" w:hAnsi="宋体" w:eastAsia="宋体" w:cs="Times New Roman"/>
          <w:b/>
          <w:bCs/>
          <w:color w:val="000000"/>
          <w:sz w:val="22"/>
          <w:szCs w:val="22"/>
          <w:lang w:val="en-US" w:eastAsia="zh-CN" w:bidi="ar-SA"/>
        </w:rPr>
        <w:t>范围</w:t>
      </w:r>
    </w:p>
    <w:p w14:paraId="6AD3D4F2">
      <w:pPr>
        <w:tabs>
          <w:tab w:val="center" w:pos="4201"/>
          <w:tab w:val="right" w:leader="dot" w:pos="9298"/>
        </w:tabs>
        <w:autoSpaceDE w:val="0"/>
        <w:autoSpaceDN w:val="0"/>
        <w:spacing w:line="440" w:lineRule="exact"/>
        <w:ind w:firstLine="440" w:firstLineChars="200"/>
        <w:jc w:val="both"/>
        <w:rPr>
          <w:rFonts w:ascii="宋体" w:hAnsi="宋体" w:eastAsia="宋体" w:cs="Times New Roman"/>
          <w:color w:val="000000"/>
          <w:sz w:val="22"/>
          <w:lang w:val="en-US" w:eastAsia="zh-CN" w:bidi="ar-SA"/>
        </w:rPr>
      </w:pPr>
      <w:r>
        <w:rPr>
          <w:rFonts w:hint="eastAsia" w:ascii="宋体" w:hAnsi="宋体" w:eastAsia="宋体" w:cs="Times New Roman"/>
          <w:color w:val="000000"/>
          <w:sz w:val="22"/>
          <w:lang w:val="en-US" w:eastAsia="zh-CN" w:bidi="ar-SA"/>
        </w:rPr>
        <w:t>本标准规定了鹿城区政务服务中心安保服务的人员要求、培训要求、行为规范、岗位要求、勤务制度。</w:t>
      </w:r>
    </w:p>
    <w:p w14:paraId="60DF89E1">
      <w:pPr>
        <w:tabs>
          <w:tab w:val="center" w:pos="4201"/>
          <w:tab w:val="right" w:leader="dot" w:pos="9298"/>
        </w:tabs>
        <w:autoSpaceDE w:val="0"/>
        <w:autoSpaceDN w:val="0"/>
        <w:spacing w:line="440" w:lineRule="exact"/>
        <w:ind w:firstLine="440" w:firstLineChars="200"/>
        <w:jc w:val="both"/>
        <w:rPr>
          <w:rFonts w:ascii="宋体" w:hAnsi="宋体" w:eastAsia="宋体" w:cs="Times New Roman"/>
          <w:color w:val="000000"/>
          <w:sz w:val="22"/>
          <w:lang w:val="en-US" w:eastAsia="zh-CN" w:bidi="ar-SA"/>
        </w:rPr>
      </w:pPr>
      <w:r>
        <w:rPr>
          <w:rFonts w:hint="eastAsia" w:ascii="宋体" w:hAnsi="宋体" w:eastAsia="宋体" w:cs="Times New Roman"/>
          <w:color w:val="000000"/>
          <w:sz w:val="22"/>
          <w:lang w:val="en-US" w:eastAsia="zh-CN" w:bidi="ar-SA"/>
        </w:rPr>
        <w:t>本标准适用于鹿城区政务服务中心安保服务。</w:t>
      </w:r>
    </w:p>
    <w:p w14:paraId="3D7687FF">
      <w:pPr>
        <w:numPr>
          <w:ilvl w:val="0"/>
          <w:numId w:val="22"/>
        </w:numPr>
        <w:spacing w:beforeLines="0" w:afterLines="0" w:line="440" w:lineRule="exact"/>
        <w:ind w:firstLine="442" w:firstLineChars="200"/>
        <w:jc w:val="both"/>
        <w:outlineLvl w:val="1"/>
        <w:rPr>
          <w:rFonts w:ascii="宋体" w:hAnsi="宋体" w:eastAsia="宋体" w:cs="Times New Roman"/>
          <w:b/>
          <w:bCs/>
          <w:color w:val="000000"/>
          <w:sz w:val="22"/>
          <w:szCs w:val="22"/>
          <w:lang w:val="en-US" w:eastAsia="zh-CN" w:bidi="ar-SA"/>
        </w:rPr>
      </w:pPr>
      <w:bookmarkStart w:id="81" w:name="_Toc10446_WPSOffice_Level1"/>
      <w:bookmarkStart w:id="82" w:name="_Toc88205831"/>
      <w:bookmarkStart w:id="83" w:name="_Toc26290"/>
      <w:bookmarkStart w:id="84" w:name="_Toc3122_WPSOffice_Level1"/>
      <w:bookmarkStart w:id="85" w:name="_Toc509489761"/>
      <w:bookmarkStart w:id="86" w:name="_Toc509486740"/>
      <w:bookmarkStart w:id="87" w:name="_Toc14917"/>
      <w:r>
        <w:rPr>
          <w:rFonts w:hint="eastAsia" w:ascii="宋体" w:hAnsi="宋体" w:eastAsia="宋体" w:cs="Times New Roman"/>
          <w:b/>
          <w:bCs/>
          <w:color w:val="000000"/>
          <w:sz w:val="22"/>
          <w:szCs w:val="22"/>
          <w:lang w:val="en-US" w:eastAsia="zh-CN" w:bidi="ar-SA"/>
        </w:rPr>
        <w:t>规范性引用文件</w:t>
      </w:r>
      <w:bookmarkEnd w:id="81"/>
      <w:bookmarkEnd w:id="82"/>
      <w:bookmarkEnd w:id="83"/>
      <w:bookmarkEnd w:id="84"/>
    </w:p>
    <w:p w14:paraId="17EE6357">
      <w:pPr>
        <w:tabs>
          <w:tab w:val="center" w:pos="4201"/>
          <w:tab w:val="right" w:leader="dot" w:pos="9298"/>
        </w:tabs>
        <w:autoSpaceDE w:val="0"/>
        <w:autoSpaceDN w:val="0"/>
        <w:spacing w:line="440" w:lineRule="exact"/>
        <w:ind w:firstLine="440" w:firstLineChars="200"/>
        <w:jc w:val="both"/>
        <w:rPr>
          <w:rFonts w:ascii="宋体" w:hAnsi="宋体" w:eastAsia="宋体" w:cs="Times New Roman"/>
          <w:color w:val="000000"/>
          <w:sz w:val="22"/>
          <w:lang w:val="en-US" w:eastAsia="zh-CN" w:bidi="ar-SA"/>
        </w:rPr>
      </w:pPr>
      <w:r>
        <w:rPr>
          <w:rFonts w:hint="eastAsia" w:ascii="宋体" w:hAnsi="宋体" w:eastAsia="宋体" w:cs="Times New Roman"/>
          <w:color w:val="000000"/>
          <w:sz w:val="22"/>
          <w:lang w:val="en-US" w:eastAsia="zh-CN" w:bidi="ar-SA"/>
        </w:rPr>
        <w:t>下列文件对于本文件的应用是必不可少的。凡是注日期的引用文件，仅注日期的版本适用于本文件。凡是不注日期的引用文件，其最新版本（包括所有的修改单）适用于本文件。</w:t>
      </w:r>
    </w:p>
    <w:p w14:paraId="78A4DF65">
      <w:pPr>
        <w:tabs>
          <w:tab w:val="center" w:pos="4201"/>
          <w:tab w:val="right" w:leader="dot" w:pos="9298"/>
        </w:tabs>
        <w:autoSpaceDE w:val="0"/>
        <w:autoSpaceDN w:val="0"/>
        <w:spacing w:line="440" w:lineRule="exact"/>
        <w:ind w:firstLine="440" w:firstLineChars="200"/>
        <w:jc w:val="both"/>
        <w:rPr>
          <w:rFonts w:ascii="宋体" w:hAnsi="宋体" w:eastAsia="宋体" w:cs="Times New Roman"/>
          <w:color w:val="000000"/>
          <w:sz w:val="22"/>
          <w:lang w:val="en-US" w:eastAsia="zh-CN" w:bidi="ar-SA"/>
        </w:rPr>
      </w:pPr>
      <w:r>
        <w:rPr>
          <w:rFonts w:hint="eastAsia" w:ascii="宋体" w:hAnsi="宋体" w:eastAsia="宋体" w:cs="Times New Roman"/>
          <w:color w:val="000000"/>
          <w:sz w:val="22"/>
          <w:lang w:val="en-US" w:eastAsia="zh-CN" w:bidi="ar-SA"/>
        </w:rPr>
        <w:t>GA</w:t>
      </w:r>
      <w:r>
        <w:rPr>
          <w:rFonts w:ascii="宋体" w:hAnsi="宋体" w:eastAsia="宋体" w:cs="Times New Roman"/>
          <w:color w:val="000000"/>
          <w:sz w:val="22"/>
          <w:lang w:val="en-US" w:eastAsia="zh-CN" w:bidi="ar-SA"/>
        </w:rPr>
        <w:t>/</w:t>
      </w:r>
      <w:r>
        <w:rPr>
          <w:rFonts w:hint="eastAsia" w:ascii="宋体" w:hAnsi="宋体" w:eastAsia="宋体" w:cs="Times New Roman"/>
          <w:color w:val="000000"/>
          <w:sz w:val="22"/>
          <w:lang w:val="en-US" w:eastAsia="zh-CN" w:bidi="ar-SA"/>
        </w:rPr>
        <w:t xml:space="preserve">T 594-2006  保安服务操作规程与质量控制 </w:t>
      </w:r>
    </w:p>
    <w:bookmarkEnd w:id="85"/>
    <w:bookmarkEnd w:id="86"/>
    <w:bookmarkEnd w:id="87"/>
    <w:p w14:paraId="7773959D">
      <w:pPr>
        <w:numPr>
          <w:ilvl w:val="0"/>
          <w:numId w:val="22"/>
        </w:numPr>
        <w:spacing w:beforeLines="0" w:afterLines="0" w:line="440" w:lineRule="exact"/>
        <w:ind w:firstLine="442" w:firstLineChars="200"/>
        <w:jc w:val="both"/>
        <w:outlineLvl w:val="1"/>
        <w:rPr>
          <w:rFonts w:ascii="宋体" w:hAnsi="宋体" w:eastAsia="宋体" w:cs="Times New Roman"/>
          <w:b/>
          <w:bCs/>
          <w:color w:val="000000"/>
          <w:sz w:val="22"/>
          <w:szCs w:val="22"/>
          <w:lang w:val="en-US" w:eastAsia="zh-CN" w:bidi="ar-SA"/>
        </w:rPr>
      </w:pPr>
      <w:bookmarkStart w:id="88" w:name="_Toc4167"/>
      <w:bookmarkStart w:id="89" w:name="_Toc509489763"/>
      <w:bookmarkStart w:id="90" w:name="_Toc509486742"/>
      <w:bookmarkStart w:id="91" w:name="_Toc88205832"/>
      <w:r>
        <w:rPr>
          <w:rFonts w:hint="eastAsia" w:ascii="宋体" w:hAnsi="宋体" w:eastAsia="宋体" w:cs="Times New Roman"/>
          <w:b/>
          <w:bCs/>
          <w:color w:val="000000"/>
          <w:sz w:val="22"/>
          <w:szCs w:val="22"/>
          <w:lang w:val="en-US" w:eastAsia="zh-CN" w:bidi="ar-SA"/>
        </w:rPr>
        <w:t>人员</w:t>
      </w:r>
      <w:bookmarkEnd w:id="88"/>
      <w:bookmarkEnd w:id="89"/>
      <w:bookmarkEnd w:id="90"/>
      <w:r>
        <w:rPr>
          <w:rFonts w:hint="eastAsia" w:ascii="宋体" w:hAnsi="宋体" w:eastAsia="宋体" w:cs="Times New Roman"/>
          <w:b/>
          <w:bCs/>
          <w:color w:val="000000"/>
          <w:sz w:val="22"/>
          <w:szCs w:val="22"/>
          <w:lang w:val="en-US" w:eastAsia="zh-CN" w:bidi="ar-SA"/>
        </w:rPr>
        <w:t>要求</w:t>
      </w:r>
      <w:bookmarkEnd w:id="91"/>
    </w:p>
    <w:p w14:paraId="42B75A9E">
      <w:pPr>
        <w:tabs>
          <w:tab w:val="center" w:pos="4201"/>
          <w:tab w:val="right" w:leader="dot" w:pos="9298"/>
        </w:tabs>
        <w:autoSpaceDE w:val="0"/>
        <w:autoSpaceDN w:val="0"/>
        <w:spacing w:line="440" w:lineRule="exact"/>
        <w:ind w:firstLine="440" w:firstLineChars="200"/>
        <w:jc w:val="both"/>
        <w:rPr>
          <w:rFonts w:ascii="宋体" w:hAnsi="宋体" w:eastAsia="宋体" w:cs="Times New Roman"/>
          <w:color w:val="000000"/>
          <w:sz w:val="22"/>
          <w:lang w:val="en-US" w:eastAsia="zh-CN" w:bidi="ar-SA"/>
        </w:rPr>
      </w:pPr>
      <w:r>
        <w:rPr>
          <w:rFonts w:hint="eastAsia" w:ascii="宋体" w:hAnsi="宋体" w:eastAsia="宋体" w:cs="Times New Roman"/>
          <w:color w:val="000000"/>
          <w:sz w:val="22"/>
          <w:lang w:val="en-US" w:eastAsia="zh-CN" w:bidi="ar-SA"/>
        </w:rPr>
        <w:t>安保人员应专职为</w:t>
      </w:r>
      <w:r>
        <w:rPr>
          <w:rFonts w:hint="eastAsia" w:ascii="宋体" w:hAnsi="宋体" w:cs="Times New Roman"/>
          <w:color w:val="000000"/>
          <w:sz w:val="22"/>
          <w:lang w:val="en-US" w:eastAsia="zh-CN" w:bidi="ar-SA"/>
        </w:rPr>
        <w:t>鹿城区政务服务中心</w:t>
      </w:r>
      <w:r>
        <w:rPr>
          <w:rFonts w:hint="eastAsia" w:ascii="宋体" w:hAnsi="宋体" w:eastAsia="宋体" w:cs="Times New Roman"/>
          <w:color w:val="000000"/>
          <w:sz w:val="22"/>
          <w:lang w:val="en-US" w:eastAsia="zh-CN" w:bidi="ar-SA"/>
        </w:rPr>
        <w:t>服务，不得兼职；招聘人员应通过有关部门政审后方可录用，并取得由县级以上公安机关核发的《浙江省保安从业人员资格证》或国家职业技能鉴定证书。</w:t>
      </w:r>
    </w:p>
    <w:p w14:paraId="495F396C">
      <w:pPr>
        <w:numPr>
          <w:ilvl w:val="0"/>
          <w:numId w:val="0"/>
        </w:numPr>
        <w:spacing w:beforeLines="0" w:afterLines="0" w:line="440" w:lineRule="exact"/>
        <w:ind w:firstLine="440" w:firstLineChars="200"/>
        <w:outlineLvl w:val="2"/>
        <w:rPr>
          <w:rFonts w:ascii="宋体" w:hAnsi="宋体" w:eastAsia="宋体" w:cs="Times New Roman"/>
          <w:b/>
          <w:bCs/>
          <w:color w:val="000000"/>
          <w:sz w:val="22"/>
          <w:szCs w:val="22"/>
          <w:lang w:val="en-US" w:eastAsia="zh-CN" w:bidi="ar-SA"/>
        </w:rPr>
      </w:pPr>
      <w:bookmarkStart w:id="92" w:name="_Toc88205833"/>
      <w:bookmarkStart w:id="93" w:name="_Toc5004"/>
      <w:r>
        <w:rPr>
          <w:rFonts w:hint="eastAsia" w:ascii="宋体" w:hAnsi="宋体" w:eastAsia="宋体" w:cs="Times New Roman"/>
          <w:color w:val="000000"/>
          <w:sz w:val="22"/>
          <w:szCs w:val="22"/>
          <w:lang w:val="en-US" w:eastAsia="zh-CN" w:bidi="ar-SA"/>
        </w:rPr>
        <w:t xml:space="preserve">4  </w:t>
      </w:r>
      <w:r>
        <w:rPr>
          <w:rFonts w:hint="eastAsia" w:ascii="宋体" w:hAnsi="宋体" w:eastAsia="宋体" w:cs="Times New Roman"/>
          <w:b/>
          <w:bCs/>
          <w:color w:val="000000"/>
          <w:sz w:val="22"/>
          <w:szCs w:val="22"/>
          <w:lang w:val="en-US" w:eastAsia="zh-CN" w:bidi="ar-SA"/>
        </w:rPr>
        <w:t>培训要求</w:t>
      </w:r>
      <w:bookmarkEnd w:id="92"/>
    </w:p>
    <w:p w14:paraId="4CB86865">
      <w:pPr>
        <w:numPr>
          <w:ilvl w:val="0"/>
          <w:numId w:val="0"/>
        </w:numPr>
        <w:spacing w:before="50" w:beforeLines="0" w:after="50" w:afterLines="0" w:line="440" w:lineRule="exact"/>
        <w:ind w:firstLine="440" w:firstLineChars="200"/>
        <w:outlineLvl w:val="3"/>
        <w:rPr>
          <w:rFonts w:ascii="宋体" w:hAnsi="宋体" w:eastAsia="宋体" w:cs="Times New Roman"/>
          <w:color w:val="000000"/>
          <w:sz w:val="22"/>
          <w:szCs w:val="22"/>
          <w:lang w:val="en-US" w:eastAsia="zh-CN" w:bidi="ar-SA"/>
        </w:rPr>
      </w:pPr>
      <w:bookmarkStart w:id="94" w:name="_Toc17009273"/>
      <w:r>
        <w:rPr>
          <w:rFonts w:hint="eastAsia" w:ascii="宋体" w:hAnsi="宋体" w:eastAsia="宋体" w:cs="Times New Roman"/>
          <w:color w:val="000000"/>
          <w:sz w:val="22"/>
          <w:szCs w:val="22"/>
          <w:lang w:val="en-US" w:eastAsia="zh-CN" w:bidi="ar-SA"/>
        </w:rPr>
        <w:t>4.1  培训时间</w:t>
      </w:r>
      <w:bookmarkEnd w:id="94"/>
    </w:p>
    <w:p w14:paraId="428562A7">
      <w:pPr>
        <w:tabs>
          <w:tab w:val="center" w:pos="4201"/>
          <w:tab w:val="right" w:leader="dot" w:pos="9298"/>
        </w:tabs>
        <w:autoSpaceDE w:val="0"/>
        <w:autoSpaceDN w:val="0"/>
        <w:spacing w:line="440" w:lineRule="exact"/>
        <w:ind w:firstLine="440" w:firstLineChars="200"/>
        <w:jc w:val="both"/>
        <w:rPr>
          <w:rFonts w:ascii="宋体" w:hAnsi="宋体" w:eastAsia="宋体" w:cs="Times New Roman"/>
          <w:color w:val="000000"/>
          <w:sz w:val="22"/>
          <w:lang w:val="en-US" w:eastAsia="zh-CN" w:bidi="ar-SA"/>
        </w:rPr>
      </w:pPr>
      <w:r>
        <w:rPr>
          <w:rFonts w:ascii="宋体" w:hAnsi="宋体" w:eastAsia="宋体" w:cs="Times New Roman"/>
          <w:color w:val="000000"/>
          <w:sz w:val="22"/>
          <w:lang w:val="en-US" w:eastAsia="zh-CN" w:bidi="ar-SA"/>
        </w:rPr>
        <w:t>应</w:t>
      </w:r>
      <w:r>
        <w:rPr>
          <w:rFonts w:hint="eastAsia" w:ascii="宋体" w:hAnsi="宋体" w:eastAsia="宋体" w:cs="Times New Roman"/>
          <w:color w:val="000000"/>
          <w:sz w:val="22"/>
          <w:lang w:val="en-US" w:eastAsia="zh-CN" w:bidi="ar-SA"/>
        </w:rPr>
        <w:t>加强安全保卫人员的业务培训，制定年度教育训练计划，每周集中开展教育学习不少于1次，组织开展基础训练和业务训练，每人每周不少于3小时。</w:t>
      </w:r>
    </w:p>
    <w:p w14:paraId="54652E0E">
      <w:pPr>
        <w:numPr>
          <w:ilvl w:val="0"/>
          <w:numId w:val="0"/>
        </w:numPr>
        <w:spacing w:before="50" w:beforeLines="0" w:after="50" w:afterLines="0" w:line="440" w:lineRule="exact"/>
        <w:ind w:firstLine="440" w:firstLineChars="200"/>
        <w:outlineLvl w:val="3"/>
        <w:rPr>
          <w:rFonts w:ascii="宋体" w:hAnsi="宋体" w:eastAsia="宋体" w:cs="Times New Roman"/>
          <w:color w:val="000000"/>
          <w:sz w:val="22"/>
          <w:szCs w:val="22"/>
          <w:lang w:val="en-US" w:eastAsia="zh-CN" w:bidi="ar-SA"/>
        </w:rPr>
      </w:pPr>
      <w:bookmarkStart w:id="95" w:name="5.2.2_培训内容"/>
      <w:bookmarkEnd w:id="95"/>
      <w:bookmarkStart w:id="96" w:name="_Toc17009274"/>
      <w:r>
        <w:rPr>
          <w:rFonts w:hint="eastAsia" w:ascii="宋体" w:hAnsi="宋体" w:eastAsia="宋体" w:cs="Times New Roman"/>
          <w:color w:val="000000"/>
          <w:sz w:val="22"/>
          <w:szCs w:val="22"/>
          <w:lang w:val="en-US" w:eastAsia="zh-CN" w:bidi="ar-SA"/>
        </w:rPr>
        <w:t>4.2  培训内容</w:t>
      </w:r>
      <w:bookmarkEnd w:id="96"/>
    </w:p>
    <w:p w14:paraId="1A11629B">
      <w:pPr>
        <w:tabs>
          <w:tab w:val="center" w:pos="4201"/>
          <w:tab w:val="right" w:leader="dot" w:pos="9298"/>
        </w:tabs>
        <w:autoSpaceDE w:val="0"/>
        <w:autoSpaceDN w:val="0"/>
        <w:spacing w:line="440" w:lineRule="exact"/>
        <w:ind w:firstLine="440" w:firstLineChars="200"/>
        <w:jc w:val="both"/>
        <w:rPr>
          <w:rFonts w:ascii="宋体" w:hAnsi="宋体" w:eastAsia="宋体" w:cs="Times New Roman"/>
          <w:color w:val="000000"/>
          <w:sz w:val="22"/>
          <w:lang w:val="en-US" w:eastAsia="zh-CN" w:bidi="ar-SA"/>
        </w:rPr>
      </w:pPr>
      <w:r>
        <w:rPr>
          <w:rFonts w:ascii="宋体" w:hAnsi="宋体" w:eastAsia="宋体" w:cs="Times New Roman"/>
          <w:color w:val="000000"/>
          <w:sz w:val="22"/>
          <w:lang w:val="en-US" w:eastAsia="zh-CN" w:bidi="ar-SA"/>
        </w:rPr>
        <w:t>培训内容应包括但不限于以下方面：</w:t>
      </w:r>
    </w:p>
    <w:p w14:paraId="7821CA1E">
      <w:pPr>
        <w:widowControl w:val="0"/>
        <w:numPr>
          <w:ilvl w:val="0"/>
          <w:numId w:val="23"/>
        </w:numPr>
        <w:tabs>
          <w:tab w:val="left" w:pos="720"/>
        </w:tabs>
        <w:spacing w:line="440" w:lineRule="exact"/>
        <w:ind w:left="0" w:firstLine="440" w:firstLineChars="200"/>
        <w:jc w:val="both"/>
        <w:rPr>
          <w:rFonts w:ascii="宋体" w:hAnsi="宋体" w:eastAsia="宋体" w:cs="Times New Roman"/>
          <w:color w:val="000000"/>
          <w:sz w:val="22"/>
          <w:szCs w:val="22"/>
          <w:lang w:val="en-US" w:eastAsia="zh-CN" w:bidi="ar-SA"/>
        </w:rPr>
      </w:pPr>
      <w:r>
        <w:rPr>
          <w:rFonts w:hint="eastAsia" w:ascii="宋体" w:hAnsi="宋体" w:eastAsia="宋体" w:cs="Times New Roman"/>
          <w:color w:val="000000"/>
          <w:sz w:val="22"/>
          <w:szCs w:val="22"/>
          <w:lang w:val="en-US" w:eastAsia="zh-CN" w:bidi="ar-SA"/>
        </w:rPr>
        <w:t>党的政策方针，法律法规，思想道德教育。</w:t>
      </w:r>
    </w:p>
    <w:p w14:paraId="68C68679">
      <w:pPr>
        <w:widowControl w:val="0"/>
        <w:numPr>
          <w:ilvl w:val="0"/>
          <w:numId w:val="23"/>
        </w:numPr>
        <w:tabs>
          <w:tab w:val="left" w:pos="720"/>
        </w:tabs>
        <w:spacing w:line="440" w:lineRule="exact"/>
        <w:ind w:left="0" w:firstLine="440" w:firstLineChars="200"/>
        <w:jc w:val="both"/>
        <w:rPr>
          <w:rFonts w:ascii="宋体" w:hAnsi="宋体" w:eastAsia="宋体" w:cs="Times New Roman"/>
          <w:color w:val="000000"/>
          <w:sz w:val="22"/>
          <w:szCs w:val="22"/>
          <w:lang w:val="en-US" w:eastAsia="zh-CN" w:bidi="ar-SA"/>
        </w:rPr>
      </w:pPr>
      <w:r>
        <w:rPr>
          <w:rFonts w:hint="eastAsia" w:ascii="宋体" w:hAnsi="宋体" w:eastAsia="宋体" w:cs="Times New Roman"/>
          <w:color w:val="000000"/>
          <w:sz w:val="22"/>
          <w:szCs w:val="22"/>
          <w:lang w:val="en-US" w:eastAsia="zh-CN" w:bidi="ar-SA"/>
        </w:rPr>
        <w:t>保安服务管理专业知识教育。</w:t>
      </w:r>
    </w:p>
    <w:p w14:paraId="40C7A817">
      <w:pPr>
        <w:widowControl w:val="0"/>
        <w:numPr>
          <w:ilvl w:val="0"/>
          <w:numId w:val="23"/>
        </w:numPr>
        <w:tabs>
          <w:tab w:val="left" w:pos="720"/>
        </w:tabs>
        <w:spacing w:line="440" w:lineRule="exact"/>
        <w:ind w:left="0" w:firstLine="440" w:firstLineChars="200"/>
        <w:jc w:val="both"/>
        <w:rPr>
          <w:rFonts w:ascii="宋体" w:hAnsi="宋体" w:eastAsia="宋体" w:cs="Times New Roman"/>
          <w:color w:val="000000"/>
          <w:sz w:val="22"/>
          <w:szCs w:val="22"/>
          <w:lang w:val="en-US" w:eastAsia="zh-CN" w:bidi="ar-SA"/>
        </w:rPr>
      </w:pPr>
      <w:r>
        <w:rPr>
          <w:rFonts w:hint="eastAsia" w:ascii="宋体" w:hAnsi="宋体" w:eastAsia="宋体" w:cs="Times New Roman"/>
          <w:color w:val="000000"/>
          <w:sz w:val="22"/>
          <w:szCs w:val="22"/>
          <w:lang w:val="en-US" w:eastAsia="zh-CN" w:bidi="ar-SA"/>
        </w:rPr>
        <w:t>职业道德与服务技能、服务礼仪、普通话培训。</w:t>
      </w:r>
    </w:p>
    <w:p w14:paraId="5539CEF3">
      <w:pPr>
        <w:widowControl w:val="0"/>
        <w:numPr>
          <w:ilvl w:val="0"/>
          <w:numId w:val="23"/>
        </w:numPr>
        <w:tabs>
          <w:tab w:val="left" w:pos="720"/>
        </w:tabs>
        <w:spacing w:line="440" w:lineRule="exact"/>
        <w:ind w:left="0" w:firstLine="440" w:firstLineChars="200"/>
        <w:jc w:val="both"/>
        <w:rPr>
          <w:rFonts w:ascii="宋体" w:hAnsi="宋体" w:eastAsia="宋体" w:cs="Times New Roman"/>
          <w:color w:val="000000"/>
          <w:sz w:val="22"/>
          <w:szCs w:val="22"/>
          <w:lang w:val="en-US" w:eastAsia="zh-CN" w:bidi="ar-SA"/>
        </w:rPr>
      </w:pPr>
      <w:r>
        <w:rPr>
          <w:rFonts w:hint="eastAsia" w:ascii="宋体" w:hAnsi="宋体" w:eastAsia="宋体" w:cs="Times New Roman"/>
          <w:color w:val="000000"/>
          <w:sz w:val="22"/>
          <w:szCs w:val="22"/>
          <w:lang w:val="en-US" w:eastAsia="zh-CN" w:bidi="ar-SA"/>
        </w:rPr>
        <w:t>保密制度，并签署保密协议。</w:t>
      </w:r>
    </w:p>
    <w:p w14:paraId="151079FC">
      <w:pPr>
        <w:widowControl w:val="0"/>
        <w:numPr>
          <w:ilvl w:val="0"/>
          <w:numId w:val="23"/>
        </w:numPr>
        <w:tabs>
          <w:tab w:val="left" w:pos="720"/>
        </w:tabs>
        <w:spacing w:line="440" w:lineRule="exact"/>
        <w:ind w:left="0" w:firstLine="440" w:firstLineChars="200"/>
        <w:jc w:val="both"/>
        <w:rPr>
          <w:rFonts w:ascii="宋体" w:hAnsi="宋体" w:eastAsia="宋体" w:cs="Times New Roman"/>
          <w:color w:val="000000"/>
          <w:sz w:val="22"/>
          <w:szCs w:val="22"/>
          <w:lang w:val="en-US" w:eastAsia="zh-CN" w:bidi="ar-SA"/>
        </w:rPr>
      </w:pPr>
      <w:r>
        <w:rPr>
          <w:rFonts w:hint="eastAsia" w:ascii="宋体" w:hAnsi="宋体" w:eastAsia="宋体" w:cs="Times New Roman"/>
          <w:color w:val="000000"/>
          <w:sz w:val="22"/>
          <w:szCs w:val="22"/>
          <w:lang w:val="en-US" w:eastAsia="zh-CN" w:bidi="ar-SA"/>
        </w:rPr>
        <w:t>根据</w:t>
      </w:r>
      <w:r>
        <w:rPr>
          <w:rFonts w:hint="eastAsia" w:ascii="宋体" w:hAnsi="宋体" w:cs="Times New Roman"/>
          <w:color w:val="000000"/>
          <w:sz w:val="22"/>
          <w:szCs w:val="22"/>
          <w:lang w:val="en-US" w:eastAsia="zh-CN" w:bidi="ar-SA"/>
        </w:rPr>
        <w:t>鹿城区政务服务中心</w:t>
      </w:r>
      <w:r>
        <w:rPr>
          <w:rFonts w:hint="eastAsia" w:ascii="宋体" w:hAnsi="宋体" w:eastAsia="宋体" w:cs="Times New Roman"/>
          <w:color w:val="000000"/>
          <w:sz w:val="22"/>
          <w:szCs w:val="22"/>
          <w:lang w:val="en-US" w:eastAsia="zh-CN" w:bidi="ar-SA"/>
        </w:rPr>
        <w:t>保安服务的特殊性，加强消防管理、应急事件处理等专业培训。</w:t>
      </w:r>
    </w:p>
    <w:p w14:paraId="17CBF8BB">
      <w:pPr>
        <w:widowControl w:val="0"/>
        <w:numPr>
          <w:ilvl w:val="0"/>
          <w:numId w:val="23"/>
        </w:numPr>
        <w:tabs>
          <w:tab w:val="left" w:pos="720"/>
        </w:tabs>
        <w:spacing w:line="440" w:lineRule="exact"/>
        <w:ind w:left="0" w:firstLine="440" w:firstLineChars="200"/>
        <w:jc w:val="both"/>
        <w:rPr>
          <w:rFonts w:ascii="宋体" w:hAnsi="宋体" w:eastAsia="宋体" w:cs="Times New Roman"/>
          <w:color w:val="000000"/>
          <w:sz w:val="22"/>
          <w:szCs w:val="22"/>
          <w:lang w:val="en-US" w:eastAsia="zh-CN" w:bidi="ar-SA"/>
        </w:rPr>
      </w:pPr>
      <w:r>
        <w:rPr>
          <w:rFonts w:ascii="宋体" w:hAnsi="宋体" w:eastAsia="宋体" w:cs="Times New Roman"/>
          <w:color w:val="000000"/>
          <w:sz w:val="22"/>
          <w:szCs w:val="22"/>
          <w:lang w:val="en-US" w:eastAsia="zh-CN" w:bidi="ar-SA"/>
        </w:rPr>
        <w:t>其他相关知识。</w:t>
      </w:r>
    </w:p>
    <w:p w14:paraId="6DD2CE1D">
      <w:pPr>
        <w:numPr>
          <w:ilvl w:val="0"/>
          <w:numId w:val="0"/>
        </w:numPr>
        <w:spacing w:before="50" w:beforeLines="0" w:after="50" w:afterLines="0" w:line="440" w:lineRule="exact"/>
        <w:ind w:firstLine="440" w:firstLineChars="200"/>
        <w:outlineLvl w:val="3"/>
        <w:rPr>
          <w:rFonts w:ascii="宋体" w:hAnsi="宋体" w:eastAsia="宋体" w:cs="Times New Roman"/>
          <w:color w:val="000000"/>
          <w:sz w:val="22"/>
          <w:szCs w:val="22"/>
          <w:lang w:val="en-US" w:eastAsia="zh-CN" w:bidi="ar-SA"/>
        </w:rPr>
      </w:pPr>
      <w:bookmarkStart w:id="97" w:name="5.2.3_培训方式"/>
      <w:bookmarkEnd w:id="97"/>
      <w:bookmarkStart w:id="98" w:name="_Toc17009275"/>
      <w:r>
        <w:rPr>
          <w:rFonts w:hint="eastAsia" w:ascii="宋体" w:hAnsi="宋体" w:eastAsia="宋体" w:cs="Times New Roman"/>
          <w:color w:val="000000"/>
          <w:sz w:val="22"/>
          <w:szCs w:val="22"/>
          <w:lang w:val="en-US" w:eastAsia="zh-CN" w:bidi="ar-SA"/>
        </w:rPr>
        <w:t>4.3  培训方式</w:t>
      </w:r>
      <w:bookmarkEnd w:id="98"/>
    </w:p>
    <w:p w14:paraId="43AA808D">
      <w:pPr>
        <w:tabs>
          <w:tab w:val="center" w:pos="4201"/>
          <w:tab w:val="right" w:leader="dot" w:pos="9298"/>
        </w:tabs>
        <w:autoSpaceDE w:val="0"/>
        <w:autoSpaceDN w:val="0"/>
        <w:spacing w:line="440" w:lineRule="exact"/>
        <w:ind w:firstLine="440" w:firstLineChars="200"/>
        <w:jc w:val="both"/>
        <w:rPr>
          <w:rFonts w:ascii="宋体" w:hAnsi="宋体" w:eastAsia="宋体" w:cs="Times New Roman"/>
          <w:color w:val="000000"/>
          <w:sz w:val="22"/>
          <w:lang w:val="en-US" w:eastAsia="zh-CN" w:bidi="ar-SA"/>
        </w:rPr>
      </w:pPr>
      <w:r>
        <w:rPr>
          <w:rFonts w:ascii="宋体" w:hAnsi="宋体" w:eastAsia="宋体" w:cs="Times New Roman"/>
          <w:color w:val="000000"/>
          <w:sz w:val="22"/>
          <w:lang w:val="en-US" w:eastAsia="zh-CN" w:bidi="ar-SA"/>
        </w:rPr>
        <w:t>培训方式应包括但不限于以下方面：</w:t>
      </w:r>
    </w:p>
    <w:p w14:paraId="69B1D7CE">
      <w:pPr>
        <w:widowControl w:val="0"/>
        <w:numPr>
          <w:ilvl w:val="0"/>
          <w:numId w:val="23"/>
        </w:numPr>
        <w:tabs>
          <w:tab w:val="left" w:pos="720"/>
        </w:tabs>
        <w:spacing w:line="440" w:lineRule="exact"/>
        <w:ind w:left="0" w:firstLine="440" w:firstLineChars="200"/>
        <w:jc w:val="both"/>
        <w:rPr>
          <w:rFonts w:ascii="宋体" w:hAnsi="宋体" w:eastAsia="宋体" w:cs="Times New Roman"/>
          <w:color w:val="000000"/>
          <w:sz w:val="22"/>
          <w:szCs w:val="22"/>
          <w:lang w:val="en-US" w:eastAsia="zh-CN" w:bidi="ar-SA"/>
        </w:rPr>
      </w:pPr>
      <w:r>
        <w:rPr>
          <w:rFonts w:ascii="宋体" w:hAnsi="宋体" w:eastAsia="宋体" w:cs="Times New Roman"/>
          <w:color w:val="000000"/>
          <w:sz w:val="22"/>
          <w:szCs w:val="22"/>
          <w:lang w:val="en-US" w:eastAsia="zh-CN" w:bidi="ar-SA"/>
        </w:rPr>
        <w:t>利用组织制定的</w:t>
      </w:r>
      <w:r>
        <w:rPr>
          <w:rFonts w:hint="eastAsia" w:ascii="宋体" w:hAnsi="宋体" w:eastAsia="宋体" w:cs="Times New Roman"/>
          <w:color w:val="000000"/>
          <w:sz w:val="22"/>
          <w:szCs w:val="22"/>
          <w:lang w:val="en-US" w:eastAsia="zh-CN" w:bidi="ar-SA"/>
        </w:rPr>
        <w:t>安保</w:t>
      </w:r>
      <w:r>
        <w:rPr>
          <w:rFonts w:ascii="宋体" w:hAnsi="宋体" w:eastAsia="宋体" w:cs="Times New Roman"/>
          <w:color w:val="000000"/>
          <w:sz w:val="22"/>
          <w:szCs w:val="22"/>
          <w:lang w:val="en-US" w:eastAsia="zh-CN" w:bidi="ar-SA"/>
        </w:rPr>
        <w:t>服务手册，</w:t>
      </w:r>
      <w:r>
        <w:rPr>
          <w:rFonts w:hint="eastAsia" w:ascii="宋体" w:hAnsi="宋体" w:eastAsia="宋体" w:cs="Times New Roman"/>
          <w:color w:val="000000"/>
          <w:sz w:val="22"/>
          <w:szCs w:val="22"/>
          <w:lang w:val="en-US" w:eastAsia="zh-CN" w:bidi="ar-SA"/>
        </w:rPr>
        <w:t>聘请专业老师授课。</w:t>
      </w:r>
    </w:p>
    <w:p w14:paraId="771D8792">
      <w:pPr>
        <w:widowControl w:val="0"/>
        <w:numPr>
          <w:ilvl w:val="0"/>
          <w:numId w:val="23"/>
        </w:numPr>
        <w:tabs>
          <w:tab w:val="left" w:pos="720"/>
        </w:tabs>
        <w:spacing w:line="440" w:lineRule="exact"/>
        <w:ind w:left="0" w:firstLine="440" w:firstLineChars="200"/>
        <w:jc w:val="both"/>
        <w:rPr>
          <w:rFonts w:ascii="宋体" w:hAnsi="宋体" w:eastAsia="宋体" w:cs="Times New Roman"/>
          <w:color w:val="000000"/>
          <w:sz w:val="22"/>
          <w:szCs w:val="22"/>
          <w:lang w:val="en-US" w:eastAsia="zh-CN" w:bidi="ar-SA"/>
        </w:rPr>
      </w:pPr>
      <w:r>
        <w:rPr>
          <w:rFonts w:ascii="宋体" w:hAnsi="宋体" w:eastAsia="宋体" w:cs="Times New Roman"/>
          <w:color w:val="000000"/>
          <w:sz w:val="22"/>
          <w:szCs w:val="22"/>
          <w:lang w:val="en-US" w:eastAsia="zh-CN" w:bidi="ar-SA"/>
        </w:rPr>
        <w:t>聘请专业培训机构</w:t>
      </w:r>
      <w:r>
        <w:rPr>
          <w:rFonts w:hint="eastAsia" w:ascii="宋体" w:hAnsi="宋体" w:eastAsia="宋体" w:cs="Times New Roman"/>
          <w:color w:val="000000"/>
          <w:sz w:val="22"/>
          <w:szCs w:val="22"/>
          <w:lang w:val="en-US" w:eastAsia="zh-CN" w:bidi="ar-SA"/>
        </w:rPr>
        <w:t>。</w:t>
      </w:r>
    </w:p>
    <w:p w14:paraId="6EAB6E0E">
      <w:pPr>
        <w:widowControl w:val="0"/>
        <w:numPr>
          <w:ilvl w:val="0"/>
          <w:numId w:val="23"/>
        </w:numPr>
        <w:tabs>
          <w:tab w:val="left" w:pos="720"/>
        </w:tabs>
        <w:spacing w:line="440" w:lineRule="exact"/>
        <w:ind w:left="0" w:firstLine="440" w:firstLineChars="200"/>
        <w:jc w:val="both"/>
        <w:rPr>
          <w:rFonts w:ascii="宋体" w:hAnsi="宋体" w:eastAsia="宋体" w:cs="Times New Roman"/>
          <w:color w:val="000000"/>
          <w:sz w:val="22"/>
          <w:szCs w:val="22"/>
          <w:lang w:val="en-US" w:eastAsia="zh-CN" w:bidi="ar-SA"/>
        </w:rPr>
      </w:pPr>
      <w:r>
        <w:rPr>
          <w:rFonts w:ascii="宋体" w:hAnsi="宋体" w:eastAsia="宋体" w:cs="Times New Roman"/>
          <w:color w:val="000000"/>
          <w:sz w:val="22"/>
          <w:szCs w:val="22"/>
          <w:lang w:val="en-US" w:eastAsia="zh-CN" w:bidi="ar-SA"/>
        </w:rPr>
        <w:t>组织内部指导</w:t>
      </w:r>
      <w:r>
        <w:rPr>
          <w:rFonts w:hint="eastAsia" w:ascii="宋体" w:hAnsi="宋体" w:eastAsia="宋体" w:cs="Times New Roman"/>
          <w:color w:val="000000"/>
          <w:sz w:val="22"/>
          <w:szCs w:val="22"/>
          <w:lang w:val="en-US" w:eastAsia="zh-CN" w:bidi="ar-SA"/>
        </w:rPr>
        <w:t>、岗位轮训。</w:t>
      </w:r>
    </w:p>
    <w:p w14:paraId="47E948CA">
      <w:pPr>
        <w:widowControl w:val="0"/>
        <w:numPr>
          <w:ilvl w:val="0"/>
          <w:numId w:val="23"/>
        </w:numPr>
        <w:tabs>
          <w:tab w:val="left" w:pos="720"/>
        </w:tabs>
        <w:spacing w:line="440" w:lineRule="exact"/>
        <w:ind w:left="0" w:firstLine="440" w:firstLineChars="200"/>
        <w:jc w:val="both"/>
        <w:rPr>
          <w:rFonts w:ascii="宋体" w:hAnsi="宋体" w:eastAsia="宋体" w:cs="Times New Roman"/>
          <w:color w:val="000000"/>
          <w:sz w:val="22"/>
          <w:szCs w:val="22"/>
          <w:lang w:val="en-US" w:eastAsia="zh-CN" w:bidi="ar-SA"/>
        </w:rPr>
      </w:pPr>
      <w:r>
        <w:rPr>
          <w:rFonts w:ascii="宋体" w:hAnsi="宋体" w:eastAsia="宋体" w:cs="Times New Roman"/>
          <w:color w:val="000000"/>
          <w:sz w:val="22"/>
          <w:szCs w:val="22"/>
          <w:lang w:val="en-US" w:eastAsia="zh-CN" w:bidi="ar-SA"/>
        </w:rPr>
        <w:t>定期进行技能演练、</w:t>
      </w:r>
      <w:r>
        <w:rPr>
          <w:rFonts w:hint="eastAsia" w:ascii="宋体" w:hAnsi="宋体" w:eastAsia="宋体" w:cs="Times New Roman"/>
          <w:color w:val="000000"/>
          <w:sz w:val="22"/>
          <w:szCs w:val="22"/>
          <w:lang w:val="en-US" w:eastAsia="zh-CN" w:bidi="ar-SA"/>
        </w:rPr>
        <w:t>考核</w:t>
      </w:r>
      <w:r>
        <w:rPr>
          <w:rFonts w:ascii="宋体" w:hAnsi="宋体" w:eastAsia="宋体" w:cs="Times New Roman"/>
          <w:color w:val="000000"/>
          <w:sz w:val="22"/>
          <w:szCs w:val="22"/>
          <w:lang w:val="en-US" w:eastAsia="zh-CN" w:bidi="ar-SA"/>
        </w:rPr>
        <w:t>等。</w:t>
      </w:r>
    </w:p>
    <w:p w14:paraId="67959FE9">
      <w:pPr>
        <w:numPr>
          <w:ilvl w:val="2"/>
          <w:numId w:val="22"/>
        </w:numPr>
        <w:spacing w:before="50" w:beforeLines="0" w:after="50" w:afterLines="0" w:line="440" w:lineRule="exact"/>
        <w:ind w:firstLine="440" w:firstLineChars="200"/>
        <w:outlineLvl w:val="3"/>
        <w:rPr>
          <w:rFonts w:ascii="宋体" w:hAnsi="宋体" w:eastAsia="宋体" w:cs="Times New Roman"/>
          <w:color w:val="000000"/>
          <w:sz w:val="22"/>
          <w:szCs w:val="22"/>
          <w:lang w:val="en-US" w:eastAsia="zh-CN" w:bidi="ar-SA"/>
        </w:rPr>
      </w:pPr>
      <w:bookmarkStart w:id="99" w:name="5.2.4_培训记录"/>
      <w:bookmarkEnd w:id="99"/>
      <w:bookmarkStart w:id="100" w:name="_Toc17009276"/>
      <w:r>
        <w:rPr>
          <w:rFonts w:hint="eastAsia" w:ascii="宋体" w:hAnsi="宋体" w:eastAsia="宋体" w:cs="Times New Roman"/>
          <w:color w:val="000000"/>
          <w:sz w:val="22"/>
          <w:szCs w:val="22"/>
          <w:lang w:val="en-US" w:eastAsia="zh-CN" w:bidi="ar-SA"/>
        </w:rPr>
        <w:t>培训记录</w:t>
      </w:r>
      <w:bookmarkEnd w:id="100"/>
    </w:p>
    <w:p w14:paraId="7EB5D266">
      <w:pPr>
        <w:tabs>
          <w:tab w:val="center" w:pos="4201"/>
          <w:tab w:val="right" w:leader="dot" w:pos="9298"/>
        </w:tabs>
        <w:autoSpaceDE w:val="0"/>
        <w:autoSpaceDN w:val="0"/>
        <w:spacing w:line="440" w:lineRule="exact"/>
        <w:ind w:firstLine="440" w:firstLineChars="200"/>
        <w:jc w:val="both"/>
        <w:rPr>
          <w:rFonts w:ascii="宋体" w:hAnsi="宋体" w:eastAsia="宋体" w:cs="宋体"/>
          <w:color w:val="000000"/>
          <w:sz w:val="22"/>
          <w:highlight w:val="yellow"/>
          <w:lang w:val="en-US" w:eastAsia="zh-CN" w:bidi="ar-SA"/>
        </w:rPr>
      </w:pPr>
      <w:r>
        <w:rPr>
          <w:rFonts w:hint="eastAsia" w:ascii="宋体" w:hAnsi="宋体" w:eastAsia="宋体" w:cs="Times New Roman"/>
          <w:color w:val="000000"/>
          <w:sz w:val="22"/>
          <w:lang w:val="en-US" w:eastAsia="zh-CN" w:bidi="ar-SA"/>
        </w:rPr>
        <w:t>队员培训记录应有培训日期、课时和培训大纲，培训材料和培训记录应保留12个月以上。</w:t>
      </w:r>
    </w:p>
    <w:bookmarkEnd w:id="93"/>
    <w:p w14:paraId="64E37515">
      <w:pPr>
        <w:numPr>
          <w:ilvl w:val="0"/>
          <w:numId w:val="22"/>
        </w:numPr>
        <w:spacing w:beforeLines="0" w:afterLines="0" w:line="440" w:lineRule="exact"/>
        <w:ind w:firstLine="442" w:firstLineChars="200"/>
        <w:jc w:val="both"/>
        <w:outlineLvl w:val="1"/>
        <w:rPr>
          <w:rFonts w:ascii="宋体" w:hAnsi="宋体" w:eastAsia="宋体" w:cs="Times New Roman"/>
          <w:color w:val="000000"/>
          <w:sz w:val="22"/>
          <w:szCs w:val="22"/>
          <w:lang w:val="en-US" w:eastAsia="zh-CN" w:bidi="ar-SA"/>
        </w:rPr>
      </w:pPr>
      <w:bookmarkStart w:id="101" w:name="_Toc88205834"/>
      <w:r>
        <w:rPr>
          <w:rFonts w:hint="eastAsia" w:ascii="宋体" w:hAnsi="宋体" w:eastAsia="宋体" w:cs="Times New Roman"/>
          <w:b/>
          <w:bCs/>
          <w:color w:val="000000"/>
          <w:sz w:val="22"/>
          <w:szCs w:val="22"/>
          <w:lang w:val="en-US" w:eastAsia="zh-CN" w:bidi="ar-SA"/>
        </w:rPr>
        <w:t>行为规范</w:t>
      </w:r>
      <w:bookmarkEnd w:id="101"/>
    </w:p>
    <w:p w14:paraId="046227BD">
      <w:pPr>
        <w:numPr>
          <w:ilvl w:val="1"/>
          <w:numId w:val="22"/>
        </w:numPr>
        <w:spacing w:beforeLines="0" w:afterLines="0" w:line="440" w:lineRule="exact"/>
        <w:ind w:firstLine="440" w:firstLineChars="200"/>
        <w:outlineLvl w:val="2"/>
        <w:rPr>
          <w:rFonts w:ascii="宋体" w:hAnsi="宋体" w:eastAsia="宋体" w:cs="Times New Roman"/>
          <w:color w:val="000000"/>
          <w:sz w:val="22"/>
          <w:szCs w:val="22"/>
          <w:lang w:val="en-US" w:eastAsia="zh-CN" w:bidi="ar-SA"/>
        </w:rPr>
      </w:pPr>
      <w:bookmarkStart w:id="102" w:name="_Toc88205835"/>
      <w:r>
        <w:rPr>
          <w:rFonts w:hint="eastAsia" w:ascii="宋体" w:hAnsi="宋体" w:eastAsia="宋体" w:cs="Times New Roman"/>
          <w:color w:val="000000"/>
          <w:sz w:val="22"/>
          <w:szCs w:val="22"/>
          <w:lang w:val="en-US" w:eastAsia="zh-CN" w:bidi="ar-SA"/>
        </w:rPr>
        <w:t>着装</w:t>
      </w:r>
      <w:bookmarkEnd w:id="102"/>
    </w:p>
    <w:p w14:paraId="267F6363">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保安队员应着统一样式的服装，不得着与军警相同或相似的服装。</w:t>
      </w:r>
    </w:p>
    <w:p w14:paraId="1A4FBA4D">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在工作时间应着保安制服，按规定佩戴保安标志，因私外出时应着便服。</w:t>
      </w:r>
    </w:p>
    <w:p w14:paraId="6D1AB0EB">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保安制服不应与便服混穿，不同季节的保安制服不应混穿。</w:t>
      </w:r>
    </w:p>
    <w:p w14:paraId="2863E4B7">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着保安制服应干净整洁，不应披衣、敞怀、挽袖、卷裤腿、歪戴帽子、穿拖鞋或赤足。</w:t>
      </w:r>
    </w:p>
    <w:p w14:paraId="39527FC1">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爱护和妥善保管保安制服和保安标志，不应将保安制服和保安标志变卖、赠送或借给他人。</w:t>
      </w:r>
    </w:p>
    <w:p w14:paraId="74F06524">
      <w:pPr>
        <w:numPr>
          <w:ilvl w:val="1"/>
          <w:numId w:val="22"/>
        </w:numPr>
        <w:spacing w:beforeLines="0" w:afterLines="0" w:line="440" w:lineRule="exact"/>
        <w:ind w:firstLine="440" w:firstLineChars="200"/>
        <w:outlineLvl w:val="2"/>
        <w:rPr>
          <w:rFonts w:ascii="宋体" w:hAnsi="宋体" w:eastAsia="宋体" w:cs="Times New Roman"/>
          <w:color w:val="000000"/>
          <w:sz w:val="22"/>
          <w:szCs w:val="22"/>
          <w:lang w:val="en-US" w:eastAsia="zh-CN" w:bidi="ar-SA"/>
        </w:rPr>
      </w:pPr>
      <w:bookmarkStart w:id="103" w:name="_Toc88205836"/>
      <w:r>
        <w:rPr>
          <w:rFonts w:hint="eastAsia" w:ascii="宋体" w:hAnsi="宋体" w:eastAsia="宋体" w:cs="Times New Roman"/>
          <w:color w:val="000000"/>
          <w:sz w:val="22"/>
          <w:szCs w:val="22"/>
          <w:lang w:val="en-US" w:eastAsia="zh-CN" w:bidi="ar-SA"/>
        </w:rPr>
        <w:t>仪容仪表</w:t>
      </w:r>
      <w:bookmarkEnd w:id="103"/>
    </w:p>
    <w:p w14:paraId="19FE9298">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执勤时应仪表端庄，精神饱满。</w:t>
      </w:r>
    </w:p>
    <w:p w14:paraId="2F28F0FE">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男性保安不应留长头发、大鬓角和胡须，女性保安发辫不应过肩。</w:t>
      </w:r>
    </w:p>
    <w:p w14:paraId="4982123D">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不应纹身，不应染发（黑色除外），不应染指甲，不应化浓妆，不应带首饰。</w:t>
      </w:r>
    </w:p>
    <w:p w14:paraId="78D31BDC">
      <w:pPr>
        <w:numPr>
          <w:ilvl w:val="1"/>
          <w:numId w:val="22"/>
        </w:numPr>
        <w:spacing w:beforeLines="0" w:afterLines="0" w:line="440" w:lineRule="exact"/>
        <w:ind w:firstLine="440" w:firstLineChars="200"/>
        <w:outlineLvl w:val="2"/>
        <w:rPr>
          <w:rFonts w:ascii="宋体" w:hAnsi="宋体" w:eastAsia="宋体" w:cs="Times New Roman"/>
          <w:color w:val="000000"/>
          <w:sz w:val="22"/>
          <w:szCs w:val="22"/>
          <w:lang w:val="en-US" w:eastAsia="zh-CN" w:bidi="ar-SA"/>
        </w:rPr>
      </w:pPr>
      <w:bookmarkStart w:id="104" w:name="_Toc88205837"/>
      <w:r>
        <w:rPr>
          <w:rFonts w:hint="eastAsia" w:ascii="宋体" w:hAnsi="宋体" w:eastAsia="宋体" w:cs="Times New Roman"/>
          <w:color w:val="000000"/>
          <w:sz w:val="22"/>
          <w:szCs w:val="22"/>
          <w:lang w:val="en-US" w:eastAsia="zh-CN" w:bidi="ar-SA"/>
        </w:rPr>
        <w:t>礼节</w:t>
      </w:r>
      <w:bookmarkEnd w:id="104"/>
    </w:p>
    <w:p w14:paraId="65413341">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在下列场合应行举手礼：</w:t>
      </w:r>
    </w:p>
    <w:p w14:paraId="55A61EE1">
      <w:pPr>
        <w:numPr>
          <w:ilvl w:val="0"/>
          <w:numId w:val="0"/>
        </w:numPr>
        <w:spacing w:before="50" w:beforeLines="0" w:after="50" w:afterLines="0" w:line="440" w:lineRule="exact"/>
        <w:ind w:firstLine="440" w:firstLineChars="200"/>
        <w:outlineLvl w:val="4"/>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——站岗、执勤、交接班时；</w:t>
      </w:r>
    </w:p>
    <w:p w14:paraId="54BCA456">
      <w:pPr>
        <w:numPr>
          <w:ilvl w:val="0"/>
          <w:numId w:val="0"/>
        </w:numPr>
        <w:spacing w:before="50" w:beforeLines="0" w:after="50" w:afterLines="0" w:line="440" w:lineRule="exact"/>
        <w:ind w:firstLine="440" w:firstLineChars="200"/>
        <w:outlineLvl w:val="4"/>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——受到领导接见、慰问时，领导视察、检查工作时；</w:t>
      </w:r>
    </w:p>
    <w:p w14:paraId="22A097DA">
      <w:pPr>
        <w:numPr>
          <w:ilvl w:val="0"/>
          <w:numId w:val="0"/>
        </w:numPr>
        <w:spacing w:before="50" w:beforeLines="0" w:after="50" w:afterLines="0" w:line="440" w:lineRule="exact"/>
        <w:ind w:firstLine="440" w:firstLineChars="200"/>
        <w:outlineLvl w:val="4"/>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——着保安制服在大会上发言的开始和结束时；</w:t>
      </w:r>
    </w:p>
    <w:p w14:paraId="1D308B5C">
      <w:pPr>
        <w:numPr>
          <w:ilvl w:val="0"/>
          <w:numId w:val="0"/>
        </w:numPr>
        <w:spacing w:before="50" w:beforeLines="0" w:after="50" w:afterLines="0" w:line="440" w:lineRule="exact"/>
        <w:ind w:firstLine="440" w:firstLineChars="200"/>
        <w:outlineLvl w:val="4"/>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——接受颁奖时。</w:t>
      </w:r>
    </w:p>
    <w:p w14:paraId="76F128AA">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在参加集会、大型活动奏国歌、升国旗时，应自行立正行注目礼。</w:t>
      </w:r>
    </w:p>
    <w:p w14:paraId="5BDB4C7E">
      <w:pPr>
        <w:numPr>
          <w:ilvl w:val="1"/>
          <w:numId w:val="22"/>
        </w:numPr>
        <w:spacing w:beforeLines="0" w:afterLines="0" w:line="440" w:lineRule="exact"/>
        <w:ind w:firstLine="440" w:firstLineChars="200"/>
        <w:outlineLvl w:val="2"/>
        <w:rPr>
          <w:rFonts w:ascii="宋体" w:hAnsi="宋体" w:eastAsia="宋体" w:cs="Times New Roman"/>
          <w:color w:val="000000"/>
          <w:sz w:val="22"/>
          <w:szCs w:val="22"/>
          <w:lang w:val="en-US" w:eastAsia="zh-CN" w:bidi="ar-SA"/>
        </w:rPr>
      </w:pPr>
      <w:bookmarkStart w:id="105" w:name="_Toc88205838"/>
      <w:r>
        <w:rPr>
          <w:rFonts w:hint="eastAsia" w:ascii="宋体" w:hAnsi="宋体" w:eastAsia="宋体" w:cs="Times New Roman"/>
          <w:color w:val="000000"/>
          <w:sz w:val="22"/>
          <w:szCs w:val="22"/>
          <w:lang w:val="en-US" w:eastAsia="zh-CN" w:bidi="ar-SA"/>
        </w:rPr>
        <w:t>语言</w:t>
      </w:r>
      <w:bookmarkEnd w:id="105"/>
    </w:p>
    <w:p w14:paraId="1432BD8A">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执勤时应讲普通话或当地通用语言；</w:t>
      </w:r>
    </w:p>
    <w:p w14:paraId="7D39DAA4">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在工作中使用语言应简洁准确，文明规范，说话应和气，使用“你好、请、您、对不起、谢谢、再见”等礼貌语言，应注意称谓的使用；在与少数民族、宗教人士、外籍人士交谈时，不准使用对方禁忌的语言。</w:t>
      </w:r>
    </w:p>
    <w:p w14:paraId="5D7B322A">
      <w:pPr>
        <w:numPr>
          <w:ilvl w:val="1"/>
          <w:numId w:val="22"/>
        </w:numPr>
        <w:spacing w:beforeLines="0" w:afterLines="0" w:line="440" w:lineRule="exact"/>
        <w:ind w:firstLine="440" w:firstLineChars="200"/>
        <w:outlineLvl w:val="2"/>
        <w:rPr>
          <w:rFonts w:ascii="宋体" w:hAnsi="宋体" w:eastAsia="宋体" w:cs="Times New Roman"/>
          <w:color w:val="000000"/>
          <w:sz w:val="22"/>
          <w:szCs w:val="22"/>
          <w:lang w:val="en-US" w:eastAsia="zh-CN" w:bidi="ar-SA"/>
        </w:rPr>
      </w:pPr>
      <w:bookmarkStart w:id="106" w:name="_Toc88205839"/>
      <w:r>
        <w:rPr>
          <w:rFonts w:hint="eastAsia" w:ascii="宋体" w:hAnsi="宋体" w:eastAsia="宋体" w:cs="Times New Roman"/>
          <w:color w:val="000000"/>
          <w:sz w:val="22"/>
          <w:szCs w:val="22"/>
          <w:lang w:val="en-US" w:eastAsia="zh-CN" w:bidi="ar-SA"/>
        </w:rPr>
        <w:t>举止</w:t>
      </w:r>
      <w:bookmarkEnd w:id="106"/>
    </w:p>
    <w:p w14:paraId="53497A4E">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应自觉遵守公共秩序和社会公德。</w:t>
      </w:r>
    </w:p>
    <w:p w14:paraId="05EE5365">
      <w:pPr>
        <w:numPr>
          <w:ilvl w:val="2"/>
          <w:numId w:val="22"/>
        </w:numPr>
        <w:spacing w:before="50" w:beforeLines="0" w:after="50" w:afterLines="0" w:line="440" w:lineRule="exact"/>
        <w:ind w:firstLine="440" w:firstLineChars="200"/>
        <w:outlineLvl w:val="3"/>
        <w:rPr>
          <w:rFonts w:ascii="宋体" w:hAnsi="宋体" w:eastAsia="宋体" w:cs="Times New Roman"/>
          <w:color w:val="000000"/>
          <w:sz w:val="22"/>
          <w:szCs w:val="22"/>
          <w:lang w:val="en-US" w:eastAsia="zh-CN" w:bidi="ar-SA"/>
        </w:rPr>
      </w:pPr>
      <w:r>
        <w:rPr>
          <w:rFonts w:hint="eastAsia" w:ascii="宋体" w:hAnsi="宋体" w:eastAsia="宋体" w:cs="宋体"/>
          <w:color w:val="000000"/>
          <w:sz w:val="22"/>
          <w:szCs w:val="22"/>
          <w:lang w:val="en-US" w:eastAsia="zh-CN" w:bidi="ar-SA"/>
        </w:rPr>
        <w:t>精神饱满、姿态端正、动作规范、举止文明。</w:t>
      </w:r>
    </w:p>
    <w:p w14:paraId="6974F150">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Times New Roman"/>
          <w:color w:val="000000"/>
          <w:sz w:val="22"/>
          <w:szCs w:val="22"/>
          <w:lang w:val="en-US" w:eastAsia="zh-CN" w:bidi="ar-SA"/>
        </w:rPr>
        <w:t>着制服执勤和出入公共场所时，不应袖手、背手（跨立站姿除外）或将手插入衣兜；不应搭肩、挽臂、边</w:t>
      </w:r>
      <w:r>
        <w:rPr>
          <w:rFonts w:hint="eastAsia" w:ascii="宋体" w:hAnsi="宋体" w:eastAsia="宋体" w:cs="宋体"/>
          <w:color w:val="000000"/>
          <w:sz w:val="22"/>
          <w:szCs w:val="22"/>
          <w:lang w:val="en-US" w:eastAsia="zh-CN" w:bidi="ar-SA"/>
        </w:rPr>
        <w:t>走边吸烟、吃东西、嬉笑打闹；不应随地吐痰、乱扔废弃物。</w:t>
      </w:r>
    </w:p>
    <w:p w14:paraId="3B4A711F">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不应着制服在公共场所饮酒，不应酗酒。</w:t>
      </w:r>
    </w:p>
    <w:p w14:paraId="35C0FEC1">
      <w:pPr>
        <w:numPr>
          <w:ilvl w:val="0"/>
          <w:numId w:val="0"/>
        </w:numPr>
        <w:spacing w:beforeLines="0" w:afterLines="0" w:line="440" w:lineRule="exact"/>
        <w:ind w:firstLine="440" w:firstLineChars="200"/>
        <w:outlineLvl w:val="2"/>
        <w:rPr>
          <w:rFonts w:ascii="宋体" w:hAnsi="宋体" w:eastAsia="宋体" w:cs="Times New Roman"/>
          <w:color w:val="000000"/>
          <w:sz w:val="22"/>
          <w:szCs w:val="22"/>
          <w:lang w:val="en-US" w:eastAsia="zh-CN" w:bidi="ar-SA"/>
        </w:rPr>
      </w:pPr>
      <w:bookmarkStart w:id="107" w:name="_Toc88205840"/>
      <w:r>
        <w:rPr>
          <w:rFonts w:hint="eastAsia" w:ascii="宋体" w:hAnsi="宋体" w:eastAsia="宋体" w:cs="宋体"/>
          <w:color w:val="000000"/>
          <w:sz w:val="22"/>
          <w:szCs w:val="22"/>
          <w:lang w:val="en-US" w:eastAsia="zh-CN" w:bidi="ar-SA"/>
        </w:rPr>
        <w:t>4.5.5  应尊重少数民族的风俗习惯。</w:t>
      </w:r>
      <w:bookmarkEnd w:id="107"/>
    </w:p>
    <w:p w14:paraId="07118E92">
      <w:pPr>
        <w:numPr>
          <w:ilvl w:val="1"/>
          <w:numId w:val="22"/>
        </w:numPr>
        <w:spacing w:beforeLines="0" w:afterLines="0" w:line="440" w:lineRule="exact"/>
        <w:ind w:firstLine="440" w:firstLineChars="200"/>
        <w:outlineLvl w:val="2"/>
        <w:rPr>
          <w:rFonts w:ascii="宋体" w:hAnsi="宋体" w:eastAsia="宋体" w:cs="Times New Roman"/>
          <w:color w:val="000000"/>
          <w:sz w:val="22"/>
          <w:szCs w:val="22"/>
          <w:lang w:val="en-US" w:eastAsia="zh-CN" w:bidi="ar-SA"/>
        </w:rPr>
      </w:pPr>
      <w:bookmarkStart w:id="108" w:name="_Toc88205841"/>
      <w:r>
        <w:rPr>
          <w:rFonts w:hint="eastAsia" w:ascii="宋体" w:hAnsi="宋体" w:eastAsia="宋体" w:cs="Times New Roman"/>
          <w:color w:val="000000"/>
          <w:sz w:val="22"/>
          <w:szCs w:val="22"/>
          <w:lang w:val="en-US" w:eastAsia="zh-CN" w:bidi="ar-SA"/>
        </w:rPr>
        <w:t>卫生</w:t>
      </w:r>
      <w:bookmarkEnd w:id="108"/>
    </w:p>
    <w:p w14:paraId="6905A8C8">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应自觉维护环境卫生，保持执勤区域整齐整洁。</w:t>
      </w:r>
    </w:p>
    <w:p w14:paraId="3D3672A9">
      <w:pPr>
        <w:numPr>
          <w:ilvl w:val="2"/>
          <w:numId w:val="22"/>
        </w:numPr>
        <w:spacing w:before="50" w:beforeLines="0" w:after="50" w:afterLines="0" w:line="440" w:lineRule="exact"/>
        <w:ind w:firstLine="440" w:firstLineChars="200"/>
        <w:outlineLvl w:val="3"/>
        <w:rPr>
          <w:rFonts w:ascii="宋体" w:hAnsi="宋体" w:eastAsia="宋体" w:cs="Times New Roman"/>
          <w:color w:val="000000"/>
          <w:sz w:val="22"/>
          <w:szCs w:val="22"/>
          <w:lang w:val="en-US" w:eastAsia="zh-CN" w:bidi="ar-SA"/>
        </w:rPr>
      </w:pPr>
      <w:r>
        <w:rPr>
          <w:rFonts w:hint="eastAsia" w:ascii="宋体" w:hAnsi="宋体" w:eastAsia="宋体" w:cs="宋体"/>
          <w:color w:val="000000"/>
          <w:sz w:val="22"/>
          <w:szCs w:val="22"/>
          <w:lang w:val="en-US" w:eastAsia="zh-CN" w:bidi="ar-SA"/>
        </w:rPr>
        <w:t>应保持岗位内务整洁，包括但不限于：</w:t>
      </w:r>
    </w:p>
    <w:p w14:paraId="4316DB09">
      <w:pPr>
        <w:numPr>
          <w:ilvl w:val="0"/>
          <w:numId w:val="0"/>
        </w:numPr>
        <w:spacing w:before="50" w:beforeLines="0" w:after="50" w:afterLines="0" w:line="440" w:lineRule="exact"/>
        <w:ind w:firstLine="440" w:firstLineChars="200"/>
        <w:outlineLvl w:val="4"/>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  床单、被褥整齐干净，床下无杂物；</w:t>
      </w:r>
    </w:p>
    <w:p w14:paraId="2BF054A6">
      <w:pPr>
        <w:numPr>
          <w:ilvl w:val="0"/>
          <w:numId w:val="0"/>
        </w:numPr>
        <w:spacing w:before="50" w:beforeLines="0" w:after="50" w:afterLines="0" w:line="440" w:lineRule="exact"/>
        <w:ind w:firstLine="440" w:firstLineChars="200"/>
        <w:outlineLvl w:val="4"/>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  地面无烟头、无痰迹、无纸屑；</w:t>
      </w:r>
    </w:p>
    <w:p w14:paraId="71379DAA">
      <w:pPr>
        <w:numPr>
          <w:ilvl w:val="0"/>
          <w:numId w:val="0"/>
        </w:numPr>
        <w:spacing w:before="50" w:beforeLines="0" w:after="50" w:afterLines="0" w:line="440" w:lineRule="exact"/>
        <w:ind w:firstLine="440" w:firstLineChars="200"/>
        <w:outlineLvl w:val="4"/>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  岗台门窗清洁、玻璃明亮；</w:t>
      </w:r>
    </w:p>
    <w:p w14:paraId="60E802D3">
      <w:pPr>
        <w:numPr>
          <w:ilvl w:val="0"/>
          <w:numId w:val="0"/>
        </w:numPr>
        <w:spacing w:before="50" w:beforeLines="0" w:after="50" w:afterLines="0" w:line="440" w:lineRule="exact"/>
        <w:ind w:firstLine="440" w:firstLineChars="200"/>
        <w:outlineLvl w:val="4"/>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  用具摆放整齐、统一规范；</w:t>
      </w:r>
    </w:p>
    <w:p w14:paraId="2C18AEBB">
      <w:pPr>
        <w:numPr>
          <w:ilvl w:val="0"/>
          <w:numId w:val="0"/>
        </w:numPr>
        <w:spacing w:before="50" w:beforeLines="0" w:after="50" w:afterLines="0" w:line="440" w:lineRule="exact"/>
        <w:ind w:firstLine="440" w:firstLineChars="200"/>
        <w:outlineLvl w:val="4"/>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  不应饲养宠物，不应私自张贴、悬挂照片、画报。</w:t>
      </w:r>
    </w:p>
    <w:p w14:paraId="1C079A2D">
      <w:pPr>
        <w:numPr>
          <w:ilvl w:val="0"/>
          <w:numId w:val="0"/>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Times New Roman"/>
          <w:color w:val="000000"/>
          <w:sz w:val="22"/>
          <w:szCs w:val="22"/>
          <w:lang w:val="en-US" w:eastAsia="zh-CN" w:bidi="ar-SA"/>
        </w:rPr>
        <w:t>4.7  岗位纪律</w:t>
      </w:r>
    </w:p>
    <w:p w14:paraId="6955378E">
      <w:pPr>
        <w:numPr>
          <w:ilvl w:val="0"/>
          <w:numId w:val="0"/>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4.7.1  严格在法律、法规及有关政策和合同规定的范围内开展安保服务工作，不应超越职责权限。</w:t>
      </w:r>
    </w:p>
    <w:p w14:paraId="0DFC0C8A">
      <w:pPr>
        <w:numPr>
          <w:ilvl w:val="0"/>
          <w:numId w:val="0"/>
        </w:numPr>
        <w:spacing w:before="50" w:beforeLines="0" w:after="50" w:afterLines="0" w:line="440" w:lineRule="exact"/>
        <w:ind w:firstLine="440" w:firstLineChars="200"/>
        <w:outlineLvl w:val="3"/>
        <w:rPr>
          <w:rFonts w:ascii="宋体" w:hAnsi="宋体" w:eastAsia="宋体" w:cs="Times New Roman"/>
          <w:color w:val="000000"/>
          <w:sz w:val="22"/>
          <w:szCs w:val="22"/>
          <w:lang w:val="en-US" w:eastAsia="zh-CN" w:bidi="ar-SA"/>
        </w:rPr>
      </w:pPr>
      <w:r>
        <w:rPr>
          <w:rFonts w:hint="eastAsia" w:ascii="宋体" w:hAnsi="宋体" w:eastAsia="宋体" w:cs="宋体"/>
          <w:color w:val="000000"/>
          <w:sz w:val="22"/>
          <w:szCs w:val="22"/>
          <w:lang w:val="en-US" w:eastAsia="zh-CN" w:bidi="ar-SA"/>
        </w:rPr>
        <w:t>4.7.2  严格履行岗位职责，</w:t>
      </w:r>
      <w:r>
        <w:rPr>
          <w:rFonts w:hint="eastAsia" w:ascii="宋体" w:hAnsi="宋体" w:eastAsia="宋体" w:cs="Times New Roman"/>
          <w:color w:val="000000"/>
          <w:sz w:val="22"/>
          <w:szCs w:val="22"/>
          <w:lang w:val="en-US" w:eastAsia="zh-CN" w:bidi="ar-SA"/>
        </w:rPr>
        <w:t>不准刁难服务对象，任何情况下都不应打、骂服务对象。</w:t>
      </w:r>
    </w:p>
    <w:p w14:paraId="25C1CC77">
      <w:pPr>
        <w:numPr>
          <w:ilvl w:val="0"/>
          <w:numId w:val="0"/>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4.7.3  不应脱岗、空岗、睡岗，不应迟到、早退，在岗位上不应做与工作无关事项。</w:t>
      </w:r>
    </w:p>
    <w:p w14:paraId="4183D4A8">
      <w:pPr>
        <w:numPr>
          <w:ilvl w:val="0"/>
          <w:numId w:val="0"/>
        </w:numPr>
        <w:spacing w:before="50" w:beforeLines="0" w:after="50" w:afterLines="0" w:line="440" w:lineRule="exact"/>
        <w:ind w:firstLine="440" w:firstLineChars="200"/>
        <w:outlineLvl w:val="3"/>
        <w:rPr>
          <w:rFonts w:ascii="宋体" w:hAnsi="宋体" w:eastAsia="宋体" w:cs="Times New Roman"/>
          <w:color w:val="000000"/>
          <w:sz w:val="22"/>
          <w:szCs w:val="22"/>
          <w:lang w:val="en-US" w:eastAsia="zh-CN" w:bidi="ar-SA"/>
        </w:rPr>
      </w:pPr>
      <w:r>
        <w:rPr>
          <w:rFonts w:hint="eastAsia" w:ascii="宋体" w:hAnsi="宋体" w:eastAsia="宋体" w:cs="Times New Roman"/>
          <w:color w:val="000000"/>
          <w:sz w:val="22"/>
          <w:szCs w:val="22"/>
          <w:lang w:val="en-US" w:eastAsia="zh-CN" w:bidi="ar-SA"/>
        </w:rPr>
        <w:t>4.7.4  有重要情况应妥善处置并及时上报，不应迟报、漏报、瞒报。</w:t>
      </w:r>
    </w:p>
    <w:p w14:paraId="191DB707">
      <w:pPr>
        <w:numPr>
          <w:ilvl w:val="0"/>
          <w:numId w:val="0"/>
        </w:numPr>
        <w:spacing w:before="50" w:beforeLines="0" w:after="50" w:afterLines="0" w:line="440" w:lineRule="exact"/>
        <w:ind w:firstLine="440" w:firstLineChars="200"/>
        <w:outlineLvl w:val="3"/>
        <w:rPr>
          <w:rFonts w:ascii="宋体" w:hAnsi="宋体" w:eastAsia="宋体" w:cs="Times New Roman"/>
          <w:color w:val="000000"/>
          <w:sz w:val="22"/>
          <w:szCs w:val="22"/>
          <w:lang w:val="en-US" w:eastAsia="zh-CN" w:bidi="ar-SA"/>
        </w:rPr>
      </w:pPr>
      <w:r>
        <w:rPr>
          <w:rFonts w:hint="eastAsia" w:ascii="宋体" w:hAnsi="宋体" w:eastAsia="宋体" w:cs="Times New Roman"/>
          <w:color w:val="000000"/>
          <w:sz w:val="22"/>
          <w:szCs w:val="22"/>
          <w:lang w:val="en-US" w:eastAsia="zh-CN" w:bidi="ar-SA"/>
        </w:rPr>
        <w:t>4.7.5  遵守服务单位内部的规章制度，不应随意打听、记录、传播服务单位内部的秘密事项。</w:t>
      </w:r>
    </w:p>
    <w:p w14:paraId="60F4CA88">
      <w:pPr>
        <w:numPr>
          <w:ilvl w:val="0"/>
          <w:numId w:val="0"/>
        </w:numPr>
        <w:spacing w:before="50" w:beforeLines="0" w:after="50" w:afterLines="0" w:line="440" w:lineRule="exact"/>
        <w:ind w:firstLine="440" w:firstLineChars="200"/>
        <w:outlineLvl w:val="3"/>
        <w:rPr>
          <w:rFonts w:ascii="宋体" w:hAnsi="宋体" w:eastAsia="宋体" w:cs="Times New Roman"/>
          <w:color w:val="000000"/>
          <w:sz w:val="22"/>
          <w:szCs w:val="22"/>
          <w:lang w:val="en-US" w:eastAsia="zh-CN" w:bidi="ar-SA"/>
        </w:rPr>
      </w:pPr>
      <w:r>
        <w:rPr>
          <w:rFonts w:hint="eastAsia" w:ascii="宋体" w:hAnsi="宋体" w:eastAsia="宋体" w:cs="Times New Roman"/>
          <w:color w:val="000000"/>
          <w:sz w:val="22"/>
          <w:szCs w:val="22"/>
          <w:lang w:val="en-US" w:eastAsia="zh-CN" w:bidi="ar-SA"/>
        </w:rPr>
        <w:t>4.7.6  未经允许不应动用服务对象物品和接受服务对象赠送的礼品。</w:t>
      </w:r>
    </w:p>
    <w:p w14:paraId="598F55B1">
      <w:pPr>
        <w:numPr>
          <w:ilvl w:val="0"/>
          <w:numId w:val="0"/>
        </w:numPr>
        <w:spacing w:before="50" w:beforeLines="0" w:after="50" w:afterLines="0" w:line="440" w:lineRule="exact"/>
        <w:ind w:firstLine="440" w:firstLineChars="200"/>
        <w:outlineLvl w:val="3"/>
        <w:rPr>
          <w:rFonts w:ascii="宋体" w:hAnsi="宋体" w:eastAsia="宋体" w:cs="Times New Roman"/>
          <w:color w:val="000000"/>
          <w:sz w:val="22"/>
          <w:szCs w:val="22"/>
          <w:lang w:val="en-US" w:eastAsia="zh-CN" w:bidi="ar-SA"/>
        </w:rPr>
      </w:pPr>
      <w:r>
        <w:rPr>
          <w:rFonts w:hint="eastAsia" w:ascii="宋体" w:hAnsi="宋体" w:eastAsia="宋体" w:cs="Times New Roman"/>
          <w:color w:val="000000"/>
          <w:sz w:val="22"/>
          <w:szCs w:val="22"/>
          <w:lang w:val="en-US" w:eastAsia="zh-CN" w:bidi="ar-SA"/>
        </w:rPr>
        <w:t>4.7.7  应认真填写值班记录，做好交接班工作。</w:t>
      </w:r>
    </w:p>
    <w:p w14:paraId="00209815">
      <w:pPr>
        <w:numPr>
          <w:ilvl w:val="0"/>
          <w:numId w:val="0"/>
        </w:numPr>
        <w:spacing w:before="50" w:beforeLines="0" w:after="50" w:afterLines="0" w:line="440" w:lineRule="exact"/>
        <w:ind w:firstLine="440" w:firstLineChars="200"/>
        <w:outlineLvl w:val="3"/>
        <w:rPr>
          <w:rFonts w:ascii="宋体" w:hAnsi="宋体" w:eastAsia="宋体" w:cs="Times New Roman"/>
          <w:color w:val="000000"/>
          <w:sz w:val="22"/>
          <w:szCs w:val="22"/>
          <w:lang w:val="en-US" w:eastAsia="zh-CN" w:bidi="ar-SA"/>
        </w:rPr>
      </w:pPr>
      <w:r>
        <w:rPr>
          <w:rFonts w:hint="eastAsia" w:ascii="宋体" w:hAnsi="宋体" w:eastAsia="宋体" w:cs="Times New Roman"/>
          <w:color w:val="000000"/>
          <w:sz w:val="22"/>
          <w:szCs w:val="22"/>
          <w:lang w:val="en-US" w:eastAsia="zh-CN" w:bidi="ar-SA"/>
        </w:rPr>
        <w:t>4.7.8  应爱护公物，不应私自动用和侵占公物。</w:t>
      </w:r>
    </w:p>
    <w:p w14:paraId="7A1FD32D">
      <w:pPr>
        <w:numPr>
          <w:ilvl w:val="0"/>
          <w:numId w:val="22"/>
        </w:numPr>
        <w:spacing w:beforeLines="0" w:afterLines="0" w:line="440" w:lineRule="exact"/>
        <w:ind w:firstLine="442" w:firstLineChars="200"/>
        <w:jc w:val="both"/>
        <w:outlineLvl w:val="1"/>
        <w:rPr>
          <w:rFonts w:ascii="宋体" w:hAnsi="宋体" w:eastAsia="宋体" w:cs="Times New Roman"/>
          <w:color w:val="000000"/>
          <w:sz w:val="22"/>
          <w:szCs w:val="22"/>
          <w:lang w:val="en-US" w:eastAsia="zh-CN" w:bidi="ar-SA"/>
        </w:rPr>
      </w:pPr>
      <w:bookmarkStart w:id="109" w:name="_Toc88205842"/>
      <w:r>
        <w:rPr>
          <w:rFonts w:hint="eastAsia" w:ascii="宋体" w:hAnsi="宋体" w:eastAsia="宋体" w:cs="Times New Roman"/>
          <w:b/>
          <w:bCs/>
          <w:color w:val="000000"/>
          <w:sz w:val="22"/>
          <w:szCs w:val="22"/>
          <w:lang w:val="en-US" w:eastAsia="zh-CN" w:bidi="ar-SA"/>
        </w:rPr>
        <w:t>岗位要求</w:t>
      </w:r>
      <w:bookmarkEnd w:id="109"/>
    </w:p>
    <w:p w14:paraId="2CC897F7">
      <w:pPr>
        <w:numPr>
          <w:ilvl w:val="1"/>
          <w:numId w:val="22"/>
        </w:numPr>
        <w:spacing w:beforeLines="0" w:afterLines="0" w:line="440" w:lineRule="exact"/>
        <w:ind w:firstLine="440" w:firstLineChars="200"/>
        <w:outlineLvl w:val="2"/>
        <w:rPr>
          <w:rFonts w:ascii="宋体" w:hAnsi="宋体" w:eastAsia="宋体" w:cs="Times New Roman"/>
          <w:color w:val="000000"/>
          <w:sz w:val="22"/>
          <w:szCs w:val="22"/>
          <w:lang w:val="en-US" w:eastAsia="zh-CN" w:bidi="ar-SA"/>
        </w:rPr>
      </w:pPr>
      <w:bookmarkStart w:id="110" w:name="_Toc88205843"/>
      <w:r>
        <w:rPr>
          <w:rFonts w:hint="eastAsia" w:ascii="宋体" w:hAnsi="宋体" w:eastAsia="宋体" w:cs="Times New Roman"/>
          <w:color w:val="000000"/>
          <w:sz w:val="22"/>
          <w:szCs w:val="22"/>
          <w:lang w:val="en-US" w:eastAsia="zh-CN" w:bidi="ar-SA"/>
        </w:rPr>
        <w:t>基本要求</w:t>
      </w:r>
      <w:bookmarkEnd w:id="110"/>
    </w:p>
    <w:p w14:paraId="2FFDB51A">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熟悉服务单位有关规章制度、业务要求、安全措施等。</w:t>
      </w:r>
    </w:p>
    <w:p w14:paraId="5738BAF9">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熟悉服务单位的内部环境、机构设置，人员、车辆、物品、设备设施情况等。</w:t>
      </w:r>
    </w:p>
    <w:p w14:paraId="0888D5A7">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熟练掌握配发装备的性能及使用办法，熟记应急电话和有关人员的联系方式。</w:t>
      </w:r>
    </w:p>
    <w:p w14:paraId="50E62F79">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处理一般及突发事件，并及时、准确报告。</w:t>
      </w:r>
    </w:p>
    <w:p w14:paraId="037B6C2E">
      <w:pPr>
        <w:numPr>
          <w:ilvl w:val="1"/>
          <w:numId w:val="22"/>
        </w:numPr>
        <w:spacing w:beforeLines="0" w:afterLines="0" w:line="440" w:lineRule="exact"/>
        <w:ind w:firstLine="440" w:firstLineChars="200"/>
        <w:outlineLvl w:val="2"/>
        <w:rPr>
          <w:rFonts w:ascii="宋体" w:hAnsi="宋体" w:eastAsia="宋体" w:cs="Times New Roman"/>
          <w:color w:val="000000"/>
          <w:sz w:val="22"/>
          <w:szCs w:val="22"/>
          <w:lang w:val="en-US" w:eastAsia="zh-CN" w:bidi="ar-SA"/>
        </w:rPr>
      </w:pPr>
      <w:bookmarkStart w:id="111" w:name="_Toc88205844"/>
      <w:r>
        <w:rPr>
          <w:rFonts w:hint="eastAsia" w:ascii="宋体" w:hAnsi="宋体" w:eastAsia="宋体" w:cs="Times New Roman"/>
          <w:color w:val="000000"/>
          <w:sz w:val="22"/>
          <w:szCs w:val="22"/>
          <w:lang w:val="en-US" w:eastAsia="zh-CN" w:bidi="ar-SA"/>
        </w:rPr>
        <w:t>门卫服务</w:t>
      </w:r>
      <w:bookmarkEnd w:id="111"/>
    </w:p>
    <w:p w14:paraId="7E9C49E6">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门卫服务实行24小时执勤，应明确负责人及具体任务分工。</w:t>
      </w:r>
    </w:p>
    <w:p w14:paraId="5692FBDF">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根据服务单位的要求，在指定地点查验出入人员的证件，办理登记手续，禁止无关人员进入。</w:t>
      </w:r>
    </w:p>
    <w:p w14:paraId="762B14F8">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根据服务单位的要求，应对出入人员、车辆携带或装运大件物品进行查验，防止危险物品带入和单位财产流失。</w:t>
      </w:r>
    </w:p>
    <w:p w14:paraId="2D1CC54E">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指挥、疏导出入车辆，劝离无关人员，维护出入口的正常秩序。</w:t>
      </w:r>
    </w:p>
    <w:p w14:paraId="345C3A11">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及时发现不法行为人，截获赃物；及时报告治安、刑事案件，报告并处置火灾、爆炸等突发事件，做好安全防范工作，协助公安机关处理相关事故。</w:t>
      </w:r>
    </w:p>
    <w:p w14:paraId="22459A54">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门卫服务的时间、班次应满足服务单位的实际需要。</w:t>
      </w:r>
    </w:p>
    <w:p w14:paraId="3B581E8F">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协助服务单位做好接待、物品接收等工作。</w:t>
      </w:r>
    </w:p>
    <w:p w14:paraId="4405A01D">
      <w:pPr>
        <w:numPr>
          <w:ilvl w:val="1"/>
          <w:numId w:val="22"/>
        </w:numPr>
        <w:spacing w:beforeLines="0" w:afterLines="0" w:line="440" w:lineRule="exact"/>
        <w:ind w:firstLine="440" w:firstLineChars="200"/>
        <w:outlineLvl w:val="2"/>
        <w:rPr>
          <w:rFonts w:ascii="宋体" w:hAnsi="宋体" w:eastAsia="宋体" w:cs="Times New Roman"/>
          <w:color w:val="000000"/>
          <w:sz w:val="22"/>
          <w:szCs w:val="22"/>
          <w:lang w:val="en-US" w:eastAsia="zh-CN" w:bidi="ar-SA"/>
        </w:rPr>
      </w:pPr>
      <w:bookmarkStart w:id="112" w:name="_Toc88205845"/>
      <w:r>
        <w:rPr>
          <w:rFonts w:hint="eastAsia" w:ascii="宋体" w:hAnsi="宋体" w:eastAsia="宋体" w:cs="Times New Roman"/>
          <w:color w:val="000000"/>
          <w:sz w:val="22"/>
          <w:szCs w:val="22"/>
          <w:lang w:val="en-US" w:eastAsia="zh-CN" w:bidi="ar-SA"/>
        </w:rPr>
        <w:t>登记接待服务</w:t>
      </w:r>
      <w:bookmarkEnd w:id="112"/>
    </w:p>
    <w:p w14:paraId="58990738">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登记接待室开放时间为8：00-18:00，内设安检岗，并设专门安检员。按照机关单位工作时间提前30分钟上班、延迟30分钟下班；遇重大任务或临时任务，按照采购人要求组织实施。</w:t>
      </w:r>
    </w:p>
    <w:p w14:paraId="3F318332">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根据</w:t>
      </w:r>
      <w:r>
        <w:rPr>
          <w:rFonts w:hint="eastAsia" w:ascii="宋体" w:hAnsi="宋体" w:cs="宋体"/>
          <w:color w:val="000000"/>
          <w:sz w:val="22"/>
          <w:szCs w:val="22"/>
          <w:lang w:val="en-US" w:eastAsia="zh-CN" w:bidi="ar-SA"/>
        </w:rPr>
        <w:t>鹿城区政务服务中心</w:t>
      </w:r>
      <w:r>
        <w:rPr>
          <w:rFonts w:hint="eastAsia" w:ascii="宋体" w:hAnsi="宋体" w:eastAsia="宋体" w:cs="宋体"/>
          <w:color w:val="000000"/>
          <w:sz w:val="22"/>
          <w:szCs w:val="22"/>
          <w:lang w:val="en-US" w:eastAsia="zh-CN" w:bidi="ar-SA"/>
        </w:rPr>
        <w:t>人员进出规定要求，外来办事人员凭单位介绍信或本人有效证件登记，征得接待单位同意后方可登记进人；手续不全的，由单位派人到登记室办理登记手续。</w:t>
      </w:r>
    </w:p>
    <w:p w14:paraId="139A0FA0">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来访人员应进行安检，如发现违禁物品一律没收，安检通过后方可进入</w:t>
      </w:r>
      <w:r>
        <w:rPr>
          <w:rFonts w:hint="eastAsia" w:ascii="宋体" w:hAnsi="宋体" w:cs="宋体"/>
          <w:color w:val="000000"/>
          <w:sz w:val="22"/>
          <w:szCs w:val="22"/>
          <w:lang w:val="en-US" w:eastAsia="zh-CN" w:bidi="ar-SA"/>
        </w:rPr>
        <w:t>鹿城区政务服务中心</w:t>
      </w:r>
      <w:r>
        <w:rPr>
          <w:rFonts w:hint="eastAsia" w:ascii="宋体" w:hAnsi="宋体" w:eastAsia="宋体" w:cs="宋体"/>
          <w:color w:val="000000"/>
          <w:sz w:val="22"/>
          <w:szCs w:val="22"/>
          <w:lang w:val="en-US" w:eastAsia="zh-CN" w:bidi="ar-SA"/>
        </w:rPr>
        <w:t>。</w:t>
      </w:r>
    </w:p>
    <w:p w14:paraId="763BDDF2">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防止无关人员进入及长时间逗留。</w:t>
      </w:r>
    </w:p>
    <w:p w14:paraId="2044F863">
      <w:pPr>
        <w:numPr>
          <w:ilvl w:val="1"/>
          <w:numId w:val="22"/>
        </w:numPr>
        <w:spacing w:beforeLines="0" w:afterLines="0" w:line="440" w:lineRule="exact"/>
        <w:ind w:firstLine="440" w:firstLineChars="200"/>
        <w:outlineLvl w:val="2"/>
        <w:rPr>
          <w:rFonts w:ascii="宋体" w:hAnsi="宋体" w:eastAsia="宋体" w:cs="Times New Roman"/>
          <w:color w:val="000000"/>
          <w:sz w:val="22"/>
          <w:szCs w:val="22"/>
          <w:lang w:val="en-US" w:eastAsia="zh-CN" w:bidi="ar-SA"/>
        </w:rPr>
      </w:pPr>
      <w:bookmarkStart w:id="113" w:name="_Toc88205846"/>
      <w:r>
        <w:rPr>
          <w:rFonts w:hint="eastAsia" w:ascii="宋体" w:hAnsi="宋体" w:eastAsia="宋体" w:cs="Times New Roman"/>
          <w:color w:val="000000"/>
          <w:sz w:val="22"/>
          <w:szCs w:val="22"/>
          <w:lang w:val="en-US" w:eastAsia="zh-CN" w:bidi="ar-SA"/>
        </w:rPr>
        <w:t>巡逻服务</w:t>
      </w:r>
      <w:bookmarkEnd w:id="113"/>
    </w:p>
    <w:p w14:paraId="55715FBC">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对管理区域内定时或不定时的进行巡视、检查，发现和消除安全隐患，发现可疑人员进行询问，必要时应报告上级部门。</w:t>
      </w:r>
      <w:r>
        <w:rPr>
          <w:rFonts w:hint="eastAsia" w:ascii="宋体" w:hAnsi="宋体" w:eastAsia="宋体" w:cs="宋体"/>
          <w:color w:val="000000"/>
          <w:sz w:val="22"/>
          <w:szCs w:val="22"/>
          <w:lang w:val="en-US" w:eastAsia="zh-CN" w:bidi="ar-SA"/>
        </w:rPr>
        <w:tab/>
      </w:r>
    </w:p>
    <w:p w14:paraId="5258FE09">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根据实际情况，确定巡逻人员数量及结构，并配备必要装备，巡逻应2人以上并明确负责人。</w:t>
      </w:r>
    </w:p>
    <w:p w14:paraId="5066B884">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巡逻的时间、路线、频次可根据需要与服务单位协商确定。</w:t>
      </w:r>
    </w:p>
    <w:p w14:paraId="1EAF597B">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在保证自身安全的情况下，制止正在实施的不法侵害或破坏行为。</w:t>
      </w:r>
    </w:p>
    <w:p w14:paraId="47AA8720">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发现事故或隐患，应及时报告，采取措施防止事态扩大，并保护好现场。</w:t>
      </w:r>
    </w:p>
    <w:p w14:paraId="31B9FE96">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对巡逻服务的履行过程、相关情况处理等应做必要记录。</w:t>
      </w:r>
    </w:p>
    <w:p w14:paraId="1783DEDF">
      <w:pPr>
        <w:numPr>
          <w:ilvl w:val="1"/>
          <w:numId w:val="22"/>
        </w:numPr>
        <w:spacing w:beforeLines="0" w:afterLines="0" w:line="440" w:lineRule="exact"/>
        <w:ind w:firstLine="440" w:firstLineChars="200"/>
        <w:outlineLvl w:val="2"/>
        <w:rPr>
          <w:rFonts w:ascii="宋体" w:hAnsi="宋体" w:eastAsia="宋体" w:cs="Times New Roman"/>
          <w:color w:val="000000"/>
          <w:sz w:val="22"/>
          <w:szCs w:val="22"/>
          <w:lang w:val="en-US" w:eastAsia="zh-CN" w:bidi="ar-SA"/>
        </w:rPr>
      </w:pPr>
      <w:bookmarkStart w:id="114" w:name="_Toc88205847"/>
      <w:r>
        <w:rPr>
          <w:rFonts w:hint="eastAsia" w:ascii="宋体" w:hAnsi="宋体" w:eastAsia="宋体" w:cs="Times New Roman"/>
          <w:color w:val="000000"/>
          <w:sz w:val="22"/>
          <w:szCs w:val="22"/>
          <w:lang w:val="en-US" w:eastAsia="zh-CN" w:bidi="ar-SA"/>
        </w:rPr>
        <w:t>车辆管理服务</w:t>
      </w:r>
      <w:bookmarkEnd w:id="114"/>
    </w:p>
    <w:p w14:paraId="621DE34F">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车辆管理实行24小时值班制，对地面、地下的机动车和非机动车进行规范停放管理。</w:t>
      </w:r>
    </w:p>
    <w:p w14:paraId="4064D6D1">
      <w:pPr>
        <w:tabs>
          <w:tab w:val="center" w:pos="4201"/>
          <w:tab w:val="right" w:leader="dot" w:pos="9298"/>
        </w:tabs>
        <w:autoSpaceDE w:val="0"/>
        <w:autoSpaceDN w:val="0"/>
        <w:spacing w:line="440" w:lineRule="exact"/>
        <w:ind w:firstLine="440" w:firstLineChars="200"/>
        <w:jc w:val="both"/>
        <w:rPr>
          <w:rFonts w:ascii="宋体" w:hAnsi="宋体" w:eastAsia="宋体" w:cs="Times New Roman"/>
          <w:color w:val="000000"/>
          <w:sz w:val="22"/>
          <w:lang w:val="en-US" w:eastAsia="zh-CN" w:bidi="ar-SA"/>
        </w:rPr>
      </w:pPr>
      <w:r>
        <w:rPr>
          <w:rFonts w:hint="eastAsia" w:ascii="宋体" w:hAnsi="宋体" w:eastAsia="宋体" w:cs="宋体"/>
          <w:color w:val="000000"/>
          <w:sz w:val="22"/>
          <w:lang w:val="en-US" w:eastAsia="zh-CN" w:bidi="ar-SA"/>
        </w:rPr>
        <w:t>5.5.2  对车辆停放区域进行全面监管，防止乱停、违停，发现问题及时予以纠正。</w:t>
      </w:r>
    </w:p>
    <w:p w14:paraId="538E9C57">
      <w:pPr>
        <w:numPr>
          <w:ilvl w:val="0"/>
          <w:numId w:val="0"/>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5.5.3  熟练掌握车辆管理登记手续的填写、使用；熟练掌握交通指挥手势。</w:t>
      </w:r>
    </w:p>
    <w:p w14:paraId="677F4F3F">
      <w:pPr>
        <w:numPr>
          <w:ilvl w:val="0"/>
          <w:numId w:val="0"/>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5.5.4  指挥相关车辆按要求进出、按规定路线行驶、在指定位置停放。</w:t>
      </w:r>
    </w:p>
    <w:p w14:paraId="0669D0D3">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负责维护管理停车场，巡查停车场内门禁装置、监控装置、照明装置和消防设施等设施设备及车辆限速、限高等指示标识的运行情况，发现问题及时上报维修。</w:t>
      </w:r>
    </w:p>
    <w:p w14:paraId="72D5968C">
      <w:pPr>
        <w:numPr>
          <w:ilvl w:val="1"/>
          <w:numId w:val="22"/>
        </w:numPr>
        <w:spacing w:beforeLines="0" w:afterLines="0" w:line="440" w:lineRule="exact"/>
        <w:ind w:firstLine="440" w:firstLineChars="200"/>
        <w:outlineLvl w:val="2"/>
        <w:rPr>
          <w:rFonts w:ascii="宋体" w:hAnsi="宋体" w:eastAsia="宋体" w:cs="宋体"/>
          <w:color w:val="000000"/>
          <w:sz w:val="22"/>
          <w:szCs w:val="22"/>
          <w:lang w:val="en-US" w:eastAsia="zh-CN" w:bidi="ar-SA"/>
        </w:rPr>
      </w:pPr>
      <w:bookmarkStart w:id="115" w:name="_Toc88205848"/>
      <w:r>
        <w:rPr>
          <w:rFonts w:hint="eastAsia" w:ascii="宋体" w:hAnsi="宋体" w:eastAsia="宋体" w:cs="Times New Roman"/>
          <w:color w:val="000000"/>
          <w:sz w:val="22"/>
          <w:szCs w:val="22"/>
          <w:lang w:val="en-US" w:eastAsia="zh-CN" w:bidi="ar-SA"/>
        </w:rPr>
        <w:t>安全监控服务</w:t>
      </w:r>
      <w:bookmarkEnd w:id="115"/>
    </w:p>
    <w:p w14:paraId="7DBFDE33">
      <w:pPr>
        <w:numPr>
          <w:ilvl w:val="2"/>
          <w:numId w:val="22"/>
        </w:numPr>
        <w:spacing w:before="50" w:beforeLines="0" w:after="50" w:afterLines="0" w:line="440" w:lineRule="exact"/>
        <w:ind w:firstLine="440" w:firstLineChars="200"/>
        <w:outlineLvl w:val="3"/>
        <w:rPr>
          <w:rFonts w:ascii="宋体" w:hAnsi="宋体" w:eastAsia="宋体" w:cs="Times New Roman"/>
          <w:color w:val="000000"/>
          <w:sz w:val="22"/>
          <w:szCs w:val="22"/>
          <w:lang w:val="en-US" w:eastAsia="zh-CN" w:bidi="ar-SA"/>
        </w:rPr>
      </w:pPr>
      <w:r>
        <w:rPr>
          <w:rFonts w:hint="eastAsia" w:ascii="宋体" w:hAnsi="宋体" w:eastAsia="宋体" w:cs="宋体"/>
          <w:color w:val="000000"/>
          <w:sz w:val="22"/>
          <w:szCs w:val="22"/>
          <w:lang w:val="en-US" w:eastAsia="zh-CN" w:bidi="ar-SA"/>
        </w:rPr>
        <w:t>监控室实行24小时值班制，值班电话应保持24小时通畅。</w:t>
      </w:r>
    </w:p>
    <w:p w14:paraId="0F6C1B14">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通过各类设备和技术手段24小时不间断进行服务区域内的安全防范监控。</w:t>
      </w:r>
    </w:p>
    <w:p w14:paraId="4B9B6B3D">
      <w:pPr>
        <w:numPr>
          <w:ilvl w:val="0"/>
          <w:numId w:val="0"/>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5.6.3  监控室值班人员应与外围的保安队员形成联动处置能力，最大限度的保障服务区域安全。</w:t>
      </w:r>
    </w:p>
    <w:p w14:paraId="149AB9BA">
      <w:pPr>
        <w:numPr>
          <w:ilvl w:val="0"/>
          <w:numId w:val="0"/>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5.6.4  按照规程操作，确保各类系统的正常运转，熟练掌握设施设备的性能及使用方法。</w:t>
      </w:r>
    </w:p>
    <w:p w14:paraId="5138FA3E">
      <w:pPr>
        <w:numPr>
          <w:ilvl w:val="0"/>
          <w:numId w:val="0"/>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5.6.</w:t>
      </w:r>
      <w:r>
        <w:rPr>
          <w:rFonts w:hint="eastAsia" w:ascii="宋体" w:hAnsi="宋体" w:cs="宋体"/>
          <w:color w:val="000000"/>
          <w:sz w:val="22"/>
          <w:szCs w:val="22"/>
          <w:lang w:val="en-US" w:eastAsia="zh-CN" w:bidi="ar-SA"/>
        </w:rPr>
        <w:t>5</w:t>
      </w:r>
      <w:r>
        <w:rPr>
          <w:rFonts w:hint="eastAsia" w:ascii="宋体" w:hAnsi="宋体" w:eastAsia="宋体" w:cs="宋体"/>
          <w:color w:val="000000"/>
          <w:sz w:val="22"/>
          <w:szCs w:val="22"/>
          <w:lang w:val="en-US" w:eastAsia="zh-CN" w:bidi="ar-SA"/>
        </w:rPr>
        <w:t xml:space="preserve">  应对监控服务的履行过程、相关情况处理等应做必要记录，保证监控记录的完整性、连续性，对需保留的监控录像应另行备份存档。</w:t>
      </w:r>
    </w:p>
    <w:p w14:paraId="614B5D52">
      <w:pPr>
        <w:tabs>
          <w:tab w:val="center" w:pos="4201"/>
          <w:tab w:val="right" w:leader="dot" w:pos="9298"/>
        </w:tabs>
        <w:autoSpaceDE w:val="0"/>
        <w:autoSpaceDN w:val="0"/>
        <w:spacing w:line="440" w:lineRule="exact"/>
        <w:ind w:firstLine="440" w:firstLineChars="200"/>
        <w:jc w:val="both"/>
        <w:rPr>
          <w:rFonts w:ascii="宋体" w:hAnsi="宋体" w:eastAsia="宋体" w:cs="Times New Roman"/>
          <w:color w:val="000000"/>
          <w:sz w:val="22"/>
          <w:lang w:val="en-US" w:eastAsia="zh-CN" w:bidi="ar-SA"/>
        </w:rPr>
      </w:pPr>
      <w:r>
        <w:rPr>
          <w:rFonts w:hint="eastAsia" w:ascii="宋体" w:hAnsi="宋体" w:eastAsia="宋体" w:cs="宋体"/>
          <w:color w:val="000000"/>
          <w:sz w:val="22"/>
          <w:lang w:val="en-US" w:eastAsia="zh-CN" w:bidi="ar-SA"/>
        </w:rPr>
        <w:t>5.6.</w:t>
      </w:r>
      <w:r>
        <w:rPr>
          <w:rFonts w:hint="eastAsia" w:ascii="宋体" w:hAnsi="宋体" w:cs="宋体"/>
          <w:color w:val="000000"/>
          <w:sz w:val="22"/>
          <w:lang w:val="en-US" w:eastAsia="zh-CN" w:bidi="ar-SA"/>
        </w:rPr>
        <w:t>6</w:t>
      </w:r>
      <w:r>
        <w:rPr>
          <w:rFonts w:hint="eastAsia" w:ascii="宋体" w:hAnsi="宋体" w:eastAsia="宋体" w:cs="宋体"/>
          <w:color w:val="000000"/>
          <w:sz w:val="22"/>
          <w:lang w:val="en-US" w:eastAsia="zh-CN" w:bidi="ar-SA"/>
        </w:rPr>
        <w:t xml:space="preserve"> 如有关单位或人员确需查阅或拷贝监控记录，应请示汇报，经领导批准后方可进行。</w:t>
      </w:r>
    </w:p>
    <w:p w14:paraId="2622B061">
      <w:pPr>
        <w:numPr>
          <w:ilvl w:val="0"/>
          <w:numId w:val="22"/>
        </w:numPr>
        <w:spacing w:beforeLines="0" w:afterLines="0" w:line="440" w:lineRule="exact"/>
        <w:ind w:firstLine="442" w:firstLineChars="200"/>
        <w:jc w:val="both"/>
        <w:outlineLvl w:val="1"/>
        <w:rPr>
          <w:rFonts w:ascii="宋体" w:hAnsi="宋体" w:eastAsia="宋体" w:cs="Times New Roman"/>
          <w:b/>
          <w:bCs/>
          <w:color w:val="000000"/>
          <w:sz w:val="22"/>
          <w:szCs w:val="22"/>
          <w:lang w:val="en-US" w:eastAsia="zh-CN" w:bidi="ar-SA"/>
        </w:rPr>
      </w:pPr>
      <w:bookmarkStart w:id="116" w:name="_Toc88205849"/>
      <w:r>
        <w:rPr>
          <w:rFonts w:hint="eastAsia" w:ascii="宋体" w:hAnsi="宋体" w:eastAsia="宋体" w:cs="Times New Roman"/>
          <w:b/>
          <w:bCs/>
          <w:color w:val="000000"/>
          <w:sz w:val="22"/>
          <w:szCs w:val="22"/>
          <w:lang w:val="en-US" w:eastAsia="zh-CN" w:bidi="ar-SA"/>
        </w:rPr>
        <w:t>勤务制度要求</w:t>
      </w:r>
      <w:bookmarkEnd w:id="116"/>
    </w:p>
    <w:p w14:paraId="0C4EE417">
      <w:pPr>
        <w:numPr>
          <w:ilvl w:val="1"/>
          <w:numId w:val="22"/>
        </w:numPr>
        <w:spacing w:beforeLines="0" w:afterLines="0" w:line="440" w:lineRule="exact"/>
        <w:ind w:firstLine="440" w:firstLineChars="200"/>
        <w:outlineLvl w:val="2"/>
        <w:rPr>
          <w:rFonts w:ascii="宋体" w:hAnsi="宋体" w:eastAsia="宋体" w:cs="宋体"/>
          <w:color w:val="000000"/>
          <w:sz w:val="22"/>
          <w:szCs w:val="22"/>
          <w:lang w:val="en-US" w:eastAsia="zh-CN" w:bidi="ar-SA"/>
        </w:rPr>
      </w:pPr>
      <w:bookmarkStart w:id="117" w:name="_Toc88205850"/>
      <w:r>
        <w:rPr>
          <w:rFonts w:hint="eastAsia" w:ascii="宋体" w:hAnsi="宋体" w:eastAsia="宋体" w:cs="Times New Roman"/>
          <w:color w:val="000000"/>
          <w:sz w:val="22"/>
          <w:szCs w:val="22"/>
          <w:lang w:val="en-US" w:eastAsia="zh-CN" w:bidi="ar-SA"/>
        </w:rPr>
        <w:t>基本要求</w:t>
      </w:r>
      <w:bookmarkEnd w:id="117"/>
    </w:p>
    <w:p w14:paraId="24B7EDE9">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负责</w:t>
      </w:r>
      <w:r>
        <w:rPr>
          <w:rFonts w:hint="eastAsia" w:ascii="宋体" w:hAnsi="宋体" w:cs="宋体"/>
          <w:color w:val="000000"/>
          <w:sz w:val="22"/>
          <w:szCs w:val="22"/>
          <w:lang w:val="en-US" w:eastAsia="zh-CN" w:bidi="ar-SA"/>
        </w:rPr>
        <w:t>鹿城区政务服务中心</w:t>
      </w:r>
      <w:r>
        <w:rPr>
          <w:rFonts w:hint="eastAsia" w:ascii="宋体" w:hAnsi="宋体" w:eastAsia="宋体" w:cs="宋体"/>
          <w:color w:val="000000"/>
          <w:sz w:val="22"/>
          <w:szCs w:val="22"/>
          <w:lang w:val="en-US" w:eastAsia="zh-CN" w:bidi="ar-SA"/>
        </w:rPr>
        <w:t>各项安全防范工作，应建立完善各项应急预案。</w:t>
      </w:r>
    </w:p>
    <w:p w14:paraId="510B833E">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根据相关预案，每年组织不少于2次大型综合性演练。</w:t>
      </w:r>
    </w:p>
    <w:p w14:paraId="67986771">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执勤方案,应急预案的制定,应经服务单位审核后方可实施。</w:t>
      </w:r>
    </w:p>
    <w:p w14:paraId="7BF26631">
      <w:pPr>
        <w:numPr>
          <w:ilvl w:val="1"/>
          <w:numId w:val="22"/>
        </w:numPr>
        <w:spacing w:beforeLines="0" w:afterLines="0" w:line="440" w:lineRule="exact"/>
        <w:ind w:firstLine="440" w:firstLineChars="200"/>
        <w:outlineLvl w:val="2"/>
        <w:rPr>
          <w:rFonts w:ascii="宋体" w:hAnsi="宋体" w:eastAsia="宋体" w:cs="Times New Roman"/>
          <w:color w:val="000000"/>
          <w:sz w:val="22"/>
          <w:szCs w:val="22"/>
          <w:lang w:val="en-US" w:eastAsia="zh-CN" w:bidi="ar-SA"/>
        </w:rPr>
      </w:pPr>
      <w:bookmarkStart w:id="118" w:name="_Toc88205851"/>
      <w:r>
        <w:rPr>
          <w:rFonts w:hint="eastAsia" w:ascii="宋体" w:hAnsi="宋体" w:eastAsia="宋体" w:cs="Times New Roman"/>
          <w:color w:val="000000"/>
          <w:sz w:val="22"/>
          <w:szCs w:val="22"/>
          <w:lang w:val="en-US" w:eastAsia="zh-CN" w:bidi="ar-SA"/>
        </w:rPr>
        <w:t>交接班要求</w:t>
      </w:r>
      <w:bookmarkEnd w:id="118"/>
    </w:p>
    <w:p w14:paraId="0BFD5680">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应严格遵守交接班制度，按规定的时间交接班。因故不能执勤的，必须提前办理请假手续。</w:t>
      </w:r>
    </w:p>
    <w:p w14:paraId="0C10DB4A">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接班人员应做好上岗准备，按规定着装，携带执勤用品，准时接班。</w:t>
      </w:r>
    </w:p>
    <w:p w14:paraId="61656A2E">
      <w:pPr>
        <w:numPr>
          <w:ilvl w:val="2"/>
          <w:numId w:val="22"/>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交班人员应告知本班发生的情况和处理结果，并交待需要继续办理的事项。移交勤务登记簿，双方签字备查，接班者未到或未办理交接班手续，当班者不得离开。</w:t>
      </w:r>
    </w:p>
    <w:p w14:paraId="1F70B1CA">
      <w:pPr>
        <w:numPr>
          <w:ilvl w:val="1"/>
          <w:numId w:val="22"/>
        </w:numPr>
        <w:spacing w:beforeLines="0" w:afterLines="0" w:line="440" w:lineRule="exact"/>
        <w:ind w:firstLine="440" w:firstLineChars="200"/>
        <w:outlineLvl w:val="2"/>
        <w:rPr>
          <w:rFonts w:ascii="宋体" w:hAnsi="宋体" w:eastAsia="宋体" w:cs="Times New Roman"/>
          <w:color w:val="000000"/>
          <w:sz w:val="22"/>
          <w:szCs w:val="22"/>
          <w:lang w:val="en-US" w:eastAsia="zh-CN" w:bidi="ar-SA"/>
        </w:rPr>
      </w:pPr>
      <w:bookmarkStart w:id="119" w:name="_Toc88205852"/>
      <w:r>
        <w:rPr>
          <w:rFonts w:hint="eastAsia" w:ascii="宋体" w:hAnsi="宋体" w:eastAsia="宋体" w:cs="Times New Roman"/>
          <w:color w:val="000000"/>
          <w:sz w:val="22"/>
          <w:szCs w:val="22"/>
          <w:lang w:val="en-US" w:eastAsia="zh-CN" w:bidi="ar-SA"/>
        </w:rPr>
        <w:t>请示报告要求</w:t>
      </w:r>
      <w:bookmarkEnd w:id="119"/>
    </w:p>
    <w:p w14:paraId="476E59E8">
      <w:pPr>
        <w:numPr>
          <w:ilvl w:val="0"/>
          <w:numId w:val="0"/>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保安队员遇到紧急情况和重大问题时应及时、具体、准确地向服务单位、上级领导和公安机关等有关部门请示、报告，对服务单位、上级领导及公安机关等部门有关处置紧急情况的工作指示，要应立即、坚决执行，执行结果要及时反馈，并做详细记录。</w:t>
      </w:r>
    </w:p>
    <w:p w14:paraId="2CD4252F">
      <w:pPr>
        <w:numPr>
          <w:ilvl w:val="1"/>
          <w:numId w:val="22"/>
        </w:numPr>
        <w:spacing w:beforeLines="0" w:afterLines="0" w:line="440" w:lineRule="exact"/>
        <w:ind w:firstLine="440" w:firstLineChars="200"/>
        <w:outlineLvl w:val="2"/>
        <w:rPr>
          <w:rFonts w:ascii="宋体" w:hAnsi="宋体" w:eastAsia="宋体" w:cs="Times New Roman"/>
          <w:color w:val="000000"/>
          <w:sz w:val="22"/>
          <w:szCs w:val="22"/>
          <w:lang w:val="en-US" w:eastAsia="zh-CN" w:bidi="ar-SA"/>
        </w:rPr>
      </w:pPr>
      <w:bookmarkStart w:id="120" w:name="_Toc88205853"/>
      <w:r>
        <w:rPr>
          <w:rFonts w:hint="eastAsia" w:ascii="宋体" w:hAnsi="宋体" w:eastAsia="宋体" w:cs="Times New Roman"/>
          <w:color w:val="000000"/>
          <w:sz w:val="22"/>
          <w:szCs w:val="22"/>
          <w:lang w:val="en-US" w:eastAsia="zh-CN" w:bidi="ar-SA"/>
        </w:rPr>
        <w:t>勤务登记要求</w:t>
      </w:r>
      <w:bookmarkEnd w:id="120"/>
    </w:p>
    <w:p w14:paraId="794BAB93">
      <w:pPr>
        <w:numPr>
          <w:ilvl w:val="0"/>
          <w:numId w:val="0"/>
        </w:numPr>
        <w:spacing w:before="50" w:beforeLines="0" w:after="50" w:afterLines="0" w:line="440" w:lineRule="exact"/>
        <w:ind w:firstLine="440" w:firstLineChars="200"/>
        <w:outlineLvl w:val="3"/>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勤务登记由当班人员负责登记。主要记载上级指示、通知、交办的事项及值班期间发生和处理的问题，记录必须清晰、准确，不得随意涂改，并做妥善保管。</w:t>
      </w:r>
    </w:p>
    <w:p w14:paraId="46C1A720">
      <w:pPr>
        <w:numPr>
          <w:ilvl w:val="1"/>
          <w:numId w:val="22"/>
        </w:numPr>
        <w:spacing w:beforeLines="0" w:afterLines="0" w:line="440" w:lineRule="exact"/>
        <w:ind w:firstLine="440" w:firstLineChars="200"/>
        <w:outlineLvl w:val="2"/>
        <w:rPr>
          <w:rFonts w:ascii="宋体" w:hAnsi="宋体" w:eastAsia="宋体" w:cs="Times New Roman"/>
          <w:color w:val="000000"/>
          <w:sz w:val="22"/>
          <w:szCs w:val="22"/>
          <w:lang w:val="en-US" w:eastAsia="zh-CN" w:bidi="ar-SA"/>
        </w:rPr>
      </w:pPr>
      <w:bookmarkStart w:id="121" w:name="_Toc88205854"/>
      <w:r>
        <w:rPr>
          <w:rFonts w:hint="eastAsia" w:ascii="宋体" w:hAnsi="宋体" w:eastAsia="宋体" w:cs="Times New Roman"/>
          <w:color w:val="000000"/>
          <w:sz w:val="22"/>
          <w:szCs w:val="22"/>
          <w:lang w:val="en-US" w:eastAsia="zh-CN" w:bidi="ar-SA"/>
        </w:rPr>
        <w:t>勤务检查要求</w:t>
      </w:r>
      <w:bookmarkEnd w:id="121"/>
    </w:p>
    <w:p w14:paraId="11679513">
      <w:pPr>
        <w:widowControl w:val="0"/>
        <w:numPr>
          <w:ilvl w:val="0"/>
          <w:numId w:val="0"/>
        </w:numPr>
        <w:tabs>
          <w:tab w:val="left" w:pos="720"/>
        </w:tabs>
        <w:spacing w:line="440" w:lineRule="exact"/>
        <w:ind w:firstLine="440" w:firstLineChars="200"/>
        <w:jc w:val="both"/>
        <w:rPr>
          <w:rFonts w:ascii="宋体" w:hAnsi="宋体" w:eastAsia="宋体" w:cs="Times New Roman"/>
          <w:color w:val="000000"/>
          <w:sz w:val="22"/>
          <w:szCs w:val="22"/>
          <w:lang w:val="en-US" w:eastAsia="zh-CN" w:bidi="ar-SA"/>
        </w:rPr>
      </w:pPr>
      <w:r>
        <w:rPr>
          <w:rFonts w:hint="eastAsia" w:ascii="宋体" w:hAnsi="宋体" w:eastAsia="宋体" w:cs="Times New Roman"/>
          <w:color w:val="000000"/>
          <w:sz w:val="22"/>
          <w:szCs w:val="22"/>
          <w:lang w:val="en-US" w:eastAsia="zh-CN" w:bidi="ar-SA"/>
        </w:rPr>
        <w:t>保安大队负责人和督查人员，负责对保安队员执勤情况进行检查。执勤检查的内容以保安员履行岗位职责的情况为主。对勤务检查中发现的问题和处理结果，应做好记录，重要问题应及时向上级汇报。</w:t>
      </w:r>
    </w:p>
    <w:p w14:paraId="03D72122">
      <w:pPr>
        <w:widowControl w:val="0"/>
        <w:spacing w:after="120"/>
        <w:jc w:val="both"/>
        <w:rPr>
          <w:rFonts w:ascii="Times New Roman" w:hAnsi="Times New Roman" w:eastAsia="仿宋_GB2312" w:cs="Times New Roman"/>
          <w:color w:val="000000"/>
          <w:kern w:val="2"/>
          <w:sz w:val="21"/>
          <w:szCs w:val="24"/>
          <w:lang w:val="en-US" w:eastAsia="zh-CN" w:bidi="ar-SA"/>
        </w:rPr>
      </w:pPr>
    </w:p>
    <w:p w14:paraId="09A30F33">
      <w:pPr>
        <w:widowControl w:val="0"/>
        <w:spacing w:after="120"/>
        <w:jc w:val="both"/>
        <w:rPr>
          <w:rFonts w:ascii="宋体" w:hAnsi="宋体" w:eastAsia="宋体" w:cs="宋体"/>
          <w:bCs/>
          <w:color w:val="000000"/>
          <w:kern w:val="2"/>
          <w:sz w:val="24"/>
          <w:szCs w:val="24"/>
          <w:lang w:val="en-US" w:eastAsia="zh-CN" w:bidi="ar-SA"/>
        </w:rPr>
      </w:pPr>
    </w:p>
    <w:p w14:paraId="0BDEBFC7">
      <w:pPr>
        <w:pStyle w:val="3"/>
        <w:rPr>
          <w:rFonts w:hint="eastAsia" w:ascii="宋体" w:hAnsi="宋体" w:eastAsia="宋体" w:cs="宋体"/>
          <w:bCs w:val="0"/>
          <w:color w:val="auto"/>
          <w:sz w:val="36"/>
          <w:szCs w:val="36"/>
          <w:highlight w:val="none"/>
        </w:rPr>
      </w:pPr>
      <w:r>
        <w:rPr>
          <w:rFonts w:hint="eastAsia" w:ascii="宋体" w:hAnsi="宋体" w:eastAsia="宋体" w:cs="宋体"/>
          <w:bCs w:val="0"/>
          <w:color w:val="auto"/>
          <w:sz w:val="36"/>
          <w:szCs w:val="36"/>
          <w:highlight w:val="none"/>
        </w:rPr>
        <w:br w:type="page"/>
      </w:r>
      <w:r>
        <w:rPr>
          <w:rFonts w:hint="eastAsia" w:ascii="宋体" w:hAnsi="宋体" w:eastAsia="宋体" w:cs="宋体"/>
          <w:bCs w:val="0"/>
          <w:color w:val="auto"/>
          <w:sz w:val="36"/>
          <w:szCs w:val="36"/>
          <w:highlight w:val="none"/>
        </w:rPr>
        <w:t>第四部分   磋商响应文件格式</w:t>
      </w:r>
      <w:bookmarkEnd w:id="76"/>
      <w:bookmarkEnd w:id="77"/>
      <w:bookmarkEnd w:id="78"/>
    </w:p>
    <w:p w14:paraId="3015B947">
      <w:pPr>
        <w:spacing w:before="120" w:beforeLines="50" w:after="120" w:afterLines="50"/>
        <w:rPr>
          <w:rFonts w:hint="eastAsia" w:ascii="宋体" w:hAnsi="宋体" w:cs="宋体"/>
          <w:color w:val="auto"/>
          <w:sz w:val="22"/>
          <w:szCs w:val="22"/>
          <w:highlight w:val="none"/>
        </w:rPr>
      </w:pPr>
      <w:r>
        <w:rPr>
          <w:rFonts w:hint="eastAsia" w:ascii="宋体" w:hAnsi="宋体" w:cs="宋体"/>
          <w:color w:val="auto"/>
          <w:sz w:val="22"/>
          <w:szCs w:val="22"/>
          <w:highlight w:val="none"/>
        </w:rPr>
        <w:t>（资格审查资料封面，供参考）</w:t>
      </w:r>
    </w:p>
    <w:p w14:paraId="2822C676">
      <w:pPr>
        <w:rPr>
          <w:rFonts w:hint="eastAsia" w:ascii="宋体" w:hAnsi="宋体" w:cs="宋体"/>
          <w:color w:val="auto"/>
          <w:highlight w:val="none"/>
        </w:rPr>
      </w:pPr>
    </w:p>
    <w:p w14:paraId="4D16BCE9">
      <w:pPr>
        <w:rPr>
          <w:rFonts w:hint="eastAsia" w:ascii="宋体" w:hAnsi="宋体" w:cs="宋体"/>
          <w:color w:val="auto"/>
          <w:highlight w:val="none"/>
        </w:rPr>
      </w:pPr>
    </w:p>
    <w:p w14:paraId="2DA216A3">
      <w:pPr>
        <w:rPr>
          <w:rFonts w:hint="eastAsia" w:ascii="宋体" w:hAnsi="宋体" w:cs="宋体"/>
          <w:color w:val="auto"/>
          <w:highlight w:val="none"/>
        </w:rPr>
      </w:pPr>
    </w:p>
    <w:p w14:paraId="245E8253">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rPr>
        <w:t>磋商响应文件</w:t>
      </w:r>
    </w:p>
    <w:p w14:paraId="2D178015">
      <w:pPr>
        <w:rPr>
          <w:rFonts w:hint="eastAsia" w:ascii="宋体" w:hAnsi="宋体" w:cs="宋体"/>
          <w:color w:val="auto"/>
          <w:sz w:val="28"/>
          <w:szCs w:val="28"/>
          <w:highlight w:val="none"/>
        </w:rPr>
      </w:pPr>
    </w:p>
    <w:p w14:paraId="09BEF8E5">
      <w:pPr>
        <w:rPr>
          <w:rFonts w:hint="eastAsia" w:ascii="宋体" w:hAnsi="宋体" w:cs="宋体"/>
          <w:color w:val="auto"/>
          <w:sz w:val="28"/>
          <w:szCs w:val="28"/>
          <w:highlight w:val="none"/>
        </w:rPr>
      </w:pPr>
    </w:p>
    <w:p w14:paraId="37D53079">
      <w:pPr>
        <w:pStyle w:val="22"/>
        <w:ind w:firstLine="281"/>
        <w:rPr>
          <w:rFonts w:hint="eastAsia" w:ascii="宋体" w:hAnsi="宋体" w:cs="宋体"/>
          <w:color w:val="auto"/>
          <w:sz w:val="28"/>
          <w:szCs w:val="28"/>
          <w:highlight w:val="none"/>
        </w:rPr>
      </w:pPr>
    </w:p>
    <w:p w14:paraId="60B1193D">
      <w:pPr>
        <w:pStyle w:val="22"/>
        <w:ind w:firstLine="281"/>
        <w:rPr>
          <w:rFonts w:hint="eastAsia" w:ascii="宋体" w:hAnsi="宋体" w:cs="宋体"/>
          <w:color w:val="auto"/>
          <w:sz w:val="28"/>
          <w:szCs w:val="28"/>
          <w:highlight w:val="none"/>
        </w:rPr>
      </w:pPr>
    </w:p>
    <w:p w14:paraId="25B0E430">
      <w:pPr>
        <w:rPr>
          <w:rFonts w:hint="eastAsia" w:ascii="宋体" w:hAnsi="宋体" w:cs="宋体"/>
          <w:color w:val="auto"/>
          <w:sz w:val="28"/>
          <w:szCs w:val="28"/>
          <w:highlight w:val="none"/>
        </w:rPr>
      </w:pPr>
    </w:p>
    <w:p w14:paraId="709CABA7">
      <w:pPr>
        <w:rPr>
          <w:rFonts w:hint="eastAsia" w:ascii="宋体" w:hAnsi="宋体" w:cs="宋体"/>
          <w:color w:val="auto"/>
          <w:sz w:val="28"/>
          <w:szCs w:val="28"/>
          <w:highlight w:val="none"/>
        </w:rPr>
      </w:pPr>
    </w:p>
    <w:p w14:paraId="06524B0E">
      <w:pPr>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资格审查资料</w:t>
      </w:r>
    </w:p>
    <w:p w14:paraId="07F4408F">
      <w:pPr>
        <w:spacing w:line="360" w:lineRule="auto"/>
        <w:rPr>
          <w:rFonts w:hint="eastAsia" w:ascii="宋体" w:hAnsi="宋体" w:cs="宋体"/>
          <w:color w:val="auto"/>
          <w:szCs w:val="21"/>
          <w:highlight w:val="none"/>
        </w:rPr>
      </w:pPr>
    </w:p>
    <w:p w14:paraId="4F1437D0">
      <w:pPr>
        <w:spacing w:line="360" w:lineRule="auto"/>
        <w:rPr>
          <w:rFonts w:hint="eastAsia" w:ascii="宋体" w:hAnsi="宋体" w:cs="宋体"/>
          <w:color w:val="auto"/>
          <w:szCs w:val="21"/>
          <w:highlight w:val="none"/>
        </w:rPr>
      </w:pPr>
    </w:p>
    <w:p w14:paraId="1B165D60">
      <w:pPr>
        <w:spacing w:line="360" w:lineRule="auto"/>
        <w:rPr>
          <w:rFonts w:hint="eastAsia" w:ascii="宋体" w:hAnsi="宋体" w:cs="宋体"/>
          <w:color w:val="auto"/>
          <w:szCs w:val="21"/>
          <w:highlight w:val="none"/>
        </w:rPr>
      </w:pPr>
    </w:p>
    <w:p w14:paraId="199E531B">
      <w:pPr>
        <w:spacing w:line="360" w:lineRule="auto"/>
        <w:rPr>
          <w:rFonts w:hint="eastAsia" w:ascii="宋体" w:hAnsi="宋体" w:cs="宋体"/>
          <w:color w:val="auto"/>
          <w:szCs w:val="21"/>
          <w:highlight w:val="none"/>
        </w:rPr>
      </w:pPr>
    </w:p>
    <w:p w14:paraId="02594A7A">
      <w:pPr>
        <w:spacing w:line="360" w:lineRule="auto"/>
        <w:rPr>
          <w:rFonts w:hint="eastAsia" w:ascii="宋体" w:hAnsi="宋体" w:cs="宋体"/>
          <w:color w:val="auto"/>
          <w:szCs w:val="21"/>
          <w:highlight w:val="none"/>
        </w:rPr>
      </w:pPr>
    </w:p>
    <w:p w14:paraId="4E341D41">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215D8860">
      <w:pPr>
        <w:rPr>
          <w:rFonts w:hint="eastAsia" w:ascii="宋体" w:hAnsi="宋体" w:cs="宋体"/>
          <w:color w:val="auto"/>
          <w:sz w:val="28"/>
          <w:szCs w:val="28"/>
          <w:highlight w:val="none"/>
          <w:u w:val="single"/>
        </w:rPr>
      </w:pPr>
    </w:p>
    <w:p w14:paraId="6C68D948">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29898AC1">
      <w:pPr>
        <w:rPr>
          <w:rFonts w:hint="eastAsia" w:ascii="宋体" w:hAnsi="宋体" w:cs="宋体"/>
          <w:color w:val="auto"/>
          <w:sz w:val="28"/>
          <w:szCs w:val="28"/>
          <w:highlight w:val="none"/>
        </w:rPr>
      </w:pPr>
    </w:p>
    <w:p w14:paraId="122D79E9">
      <w:pPr>
        <w:overflowPunct w:val="0"/>
        <w:spacing w:line="380" w:lineRule="exact"/>
        <w:ind w:firstLine="2738" w:firstLineChars="978"/>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29FC71F1">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br w:type="page"/>
      </w:r>
    </w:p>
    <w:p w14:paraId="2A2C8571">
      <w:pPr>
        <w:jc w:val="center"/>
        <w:rPr>
          <w:rFonts w:hint="eastAsia" w:ascii="宋体" w:hAnsi="宋体" w:cs="宋体"/>
          <w:b/>
          <w:bCs/>
          <w:color w:val="auto"/>
          <w:sz w:val="52"/>
          <w:szCs w:val="52"/>
          <w:highlight w:val="none"/>
        </w:rPr>
      </w:pPr>
      <w:bookmarkStart w:id="122" w:name="_Toc465107614"/>
      <w:bookmarkStart w:id="123" w:name="_Toc504034734"/>
      <w:r>
        <w:rPr>
          <w:rFonts w:hint="eastAsia" w:ascii="宋体" w:hAnsi="宋体" w:cs="宋体"/>
          <w:b/>
          <w:bCs/>
          <w:color w:val="auto"/>
          <w:sz w:val="52"/>
          <w:szCs w:val="52"/>
          <w:highlight w:val="none"/>
        </w:rPr>
        <w:t>目    录</w:t>
      </w:r>
    </w:p>
    <w:p w14:paraId="6F218AFA">
      <w:pPr>
        <w:pStyle w:val="22"/>
        <w:ind w:firstLine="321"/>
        <w:rPr>
          <w:rFonts w:hint="eastAsia" w:ascii="宋体" w:hAnsi="宋体" w:cs="宋体"/>
          <w:color w:val="auto"/>
          <w:highlight w:val="none"/>
        </w:rPr>
      </w:pPr>
    </w:p>
    <w:p w14:paraId="063857A8">
      <w:pPr>
        <w:pStyle w:val="14"/>
        <w:spacing w:line="480" w:lineRule="auto"/>
        <w:rPr>
          <w:rFonts w:hint="eastAsia" w:ascii="新宋体" w:hAnsi="新宋体" w:eastAsia="新宋体" w:cs="新宋体"/>
          <w:color w:val="auto"/>
          <w:highlight w:val="none"/>
        </w:rPr>
      </w:pPr>
    </w:p>
    <w:p w14:paraId="370D18D1">
      <w:pPr>
        <w:pStyle w:val="14"/>
        <w:spacing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rPr>
        <w:t>一、法定代表人（单位负责人）授权书和被授权人有效身份证明</w:t>
      </w:r>
    </w:p>
    <w:p w14:paraId="3FA3D3CE">
      <w:pPr>
        <w:pStyle w:val="14"/>
        <w:spacing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lang w:val="en-US" w:eastAsia="zh-CN"/>
        </w:rPr>
        <w:t>二、</w:t>
      </w:r>
      <w:r>
        <w:rPr>
          <w:rFonts w:hint="eastAsia" w:ascii="新宋体" w:hAnsi="新宋体" w:eastAsia="新宋体" w:cs="新宋体"/>
          <w:color w:val="auto"/>
          <w:highlight w:val="none"/>
        </w:rPr>
        <w:t>营业执照(或事业法人登记证书或其它工商等登记证明材料)</w:t>
      </w:r>
    </w:p>
    <w:p w14:paraId="7CA8D7D2">
      <w:pPr>
        <w:pStyle w:val="14"/>
        <w:spacing w:line="480" w:lineRule="auto"/>
        <w:rPr>
          <w:rFonts w:hint="default"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三、保安服务许可证</w:t>
      </w:r>
    </w:p>
    <w:p w14:paraId="3F108496">
      <w:pPr>
        <w:pStyle w:val="14"/>
        <w:spacing w:line="480" w:lineRule="auto"/>
        <w:rPr>
          <w:rFonts w:hint="default"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四</w:t>
      </w:r>
      <w:r>
        <w:rPr>
          <w:rFonts w:hint="eastAsia" w:ascii="新宋体" w:hAnsi="新宋体" w:eastAsia="新宋体" w:cs="新宋体"/>
          <w:color w:val="auto"/>
          <w:highlight w:val="none"/>
        </w:rPr>
        <w:t>、中小企业声明函（或监狱企业声明函、残疾人福利性单位声明函）（采购文件第二部分相关附件）</w:t>
      </w:r>
    </w:p>
    <w:p w14:paraId="32D9EFD9">
      <w:pPr>
        <w:pStyle w:val="14"/>
        <w:spacing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lang w:val="en-US" w:eastAsia="zh-CN"/>
        </w:rPr>
        <w:t>五、</w:t>
      </w:r>
      <w:r>
        <w:rPr>
          <w:rFonts w:hint="eastAsia" w:ascii="新宋体" w:hAnsi="新宋体" w:eastAsia="新宋体" w:cs="新宋体"/>
          <w:color w:val="auto"/>
          <w:highlight w:val="none"/>
        </w:rPr>
        <w:t>资格条件承诺函</w:t>
      </w:r>
    </w:p>
    <w:p w14:paraId="40DACC91">
      <w:pPr>
        <w:pStyle w:val="14"/>
        <w:spacing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lang w:val="en-US" w:eastAsia="zh-CN"/>
        </w:rPr>
        <w:t>六</w:t>
      </w:r>
      <w:r>
        <w:rPr>
          <w:rFonts w:hint="eastAsia" w:ascii="新宋体" w:hAnsi="新宋体" w:eastAsia="新宋体" w:cs="新宋体"/>
          <w:color w:val="auto"/>
          <w:highlight w:val="none"/>
        </w:rPr>
        <w:t>、申请材料真实性声明</w:t>
      </w:r>
    </w:p>
    <w:p w14:paraId="2AF2E808">
      <w:pPr>
        <w:pStyle w:val="14"/>
        <w:spacing w:line="480" w:lineRule="auto"/>
        <w:rPr>
          <w:rFonts w:hint="eastAsia" w:ascii="新宋体" w:hAnsi="新宋体" w:eastAsia="新宋体" w:cs="新宋体"/>
          <w:color w:val="auto"/>
          <w:highlight w:val="none"/>
        </w:rPr>
      </w:pPr>
    </w:p>
    <w:p w14:paraId="4A3F70B5">
      <w:pPr>
        <w:pStyle w:val="3"/>
        <w:spacing w:line="360" w:lineRule="auto"/>
        <w:ind w:left="420"/>
        <w:jc w:val="left"/>
        <w:rPr>
          <w:rFonts w:hint="eastAsia" w:ascii="宋体" w:hAnsi="宋体" w:eastAsia="宋体" w:cs="宋体"/>
          <w:b w:val="0"/>
          <w:color w:val="auto"/>
          <w:sz w:val="22"/>
          <w:szCs w:val="22"/>
          <w:highlight w:val="none"/>
        </w:rPr>
      </w:pPr>
    </w:p>
    <w:p w14:paraId="57DFB114">
      <w:pPr>
        <w:pStyle w:val="3"/>
        <w:spacing w:line="360" w:lineRule="auto"/>
        <w:ind w:left="420"/>
        <w:jc w:val="left"/>
        <w:rPr>
          <w:rFonts w:hint="eastAsia" w:ascii="宋体" w:hAnsi="宋体" w:eastAsia="宋体" w:cs="宋体"/>
          <w:b w:val="0"/>
          <w:color w:val="auto"/>
          <w:sz w:val="22"/>
          <w:szCs w:val="22"/>
          <w:highlight w:val="none"/>
        </w:rPr>
      </w:pPr>
    </w:p>
    <w:p w14:paraId="1CE9BA1B">
      <w:pPr>
        <w:pStyle w:val="3"/>
        <w:spacing w:line="360" w:lineRule="auto"/>
        <w:ind w:left="420"/>
        <w:jc w:val="left"/>
        <w:rPr>
          <w:rFonts w:hint="eastAsia" w:ascii="宋体" w:hAnsi="宋体" w:eastAsia="宋体" w:cs="宋体"/>
          <w:b w:val="0"/>
          <w:color w:val="auto"/>
          <w:sz w:val="22"/>
          <w:szCs w:val="22"/>
          <w:highlight w:val="none"/>
        </w:rPr>
      </w:pPr>
    </w:p>
    <w:p w14:paraId="34F75F93">
      <w:pPr>
        <w:pStyle w:val="3"/>
        <w:spacing w:line="360" w:lineRule="auto"/>
        <w:ind w:left="42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br w:type="page"/>
      </w:r>
    </w:p>
    <w:p w14:paraId="1811C8A8">
      <w:pPr>
        <w:widowControl/>
        <w:adjustRightInd w:val="0"/>
        <w:snapToGrid w:val="0"/>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法定代表人授权书</w:t>
      </w:r>
    </w:p>
    <w:p w14:paraId="459629A4">
      <w:pPr>
        <w:spacing w:line="420" w:lineRule="exact"/>
        <w:rPr>
          <w:rFonts w:hint="eastAsia" w:ascii="宋体" w:hAnsi="宋体" w:cs="宋体"/>
          <w:b/>
          <w:color w:val="auto"/>
          <w:sz w:val="22"/>
          <w:szCs w:val="22"/>
          <w:highlight w:val="none"/>
        </w:rPr>
      </w:pPr>
    </w:p>
    <w:p w14:paraId="20AFC9A9">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温州市鹿城区政务服务中心</w:t>
      </w:r>
      <w:r>
        <w:rPr>
          <w:rFonts w:hint="eastAsia" w:ascii="宋体" w:hAnsi="宋体" w:cs="宋体"/>
          <w:color w:val="auto"/>
          <w:sz w:val="22"/>
          <w:szCs w:val="22"/>
          <w:highlight w:val="none"/>
        </w:rPr>
        <w:t>：</w:t>
      </w:r>
    </w:p>
    <w:p w14:paraId="1146FEE1">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温州市智信招标代理有限公司：</w:t>
      </w:r>
    </w:p>
    <w:p w14:paraId="35BE2D5B">
      <w:pPr>
        <w:spacing w:line="460" w:lineRule="exact"/>
        <w:rPr>
          <w:rFonts w:hint="eastAsia" w:ascii="宋体" w:hAnsi="宋体" w:cs="宋体"/>
          <w:color w:val="auto"/>
          <w:sz w:val="22"/>
          <w:szCs w:val="22"/>
          <w:highlight w:val="none"/>
          <w:u w:val="single"/>
        </w:rPr>
      </w:pPr>
    </w:p>
    <w:p w14:paraId="67A2371F">
      <w:pPr>
        <w:spacing w:line="46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（全权代表姓名）为全权代表，参加贵</w:t>
      </w:r>
      <w:r>
        <w:rPr>
          <w:rFonts w:hint="eastAsia" w:ascii="宋体" w:hAnsi="宋体" w:cs="宋体"/>
          <w:color w:val="auto"/>
          <w:sz w:val="22"/>
          <w:szCs w:val="22"/>
          <w:highlight w:val="none"/>
          <w:lang w:val="en-US" w:eastAsia="zh-CN"/>
        </w:rPr>
        <w:t>方</w:t>
      </w:r>
      <w:r>
        <w:rPr>
          <w:rFonts w:hint="eastAsia" w:ascii="宋体" w:hAnsi="宋体" w:cs="宋体"/>
          <w:color w:val="auto"/>
          <w:sz w:val="22"/>
          <w:szCs w:val="22"/>
          <w:highlight w:val="none"/>
        </w:rPr>
        <w:t>组织的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（采购项目名称、编号）的采购活动，全权代表我方处理采购活动中的一切事宜。</w:t>
      </w:r>
    </w:p>
    <w:p w14:paraId="74F904C2">
      <w:pPr>
        <w:spacing w:line="460" w:lineRule="exact"/>
        <w:ind w:firstLine="2955"/>
        <w:rPr>
          <w:rFonts w:hint="eastAsia" w:ascii="宋体" w:hAnsi="宋体" w:cs="宋体"/>
          <w:color w:val="auto"/>
          <w:sz w:val="22"/>
          <w:szCs w:val="22"/>
          <w:highlight w:val="none"/>
        </w:rPr>
      </w:pPr>
    </w:p>
    <w:p w14:paraId="70A45C6B">
      <w:pPr>
        <w:spacing w:line="46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4EF1A35D">
      <w:pPr>
        <w:spacing w:line="460" w:lineRule="exact"/>
        <w:ind w:firstLine="3971" w:firstLineChars="1805"/>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 （签字或盖章）：</w:t>
      </w:r>
    </w:p>
    <w:p w14:paraId="4B7EF5F5">
      <w:pPr>
        <w:spacing w:line="46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投标人全称（公章）：</w:t>
      </w:r>
    </w:p>
    <w:p w14:paraId="2BB097BE">
      <w:pPr>
        <w:spacing w:line="46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7FB84550">
      <w:pPr>
        <w:spacing w:line="460" w:lineRule="exact"/>
        <w:rPr>
          <w:rFonts w:hint="eastAsia" w:ascii="宋体" w:hAnsi="宋体" w:cs="宋体"/>
          <w:color w:val="auto"/>
          <w:sz w:val="22"/>
          <w:szCs w:val="22"/>
          <w:highlight w:val="none"/>
        </w:rPr>
      </w:pPr>
    </w:p>
    <w:p w14:paraId="4B9F442C">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w:t>
      </w:r>
    </w:p>
    <w:p w14:paraId="6536004C">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授权代表姓名：</w:t>
      </w:r>
    </w:p>
    <w:p w14:paraId="3E68C815">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职务：</w:t>
      </w:r>
    </w:p>
    <w:p w14:paraId="10AA84E0">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详细通讯地址：</w:t>
      </w:r>
    </w:p>
    <w:p w14:paraId="32C65B45">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电话：</w:t>
      </w:r>
    </w:p>
    <w:p w14:paraId="16B0DF73">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传真：</w:t>
      </w:r>
    </w:p>
    <w:p w14:paraId="2E1DAF3C">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邮政编码：</w:t>
      </w:r>
    </w:p>
    <w:tbl>
      <w:tblPr>
        <w:tblStyle w:val="54"/>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61FE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4E16E048">
            <w:pPr>
              <w:spacing w:line="38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投标人代表身份证复印件</w:t>
            </w:r>
          </w:p>
          <w:p w14:paraId="72DA2FA2">
            <w:pPr>
              <w:spacing w:line="380" w:lineRule="exact"/>
              <w:jc w:val="center"/>
              <w:rPr>
                <w:rFonts w:hint="eastAsia" w:ascii="宋体" w:hAnsi="宋体" w:cs="宋体"/>
                <w:b/>
                <w:bCs/>
                <w:color w:val="auto"/>
                <w:sz w:val="28"/>
                <w:highlight w:val="none"/>
              </w:rPr>
            </w:pPr>
          </w:p>
        </w:tc>
      </w:tr>
    </w:tbl>
    <w:p w14:paraId="256FE39C">
      <w:pPr>
        <w:pStyle w:val="3"/>
        <w:rPr>
          <w:rFonts w:hint="eastAsia" w:ascii="新宋体" w:hAnsi="新宋体" w:eastAsia="新宋体" w:cs="新宋体"/>
          <w:color w:val="auto"/>
          <w:kern w:val="0"/>
          <w:sz w:val="28"/>
          <w:szCs w:val="28"/>
          <w:highlight w:val="none"/>
        </w:rPr>
      </w:pPr>
      <w:r>
        <w:rPr>
          <w:rFonts w:hint="eastAsia" w:ascii="宋体" w:hAnsi="宋体" w:cs="宋体"/>
          <w:color w:val="auto"/>
          <w:sz w:val="22"/>
          <w:szCs w:val="22"/>
          <w:highlight w:val="none"/>
        </w:rPr>
        <w:br w:type="page"/>
      </w:r>
      <w:bookmarkStart w:id="124" w:name="_Toc7025"/>
      <w:r>
        <w:rPr>
          <w:rFonts w:hint="eastAsia" w:ascii="新宋体" w:hAnsi="新宋体" w:eastAsia="新宋体" w:cs="新宋体"/>
          <w:color w:val="auto"/>
          <w:kern w:val="0"/>
          <w:sz w:val="28"/>
          <w:szCs w:val="28"/>
          <w:highlight w:val="none"/>
        </w:rPr>
        <w:t>资格条件承诺函</w:t>
      </w:r>
      <w:bookmarkEnd w:id="124"/>
    </w:p>
    <w:p w14:paraId="3B8799B2">
      <w:pPr>
        <w:spacing w:line="440" w:lineRule="exact"/>
        <w:ind w:right="-153" w:rightChars="-73"/>
        <w:rPr>
          <w:rFonts w:hint="eastAsia" w:ascii="宋体" w:hAnsi="宋体" w:cs="宋体"/>
          <w:color w:val="auto"/>
          <w:sz w:val="22"/>
          <w:szCs w:val="22"/>
          <w:highlight w:val="none"/>
        </w:rPr>
      </w:pPr>
    </w:p>
    <w:p w14:paraId="6B8CDBA9">
      <w:pPr>
        <w:spacing w:line="420" w:lineRule="exact"/>
        <w:rPr>
          <w:rFonts w:hint="eastAsia" w:ascii="宋体" w:hAnsi="宋体"/>
          <w:color w:val="auto"/>
          <w:sz w:val="22"/>
          <w:szCs w:val="22"/>
          <w:highlight w:val="none"/>
        </w:rPr>
      </w:pPr>
      <w:r>
        <w:rPr>
          <w:rFonts w:hint="eastAsia" w:ascii="宋体" w:hAnsi="宋体"/>
          <w:color w:val="auto"/>
          <w:sz w:val="22"/>
          <w:szCs w:val="22"/>
          <w:highlight w:val="none"/>
          <w:lang w:eastAsia="zh-CN"/>
        </w:rPr>
        <w:t>温州市鹿城区政务服务中心</w:t>
      </w:r>
      <w:r>
        <w:rPr>
          <w:rFonts w:hint="eastAsia" w:ascii="宋体" w:hAnsi="宋体"/>
          <w:color w:val="auto"/>
          <w:sz w:val="22"/>
          <w:szCs w:val="22"/>
          <w:highlight w:val="none"/>
        </w:rPr>
        <w:t>：</w:t>
      </w:r>
    </w:p>
    <w:p w14:paraId="2A99436D">
      <w:pPr>
        <w:spacing w:line="420" w:lineRule="exact"/>
        <w:rPr>
          <w:rFonts w:hint="eastAsia" w:ascii="新宋体" w:hAnsi="新宋体" w:eastAsia="新宋体" w:cs="新宋体"/>
          <w:color w:val="auto"/>
          <w:sz w:val="22"/>
          <w:szCs w:val="22"/>
          <w:highlight w:val="none"/>
        </w:rPr>
      </w:pPr>
      <w:r>
        <w:rPr>
          <w:rFonts w:hint="eastAsia" w:ascii="宋体" w:hAnsi="宋体"/>
          <w:color w:val="auto"/>
          <w:sz w:val="22"/>
          <w:szCs w:val="22"/>
          <w:highlight w:val="none"/>
        </w:rPr>
        <w:t>温州市智信招标代理有限公司：</w:t>
      </w:r>
    </w:p>
    <w:p w14:paraId="5EC35D8D">
      <w:pPr>
        <w:shd w:val="clear" w:color="auto" w:fill="FFFFFF"/>
        <w:snapToGrid w:val="0"/>
        <w:spacing w:line="440" w:lineRule="exact"/>
        <w:rPr>
          <w:rFonts w:hint="eastAsia" w:ascii="宋体" w:hAnsi="宋体" w:cs="宋体"/>
          <w:color w:val="auto"/>
          <w:sz w:val="22"/>
          <w:szCs w:val="22"/>
          <w:highlight w:val="none"/>
        </w:rPr>
      </w:pPr>
    </w:p>
    <w:p w14:paraId="15E63678">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我方参与（采购项目名称、编号）磋商响应，现郑重承诺：</w:t>
      </w:r>
    </w:p>
    <w:p w14:paraId="0F079505">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1.我方符合《中华人民共和国政府采购法》第二十二条规定的资格条件，即</w:t>
      </w:r>
    </w:p>
    <w:p w14:paraId="451077AD">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14:paraId="68CCCC68">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14:paraId="3A0D6A02">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14:paraId="72E0A5FB">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14:paraId="3F054014">
      <w:pPr>
        <w:widowControl/>
        <w:snapToGrid w:val="0"/>
        <w:spacing w:line="440" w:lineRule="exact"/>
        <w:ind w:left="970" w:leftChars="200" w:hanging="550" w:hangingChars="2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07F40A33">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5"/>
          <w:rFonts w:hint="eastAsia" w:ascii="宋体" w:hAnsi="宋体" w:cs="宋体"/>
          <w:color w:val="auto"/>
          <w:kern w:val="0"/>
          <w:sz w:val="22"/>
          <w:szCs w:val="22"/>
          <w:highlight w:val="none"/>
        </w:rPr>
        <w:t>www.creditchina.gov.cn）、</w:t>
      </w:r>
      <w:r>
        <w:rPr>
          <w:rStyle w:val="65"/>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6FB50F40">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eastAsia="新宋体" w:cs="宋体"/>
          <w:color w:val="auto"/>
          <w:kern w:val="0"/>
          <w:sz w:val="22"/>
          <w:szCs w:val="22"/>
          <w:highlight w:val="none"/>
        </w:rPr>
        <w:t>3.</w:t>
      </w:r>
      <w:r>
        <w:rPr>
          <w:rFonts w:hint="eastAsia" w:ascii="新宋体" w:hAnsi="新宋体" w:eastAsia="新宋体"/>
          <w:color w:val="auto"/>
          <w:kern w:val="0"/>
          <w:sz w:val="22"/>
          <w:szCs w:val="22"/>
          <w:highlight w:val="none"/>
          <w:lang w:val="zh-CN"/>
        </w:rPr>
        <w:t>单位、法定代表人、本项目授权代表及本项目负责人在参加本项目前三年内（以法院判决书生效日期为准）均无行贿犯罪记录。</w:t>
      </w:r>
    </w:p>
    <w:p w14:paraId="5CC78140">
      <w:pPr>
        <w:widowControl/>
        <w:snapToGrid w:val="0"/>
        <w:spacing w:line="440" w:lineRule="exact"/>
        <w:ind w:firstLine="440" w:firstLineChars="200"/>
        <w:jc w:val="left"/>
        <w:rPr>
          <w:rFonts w:hint="eastAsia" w:ascii="宋体" w:hAnsi="宋体" w:cs="宋体"/>
          <w:color w:val="auto"/>
          <w:kern w:val="0"/>
          <w:sz w:val="22"/>
          <w:szCs w:val="22"/>
          <w:highlight w:val="none"/>
        </w:rPr>
      </w:pPr>
    </w:p>
    <w:p w14:paraId="104A5310">
      <w:pPr>
        <w:widowControl/>
        <w:snapToGrid w:val="0"/>
        <w:spacing w:line="440" w:lineRule="exact"/>
        <w:ind w:left="210" w:left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我方任何资格（投标/中标/签订合同）</w:t>
      </w:r>
      <w:r>
        <w:rPr>
          <w:rFonts w:hint="eastAsia" w:ascii="宋体" w:hAnsi="宋体" w:cs="宋体"/>
          <w:color w:val="auto"/>
          <w:sz w:val="22"/>
          <w:szCs w:val="22"/>
          <w:highlight w:val="none"/>
        </w:rPr>
        <w:t>及其他任何形式的处理。</w:t>
      </w:r>
    </w:p>
    <w:p w14:paraId="16F89C41">
      <w:pPr>
        <w:pStyle w:val="30"/>
        <w:spacing w:line="600" w:lineRule="exact"/>
        <w:ind w:firstLine="4840" w:firstLineChars="2200"/>
        <w:rPr>
          <w:rFonts w:hint="eastAsia" w:hAnsi="宋体" w:cs="宋体"/>
          <w:color w:val="auto"/>
          <w:sz w:val="22"/>
          <w:szCs w:val="22"/>
          <w:highlight w:val="none"/>
        </w:rPr>
      </w:pPr>
    </w:p>
    <w:p w14:paraId="704EDA81">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供应商名称（盖章）                  </w:t>
      </w:r>
    </w:p>
    <w:p w14:paraId="5F6EAAB5">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供应商代表（签字）                   </w:t>
      </w:r>
    </w:p>
    <w:p w14:paraId="66C2A1B5">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14:paraId="41B504B2">
      <w:pPr>
        <w:spacing w:line="380" w:lineRule="exact"/>
        <w:rPr>
          <w:rFonts w:hint="eastAsia" w:ascii="宋体" w:hAnsi="宋体" w:cs="宋体"/>
          <w:bCs/>
          <w:color w:val="auto"/>
          <w:sz w:val="22"/>
          <w:szCs w:val="22"/>
          <w:highlight w:val="none"/>
        </w:rPr>
      </w:pPr>
    </w:p>
    <w:p w14:paraId="0D44DE1E">
      <w:pPr>
        <w:spacing w:line="380" w:lineRule="exact"/>
        <w:ind w:left="-358" w:leftChars="-171" w:hanging="1"/>
        <w:jc w:val="center"/>
        <w:rPr>
          <w:rFonts w:hint="eastAsia" w:ascii="宋体" w:hAnsi="宋体" w:cs="宋体"/>
          <w:bCs/>
          <w:color w:val="auto"/>
          <w:sz w:val="22"/>
          <w:szCs w:val="22"/>
          <w:highlight w:val="none"/>
        </w:rPr>
      </w:pPr>
    </w:p>
    <w:p w14:paraId="74DECF69">
      <w:pPr>
        <w:spacing w:line="380" w:lineRule="exact"/>
        <w:ind w:left="-359" w:leftChars="-171"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注：</w:t>
      </w:r>
      <w:r>
        <w:rPr>
          <w:rFonts w:hint="eastAsia" w:ascii="宋体" w:hAnsi="宋体" w:cs="宋体"/>
          <w:b/>
          <w:bCs/>
          <w:color w:val="auto"/>
          <w:sz w:val="22"/>
          <w:szCs w:val="22"/>
          <w:highlight w:val="none"/>
          <w:u w:val="single"/>
        </w:rPr>
        <w:t>▲不提交本承诺书按无效标处理。</w:t>
      </w:r>
    </w:p>
    <w:p w14:paraId="1CFAEE9D">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br w:type="page"/>
      </w:r>
      <w:r>
        <w:rPr>
          <w:rFonts w:hint="eastAsia" w:ascii="新宋体" w:hAnsi="新宋体" w:eastAsia="新宋体" w:cs="新宋体"/>
          <w:b/>
          <w:color w:val="auto"/>
          <w:kern w:val="0"/>
          <w:sz w:val="28"/>
          <w:szCs w:val="28"/>
          <w:highlight w:val="none"/>
        </w:rPr>
        <w:t>申请材料真实性声明</w:t>
      </w:r>
    </w:p>
    <w:p w14:paraId="2883FEF4">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14:paraId="4AFB8CA3">
      <w:pPr>
        <w:spacing w:line="420" w:lineRule="exact"/>
        <w:rPr>
          <w:rFonts w:hint="eastAsia" w:ascii="宋体" w:hAnsi="宋体"/>
          <w:color w:val="auto"/>
          <w:sz w:val="22"/>
          <w:szCs w:val="22"/>
          <w:highlight w:val="none"/>
        </w:rPr>
      </w:pPr>
      <w:r>
        <w:rPr>
          <w:rFonts w:hint="eastAsia" w:ascii="宋体" w:hAnsi="宋体"/>
          <w:color w:val="auto"/>
          <w:sz w:val="22"/>
          <w:szCs w:val="22"/>
          <w:highlight w:val="none"/>
          <w:lang w:eastAsia="zh-CN"/>
        </w:rPr>
        <w:t>温州市鹿城区政务服务中心</w:t>
      </w:r>
      <w:r>
        <w:rPr>
          <w:rFonts w:hint="eastAsia" w:ascii="宋体" w:hAnsi="宋体"/>
          <w:color w:val="auto"/>
          <w:sz w:val="22"/>
          <w:szCs w:val="22"/>
          <w:highlight w:val="none"/>
        </w:rPr>
        <w:t>：</w:t>
      </w:r>
    </w:p>
    <w:p w14:paraId="322CC980">
      <w:pPr>
        <w:spacing w:line="460" w:lineRule="exact"/>
        <w:rPr>
          <w:rFonts w:hint="eastAsia" w:ascii="新宋体" w:hAnsi="新宋体" w:eastAsia="新宋体" w:cs="新宋体"/>
          <w:color w:val="auto"/>
          <w:sz w:val="22"/>
          <w:szCs w:val="22"/>
          <w:highlight w:val="none"/>
        </w:rPr>
      </w:pPr>
      <w:r>
        <w:rPr>
          <w:rFonts w:hint="eastAsia" w:ascii="宋体" w:hAnsi="宋体"/>
          <w:color w:val="auto"/>
          <w:sz w:val="22"/>
          <w:szCs w:val="22"/>
          <w:highlight w:val="none"/>
        </w:rPr>
        <w:t>温州市智信招标代理有限公司：</w:t>
      </w:r>
    </w:p>
    <w:p w14:paraId="0E49CE59">
      <w:pPr>
        <w:widowControl/>
        <w:adjustRightInd w:val="0"/>
        <w:snapToGrid w:val="0"/>
        <w:spacing w:line="360" w:lineRule="auto"/>
        <w:jc w:val="left"/>
        <w:rPr>
          <w:rFonts w:hint="eastAsia" w:ascii="新宋体" w:hAnsi="新宋体" w:eastAsia="新宋体" w:cs="新宋体"/>
          <w:color w:val="auto"/>
          <w:kern w:val="0"/>
          <w:sz w:val="22"/>
          <w:szCs w:val="22"/>
          <w:highlight w:val="none"/>
        </w:rPr>
      </w:pPr>
    </w:p>
    <w:p w14:paraId="6111E85B">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我单位此次响应参与</w:t>
      </w:r>
      <w:r>
        <w:rPr>
          <w:rFonts w:hint="eastAsia" w:ascii="宋体" w:hAnsi="宋体" w:cs="宋体"/>
          <w:color w:val="auto"/>
          <w:sz w:val="22"/>
          <w:szCs w:val="22"/>
          <w:highlight w:val="none"/>
        </w:rPr>
        <w:t>（采购项目名称、编号）竞争性磋商活动</w:t>
      </w:r>
      <w:r>
        <w:rPr>
          <w:rFonts w:hint="eastAsia" w:ascii="新宋体" w:hAnsi="新宋体" w:eastAsia="新宋体" w:cs="新宋体"/>
          <w:color w:val="auto"/>
          <w:kern w:val="0"/>
          <w:sz w:val="22"/>
          <w:szCs w:val="22"/>
          <w:highlight w:val="none"/>
        </w:rPr>
        <w:t>所提交的全部材料均真实、合法。如有不实之处，愿负相应的法律责任，并承担由此产生的一切后果。</w:t>
      </w:r>
    </w:p>
    <w:p w14:paraId="71778C5B">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p>
    <w:p w14:paraId="077CD0A3">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特此声明。</w:t>
      </w:r>
    </w:p>
    <w:p w14:paraId="6D7950E2">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p>
    <w:p w14:paraId="3C96ECD5">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供应商名称（盖章）                  </w:t>
      </w:r>
    </w:p>
    <w:p w14:paraId="0146C03E">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供应商代表（签字）                   </w:t>
      </w:r>
    </w:p>
    <w:p w14:paraId="04A35938">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日    期   </w:t>
      </w:r>
    </w:p>
    <w:p w14:paraId="5BFF9E1B">
      <w:pPr>
        <w:spacing w:line="440" w:lineRule="exact"/>
        <w:rPr>
          <w:rFonts w:hint="eastAsia" w:ascii="宋体" w:hAnsi="宋体"/>
          <w:color w:val="auto"/>
          <w:sz w:val="22"/>
          <w:szCs w:val="22"/>
          <w:highlight w:val="none"/>
          <w:u w:val="single"/>
        </w:rPr>
      </w:pPr>
    </w:p>
    <w:p w14:paraId="44756969">
      <w:pPr>
        <w:pStyle w:val="22"/>
        <w:ind w:firstLine="221"/>
        <w:rPr>
          <w:rFonts w:hint="eastAsia" w:ascii="宋体" w:hAnsi="宋体"/>
          <w:color w:val="auto"/>
          <w:sz w:val="22"/>
          <w:szCs w:val="22"/>
          <w:highlight w:val="none"/>
          <w:u w:val="single"/>
        </w:rPr>
      </w:pPr>
    </w:p>
    <w:p w14:paraId="6C516FC4">
      <w:pPr>
        <w:spacing w:line="360" w:lineRule="auto"/>
        <w:rPr>
          <w:rFonts w:hint="eastAsia" w:ascii="宋体" w:hAnsi="宋体"/>
          <w:color w:val="auto"/>
          <w:sz w:val="22"/>
          <w:szCs w:val="22"/>
          <w:highlight w:val="none"/>
        </w:rPr>
      </w:pPr>
    </w:p>
    <w:p w14:paraId="42103130">
      <w:pPr>
        <w:pStyle w:val="22"/>
        <w:ind w:firstLine="321"/>
        <w:rPr>
          <w:rFonts w:hint="eastAsia" w:ascii="宋体" w:hAnsi="宋体"/>
          <w:color w:val="auto"/>
          <w:highlight w:val="none"/>
        </w:rPr>
      </w:pPr>
    </w:p>
    <w:p w14:paraId="36EE197D">
      <w:pPr>
        <w:widowControl/>
        <w:adjustRightInd w:val="0"/>
        <w:snapToGrid w:val="0"/>
        <w:spacing w:line="360" w:lineRule="auto"/>
        <w:ind w:firstLine="440" w:firstLineChars="200"/>
        <w:jc w:val="left"/>
        <w:rPr>
          <w:rFonts w:hint="eastAsia" w:ascii="宋体" w:hAnsi="宋体"/>
          <w:color w:val="auto"/>
          <w:kern w:val="0"/>
          <w:sz w:val="22"/>
          <w:szCs w:val="22"/>
          <w:highlight w:val="none"/>
        </w:rPr>
      </w:pPr>
    </w:p>
    <w:p w14:paraId="6A82BF9E">
      <w:pPr>
        <w:spacing w:line="380" w:lineRule="exact"/>
        <w:ind w:left="-359" w:leftChars="-171"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注：</w:t>
      </w:r>
      <w:r>
        <w:rPr>
          <w:rFonts w:hint="eastAsia" w:ascii="宋体" w:hAnsi="宋体" w:cs="宋体"/>
          <w:b/>
          <w:bCs/>
          <w:color w:val="auto"/>
          <w:sz w:val="22"/>
          <w:szCs w:val="22"/>
          <w:highlight w:val="none"/>
          <w:u w:val="single"/>
        </w:rPr>
        <w:t>▲不提交本承诺书按无效标处理。</w:t>
      </w:r>
    </w:p>
    <w:p w14:paraId="08E049A0">
      <w:pPr>
        <w:widowControl/>
        <w:adjustRightInd w:val="0"/>
        <w:snapToGrid w:val="0"/>
        <w:spacing w:line="360" w:lineRule="auto"/>
        <w:ind w:firstLine="440" w:firstLineChars="200"/>
        <w:jc w:val="left"/>
        <w:rPr>
          <w:rFonts w:hint="eastAsia" w:ascii="新宋体" w:hAnsi="新宋体" w:eastAsia="新宋体"/>
          <w:color w:val="auto"/>
          <w:kern w:val="0"/>
          <w:sz w:val="22"/>
          <w:szCs w:val="22"/>
          <w:highlight w:val="none"/>
        </w:rPr>
      </w:pPr>
    </w:p>
    <w:p w14:paraId="6B0ED540">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u w:val="single"/>
        </w:rPr>
        <w:t xml:space="preserve">               </w:t>
      </w:r>
    </w:p>
    <w:p w14:paraId="3EB752EF">
      <w:pPr>
        <w:pStyle w:val="3"/>
        <w:jc w:val="left"/>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br w:type="page"/>
      </w:r>
    </w:p>
    <w:p w14:paraId="647D4C69">
      <w:pPr>
        <w:spacing w:before="120" w:beforeLines="50" w:after="120" w:afterLines="50"/>
        <w:rPr>
          <w:rFonts w:hint="eastAsia" w:ascii="宋体" w:hAnsi="宋体" w:cs="宋体"/>
          <w:color w:val="auto"/>
          <w:sz w:val="22"/>
          <w:szCs w:val="22"/>
          <w:highlight w:val="none"/>
        </w:rPr>
      </w:pPr>
      <w:r>
        <w:rPr>
          <w:rFonts w:hint="eastAsia" w:ascii="宋体" w:hAnsi="宋体" w:cs="宋体"/>
          <w:color w:val="auto"/>
          <w:sz w:val="22"/>
          <w:szCs w:val="22"/>
          <w:highlight w:val="none"/>
        </w:rPr>
        <w:t>（商务技术标封面，供参考）</w:t>
      </w:r>
      <w:bookmarkEnd w:id="122"/>
      <w:bookmarkEnd w:id="123"/>
    </w:p>
    <w:p w14:paraId="43F9CAA3">
      <w:pPr>
        <w:rPr>
          <w:rFonts w:hint="eastAsia" w:ascii="宋体" w:hAnsi="宋体" w:cs="宋体"/>
          <w:color w:val="auto"/>
          <w:highlight w:val="none"/>
        </w:rPr>
      </w:pPr>
    </w:p>
    <w:p w14:paraId="1596DF5F">
      <w:pPr>
        <w:rPr>
          <w:rFonts w:hint="eastAsia" w:ascii="宋体" w:hAnsi="宋体" w:cs="宋体"/>
          <w:color w:val="auto"/>
          <w:highlight w:val="none"/>
        </w:rPr>
      </w:pPr>
    </w:p>
    <w:p w14:paraId="454D14FD">
      <w:pPr>
        <w:rPr>
          <w:rFonts w:hint="eastAsia" w:ascii="宋体" w:hAnsi="宋体" w:cs="宋体"/>
          <w:color w:val="auto"/>
          <w:highlight w:val="none"/>
        </w:rPr>
      </w:pPr>
    </w:p>
    <w:p w14:paraId="1F2F0DBC">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rPr>
        <w:t>磋商响应文件</w:t>
      </w:r>
    </w:p>
    <w:p w14:paraId="1990294B">
      <w:pPr>
        <w:rPr>
          <w:rFonts w:hint="eastAsia" w:ascii="宋体" w:hAnsi="宋体" w:cs="宋体"/>
          <w:color w:val="auto"/>
          <w:sz w:val="28"/>
          <w:szCs w:val="28"/>
          <w:highlight w:val="none"/>
        </w:rPr>
      </w:pPr>
    </w:p>
    <w:p w14:paraId="6B55A475">
      <w:pPr>
        <w:rPr>
          <w:rFonts w:hint="eastAsia" w:ascii="宋体" w:hAnsi="宋体" w:cs="宋体"/>
          <w:color w:val="auto"/>
          <w:sz w:val="28"/>
          <w:szCs w:val="28"/>
          <w:highlight w:val="none"/>
        </w:rPr>
      </w:pPr>
    </w:p>
    <w:p w14:paraId="1EFD381B">
      <w:pPr>
        <w:pStyle w:val="22"/>
        <w:ind w:firstLine="281"/>
        <w:rPr>
          <w:rFonts w:hint="eastAsia" w:ascii="宋体" w:hAnsi="宋体" w:cs="宋体"/>
          <w:color w:val="auto"/>
          <w:sz w:val="28"/>
          <w:szCs w:val="28"/>
          <w:highlight w:val="none"/>
        </w:rPr>
      </w:pPr>
    </w:p>
    <w:p w14:paraId="555E4892">
      <w:pPr>
        <w:pStyle w:val="22"/>
        <w:ind w:firstLine="281"/>
        <w:rPr>
          <w:rFonts w:hint="eastAsia" w:ascii="宋体" w:hAnsi="宋体" w:cs="宋体"/>
          <w:color w:val="auto"/>
          <w:sz w:val="28"/>
          <w:szCs w:val="28"/>
          <w:highlight w:val="none"/>
        </w:rPr>
      </w:pPr>
    </w:p>
    <w:p w14:paraId="3CDDE4F8">
      <w:pPr>
        <w:rPr>
          <w:rFonts w:hint="eastAsia" w:ascii="宋体" w:hAnsi="宋体" w:cs="宋体"/>
          <w:color w:val="auto"/>
          <w:sz w:val="28"/>
          <w:szCs w:val="28"/>
          <w:highlight w:val="none"/>
        </w:rPr>
      </w:pPr>
    </w:p>
    <w:p w14:paraId="0C996F05">
      <w:pPr>
        <w:rPr>
          <w:rFonts w:hint="eastAsia" w:ascii="宋体" w:hAnsi="宋体" w:cs="宋体"/>
          <w:color w:val="auto"/>
          <w:sz w:val="28"/>
          <w:szCs w:val="28"/>
          <w:highlight w:val="none"/>
        </w:rPr>
      </w:pPr>
    </w:p>
    <w:p w14:paraId="7D44C7CB">
      <w:pPr>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商 务 技 术 标</w:t>
      </w:r>
    </w:p>
    <w:p w14:paraId="5CB5722B">
      <w:pPr>
        <w:spacing w:line="360" w:lineRule="auto"/>
        <w:rPr>
          <w:rFonts w:hint="eastAsia" w:ascii="宋体" w:hAnsi="宋体" w:cs="宋体"/>
          <w:color w:val="auto"/>
          <w:szCs w:val="21"/>
          <w:highlight w:val="none"/>
        </w:rPr>
      </w:pPr>
    </w:p>
    <w:p w14:paraId="413E1E6D">
      <w:pPr>
        <w:spacing w:line="360" w:lineRule="auto"/>
        <w:rPr>
          <w:rFonts w:hint="eastAsia" w:ascii="宋体" w:hAnsi="宋体" w:cs="宋体"/>
          <w:color w:val="auto"/>
          <w:szCs w:val="21"/>
          <w:highlight w:val="none"/>
        </w:rPr>
      </w:pPr>
    </w:p>
    <w:p w14:paraId="077A560F">
      <w:pPr>
        <w:spacing w:line="360" w:lineRule="auto"/>
        <w:rPr>
          <w:rFonts w:hint="eastAsia" w:ascii="宋体" w:hAnsi="宋体" w:cs="宋体"/>
          <w:color w:val="auto"/>
          <w:szCs w:val="21"/>
          <w:highlight w:val="none"/>
        </w:rPr>
      </w:pPr>
    </w:p>
    <w:p w14:paraId="482F3454">
      <w:pPr>
        <w:spacing w:line="360" w:lineRule="auto"/>
        <w:rPr>
          <w:rFonts w:hint="eastAsia" w:ascii="宋体" w:hAnsi="宋体" w:cs="宋体"/>
          <w:color w:val="auto"/>
          <w:szCs w:val="21"/>
          <w:highlight w:val="none"/>
        </w:rPr>
      </w:pPr>
    </w:p>
    <w:p w14:paraId="19C0EBD5">
      <w:pPr>
        <w:pStyle w:val="22"/>
        <w:ind w:firstLine="321"/>
        <w:rPr>
          <w:rFonts w:hint="eastAsia" w:ascii="宋体" w:hAnsi="宋体" w:cs="宋体"/>
          <w:color w:val="auto"/>
          <w:highlight w:val="none"/>
        </w:rPr>
      </w:pPr>
    </w:p>
    <w:p w14:paraId="79E9144F">
      <w:pPr>
        <w:spacing w:line="360" w:lineRule="auto"/>
        <w:rPr>
          <w:rFonts w:hint="eastAsia" w:ascii="宋体" w:hAnsi="宋体" w:cs="宋体"/>
          <w:color w:val="auto"/>
          <w:szCs w:val="21"/>
          <w:highlight w:val="none"/>
        </w:rPr>
      </w:pPr>
    </w:p>
    <w:p w14:paraId="625D6ABF">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632D07F4">
      <w:pPr>
        <w:rPr>
          <w:rFonts w:hint="eastAsia" w:ascii="宋体" w:hAnsi="宋体" w:cs="宋体"/>
          <w:color w:val="auto"/>
          <w:sz w:val="28"/>
          <w:szCs w:val="28"/>
          <w:highlight w:val="none"/>
          <w:u w:val="single"/>
        </w:rPr>
      </w:pPr>
    </w:p>
    <w:p w14:paraId="642C2BC4">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442ADBC2">
      <w:pPr>
        <w:rPr>
          <w:rFonts w:hint="eastAsia" w:ascii="宋体" w:hAnsi="宋体" w:cs="宋体"/>
          <w:color w:val="auto"/>
          <w:sz w:val="28"/>
          <w:szCs w:val="28"/>
          <w:highlight w:val="none"/>
        </w:rPr>
      </w:pPr>
    </w:p>
    <w:p w14:paraId="2C233F01">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3B7F4C05">
      <w:pPr>
        <w:pStyle w:val="22"/>
        <w:ind w:firstLine="0" w:firstLineChars="0"/>
        <w:rPr>
          <w:rFonts w:hint="eastAsia" w:ascii="宋体" w:hAnsi="宋体" w:cs="宋体"/>
          <w:color w:val="auto"/>
          <w:sz w:val="22"/>
          <w:szCs w:val="22"/>
          <w:highlight w:val="none"/>
        </w:rPr>
      </w:pPr>
      <w:r>
        <w:rPr>
          <w:rFonts w:hint="eastAsia" w:ascii="宋体" w:hAnsi="宋体" w:cs="宋体"/>
          <w:color w:val="auto"/>
          <w:highlight w:val="none"/>
        </w:rPr>
        <w:br w:type="page"/>
      </w:r>
    </w:p>
    <w:p w14:paraId="73636253">
      <w:pPr>
        <w:jc w:val="center"/>
        <w:rPr>
          <w:rFonts w:hint="eastAsia" w:ascii="宋体" w:hAnsi="宋体" w:cs="宋体"/>
          <w:b/>
          <w:bCs/>
          <w:color w:val="auto"/>
          <w:sz w:val="52"/>
          <w:szCs w:val="52"/>
          <w:highlight w:val="none"/>
        </w:rPr>
      </w:pPr>
      <w:bookmarkStart w:id="125" w:name="_Toc247527827"/>
      <w:bookmarkStart w:id="126" w:name="_Toc247514246"/>
      <w:bookmarkStart w:id="127" w:name="_Toc152045787"/>
      <w:bookmarkStart w:id="128" w:name="_Toc144974856"/>
      <w:bookmarkStart w:id="129" w:name="_Toc152042576"/>
      <w:bookmarkStart w:id="130" w:name="_Toc465107615"/>
      <w:r>
        <w:rPr>
          <w:rFonts w:hint="eastAsia" w:ascii="宋体" w:hAnsi="宋体" w:cs="宋体"/>
          <w:b/>
          <w:bCs/>
          <w:color w:val="auto"/>
          <w:sz w:val="52"/>
          <w:szCs w:val="52"/>
          <w:highlight w:val="none"/>
        </w:rPr>
        <w:t>目    录</w:t>
      </w:r>
      <w:bookmarkEnd w:id="125"/>
      <w:bookmarkEnd w:id="126"/>
      <w:bookmarkEnd w:id="127"/>
      <w:bookmarkEnd w:id="128"/>
      <w:bookmarkEnd w:id="129"/>
      <w:bookmarkEnd w:id="130"/>
    </w:p>
    <w:tbl>
      <w:tblPr>
        <w:tblStyle w:val="5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4B2BC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49D87309">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9109" w:type="dxa"/>
            <w:noWrap w:val="0"/>
            <w:vAlign w:val="center"/>
          </w:tcPr>
          <w:p w14:paraId="32D7C7C0">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内容</w:t>
            </w:r>
          </w:p>
        </w:tc>
      </w:tr>
      <w:tr w14:paraId="7ADC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434017B8">
            <w:pPr>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p>
        </w:tc>
        <w:tc>
          <w:tcPr>
            <w:tcW w:w="9109" w:type="dxa"/>
            <w:noWrap w:val="0"/>
            <w:vAlign w:val="center"/>
          </w:tcPr>
          <w:p w14:paraId="7E74F8D9">
            <w:pPr>
              <w:jc w:val="left"/>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针对评分细则，编制目录索引，注明评标细则项目所在投标文件页码，格式自拟</w:t>
            </w:r>
          </w:p>
        </w:tc>
      </w:tr>
      <w:tr w14:paraId="7C4B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45" w:type="dxa"/>
            <w:noWrap w:val="0"/>
            <w:vAlign w:val="center"/>
          </w:tcPr>
          <w:p w14:paraId="39FEC46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9109" w:type="dxa"/>
            <w:noWrap w:val="0"/>
            <w:vAlign w:val="center"/>
          </w:tcPr>
          <w:p w14:paraId="27742CB6">
            <w:pP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投标函</w:t>
            </w:r>
          </w:p>
        </w:tc>
      </w:tr>
      <w:tr w14:paraId="37D1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45" w:type="dxa"/>
            <w:noWrap w:val="0"/>
            <w:vAlign w:val="center"/>
          </w:tcPr>
          <w:p w14:paraId="420C343E">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9109" w:type="dxa"/>
            <w:noWrap w:val="0"/>
            <w:vAlign w:val="center"/>
          </w:tcPr>
          <w:p w14:paraId="7224BB74">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技术要求应答表、商务条款偏离表</w:t>
            </w:r>
          </w:p>
        </w:tc>
      </w:tr>
      <w:tr w14:paraId="6DC3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45" w:type="dxa"/>
            <w:noWrap w:val="0"/>
            <w:vAlign w:val="center"/>
          </w:tcPr>
          <w:p w14:paraId="049128BC">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4</w:t>
            </w:r>
          </w:p>
        </w:tc>
        <w:tc>
          <w:tcPr>
            <w:tcW w:w="9109" w:type="dxa"/>
            <w:noWrap w:val="0"/>
            <w:vAlign w:val="center"/>
          </w:tcPr>
          <w:p w14:paraId="3F74BF27">
            <w:pPr>
              <w:rPr>
                <w:rFonts w:hint="eastAsia" w:ascii="宋体" w:hAnsi="宋体" w:eastAsia="宋体" w:cs="宋体"/>
                <w:color w:val="auto"/>
                <w:sz w:val="22"/>
                <w:szCs w:val="22"/>
                <w:highlight w:val="none"/>
              </w:rPr>
            </w:pPr>
            <w:r>
              <w:rPr>
                <w:rFonts w:hint="eastAsia" w:ascii="宋体" w:hAnsi="宋体" w:cs="宋体"/>
                <w:bCs/>
                <w:color w:val="auto"/>
                <w:sz w:val="22"/>
                <w:szCs w:val="22"/>
                <w:highlight w:val="none"/>
                <w:lang w:val="en-US" w:eastAsia="zh-CN"/>
              </w:rPr>
              <w:t>供应商</w:t>
            </w:r>
            <w:r>
              <w:rPr>
                <w:rFonts w:hint="eastAsia" w:ascii="宋体" w:hAnsi="宋体" w:eastAsia="宋体" w:cs="宋体"/>
                <w:bCs/>
                <w:color w:val="auto"/>
                <w:sz w:val="22"/>
                <w:szCs w:val="22"/>
                <w:highlight w:val="none"/>
                <w:lang w:val="en-US" w:eastAsia="zh-CN"/>
              </w:rPr>
              <w:t>综合实力</w:t>
            </w:r>
          </w:p>
        </w:tc>
      </w:tr>
      <w:tr w14:paraId="0A94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45" w:type="dxa"/>
            <w:noWrap w:val="0"/>
            <w:vAlign w:val="center"/>
          </w:tcPr>
          <w:p w14:paraId="7A0AA360">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5</w:t>
            </w:r>
          </w:p>
        </w:tc>
        <w:tc>
          <w:tcPr>
            <w:tcW w:w="9109" w:type="dxa"/>
            <w:noWrap w:val="0"/>
            <w:vAlign w:val="center"/>
          </w:tcPr>
          <w:p w14:paraId="29CA8DF4">
            <w:pP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类似项目业绩</w:t>
            </w:r>
          </w:p>
        </w:tc>
      </w:tr>
      <w:tr w14:paraId="336A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5199D47A">
            <w:pPr>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9109" w:type="dxa"/>
            <w:noWrap w:val="0"/>
            <w:vAlign w:val="center"/>
          </w:tcPr>
          <w:p w14:paraId="4496A9C0">
            <w:pPr>
              <w:rPr>
                <w:rFonts w:hint="eastAsia" w:ascii="宋体" w:hAnsi="宋体" w:cs="宋体"/>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针对本项目所配备的服务团队人员</w:t>
            </w:r>
          </w:p>
        </w:tc>
      </w:tr>
      <w:tr w14:paraId="379A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30E243C6">
            <w:pPr>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7</w:t>
            </w:r>
          </w:p>
        </w:tc>
        <w:tc>
          <w:tcPr>
            <w:tcW w:w="9109" w:type="dxa"/>
            <w:noWrap w:val="0"/>
            <w:vAlign w:val="center"/>
          </w:tcPr>
          <w:p w14:paraId="6D5C3ADD">
            <w:pPr>
              <w:rPr>
                <w:rFonts w:hint="eastAsia" w:ascii="宋体" w:hAnsi="宋体" w:eastAsia="宋体" w:cs="宋体"/>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项目服务方案</w:t>
            </w:r>
          </w:p>
        </w:tc>
      </w:tr>
      <w:tr w14:paraId="2E8E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0AC8117F">
            <w:pPr>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8</w:t>
            </w:r>
          </w:p>
        </w:tc>
        <w:tc>
          <w:tcPr>
            <w:tcW w:w="9109" w:type="dxa"/>
            <w:noWrap w:val="0"/>
            <w:vAlign w:val="center"/>
          </w:tcPr>
          <w:p w14:paraId="1ACEACED">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sz w:val="22"/>
                <w:szCs w:val="22"/>
                <w:highlight w:val="none"/>
              </w:rPr>
              <w:t>资信证明文件（本部分为技术资信分评分内容，各投标人参照评分标准根据自身情况提供）</w:t>
            </w:r>
          </w:p>
        </w:tc>
      </w:tr>
      <w:tr w14:paraId="38A3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1408A488">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9109" w:type="dxa"/>
            <w:noWrap w:val="0"/>
            <w:vAlign w:val="center"/>
          </w:tcPr>
          <w:p w14:paraId="0E761F55">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sz w:val="22"/>
                <w:szCs w:val="22"/>
                <w:highlight w:val="none"/>
              </w:rPr>
              <w:t>根据采购文件中的技术规格书以及采购文件技术资信评分表，投标人认为需要提供的文件和资料</w:t>
            </w:r>
          </w:p>
        </w:tc>
      </w:tr>
    </w:tbl>
    <w:p w14:paraId="1ACEDDB4">
      <w:pPr>
        <w:spacing w:line="540" w:lineRule="exact"/>
        <w:rPr>
          <w:rFonts w:hint="eastAsia" w:ascii="宋体" w:hAnsi="宋体" w:cs="宋体"/>
          <w:b/>
          <w:bCs/>
          <w:color w:val="auto"/>
          <w:sz w:val="22"/>
          <w:szCs w:val="22"/>
          <w:highlight w:val="none"/>
        </w:rPr>
      </w:pPr>
    </w:p>
    <w:p w14:paraId="3627A59E">
      <w:pPr>
        <w:widowControl/>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br w:type="page"/>
      </w:r>
    </w:p>
    <w:p w14:paraId="68855F25">
      <w:pPr>
        <w:spacing w:line="5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附件一</w:t>
      </w:r>
    </w:p>
    <w:p w14:paraId="3D763A5E">
      <w:pPr>
        <w:spacing w:line="460" w:lineRule="exact"/>
        <w:ind w:left="22" w:hanging="22" w:hangingChars="8"/>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 标 函</w:t>
      </w:r>
    </w:p>
    <w:p w14:paraId="048612B1">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温州市鹿城区政务服务中心</w:t>
      </w:r>
      <w:r>
        <w:rPr>
          <w:rFonts w:hint="eastAsia" w:ascii="宋体" w:hAnsi="宋体" w:cs="宋体"/>
          <w:color w:val="auto"/>
          <w:sz w:val="22"/>
          <w:szCs w:val="22"/>
          <w:highlight w:val="none"/>
        </w:rPr>
        <w:t>：</w:t>
      </w:r>
    </w:p>
    <w:p w14:paraId="5F7B31FF">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温州市智信招标代理有限公司：</w:t>
      </w:r>
    </w:p>
    <w:p w14:paraId="38AFA7CC">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项目（项目编号：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）的投标邀请，我方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（供应商名称）作为供应商正式授权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（授权代表全名，职务）代表我方处理有关本项目投标的一切事宜。</w:t>
      </w:r>
    </w:p>
    <w:p w14:paraId="08DCE46A">
      <w:pPr>
        <w:autoSpaceDE w:val="0"/>
        <w:autoSpaceDN w:val="0"/>
        <w:adjustRightInd w:val="0"/>
        <w:spacing w:line="420" w:lineRule="atLeast"/>
        <w:ind w:firstLine="440" w:firstLineChars="20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在此提交的磋商响应文件中，包括如下内容：</w:t>
      </w:r>
    </w:p>
    <w:p w14:paraId="5E9FE7B5">
      <w:pPr>
        <w:numPr>
          <w:ilvl w:val="0"/>
          <w:numId w:val="24"/>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电子磋商响应文件，按政采云平台项目采购－电子招投标操作指南及本竞争性磋商采购文件要求制作。</w:t>
      </w:r>
    </w:p>
    <w:p w14:paraId="168E27B2">
      <w:pPr>
        <w:numPr>
          <w:ilvl w:val="0"/>
          <w:numId w:val="24"/>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以介质存储的数据电文形式的备份磋商响应文件，按政采云平台项目采购－电子招投标操作指南中上传的电子磋商响应文件格式，以U盘形式提供。数量为1份。</w:t>
      </w:r>
    </w:p>
    <w:p w14:paraId="7038B5DE">
      <w:pPr>
        <w:autoSpaceDE w:val="0"/>
        <w:autoSpaceDN w:val="0"/>
        <w:adjustRightInd w:val="0"/>
        <w:spacing w:line="420" w:lineRule="atLeast"/>
        <w:ind w:firstLine="440" w:firstLineChars="20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我方已完全明白竞争性磋商文件的所有条款要求，并重申以下几点：</w:t>
      </w:r>
    </w:p>
    <w:p w14:paraId="6294E5AC">
      <w:pPr>
        <w:numPr>
          <w:ilvl w:val="0"/>
          <w:numId w:val="25"/>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已详细阅读全部竞争性磋商文件，包括竞争性磋商文件补充文件（如果有，包括相关的补充、更正、澄清公告和文件）、参考资料及有关附件，确认无误。我方完全理解并接受竞争性磋商文件的各项规定和要求。</w:t>
      </w:r>
    </w:p>
    <w:p w14:paraId="091A1452">
      <w:pPr>
        <w:numPr>
          <w:ilvl w:val="0"/>
          <w:numId w:val="25"/>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同意提供按照贵方可能要求的与投标有关的一切数据或资料等。若贵方需要，我方愿意提供我方做出的一切承诺的证明材料。</w:t>
      </w:r>
    </w:p>
    <w:p w14:paraId="7DA7F131">
      <w:pPr>
        <w:numPr>
          <w:ilvl w:val="0"/>
          <w:numId w:val="25"/>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如中标，保证按照竞争性磋商文件要求及磋商响应文件的承诺与采购人签订合同，保证履行合同条款。</w:t>
      </w:r>
    </w:p>
    <w:p w14:paraId="5692CD57">
      <w:pPr>
        <w:numPr>
          <w:ilvl w:val="0"/>
          <w:numId w:val="25"/>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同意在竞争性磋商文件中供应商须知规定的开标日期起遵守本投标书中的承诺且在投标有效期满之前均具有约束力。</w:t>
      </w:r>
    </w:p>
    <w:p w14:paraId="177E6B57">
      <w:pPr>
        <w:numPr>
          <w:ilvl w:val="0"/>
          <w:numId w:val="25"/>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同意在开标后规定的投标有效期内不得撤回投标。</w:t>
      </w:r>
    </w:p>
    <w:p w14:paraId="4104633F">
      <w:pPr>
        <w:numPr>
          <w:ilvl w:val="0"/>
          <w:numId w:val="25"/>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完全理解贵方不一定要接受最低价的投标。</w:t>
      </w:r>
    </w:p>
    <w:p w14:paraId="407081BC">
      <w:pPr>
        <w:numPr>
          <w:ilvl w:val="0"/>
          <w:numId w:val="25"/>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在参加本项目前三年内（被通报或者处罚的违法行为有：</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）或（没有因违法经营受到刑事处罚或者责令停产停业、吊销许可证或者执照、较大数额罚款等行政处罚或处罚）或（在</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至</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期间禁止参加政府采购活动但是期限届满，须附相关证明文件）</w:t>
      </w:r>
    </w:p>
    <w:p w14:paraId="674AC65B">
      <w:pPr>
        <w:numPr>
          <w:ilvl w:val="0"/>
          <w:numId w:val="25"/>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在投标截止前（未被“信用中国”网站（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kern w:val="0"/>
          <w:sz w:val="22"/>
          <w:szCs w:val="22"/>
          <w:highlight w:val="none"/>
          <w:lang w:val="zh-CN"/>
        </w:rPr>
        <w:t>www.creditchina.gov.cn</w:t>
      </w:r>
      <w:r>
        <w:rPr>
          <w:rFonts w:hint="eastAsia" w:ascii="宋体" w:hAnsi="宋体" w:cs="宋体"/>
          <w:color w:val="auto"/>
          <w:kern w:val="0"/>
          <w:sz w:val="22"/>
          <w:szCs w:val="22"/>
          <w:highlight w:val="none"/>
          <w:lang w:val="zh-CN"/>
        </w:rPr>
        <w:fldChar w:fldCharType="end"/>
      </w:r>
      <w:r>
        <w:rPr>
          <w:rFonts w:hint="eastAsia" w:ascii="宋体" w:hAnsi="宋体" w:cs="宋体"/>
          <w:color w:val="auto"/>
          <w:kern w:val="0"/>
          <w:sz w:val="22"/>
          <w:szCs w:val="22"/>
          <w:highlight w:val="none"/>
          <w:lang w:val="zh-CN"/>
        </w:rPr>
        <w:t>)列入失信被执行人、重大税收违法案件当事人名单；未被“中国政府采购网”（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kern w:val="0"/>
          <w:sz w:val="22"/>
          <w:szCs w:val="22"/>
          <w:highlight w:val="none"/>
          <w:lang w:val="zh-CN"/>
        </w:rPr>
        <w:t>www.ccgp.gov.cn</w:t>
      </w:r>
      <w:r>
        <w:rPr>
          <w:rFonts w:hint="eastAsia" w:ascii="宋体" w:hAnsi="宋体" w:cs="宋体"/>
          <w:color w:val="auto"/>
          <w:kern w:val="0"/>
          <w:sz w:val="22"/>
          <w:szCs w:val="22"/>
          <w:highlight w:val="none"/>
          <w:lang w:val="zh-CN"/>
        </w:rPr>
        <w:fldChar w:fldCharType="end"/>
      </w:r>
      <w:r>
        <w:rPr>
          <w:rFonts w:hint="eastAsia" w:ascii="宋体" w:hAnsi="宋体" w:cs="宋体"/>
          <w:color w:val="auto"/>
          <w:kern w:val="0"/>
          <w:sz w:val="22"/>
          <w:szCs w:val="22"/>
          <w:highlight w:val="none"/>
          <w:lang w:val="zh-CN"/>
        </w:rPr>
        <w:t>)列入政府采购严重违法失信行为记录名单。）或（被“信用中国”或“中国政府采购网”列入……名单。）</w:t>
      </w:r>
    </w:p>
    <w:p w14:paraId="77593B1A">
      <w:pPr>
        <w:numPr>
          <w:ilvl w:val="0"/>
          <w:numId w:val="25"/>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单位、法定代表人、本项目授权代表及本项目负责人在参加本项目前三年内（以法院判决书生效日期为准）均无行贿犯罪记录。</w:t>
      </w:r>
    </w:p>
    <w:p w14:paraId="7D746C1C">
      <w:pPr>
        <w:numPr>
          <w:ilvl w:val="0"/>
          <w:numId w:val="25"/>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有下列情形之一的，我方愿意被取消中标资格（如中标），继续承担其他一切法律后果，并不再寻求任何旨在减轻或免除法律责任的解释：</w:t>
      </w:r>
    </w:p>
    <w:p w14:paraId="55A05E0C">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（1）提供虚假材料（承诺）谋取中标、成交的；</w:t>
      </w:r>
    </w:p>
    <w:p w14:paraId="50AE3C99">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（2）采取不正当手段诋毁、排挤其他供应商的；</w:t>
      </w:r>
    </w:p>
    <w:p w14:paraId="0D75F8CB">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（3）与采购人、其他供应商或者招标代理机构恶意串通的；</w:t>
      </w:r>
    </w:p>
    <w:p w14:paraId="3A44F803">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（4）向采购人、招标代理机构行贿或者提供其他不正当利益的；</w:t>
      </w:r>
    </w:p>
    <w:p w14:paraId="124AC417">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（5）在招标采购过程中与采购人进行协商谈判的；</w:t>
      </w:r>
    </w:p>
    <w:p w14:paraId="2DA0976B">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（6）拒绝有关部门监督检查或提供虚假情况的。</w:t>
      </w:r>
    </w:p>
    <w:p w14:paraId="508D6E00">
      <w:pPr>
        <w:numPr>
          <w:ilvl w:val="0"/>
          <w:numId w:val="25"/>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所有与本投标有关的函件请发往下列地址：</w:t>
      </w:r>
    </w:p>
    <w:p w14:paraId="11D439FB">
      <w:pPr>
        <w:spacing w:line="42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14:paraId="3E48D68E">
      <w:pPr>
        <w:spacing w:line="42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14:paraId="32A134E4">
      <w:pPr>
        <w:spacing w:line="420" w:lineRule="exact"/>
        <w:ind w:firstLine="435"/>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14:paraId="79FF5F15">
      <w:pPr>
        <w:spacing w:line="420" w:lineRule="exact"/>
        <w:ind w:firstLine="770" w:firstLineChars="350"/>
        <w:rPr>
          <w:rFonts w:hint="eastAsia" w:ascii="宋体" w:hAnsi="宋体" w:cs="宋体"/>
          <w:color w:val="auto"/>
          <w:sz w:val="22"/>
          <w:szCs w:val="22"/>
          <w:highlight w:val="non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24D3825C">
      <w:pPr>
        <w:spacing w:line="420" w:lineRule="exact"/>
        <w:ind w:firstLine="435"/>
        <w:rPr>
          <w:rFonts w:hint="eastAsia" w:ascii="宋体" w:hAnsi="宋体" w:cs="宋体"/>
          <w:color w:val="auto"/>
          <w:sz w:val="22"/>
          <w:szCs w:val="22"/>
          <w:highlight w:val="none"/>
        </w:rPr>
      </w:pPr>
    </w:p>
    <w:p w14:paraId="74D4B4F6">
      <w:pPr>
        <w:spacing w:line="420" w:lineRule="exact"/>
        <w:ind w:firstLine="4620"/>
        <w:rPr>
          <w:rFonts w:hint="eastAsia" w:ascii="宋体" w:hAnsi="宋体" w:cs="宋体"/>
          <w:color w:val="auto"/>
          <w:sz w:val="22"/>
          <w:szCs w:val="22"/>
          <w:highlight w:val="none"/>
        </w:rPr>
      </w:pPr>
      <w:r>
        <w:rPr>
          <w:rFonts w:hint="eastAsia" w:ascii="宋体" w:hAnsi="宋体" w:cs="宋体"/>
          <w:color w:val="auto"/>
          <w:sz w:val="22"/>
          <w:szCs w:val="22"/>
          <w:highlight w:val="none"/>
        </w:rPr>
        <w:t>供应商名称（盖章）</w:t>
      </w:r>
      <w:r>
        <w:rPr>
          <w:rFonts w:hint="eastAsia" w:ascii="宋体" w:hAnsi="宋体" w:cs="宋体"/>
          <w:color w:val="auto"/>
          <w:sz w:val="22"/>
          <w:szCs w:val="22"/>
          <w:highlight w:val="none"/>
          <w:u w:val="single"/>
        </w:rPr>
        <w:t xml:space="preserve">                  </w:t>
      </w:r>
    </w:p>
    <w:p w14:paraId="14D803D5">
      <w:pPr>
        <w:spacing w:line="420" w:lineRule="exact"/>
        <w:ind w:firstLine="4620"/>
        <w:rPr>
          <w:rFonts w:hint="eastAsia" w:ascii="宋体" w:hAnsi="宋体" w:cs="宋体"/>
          <w:color w:val="auto"/>
          <w:sz w:val="22"/>
          <w:szCs w:val="22"/>
          <w:highlight w:val="none"/>
        </w:rPr>
      </w:pPr>
      <w:r>
        <w:rPr>
          <w:rFonts w:hint="eastAsia" w:ascii="宋体" w:hAnsi="宋体" w:cs="宋体"/>
          <w:color w:val="auto"/>
          <w:sz w:val="22"/>
          <w:szCs w:val="22"/>
          <w:highlight w:val="none"/>
        </w:rPr>
        <w:t>供应商代表（签字）</w:t>
      </w:r>
      <w:r>
        <w:rPr>
          <w:rFonts w:hint="eastAsia" w:ascii="宋体" w:hAnsi="宋体" w:cs="宋体"/>
          <w:color w:val="auto"/>
          <w:sz w:val="22"/>
          <w:szCs w:val="22"/>
          <w:highlight w:val="none"/>
          <w:u w:val="single"/>
        </w:rPr>
        <w:t xml:space="preserve">                   </w:t>
      </w:r>
    </w:p>
    <w:p w14:paraId="28DB12EC">
      <w:pPr>
        <w:spacing w:line="460" w:lineRule="exact"/>
        <w:ind w:firstLine="462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日    期</w:t>
      </w:r>
      <w:r>
        <w:rPr>
          <w:rFonts w:hint="eastAsia" w:ascii="宋体" w:hAnsi="宋体" w:cs="宋体"/>
          <w:color w:val="auto"/>
          <w:sz w:val="22"/>
          <w:szCs w:val="22"/>
          <w:highlight w:val="none"/>
          <w:u w:val="single"/>
        </w:rPr>
        <w:t xml:space="preserve">           </w:t>
      </w:r>
    </w:p>
    <w:p w14:paraId="4E55A0A1">
      <w:pPr>
        <w:spacing w:line="460" w:lineRule="exact"/>
        <w:ind w:firstLine="4620"/>
        <w:rPr>
          <w:rFonts w:hint="eastAsia" w:ascii="宋体" w:hAnsi="宋体" w:cs="宋体"/>
          <w:color w:val="auto"/>
          <w:sz w:val="22"/>
          <w:szCs w:val="22"/>
          <w:highlight w:val="none"/>
          <w:u w:val="single"/>
        </w:rPr>
      </w:pPr>
    </w:p>
    <w:p w14:paraId="4A215C76">
      <w:pPr>
        <w:spacing w:line="460" w:lineRule="exact"/>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u w:val="single"/>
        </w:rPr>
        <w:t>▲不提供投标函的磋商响应文件将被视为未实质性响应竞争性磋商文件。</w:t>
      </w:r>
    </w:p>
    <w:p w14:paraId="2EE4C7B5">
      <w:pPr>
        <w:spacing w:line="460" w:lineRule="exact"/>
        <w:ind w:firstLine="435"/>
        <w:rPr>
          <w:rFonts w:hint="eastAsia" w:ascii="宋体" w:hAnsi="宋体" w:cs="宋体"/>
          <w:b/>
          <w:color w:val="auto"/>
          <w:sz w:val="22"/>
          <w:szCs w:val="22"/>
          <w:highlight w:val="none"/>
          <w:u w:val="single"/>
        </w:rPr>
      </w:pPr>
    </w:p>
    <w:p w14:paraId="6FA730B7">
      <w:pPr>
        <w:spacing w:line="460" w:lineRule="exact"/>
        <w:rPr>
          <w:rFonts w:hint="eastAsia" w:ascii="宋体" w:hAnsi="宋体" w:cs="宋体"/>
          <w:b/>
          <w:bCs/>
          <w:color w:val="auto"/>
          <w:sz w:val="22"/>
          <w:szCs w:val="22"/>
          <w:highlight w:val="none"/>
        </w:rPr>
      </w:pPr>
      <w:r>
        <w:rPr>
          <w:rFonts w:hint="eastAsia" w:ascii="宋体" w:hAnsi="宋体" w:cs="宋体"/>
          <w:b/>
          <w:color w:val="auto"/>
          <w:sz w:val="22"/>
          <w:szCs w:val="22"/>
          <w:highlight w:val="none"/>
          <w:u w:val="single"/>
        </w:rPr>
        <w:br w:type="page"/>
      </w:r>
      <w:r>
        <w:rPr>
          <w:rFonts w:hint="eastAsia" w:ascii="宋体" w:hAnsi="宋体" w:cs="宋体"/>
          <w:b/>
          <w:bCs/>
          <w:color w:val="auto"/>
          <w:sz w:val="22"/>
          <w:szCs w:val="22"/>
          <w:highlight w:val="none"/>
        </w:rPr>
        <w:t>附件二</w:t>
      </w:r>
    </w:p>
    <w:p w14:paraId="7A1CC642">
      <w:pPr>
        <w:spacing w:line="46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 xml:space="preserve"> (1）技术要求应答表</w:t>
      </w:r>
    </w:p>
    <w:p w14:paraId="217D226F">
      <w:pPr>
        <w:ind w:firstLine="435"/>
        <w:jc w:val="center"/>
        <w:rPr>
          <w:rFonts w:hint="eastAsia" w:ascii="宋体" w:hAnsi="宋体" w:cs="宋体"/>
          <w:b/>
          <w:color w:val="auto"/>
          <w:sz w:val="44"/>
          <w:highlight w:val="none"/>
        </w:rPr>
      </w:pPr>
    </w:p>
    <w:p w14:paraId="1A9C3687">
      <w:pPr>
        <w:overflowPunct w:val="0"/>
        <w:spacing w:line="380" w:lineRule="exact"/>
        <w:rPr>
          <w:rFonts w:hint="eastAsia" w:ascii="宋体" w:hAnsi="宋体" w:cs="宋体"/>
          <w:bCs/>
          <w:color w:val="auto"/>
          <w:sz w:val="22"/>
          <w:szCs w:val="22"/>
          <w:highlight w:val="none"/>
        </w:rPr>
      </w:pPr>
      <w:r>
        <w:rPr>
          <w:rFonts w:hint="eastAsia" w:ascii="宋体" w:hAnsi="宋体" w:cs="宋体"/>
          <w:b/>
          <w:color w:val="auto"/>
          <w:sz w:val="24"/>
          <w:highlight w:val="none"/>
        </w:rPr>
        <w:t xml:space="preserve">   </w:t>
      </w:r>
      <w:r>
        <w:rPr>
          <w:rFonts w:hint="eastAsia" w:ascii="宋体" w:hAnsi="宋体" w:cs="宋体"/>
          <w:bCs/>
          <w:color w:val="auto"/>
          <w:sz w:val="22"/>
          <w:szCs w:val="22"/>
          <w:highlight w:val="none"/>
        </w:rPr>
        <w:t>项目名称：                                      项目编号：</w:t>
      </w:r>
    </w:p>
    <w:p w14:paraId="172576B8">
      <w:pPr>
        <w:ind w:firstLine="361" w:firstLineChars="150"/>
        <w:rPr>
          <w:rFonts w:hint="eastAsia" w:ascii="宋体" w:hAnsi="宋体" w:cs="宋体"/>
          <w:b/>
          <w:color w:val="auto"/>
          <w:sz w:val="24"/>
          <w:highlight w:val="none"/>
        </w:rPr>
      </w:pPr>
    </w:p>
    <w:tbl>
      <w:tblPr>
        <w:tblStyle w:val="54"/>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2EFAD9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14:paraId="41C431F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2538" w:type="dxa"/>
            <w:vAlign w:val="center"/>
          </w:tcPr>
          <w:p w14:paraId="0640E2B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采购文件技术要求</w:t>
            </w:r>
          </w:p>
        </w:tc>
        <w:tc>
          <w:tcPr>
            <w:tcW w:w="2326" w:type="dxa"/>
            <w:vAlign w:val="center"/>
          </w:tcPr>
          <w:p w14:paraId="5F2C1FA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供应商技术响应</w:t>
            </w:r>
          </w:p>
        </w:tc>
        <w:tc>
          <w:tcPr>
            <w:tcW w:w="2115" w:type="dxa"/>
            <w:vAlign w:val="center"/>
          </w:tcPr>
          <w:p w14:paraId="1F14042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偏离</w:t>
            </w:r>
          </w:p>
        </w:tc>
        <w:tc>
          <w:tcPr>
            <w:tcW w:w="1902" w:type="dxa"/>
            <w:vAlign w:val="center"/>
          </w:tcPr>
          <w:p w14:paraId="1F8E44F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说  明</w:t>
            </w:r>
          </w:p>
        </w:tc>
      </w:tr>
      <w:tr w14:paraId="4C9AAC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14:paraId="679C7DAA">
            <w:pPr>
              <w:jc w:val="center"/>
              <w:rPr>
                <w:rFonts w:hint="eastAsia" w:ascii="宋体" w:hAnsi="宋体" w:cs="宋体"/>
                <w:color w:val="auto"/>
                <w:sz w:val="22"/>
                <w:szCs w:val="22"/>
                <w:highlight w:val="none"/>
              </w:rPr>
            </w:pPr>
          </w:p>
        </w:tc>
        <w:tc>
          <w:tcPr>
            <w:tcW w:w="2538" w:type="dxa"/>
            <w:vAlign w:val="center"/>
          </w:tcPr>
          <w:p w14:paraId="217888CF">
            <w:pPr>
              <w:jc w:val="center"/>
              <w:rPr>
                <w:rFonts w:hint="eastAsia" w:ascii="宋体" w:hAnsi="宋体" w:cs="宋体"/>
                <w:color w:val="auto"/>
                <w:sz w:val="22"/>
                <w:szCs w:val="22"/>
                <w:highlight w:val="none"/>
              </w:rPr>
            </w:pPr>
          </w:p>
        </w:tc>
        <w:tc>
          <w:tcPr>
            <w:tcW w:w="2326" w:type="dxa"/>
            <w:vAlign w:val="center"/>
          </w:tcPr>
          <w:p w14:paraId="16118BB9">
            <w:pPr>
              <w:jc w:val="center"/>
              <w:rPr>
                <w:rFonts w:hint="eastAsia" w:ascii="宋体" w:hAnsi="宋体" w:cs="宋体"/>
                <w:color w:val="auto"/>
                <w:sz w:val="22"/>
                <w:szCs w:val="22"/>
                <w:highlight w:val="none"/>
              </w:rPr>
            </w:pPr>
          </w:p>
        </w:tc>
        <w:tc>
          <w:tcPr>
            <w:tcW w:w="2115" w:type="dxa"/>
            <w:vAlign w:val="center"/>
          </w:tcPr>
          <w:p w14:paraId="7AB943BC">
            <w:pPr>
              <w:jc w:val="center"/>
              <w:rPr>
                <w:rFonts w:hint="eastAsia" w:ascii="宋体" w:hAnsi="宋体" w:cs="宋体"/>
                <w:color w:val="auto"/>
                <w:sz w:val="22"/>
                <w:szCs w:val="22"/>
                <w:highlight w:val="none"/>
              </w:rPr>
            </w:pPr>
          </w:p>
        </w:tc>
        <w:tc>
          <w:tcPr>
            <w:tcW w:w="1902" w:type="dxa"/>
            <w:vAlign w:val="center"/>
          </w:tcPr>
          <w:p w14:paraId="2831DDA3">
            <w:pPr>
              <w:jc w:val="center"/>
              <w:rPr>
                <w:rFonts w:hint="eastAsia" w:ascii="宋体" w:hAnsi="宋体" w:cs="宋体"/>
                <w:color w:val="auto"/>
                <w:sz w:val="22"/>
                <w:szCs w:val="22"/>
                <w:highlight w:val="none"/>
              </w:rPr>
            </w:pPr>
          </w:p>
        </w:tc>
      </w:tr>
      <w:tr w14:paraId="08371B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373C44E9">
            <w:pPr>
              <w:jc w:val="center"/>
              <w:rPr>
                <w:rFonts w:hint="eastAsia" w:ascii="宋体" w:hAnsi="宋体" w:cs="宋体"/>
                <w:color w:val="auto"/>
                <w:sz w:val="22"/>
                <w:szCs w:val="22"/>
                <w:highlight w:val="none"/>
              </w:rPr>
            </w:pPr>
          </w:p>
        </w:tc>
        <w:tc>
          <w:tcPr>
            <w:tcW w:w="2538" w:type="dxa"/>
            <w:vAlign w:val="center"/>
          </w:tcPr>
          <w:p w14:paraId="737CC5DF">
            <w:pPr>
              <w:jc w:val="center"/>
              <w:rPr>
                <w:rFonts w:hint="eastAsia" w:ascii="宋体" w:hAnsi="宋体" w:cs="宋体"/>
                <w:color w:val="auto"/>
                <w:sz w:val="22"/>
                <w:szCs w:val="22"/>
                <w:highlight w:val="none"/>
              </w:rPr>
            </w:pPr>
          </w:p>
        </w:tc>
        <w:tc>
          <w:tcPr>
            <w:tcW w:w="2326" w:type="dxa"/>
            <w:vAlign w:val="center"/>
          </w:tcPr>
          <w:p w14:paraId="0A71F354">
            <w:pPr>
              <w:jc w:val="center"/>
              <w:rPr>
                <w:rFonts w:hint="eastAsia" w:ascii="宋体" w:hAnsi="宋体" w:cs="宋体"/>
                <w:color w:val="auto"/>
                <w:sz w:val="22"/>
                <w:szCs w:val="22"/>
                <w:highlight w:val="none"/>
              </w:rPr>
            </w:pPr>
          </w:p>
        </w:tc>
        <w:tc>
          <w:tcPr>
            <w:tcW w:w="2115" w:type="dxa"/>
            <w:vAlign w:val="center"/>
          </w:tcPr>
          <w:p w14:paraId="5C060FF1">
            <w:pPr>
              <w:jc w:val="center"/>
              <w:rPr>
                <w:rFonts w:hint="eastAsia" w:ascii="宋体" w:hAnsi="宋体" w:cs="宋体"/>
                <w:color w:val="auto"/>
                <w:sz w:val="22"/>
                <w:szCs w:val="22"/>
                <w:highlight w:val="none"/>
              </w:rPr>
            </w:pPr>
          </w:p>
        </w:tc>
        <w:tc>
          <w:tcPr>
            <w:tcW w:w="1902" w:type="dxa"/>
            <w:vAlign w:val="center"/>
          </w:tcPr>
          <w:p w14:paraId="240DBEBE">
            <w:pPr>
              <w:jc w:val="center"/>
              <w:rPr>
                <w:rFonts w:hint="eastAsia" w:ascii="宋体" w:hAnsi="宋体" w:cs="宋体"/>
                <w:color w:val="auto"/>
                <w:sz w:val="22"/>
                <w:szCs w:val="22"/>
                <w:highlight w:val="none"/>
              </w:rPr>
            </w:pPr>
          </w:p>
        </w:tc>
      </w:tr>
      <w:tr w14:paraId="00238D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7A84BA70">
            <w:pPr>
              <w:jc w:val="center"/>
              <w:rPr>
                <w:rFonts w:hint="eastAsia" w:ascii="宋体" w:hAnsi="宋体" w:cs="宋体"/>
                <w:color w:val="auto"/>
                <w:sz w:val="22"/>
                <w:szCs w:val="22"/>
                <w:highlight w:val="none"/>
              </w:rPr>
            </w:pPr>
          </w:p>
        </w:tc>
        <w:tc>
          <w:tcPr>
            <w:tcW w:w="2538" w:type="dxa"/>
            <w:vAlign w:val="center"/>
          </w:tcPr>
          <w:p w14:paraId="1135B32B">
            <w:pPr>
              <w:jc w:val="center"/>
              <w:rPr>
                <w:rFonts w:hint="eastAsia" w:ascii="宋体" w:hAnsi="宋体" w:cs="宋体"/>
                <w:color w:val="auto"/>
                <w:sz w:val="22"/>
                <w:szCs w:val="22"/>
                <w:highlight w:val="none"/>
              </w:rPr>
            </w:pPr>
          </w:p>
        </w:tc>
        <w:tc>
          <w:tcPr>
            <w:tcW w:w="2326" w:type="dxa"/>
            <w:vAlign w:val="center"/>
          </w:tcPr>
          <w:p w14:paraId="6F55C2CF">
            <w:pPr>
              <w:jc w:val="center"/>
              <w:rPr>
                <w:rFonts w:hint="eastAsia" w:ascii="宋体" w:hAnsi="宋体" w:cs="宋体"/>
                <w:color w:val="auto"/>
                <w:sz w:val="22"/>
                <w:szCs w:val="22"/>
                <w:highlight w:val="none"/>
              </w:rPr>
            </w:pPr>
          </w:p>
        </w:tc>
        <w:tc>
          <w:tcPr>
            <w:tcW w:w="2115" w:type="dxa"/>
            <w:vAlign w:val="center"/>
          </w:tcPr>
          <w:p w14:paraId="4243641B">
            <w:pPr>
              <w:jc w:val="center"/>
              <w:rPr>
                <w:rFonts w:hint="eastAsia" w:ascii="宋体" w:hAnsi="宋体" w:cs="宋体"/>
                <w:color w:val="auto"/>
                <w:sz w:val="22"/>
                <w:szCs w:val="22"/>
                <w:highlight w:val="none"/>
              </w:rPr>
            </w:pPr>
          </w:p>
        </w:tc>
        <w:tc>
          <w:tcPr>
            <w:tcW w:w="1902" w:type="dxa"/>
            <w:vAlign w:val="center"/>
          </w:tcPr>
          <w:p w14:paraId="06B7D3A7">
            <w:pPr>
              <w:jc w:val="center"/>
              <w:rPr>
                <w:rFonts w:hint="eastAsia" w:ascii="宋体" w:hAnsi="宋体" w:cs="宋体"/>
                <w:color w:val="auto"/>
                <w:sz w:val="22"/>
                <w:szCs w:val="22"/>
                <w:highlight w:val="none"/>
              </w:rPr>
            </w:pPr>
          </w:p>
        </w:tc>
      </w:tr>
      <w:tr w14:paraId="5BC4ED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22CA0A25">
            <w:pPr>
              <w:jc w:val="center"/>
              <w:rPr>
                <w:rFonts w:hint="eastAsia" w:ascii="宋体" w:hAnsi="宋体" w:cs="宋体"/>
                <w:color w:val="auto"/>
                <w:sz w:val="22"/>
                <w:szCs w:val="22"/>
                <w:highlight w:val="none"/>
              </w:rPr>
            </w:pPr>
          </w:p>
        </w:tc>
        <w:tc>
          <w:tcPr>
            <w:tcW w:w="2538" w:type="dxa"/>
            <w:vAlign w:val="center"/>
          </w:tcPr>
          <w:p w14:paraId="09790DF6">
            <w:pPr>
              <w:jc w:val="center"/>
              <w:rPr>
                <w:rFonts w:hint="eastAsia" w:ascii="宋体" w:hAnsi="宋体" w:cs="宋体"/>
                <w:color w:val="auto"/>
                <w:sz w:val="22"/>
                <w:szCs w:val="22"/>
                <w:highlight w:val="none"/>
              </w:rPr>
            </w:pPr>
          </w:p>
        </w:tc>
        <w:tc>
          <w:tcPr>
            <w:tcW w:w="2326" w:type="dxa"/>
            <w:vAlign w:val="center"/>
          </w:tcPr>
          <w:p w14:paraId="71DE2234">
            <w:pPr>
              <w:jc w:val="center"/>
              <w:rPr>
                <w:rFonts w:hint="eastAsia" w:ascii="宋体" w:hAnsi="宋体" w:cs="宋体"/>
                <w:color w:val="auto"/>
                <w:sz w:val="22"/>
                <w:szCs w:val="22"/>
                <w:highlight w:val="none"/>
              </w:rPr>
            </w:pPr>
          </w:p>
        </w:tc>
        <w:tc>
          <w:tcPr>
            <w:tcW w:w="2115" w:type="dxa"/>
            <w:vAlign w:val="center"/>
          </w:tcPr>
          <w:p w14:paraId="5860906E">
            <w:pPr>
              <w:jc w:val="center"/>
              <w:rPr>
                <w:rFonts w:hint="eastAsia" w:ascii="宋体" w:hAnsi="宋体" w:cs="宋体"/>
                <w:color w:val="auto"/>
                <w:sz w:val="22"/>
                <w:szCs w:val="22"/>
                <w:highlight w:val="none"/>
              </w:rPr>
            </w:pPr>
          </w:p>
        </w:tc>
        <w:tc>
          <w:tcPr>
            <w:tcW w:w="1902" w:type="dxa"/>
            <w:vAlign w:val="center"/>
          </w:tcPr>
          <w:p w14:paraId="26EB2592">
            <w:pPr>
              <w:jc w:val="center"/>
              <w:rPr>
                <w:rFonts w:hint="eastAsia" w:ascii="宋体" w:hAnsi="宋体" w:cs="宋体"/>
                <w:color w:val="auto"/>
                <w:sz w:val="22"/>
                <w:szCs w:val="22"/>
                <w:highlight w:val="none"/>
              </w:rPr>
            </w:pPr>
          </w:p>
        </w:tc>
      </w:tr>
      <w:tr w14:paraId="4EE512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2FFE0A65">
            <w:pPr>
              <w:jc w:val="center"/>
              <w:rPr>
                <w:rFonts w:hint="eastAsia" w:ascii="宋体" w:hAnsi="宋体" w:cs="宋体"/>
                <w:color w:val="auto"/>
                <w:sz w:val="22"/>
                <w:szCs w:val="22"/>
                <w:highlight w:val="none"/>
              </w:rPr>
            </w:pPr>
          </w:p>
        </w:tc>
        <w:tc>
          <w:tcPr>
            <w:tcW w:w="2538" w:type="dxa"/>
            <w:vAlign w:val="center"/>
          </w:tcPr>
          <w:p w14:paraId="5EB5FCD2">
            <w:pPr>
              <w:jc w:val="center"/>
              <w:rPr>
                <w:rFonts w:hint="eastAsia" w:ascii="宋体" w:hAnsi="宋体" w:cs="宋体"/>
                <w:color w:val="auto"/>
                <w:sz w:val="22"/>
                <w:szCs w:val="22"/>
                <w:highlight w:val="none"/>
              </w:rPr>
            </w:pPr>
          </w:p>
        </w:tc>
        <w:tc>
          <w:tcPr>
            <w:tcW w:w="2326" w:type="dxa"/>
            <w:vAlign w:val="center"/>
          </w:tcPr>
          <w:p w14:paraId="3A55F23E">
            <w:pPr>
              <w:jc w:val="center"/>
              <w:rPr>
                <w:rFonts w:hint="eastAsia" w:ascii="宋体" w:hAnsi="宋体" w:cs="宋体"/>
                <w:color w:val="auto"/>
                <w:sz w:val="22"/>
                <w:szCs w:val="22"/>
                <w:highlight w:val="none"/>
              </w:rPr>
            </w:pPr>
          </w:p>
        </w:tc>
        <w:tc>
          <w:tcPr>
            <w:tcW w:w="2115" w:type="dxa"/>
            <w:vAlign w:val="center"/>
          </w:tcPr>
          <w:p w14:paraId="458F0176">
            <w:pPr>
              <w:jc w:val="center"/>
              <w:rPr>
                <w:rFonts w:hint="eastAsia" w:ascii="宋体" w:hAnsi="宋体" w:cs="宋体"/>
                <w:color w:val="auto"/>
                <w:sz w:val="22"/>
                <w:szCs w:val="22"/>
                <w:highlight w:val="none"/>
              </w:rPr>
            </w:pPr>
          </w:p>
        </w:tc>
        <w:tc>
          <w:tcPr>
            <w:tcW w:w="1902" w:type="dxa"/>
            <w:vAlign w:val="center"/>
          </w:tcPr>
          <w:p w14:paraId="7B708FF0">
            <w:pPr>
              <w:jc w:val="center"/>
              <w:rPr>
                <w:rFonts w:hint="eastAsia" w:ascii="宋体" w:hAnsi="宋体" w:cs="宋体"/>
                <w:color w:val="auto"/>
                <w:sz w:val="22"/>
                <w:szCs w:val="22"/>
                <w:highlight w:val="none"/>
              </w:rPr>
            </w:pPr>
          </w:p>
        </w:tc>
      </w:tr>
    </w:tbl>
    <w:p w14:paraId="59FFA550">
      <w:pPr>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w:t>
      </w:r>
    </w:p>
    <w:p w14:paraId="04413B61">
      <w:pPr>
        <w:spacing w:line="40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不填写此表视作完全响应采购文件要求。</w:t>
      </w:r>
    </w:p>
    <w:p w14:paraId="7B3C1026">
      <w:pPr>
        <w:spacing w:line="400" w:lineRule="exact"/>
        <w:rPr>
          <w:rFonts w:hint="eastAsia" w:ascii="宋体" w:hAnsi="宋体" w:cs="宋体"/>
          <w:color w:val="auto"/>
          <w:sz w:val="22"/>
          <w:szCs w:val="22"/>
          <w:highlight w:val="none"/>
        </w:rPr>
      </w:pPr>
    </w:p>
    <w:p w14:paraId="776D3E83">
      <w:pPr>
        <w:spacing w:line="400" w:lineRule="exact"/>
        <w:rPr>
          <w:rFonts w:hint="eastAsia" w:ascii="宋体" w:hAnsi="宋体" w:cs="宋体"/>
          <w:color w:val="auto"/>
          <w:sz w:val="22"/>
          <w:szCs w:val="22"/>
          <w:highlight w:val="none"/>
        </w:rPr>
      </w:pPr>
    </w:p>
    <w:p w14:paraId="18E8DCDD">
      <w:pPr>
        <w:spacing w:line="400" w:lineRule="exact"/>
        <w:rPr>
          <w:rFonts w:hint="eastAsia" w:ascii="宋体" w:hAnsi="宋体" w:cs="宋体"/>
          <w:color w:val="auto"/>
          <w:sz w:val="22"/>
          <w:szCs w:val="22"/>
          <w:highlight w:val="none"/>
        </w:rPr>
      </w:pPr>
    </w:p>
    <w:p w14:paraId="1ABC1FD0">
      <w:pPr>
        <w:spacing w:line="400" w:lineRule="exact"/>
        <w:rPr>
          <w:rFonts w:hint="eastAsia" w:ascii="宋体" w:hAnsi="宋体" w:cs="宋体"/>
          <w:color w:val="auto"/>
          <w:sz w:val="22"/>
          <w:szCs w:val="22"/>
          <w:highlight w:val="none"/>
        </w:rPr>
      </w:pPr>
    </w:p>
    <w:p w14:paraId="3B2EAAF5">
      <w:pPr>
        <w:spacing w:line="400" w:lineRule="exact"/>
        <w:ind w:firstLine="770" w:firstLineChars="350"/>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02C0469A">
      <w:pPr>
        <w:spacing w:line="400" w:lineRule="exact"/>
        <w:ind w:firstLine="770" w:firstLineChars="350"/>
        <w:rPr>
          <w:rFonts w:hint="eastAsia" w:ascii="宋体" w:hAnsi="宋体" w:cs="宋体"/>
          <w:color w:val="auto"/>
          <w:sz w:val="22"/>
          <w:szCs w:val="22"/>
          <w:highlight w:val="none"/>
        </w:rPr>
      </w:pPr>
      <w:r>
        <w:rPr>
          <w:rFonts w:hint="eastAsia" w:ascii="宋体" w:hAnsi="宋体" w:cs="宋体"/>
          <w:color w:val="auto"/>
          <w:sz w:val="22"/>
          <w:szCs w:val="22"/>
          <w:highlight w:val="none"/>
        </w:rPr>
        <w:t>供应商代表（签名或盖章）：</w:t>
      </w:r>
    </w:p>
    <w:p w14:paraId="03D35C2A">
      <w:pPr>
        <w:spacing w:line="400" w:lineRule="exact"/>
        <w:ind w:firstLine="770" w:firstLineChars="350"/>
        <w:rPr>
          <w:rFonts w:hint="eastAsia"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1725B706">
      <w:pPr>
        <w:spacing w:line="400" w:lineRule="exact"/>
        <w:rPr>
          <w:rFonts w:hint="eastAsia" w:ascii="宋体" w:hAnsi="宋体" w:cs="宋体"/>
          <w:color w:val="auto"/>
          <w:sz w:val="22"/>
          <w:szCs w:val="22"/>
          <w:highlight w:val="none"/>
        </w:rPr>
      </w:pPr>
    </w:p>
    <w:p w14:paraId="5750DE7C">
      <w:pPr>
        <w:spacing w:line="500" w:lineRule="exact"/>
        <w:jc w:val="center"/>
        <w:rPr>
          <w:rFonts w:hint="eastAsia" w:ascii="宋体" w:hAnsi="宋体" w:cs="宋体"/>
          <w:b/>
          <w:bCs/>
          <w:color w:val="auto"/>
          <w:sz w:val="28"/>
          <w:szCs w:val="28"/>
          <w:highlight w:val="none"/>
        </w:rPr>
      </w:pPr>
      <w:r>
        <w:rPr>
          <w:rFonts w:hint="eastAsia" w:ascii="宋体" w:hAnsi="宋体" w:cs="宋体"/>
          <w:color w:val="auto"/>
          <w:sz w:val="24"/>
          <w:highlight w:val="none"/>
        </w:rPr>
        <w:br w:type="page"/>
      </w:r>
      <w:r>
        <w:rPr>
          <w:rFonts w:hint="eastAsia" w:ascii="宋体" w:hAnsi="宋体" w:cs="宋体"/>
          <w:b/>
          <w:bCs/>
          <w:color w:val="auto"/>
          <w:sz w:val="28"/>
          <w:szCs w:val="28"/>
          <w:highlight w:val="none"/>
        </w:rPr>
        <w:t>(2）商务条款偏离表</w:t>
      </w:r>
    </w:p>
    <w:p w14:paraId="223C3AB6">
      <w:pPr>
        <w:ind w:firstLine="435"/>
        <w:jc w:val="center"/>
        <w:rPr>
          <w:rFonts w:hint="eastAsia" w:ascii="宋体" w:hAnsi="宋体" w:cs="宋体"/>
          <w:b/>
          <w:color w:val="auto"/>
          <w:sz w:val="44"/>
          <w:highlight w:val="none"/>
        </w:rPr>
      </w:pPr>
    </w:p>
    <w:p w14:paraId="09FF558B">
      <w:pPr>
        <w:overflowPunct w:val="0"/>
        <w:spacing w:line="380" w:lineRule="exact"/>
        <w:rPr>
          <w:rFonts w:hint="eastAsia" w:ascii="宋体" w:hAnsi="宋体" w:cs="宋体"/>
          <w:bCs/>
          <w:color w:val="auto"/>
          <w:sz w:val="22"/>
          <w:szCs w:val="22"/>
          <w:highlight w:val="none"/>
        </w:rPr>
      </w:pPr>
      <w:r>
        <w:rPr>
          <w:rFonts w:hint="eastAsia" w:ascii="宋体" w:hAnsi="宋体" w:cs="宋体"/>
          <w:b/>
          <w:color w:val="auto"/>
          <w:sz w:val="22"/>
          <w:szCs w:val="22"/>
          <w:highlight w:val="none"/>
        </w:rPr>
        <w:t xml:space="preserve">  </w:t>
      </w:r>
      <w:r>
        <w:rPr>
          <w:rFonts w:hint="eastAsia" w:ascii="宋体" w:hAnsi="宋体" w:cs="宋体"/>
          <w:bCs/>
          <w:color w:val="auto"/>
          <w:sz w:val="22"/>
          <w:szCs w:val="22"/>
          <w:highlight w:val="none"/>
        </w:rPr>
        <w:t>项目名称：                                      项目编号：</w:t>
      </w:r>
    </w:p>
    <w:p w14:paraId="5C42824F">
      <w:pPr>
        <w:ind w:firstLine="221" w:firstLineChars="100"/>
        <w:rPr>
          <w:rFonts w:hint="eastAsia" w:ascii="宋体" w:hAnsi="宋体" w:cs="宋体"/>
          <w:b/>
          <w:color w:val="auto"/>
          <w:sz w:val="22"/>
          <w:szCs w:val="22"/>
          <w:highlight w:val="none"/>
        </w:rPr>
      </w:pPr>
    </w:p>
    <w:tbl>
      <w:tblPr>
        <w:tblStyle w:val="54"/>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2F4653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14:paraId="69DEE38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1559" w:type="dxa"/>
            <w:vAlign w:val="center"/>
          </w:tcPr>
          <w:p w14:paraId="1D19A60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条款内容</w:t>
            </w:r>
          </w:p>
        </w:tc>
        <w:tc>
          <w:tcPr>
            <w:tcW w:w="2184" w:type="dxa"/>
            <w:vAlign w:val="center"/>
          </w:tcPr>
          <w:p w14:paraId="22CDD84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采购文件商务条款描述</w:t>
            </w:r>
          </w:p>
        </w:tc>
        <w:tc>
          <w:tcPr>
            <w:tcW w:w="2402" w:type="dxa"/>
            <w:vAlign w:val="center"/>
          </w:tcPr>
          <w:p w14:paraId="04D01AD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磋商响应文件商务条款</w:t>
            </w:r>
          </w:p>
        </w:tc>
        <w:tc>
          <w:tcPr>
            <w:tcW w:w="1200" w:type="dxa"/>
            <w:vAlign w:val="center"/>
          </w:tcPr>
          <w:p w14:paraId="738653F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偏离</w:t>
            </w:r>
          </w:p>
        </w:tc>
        <w:tc>
          <w:tcPr>
            <w:tcW w:w="1588" w:type="dxa"/>
            <w:vAlign w:val="center"/>
          </w:tcPr>
          <w:p w14:paraId="3129559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说   明</w:t>
            </w:r>
          </w:p>
        </w:tc>
      </w:tr>
      <w:tr w14:paraId="12E1BB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56DE017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559" w:type="dxa"/>
            <w:vAlign w:val="center"/>
          </w:tcPr>
          <w:p w14:paraId="62CC05F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付款方式</w:t>
            </w:r>
          </w:p>
        </w:tc>
        <w:tc>
          <w:tcPr>
            <w:tcW w:w="2184" w:type="dxa"/>
            <w:vAlign w:val="center"/>
          </w:tcPr>
          <w:p w14:paraId="033FAD17">
            <w:pPr>
              <w:jc w:val="center"/>
              <w:rPr>
                <w:rFonts w:hint="eastAsia" w:ascii="宋体" w:hAnsi="宋体" w:cs="宋体"/>
                <w:color w:val="auto"/>
                <w:sz w:val="22"/>
                <w:szCs w:val="22"/>
                <w:highlight w:val="none"/>
              </w:rPr>
            </w:pPr>
          </w:p>
        </w:tc>
        <w:tc>
          <w:tcPr>
            <w:tcW w:w="2402" w:type="dxa"/>
            <w:vAlign w:val="center"/>
          </w:tcPr>
          <w:p w14:paraId="68724846">
            <w:pPr>
              <w:jc w:val="center"/>
              <w:rPr>
                <w:rFonts w:hint="eastAsia" w:ascii="宋体" w:hAnsi="宋体" w:cs="宋体"/>
                <w:color w:val="auto"/>
                <w:sz w:val="22"/>
                <w:szCs w:val="22"/>
                <w:highlight w:val="none"/>
              </w:rPr>
            </w:pPr>
          </w:p>
        </w:tc>
        <w:tc>
          <w:tcPr>
            <w:tcW w:w="1200" w:type="dxa"/>
            <w:vAlign w:val="center"/>
          </w:tcPr>
          <w:p w14:paraId="795E5679">
            <w:pPr>
              <w:jc w:val="center"/>
              <w:rPr>
                <w:rFonts w:hint="eastAsia" w:ascii="宋体" w:hAnsi="宋体" w:cs="宋体"/>
                <w:color w:val="auto"/>
                <w:sz w:val="22"/>
                <w:szCs w:val="22"/>
                <w:highlight w:val="none"/>
              </w:rPr>
            </w:pPr>
          </w:p>
        </w:tc>
        <w:tc>
          <w:tcPr>
            <w:tcW w:w="1588" w:type="dxa"/>
            <w:vAlign w:val="center"/>
          </w:tcPr>
          <w:p w14:paraId="7E6A0F21">
            <w:pPr>
              <w:jc w:val="center"/>
              <w:rPr>
                <w:rFonts w:hint="eastAsia" w:ascii="宋体" w:hAnsi="宋体" w:cs="宋体"/>
                <w:color w:val="auto"/>
                <w:sz w:val="22"/>
                <w:szCs w:val="22"/>
                <w:highlight w:val="none"/>
              </w:rPr>
            </w:pPr>
          </w:p>
        </w:tc>
      </w:tr>
      <w:tr w14:paraId="3AA769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183828A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559" w:type="dxa"/>
            <w:vAlign w:val="center"/>
          </w:tcPr>
          <w:p w14:paraId="4494301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服务时间</w:t>
            </w:r>
          </w:p>
        </w:tc>
        <w:tc>
          <w:tcPr>
            <w:tcW w:w="2184" w:type="dxa"/>
            <w:vAlign w:val="center"/>
          </w:tcPr>
          <w:p w14:paraId="2A4AD8F3">
            <w:pPr>
              <w:jc w:val="center"/>
              <w:rPr>
                <w:rFonts w:hint="eastAsia" w:ascii="宋体" w:hAnsi="宋体" w:cs="宋体"/>
                <w:color w:val="auto"/>
                <w:sz w:val="22"/>
                <w:szCs w:val="22"/>
                <w:highlight w:val="none"/>
              </w:rPr>
            </w:pPr>
          </w:p>
        </w:tc>
        <w:tc>
          <w:tcPr>
            <w:tcW w:w="2402" w:type="dxa"/>
            <w:vAlign w:val="center"/>
          </w:tcPr>
          <w:p w14:paraId="574FEB02">
            <w:pPr>
              <w:jc w:val="center"/>
              <w:rPr>
                <w:rFonts w:hint="eastAsia" w:ascii="宋体" w:hAnsi="宋体" w:cs="宋体"/>
                <w:color w:val="auto"/>
                <w:sz w:val="22"/>
                <w:szCs w:val="22"/>
                <w:highlight w:val="none"/>
              </w:rPr>
            </w:pPr>
          </w:p>
        </w:tc>
        <w:tc>
          <w:tcPr>
            <w:tcW w:w="1200" w:type="dxa"/>
            <w:vAlign w:val="center"/>
          </w:tcPr>
          <w:p w14:paraId="39CBEFB4">
            <w:pPr>
              <w:jc w:val="center"/>
              <w:rPr>
                <w:rFonts w:hint="eastAsia" w:ascii="宋体" w:hAnsi="宋体" w:cs="宋体"/>
                <w:color w:val="auto"/>
                <w:sz w:val="22"/>
                <w:szCs w:val="22"/>
                <w:highlight w:val="none"/>
              </w:rPr>
            </w:pPr>
          </w:p>
        </w:tc>
        <w:tc>
          <w:tcPr>
            <w:tcW w:w="1588" w:type="dxa"/>
            <w:vAlign w:val="center"/>
          </w:tcPr>
          <w:p w14:paraId="5928D80F">
            <w:pPr>
              <w:jc w:val="center"/>
              <w:rPr>
                <w:rFonts w:hint="eastAsia" w:ascii="宋体" w:hAnsi="宋体" w:cs="宋体"/>
                <w:color w:val="auto"/>
                <w:sz w:val="22"/>
                <w:szCs w:val="22"/>
                <w:highlight w:val="none"/>
              </w:rPr>
            </w:pPr>
          </w:p>
        </w:tc>
      </w:tr>
      <w:tr w14:paraId="67D534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2A4D286F">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559" w:type="dxa"/>
            <w:vAlign w:val="center"/>
          </w:tcPr>
          <w:p w14:paraId="1AD76462">
            <w:pPr>
              <w:jc w:val="center"/>
              <w:rPr>
                <w:rFonts w:hint="eastAsia" w:ascii="宋体" w:hAnsi="宋体" w:cs="宋体"/>
                <w:color w:val="auto"/>
                <w:sz w:val="22"/>
                <w:szCs w:val="22"/>
                <w:highlight w:val="none"/>
              </w:rPr>
            </w:pPr>
          </w:p>
        </w:tc>
        <w:tc>
          <w:tcPr>
            <w:tcW w:w="2184" w:type="dxa"/>
            <w:vAlign w:val="center"/>
          </w:tcPr>
          <w:p w14:paraId="1A660A32">
            <w:pPr>
              <w:jc w:val="center"/>
              <w:rPr>
                <w:rFonts w:hint="eastAsia" w:ascii="宋体" w:hAnsi="宋体" w:cs="宋体"/>
                <w:color w:val="auto"/>
                <w:sz w:val="22"/>
                <w:szCs w:val="22"/>
                <w:highlight w:val="none"/>
              </w:rPr>
            </w:pPr>
          </w:p>
        </w:tc>
        <w:tc>
          <w:tcPr>
            <w:tcW w:w="2402" w:type="dxa"/>
            <w:vAlign w:val="center"/>
          </w:tcPr>
          <w:p w14:paraId="3E9C2D0F">
            <w:pPr>
              <w:jc w:val="center"/>
              <w:rPr>
                <w:rFonts w:hint="eastAsia" w:ascii="宋体" w:hAnsi="宋体" w:cs="宋体"/>
                <w:color w:val="auto"/>
                <w:sz w:val="22"/>
                <w:szCs w:val="22"/>
                <w:highlight w:val="none"/>
              </w:rPr>
            </w:pPr>
          </w:p>
        </w:tc>
        <w:tc>
          <w:tcPr>
            <w:tcW w:w="1200" w:type="dxa"/>
            <w:vAlign w:val="center"/>
          </w:tcPr>
          <w:p w14:paraId="521654DF">
            <w:pPr>
              <w:jc w:val="center"/>
              <w:rPr>
                <w:rFonts w:hint="eastAsia" w:ascii="宋体" w:hAnsi="宋体" w:cs="宋体"/>
                <w:color w:val="auto"/>
                <w:sz w:val="22"/>
                <w:szCs w:val="22"/>
                <w:highlight w:val="none"/>
              </w:rPr>
            </w:pPr>
          </w:p>
        </w:tc>
        <w:tc>
          <w:tcPr>
            <w:tcW w:w="1588" w:type="dxa"/>
            <w:vAlign w:val="center"/>
          </w:tcPr>
          <w:p w14:paraId="6C094BF2">
            <w:pPr>
              <w:jc w:val="center"/>
              <w:rPr>
                <w:rFonts w:hint="eastAsia" w:ascii="宋体" w:hAnsi="宋体" w:cs="宋体"/>
                <w:color w:val="auto"/>
                <w:sz w:val="22"/>
                <w:szCs w:val="22"/>
                <w:highlight w:val="none"/>
              </w:rPr>
            </w:pPr>
          </w:p>
        </w:tc>
      </w:tr>
      <w:tr w14:paraId="4AF3D9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13F7DFE3">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1559" w:type="dxa"/>
            <w:vAlign w:val="center"/>
          </w:tcPr>
          <w:p w14:paraId="733057AE">
            <w:pPr>
              <w:jc w:val="center"/>
              <w:rPr>
                <w:rFonts w:hint="eastAsia" w:ascii="宋体" w:hAnsi="宋体" w:cs="宋体"/>
                <w:color w:val="auto"/>
                <w:sz w:val="22"/>
                <w:szCs w:val="22"/>
                <w:highlight w:val="none"/>
              </w:rPr>
            </w:pPr>
          </w:p>
        </w:tc>
        <w:tc>
          <w:tcPr>
            <w:tcW w:w="2184" w:type="dxa"/>
            <w:vAlign w:val="center"/>
          </w:tcPr>
          <w:p w14:paraId="7F689578">
            <w:pPr>
              <w:jc w:val="center"/>
              <w:rPr>
                <w:rFonts w:hint="eastAsia" w:ascii="宋体" w:hAnsi="宋体" w:cs="宋体"/>
                <w:color w:val="auto"/>
                <w:sz w:val="22"/>
                <w:szCs w:val="22"/>
                <w:highlight w:val="none"/>
              </w:rPr>
            </w:pPr>
          </w:p>
        </w:tc>
        <w:tc>
          <w:tcPr>
            <w:tcW w:w="2402" w:type="dxa"/>
            <w:vAlign w:val="center"/>
          </w:tcPr>
          <w:p w14:paraId="2C034DFB">
            <w:pPr>
              <w:jc w:val="center"/>
              <w:rPr>
                <w:rFonts w:hint="eastAsia" w:ascii="宋体" w:hAnsi="宋体" w:cs="宋体"/>
                <w:color w:val="auto"/>
                <w:sz w:val="22"/>
                <w:szCs w:val="22"/>
                <w:highlight w:val="none"/>
              </w:rPr>
            </w:pPr>
          </w:p>
        </w:tc>
        <w:tc>
          <w:tcPr>
            <w:tcW w:w="1200" w:type="dxa"/>
            <w:vAlign w:val="center"/>
          </w:tcPr>
          <w:p w14:paraId="27C8D1BE">
            <w:pPr>
              <w:jc w:val="center"/>
              <w:rPr>
                <w:rFonts w:hint="eastAsia" w:ascii="宋体" w:hAnsi="宋体" w:cs="宋体"/>
                <w:color w:val="auto"/>
                <w:sz w:val="22"/>
                <w:szCs w:val="22"/>
                <w:highlight w:val="none"/>
              </w:rPr>
            </w:pPr>
          </w:p>
        </w:tc>
        <w:tc>
          <w:tcPr>
            <w:tcW w:w="1588" w:type="dxa"/>
            <w:vAlign w:val="center"/>
          </w:tcPr>
          <w:p w14:paraId="740EB1D2">
            <w:pPr>
              <w:jc w:val="center"/>
              <w:rPr>
                <w:rFonts w:hint="eastAsia" w:ascii="宋体" w:hAnsi="宋体" w:cs="宋体"/>
                <w:color w:val="auto"/>
                <w:sz w:val="22"/>
                <w:szCs w:val="22"/>
                <w:highlight w:val="none"/>
              </w:rPr>
            </w:pPr>
          </w:p>
        </w:tc>
      </w:tr>
      <w:tr w14:paraId="1CA10A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09E811C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559" w:type="dxa"/>
            <w:vAlign w:val="center"/>
          </w:tcPr>
          <w:p w14:paraId="2E314AD2">
            <w:pPr>
              <w:jc w:val="center"/>
              <w:rPr>
                <w:rFonts w:hint="eastAsia" w:ascii="宋体" w:hAnsi="宋体" w:cs="宋体"/>
                <w:color w:val="auto"/>
                <w:sz w:val="22"/>
                <w:szCs w:val="22"/>
                <w:highlight w:val="none"/>
              </w:rPr>
            </w:pPr>
          </w:p>
        </w:tc>
        <w:tc>
          <w:tcPr>
            <w:tcW w:w="2184" w:type="dxa"/>
            <w:vAlign w:val="center"/>
          </w:tcPr>
          <w:p w14:paraId="7BB2FDCA">
            <w:pPr>
              <w:jc w:val="center"/>
              <w:rPr>
                <w:rFonts w:hint="eastAsia" w:ascii="宋体" w:hAnsi="宋体" w:cs="宋体"/>
                <w:color w:val="auto"/>
                <w:sz w:val="22"/>
                <w:szCs w:val="22"/>
                <w:highlight w:val="none"/>
              </w:rPr>
            </w:pPr>
          </w:p>
        </w:tc>
        <w:tc>
          <w:tcPr>
            <w:tcW w:w="2402" w:type="dxa"/>
            <w:vAlign w:val="center"/>
          </w:tcPr>
          <w:p w14:paraId="0DF047CD">
            <w:pPr>
              <w:jc w:val="center"/>
              <w:rPr>
                <w:rFonts w:hint="eastAsia" w:ascii="宋体" w:hAnsi="宋体" w:cs="宋体"/>
                <w:color w:val="auto"/>
                <w:sz w:val="22"/>
                <w:szCs w:val="22"/>
                <w:highlight w:val="none"/>
              </w:rPr>
            </w:pPr>
          </w:p>
        </w:tc>
        <w:tc>
          <w:tcPr>
            <w:tcW w:w="1200" w:type="dxa"/>
            <w:vAlign w:val="center"/>
          </w:tcPr>
          <w:p w14:paraId="2BA11FF8">
            <w:pPr>
              <w:jc w:val="center"/>
              <w:rPr>
                <w:rFonts w:hint="eastAsia" w:ascii="宋体" w:hAnsi="宋体" w:cs="宋体"/>
                <w:color w:val="auto"/>
                <w:sz w:val="22"/>
                <w:szCs w:val="22"/>
                <w:highlight w:val="none"/>
              </w:rPr>
            </w:pPr>
          </w:p>
        </w:tc>
        <w:tc>
          <w:tcPr>
            <w:tcW w:w="1588" w:type="dxa"/>
            <w:vAlign w:val="center"/>
          </w:tcPr>
          <w:p w14:paraId="5630021B">
            <w:pPr>
              <w:jc w:val="center"/>
              <w:rPr>
                <w:rFonts w:hint="eastAsia" w:ascii="宋体" w:hAnsi="宋体" w:cs="宋体"/>
                <w:color w:val="auto"/>
                <w:sz w:val="22"/>
                <w:szCs w:val="22"/>
                <w:highlight w:val="none"/>
              </w:rPr>
            </w:pPr>
          </w:p>
        </w:tc>
      </w:tr>
      <w:tr w14:paraId="6B97C5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7B06713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1559" w:type="dxa"/>
            <w:vAlign w:val="center"/>
          </w:tcPr>
          <w:p w14:paraId="6B0C914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2184" w:type="dxa"/>
            <w:vAlign w:val="center"/>
          </w:tcPr>
          <w:p w14:paraId="268A5E9A">
            <w:pPr>
              <w:jc w:val="center"/>
              <w:rPr>
                <w:rFonts w:hint="eastAsia" w:ascii="宋体" w:hAnsi="宋体" w:cs="宋体"/>
                <w:color w:val="auto"/>
                <w:sz w:val="22"/>
                <w:szCs w:val="22"/>
                <w:highlight w:val="none"/>
              </w:rPr>
            </w:pPr>
          </w:p>
        </w:tc>
        <w:tc>
          <w:tcPr>
            <w:tcW w:w="2402" w:type="dxa"/>
            <w:vAlign w:val="center"/>
          </w:tcPr>
          <w:p w14:paraId="5B127B72">
            <w:pPr>
              <w:jc w:val="center"/>
              <w:rPr>
                <w:rFonts w:hint="eastAsia" w:ascii="宋体" w:hAnsi="宋体" w:cs="宋体"/>
                <w:color w:val="auto"/>
                <w:sz w:val="22"/>
                <w:szCs w:val="22"/>
                <w:highlight w:val="none"/>
              </w:rPr>
            </w:pPr>
          </w:p>
        </w:tc>
        <w:tc>
          <w:tcPr>
            <w:tcW w:w="1200" w:type="dxa"/>
            <w:vAlign w:val="center"/>
          </w:tcPr>
          <w:p w14:paraId="312B0CA9">
            <w:pPr>
              <w:jc w:val="center"/>
              <w:rPr>
                <w:rFonts w:hint="eastAsia" w:ascii="宋体" w:hAnsi="宋体" w:cs="宋体"/>
                <w:color w:val="auto"/>
                <w:sz w:val="22"/>
                <w:szCs w:val="22"/>
                <w:highlight w:val="none"/>
              </w:rPr>
            </w:pPr>
          </w:p>
        </w:tc>
        <w:tc>
          <w:tcPr>
            <w:tcW w:w="1588" w:type="dxa"/>
            <w:vAlign w:val="center"/>
          </w:tcPr>
          <w:p w14:paraId="51A0C68D">
            <w:pPr>
              <w:jc w:val="center"/>
              <w:rPr>
                <w:rFonts w:hint="eastAsia" w:ascii="宋体" w:hAnsi="宋体" w:cs="宋体"/>
                <w:color w:val="auto"/>
                <w:sz w:val="22"/>
                <w:szCs w:val="22"/>
                <w:highlight w:val="none"/>
              </w:rPr>
            </w:pPr>
          </w:p>
        </w:tc>
      </w:tr>
    </w:tbl>
    <w:p w14:paraId="1BEEF761">
      <w:pPr>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w:t>
      </w:r>
    </w:p>
    <w:p w14:paraId="5B17A936">
      <w:pPr>
        <w:spacing w:line="50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不填写此表视作完全响应采购文件要求。</w:t>
      </w:r>
    </w:p>
    <w:p w14:paraId="68DB58F2">
      <w:pPr>
        <w:spacing w:line="500" w:lineRule="exact"/>
        <w:ind w:firstLine="4400" w:firstLineChars="2000"/>
        <w:rPr>
          <w:rFonts w:hint="eastAsia" w:ascii="宋体" w:hAnsi="宋体" w:cs="宋体"/>
          <w:color w:val="auto"/>
          <w:sz w:val="22"/>
          <w:szCs w:val="22"/>
          <w:highlight w:val="none"/>
        </w:rPr>
      </w:pPr>
    </w:p>
    <w:p w14:paraId="70EBE70D">
      <w:pPr>
        <w:spacing w:line="500" w:lineRule="exact"/>
        <w:ind w:firstLine="4400" w:firstLineChars="2000"/>
        <w:rPr>
          <w:rFonts w:hint="eastAsia" w:ascii="宋体" w:hAnsi="宋体" w:cs="宋体"/>
          <w:color w:val="auto"/>
          <w:sz w:val="22"/>
          <w:szCs w:val="22"/>
          <w:highlight w:val="none"/>
        </w:rPr>
      </w:pPr>
    </w:p>
    <w:p w14:paraId="58633173">
      <w:pPr>
        <w:spacing w:line="500" w:lineRule="exact"/>
        <w:ind w:firstLine="4400" w:firstLineChars="2000"/>
        <w:rPr>
          <w:rFonts w:hint="eastAsia" w:ascii="宋体" w:hAnsi="宋体" w:cs="宋体"/>
          <w:color w:val="auto"/>
          <w:sz w:val="22"/>
          <w:szCs w:val="22"/>
          <w:highlight w:val="none"/>
        </w:rPr>
      </w:pPr>
    </w:p>
    <w:p w14:paraId="06CD95CE">
      <w:pPr>
        <w:tabs>
          <w:tab w:val="left" w:pos="840"/>
        </w:tabs>
        <w:adjustRightInd w:val="0"/>
        <w:snapToGrid w:val="0"/>
        <w:spacing w:line="360" w:lineRule="auto"/>
        <w:ind w:left="420" w:leftChars="200"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31B9AB87">
      <w:pPr>
        <w:tabs>
          <w:tab w:val="left" w:pos="840"/>
        </w:tabs>
        <w:adjustRightInd w:val="0"/>
        <w:snapToGrid w:val="0"/>
        <w:spacing w:line="360" w:lineRule="auto"/>
        <w:ind w:left="420" w:leftChars="200"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供应商代表（签名或盖章）：</w:t>
      </w:r>
    </w:p>
    <w:p w14:paraId="0A761A50">
      <w:pPr>
        <w:tabs>
          <w:tab w:val="left" w:pos="840"/>
        </w:tabs>
        <w:adjustRightInd w:val="0"/>
        <w:snapToGrid w:val="0"/>
        <w:spacing w:line="360" w:lineRule="auto"/>
        <w:ind w:left="420" w:leftChars="200"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6DE02A07">
      <w:pPr>
        <w:tabs>
          <w:tab w:val="left" w:pos="840"/>
        </w:tabs>
        <w:adjustRightInd w:val="0"/>
        <w:snapToGrid w:val="0"/>
        <w:spacing w:line="360" w:lineRule="auto"/>
        <w:ind w:left="420" w:leftChars="200" w:firstLine="330" w:firstLineChars="150"/>
        <w:rPr>
          <w:rFonts w:hint="eastAsia" w:ascii="宋体" w:hAnsi="宋体" w:cs="宋体"/>
          <w:color w:val="auto"/>
          <w:sz w:val="22"/>
          <w:szCs w:val="22"/>
          <w:highlight w:val="none"/>
        </w:rPr>
      </w:pPr>
    </w:p>
    <w:p w14:paraId="6B7C5822">
      <w:pPr>
        <w:pStyle w:val="22"/>
        <w:ind w:firstLine="0" w:firstLineChars="0"/>
        <w:rPr>
          <w:rFonts w:hint="eastAsia" w:ascii="宋体" w:hAnsi="宋体" w:cs="宋体"/>
          <w:color w:val="auto"/>
          <w:sz w:val="22"/>
          <w:highlight w:val="none"/>
        </w:rPr>
      </w:pPr>
    </w:p>
    <w:p w14:paraId="09CEAFD7">
      <w:pPr>
        <w:pStyle w:val="22"/>
        <w:ind w:firstLine="221"/>
        <w:rPr>
          <w:rFonts w:hint="eastAsia" w:ascii="宋体" w:hAnsi="宋体" w:cs="宋体"/>
          <w:color w:val="auto"/>
          <w:sz w:val="22"/>
          <w:highlight w:val="none"/>
        </w:rPr>
      </w:pPr>
    </w:p>
    <w:p w14:paraId="3205467B">
      <w:pPr>
        <w:pStyle w:val="22"/>
        <w:ind w:firstLine="221"/>
        <w:rPr>
          <w:rFonts w:hint="eastAsia" w:ascii="宋体" w:hAnsi="宋体" w:cs="宋体"/>
          <w:color w:val="auto"/>
          <w:sz w:val="22"/>
          <w:highlight w:val="none"/>
        </w:rPr>
      </w:pPr>
    </w:p>
    <w:p w14:paraId="56AA7BCE">
      <w:pPr>
        <w:tabs>
          <w:tab w:val="left" w:pos="780"/>
        </w:tabs>
        <w:spacing w:line="400" w:lineRule="exact"/>
        <w:ind w:left="180"/>
        <w:rPr>
          <w:rFonts w:hint="eastAsia" w:ascii="宋体" w:hAnsi="宋体" w:cs="宋体"/>
          <w:b/>
          <w:bCs/>
          <w:color w:val="auto"/>
          <w:sz w:val="22"/>
          <w:szCs w:val="22"/>
          <w:highlight w:val="none"/>
        </w:rPr>
      </w:pPr>
    </w:p>
    <w:p w14:paraId="59C2E8F3">
      <w:pPr>
        <w:tabs>
          <w:tab w:val="left" w:pos="780"/>
        </w:tabs>
        <w:spacing w:line="400" w:lineRule="exact"/>
        <w:ind w:left="18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2"/>
          <w:szCs w:val="22"/>
          <w:highlight w:val="none"/>
        </w:rPr>
        <w:t>附件三                             项目负责人资格情况表</w:t>
      </w:r>
    </w:p>
    <w:p w14:paraId="69EB80C7">
      <w:pPr>
        <w:tabs>
          <w:tab w:val="left" w:pos="780"/>
        </w:tabs>
        <w:spacing w:line="400" w:lineRule="exact"/>
        <w:ind w:left="180"/>
        <w:rPr>
          <w:rFonts w:hint="eastAsia" w:ascii="宋体" w:hAnsi="宋体" w:cs="宋体"/>
          <w:b/>
          <w:color w:val="auto"/>
          <w:sz w:val="22"/>
          <w:szCs w:val="22"/>
          <w:highlight w:val="none"/>
        </w:rPr>
      </w:pPr>
    </w:p>
    <w:tbl>
      <w:tblPr>
        <w:tblStyle w:val="54"/>
        <w:tblW w:w="952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14:paraId="599A0C8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vAlign w:val="center"/>
          </w:tcPr>
          <w:p w14:paraId="0993DFCB">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1.一般情况</w:t>
            </w:r>
          </w:p>
        </w:tc>
      </w:tr>
      <w:tr w14:paraId="6753C2D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0D01AFB0">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姓   名</w:t>
            </w:r>
          </w:p>
        </w:tc>
        <w:tc>
          <w:tcPr>
            <w:tcW w:w="1799" w:type="dxa"/>
            <w:tcBorders>
              <w:top w:val="single" w:color="auto" w:sz="4" w:space="0"/>
              <w:bottom w:val="single" w:color="auto" w:sz="4" w:space="0"/>
            </w:tcBorders>
            <w:vAlign w:val="center"/>
          </w:tcPr>
          <w:p w14:paraId="24C12BEC">
            <w:pPr>
              <w:spacing w:line="360" w:lineRule="exact"/>
              <w:jc w:val="center"/>
              <w:rPr>
                <w:rFonts w:hint="eastAsia" w:ascii="宋体" w:hAnsi="宋体" w:cs="宋体"/>
                <w:color w:val="auto"/>
                <w:sz w:val="22"/>
                <w:szCs w:val="22"/>
                <w:highlight w:val="none"/>
              </w:rPr>
            </w:pPr>
          </w:p>
        </w:tc>
        <w:tc>
          <w:tcPr>
            <w:tcW w:w="1567" w:type="dxa"/>
            <w:gridSpan w:val="2"/>
            <w:tcBorders>
              <w:top w:val="single" w:color="auto" w:sz="4" w:space="0"/>
              <w:bottom w:val="single" w:color="auto" w:sz="4" w:space="0"/>
            </w:tcBorders>
            <w:vAlign w:val="center"/>
          </w:tcPr>
          <w:p w14:paraId="2D308294">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年  龄</w:t>
            </w:r>
          </w:p>
        </w:tc>
        <w:tc>
          <w:tcPr>
            <w:tcW w:w="1062" w:type="dxa"/>
            <w:tcBorders>
              <w:top w:val="single" w:color="auto" w:sz="4" w:space="0"/>
              <w:bottom w:val="single" w:color="auto" w:sz="4" w:space="0"/>
            </w:tcBorders>
            <w:vAlign w:val="center"/>
          </w:tcPr>
          <w:p w14:paraId="1D3CF417">
            <w:pPr>
              <w:spacing w:line="360" w:lineRule="exact"/>
              <w:jc w:val="center"/>
              <w:rPr>
                <w:rFonts w:hint="eastAsia" w:ascii="宋体" w:hAnsi="宋体" w:cs="宋体"/>
                <w:color w:val="auto"/>
                <w:sz w:val="22"/>
                <w:szCs w:val="22"/>
                <w:highlight w:val="none"/>
              </w:rPr>
            </w:pPr>
          </w:p>
        </w:tc>
        <w:tc>
          <w:tcPr>
            <w:tcW w:w="2074" w:type="dxa"/>
            <w:tcBorders>
              <w:top w:val="single" w:color="auto" w:sz="4" w:space="0"/>
              <w:bottom w:val="single" w:color="auto" w:sz="4" w:space="0"/>
            </w:tcBorders>
            <w:vAlign w:val="center"/>
          </w:tcPr>
          <w:p w14:paraId="2695B3E8">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学  历</w:t>
            </w:r>
          </w:p>
        </w:tc>
        <w:tc>
          <w:tcPr>
            <w:tcW w:w="1568" w:type="dxa"/>
            <w:tcBorders>
              <w:top w:val="single" w:color="auto" w:sz="4" w:space="0"/>
              <w:bottom w:val="single" w:color="auto" w:sz="4" w:space="0"/>
            </w:tcBorders>
            <w:vAlign w:val="center"/>
          </w:tcPr>
          <w:p w14:paraId="080049A6">
            <w:pPr>
              <w:spacing w:line="360" w:lineRule="exact"/>
              <w:jc w:val="center"/>
              <w:rPr>
                <w:rFonts w:hint="eastAsia" w:ascii="宋体" w:hAnsi="宋体" w:cs="宋体"/>
                <w:color w:val="auto"/>
                <w:sz w:val="22"/>
                <w:szCs w:val="22"/>
                <w:highlight w:val="none"/>
              </w:rPr>
            </w:pPr>
          </w:p>
        </w:tc>
      </w:tr>
      <w:tr w14:paraId="1DAA4D0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4A90C4CF">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毕业学校</w:t>
            </w:r>
          </w:p>
        </w:tc>
        <w:tc>
          <w:tcPr>
            <w:tcW w:w="1799" w:type="dxa"/>
            <w:tcBorders>
              <w:top w:val="single" w:color="auto" w:sz="4" w:space="0"/>
              <w:bottom w:val="single" w:color="auto" w:sz="4" w:space="0"/>
            </w:tcBorders>
            <w:vAlign w:val="center"/>
          </w:tcPr>
          <w:p w14:paraId="37C3F5B0">
            <w:pPr>
              <w:spacing w:line="360" w:lineRule="exact"/>
              <w:rPr>
                <w:rFonts w:hint="eastAsia" w:ascii="宋体" w:hAnsi="宋体" w:cs="宋体"/>
                <w:color w:val="auto"/>
                <w:sz w:val="22"/>
                <w:szCs w:val="22"/>
                <w:highlight w:val="none"/>
              </w:rPr>
            </w:pPr>
          </w:p>
        </w:tc>
        <w:tc>
          <w:tcPr>
            <w:tcW w:w="1567" w:type="dxa"/>
            <w:gridSpan w:val="2"/>
            <w:tcBorders>
              <w:top w:val="single" w:color="auto" w:sz="4" w:space="0"/>
              <w:bottom w:val="single" w:color="auto" w:sz="4" w:space="0"/>
            </w:tcBorders>
            <w:vAlign w:val="center"/>
          </w:tcPr>
          <w:p w14:paraId="5103F0C1">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专  业</w:t>
            </w:r>
          </w:p>
        </w:tc>
        <w:tc>
          <w:tcPr>
            <w:tcW w:w="1062" w:type="dxa"/>
            <w:tcBorders>
              <w:top w:val="single" w:color="auto" w:sz="4" w:space="0"/>
              <w:bottom w:val="single" w:color="auto" w:sz="4" w:space="0"/>
            </w:tcBorders>
            <w:vAlign w:val="center"/>
          </w:tcPr>
          <w:p w14:paraId="0ACE7F23">
            <w:pPr>
              <w:spacing w:line="360" w:lineRule="exact"/>
              <w:jc w:val="center"/>
              <w:rPr>
                <w:rFonts w:hint="eastAsia" w:ascii="宋体" w:hAnsi="宋体" w:cs="宋体"/>
                <w:color w:val="auto"/>
                <w:sz w:val="22"/>
                <w:szCs w:val="22"/>
                <w:highlight w:val="none"/>
              </w:rPr>
            </w:pPr>
          </w:p>
        </w:tc>
        <w:tc>
          <w:tcPr>
            <w:tcW w:w="2074" w:type="dxa"/>
            <w:tcBorders>
              <w:top w:val="single" w:color="auto" w:sz="4" w:space="0"/>
              <w:bottom w:val="single" w:color="auto" w:sz="4" w:space="0"/>
            </w:tcBorders>
            <w:vAlign w:val="center"/>
          </w:tcPr>
          <w:p w14:paraId="1C8ECA55">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职  务</w:t>
            </w:r>
          </w:p>
        </w:tc>
        <w:tc>
          <w:tcPr>
            <w:tcW w:w="1568" w:type="dxa"/>
            <w:tcBorders>
              <w:top w:val="single" w:color="auto" w:sz="4" w:space="0"/>
              <w:bottom w:val="single" w:color="auto" w:sz="4" w:space="0"/>
            </w:tcBorders>
            <w:vAlign w:val="center"/>
          </w:tcPr>
          <w:p w14:paraId="290D86DB">
            <w:pPr>
              <w:spacing w:line="360" w:lineRule="exact"/>
              <w:jc w:val="center"/>
              <w:rPr>
                <w:rFonts w:hint="eastAsia" w:ascii="宋体" w:hAnsi="宋体" w:cs="宋体"/>
                <w:color w:val="auto"/>
                <w:sz w:val="22"/>
                <w:szCs w:val="22"/>
                <w:highlight w:val="none"/>
              </w:rPr>
            </w:pPr>
          </w:p>
        </w:tc>
      </w:tr>
      <w:tr w14:paraId="69C6C09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vAlign w:val="center"/>
          </w:tcPr>
          <w:p w14:paraId="57C627E3">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职  称</w:t>
            </w:r>
          </w:p>
        </w:tc>
        <w:tc>
          <w:tcPr>
            <w:tcW w:w="1799" w:type="dxa"/>
            <w:tcBorders>
              <w:top w:val="single" w:color="auto" w:sz="4" w:space="0"/>
              <w:bottom w:val="single" w:color="auto" w:sz="4" w:space="0"/>
            </w:tcBorders>
            <w:vAlign w:val="center"/>
          </w:tcPr>
          <w:p w14:paraId="2369C5F0">
            <w:pPr>
              <w:spacing w:line="360" w:lineRule="exact"/>
              <w:rPr>
                <w:rFonts w:hint="eastAsia" w:ascii="宋体" w:hAnsi="宋体" w:cs="宋体"/>
                <w:color w:val="auto"/>
                <w:sz w:val="22"/>
                <w:szCs w:val="22"/>
                <w:highlight w:val="none"/>
              </w:rPr>
            </w:pPr>
          </w:p>
        </w:tc>
        <w:tc>
          <w:tcPr>
            <w:tcW w:w="1567" w:type="dxa"/>
            <w:gridSpan w:val="2"/>
            <w:tcBorders>
              <w:top w:val="single" w:color="auto" w:sz="4" w:space="0"/>
              <w:bottom w:val="single" w:color="auto" w:sz="4" w:space="0"/>
            </w:tcBorders>
            <w:vAlign w:val="center"/>
          </w:tcPr>
          <w:p w14:paraId="77CB11AC">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拟任何职</w:t>
            </w:r>
          </w:p>
        </w:tc>
        <w:tc>
          <w:tcPr>
            <w:tcW w:w="1062" w:type="dxa"/>
            <w:tcBorders>
              <w:top w:val="single" w:color="auto" w:sz="4" w:space="0"/>
              <w:bottom w:val="single" w:color="auto" w:sz="4" w:space="0"/>
            </w:tcBorders>
            <w:vAlign w:val="center"/>
          </w:tcPr>
          <w:p w14:paraId="574B2CCF">
            <w:pPr>
              <w:spacing w:line="360" w:lineRule="exact"/>
              <w:jc w:val="center"/>
              <w:rPr>
                <w:rFonts w:hint="eastAsia" w:ascii="宋体" w:hAnsi="宋体" w:cs="宋体"/>
                <w:color w:val="auto"/>
                <w:sz w:val="22"/>
                <w:szCs w:val="22"/>
                <w:highlight w:val="none"/>
              </w:rPr>
            </w:pPr>
          </w:p>
        </w:tc>
        <w:tc>
          <w:tcPr>
            <w:tcW w:w="2074" w:type="dxa"/>
            <w:tcBorders>
              <w:top w:val="single" w:color="auto" w:sz="4" w:space="0"/>
              <w:bottom w:val="single" w:color="auto" w:sz="4" w:space="0"/>
            </w:tcBorders>
            <w:vAlign w:val="center"/>
          </w:tcPr>
          <w:p w14:paraId="1D9B9569">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参加工作</w:t>
            </w:r>
          </w:p>
          <w:p w14:paraId="25A65B58">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时间</w:t>
            </w:r>
          </w:p>
        </w:tc>
        <w:tc>
          <w:tcPr>
            <w:tcW w:w="1568" w:type="dxa"/>
            <w:tcBorders>
              <w:top w:val="single" w:color="auto" w:sz="4" w:space="0"/>
              <w:bottom w:val="single" w:color="auto" w:sz="4" w:space="0"/>
            </w:tcBorders>
            <w:vAlign w:val="center"/>
          </w:tcPr>
          <w:p w14:paraId="71D45C27">
            <w:pPr>
              <w:spacing w:line="360" w:lineRule="exact"/>
              <w:jc w:val="center"/>
              <w:rPr>
                <w:rFonts w:hint="eastAsia" w:ascii="宋体" w:hAnsi="宋体" w:cs="宋体"/>
                <w:color w:val="auto"/>
                <w:sz w:val="22"/>
                <w:szCs w:val="22"/>
                <w:highlight w:val="none"/>
              </w:rPr>
            </w:pPr>
          </w:p>
        </w:tc>
      </w:tr>
      <w:tr w14:paraId="39E22E4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165A2FBB">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2.个人简历</w:t>
            </w:r>
          </w:p>
        </w:tc>
      </w:tr>
      <w:tr w14:paraId="34A1046C">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6854DBB6">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时  间</w:t>
            </w:r>
          </w:p>
        </w:tc>
        <w:tc>
          <w:tcPr>
            <w:tcW w:w="8070" w:type="dxa"/>
            <w:gridSpan w:val="6"/>
            <w:tcBorders>
              <w:top w:val="single" w:color="auto" w:sz="4" w:space="0"/>
              <w:bottom w:val="single" w:color="auto" w:sz="4" w:space="0"/>
            </w:tcBorders>
            <w:vAlign w:val="center"/>
          </w:tcPr>
          <w:p w14:paraId="445EC502">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专业工作经历</w:t>
            </w:r>
          </w:p>
        </w:tc>
      </w:tr>
      <w:tr w14:paraId="621C276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17851967">
            <w:pPr>
              <w:spacing w:line="360" w:lineRule="exact"/>
              <w:rPr>
                <w:rFonts w:hint="eastAsia" w:ascii="宋体" w:hAnsi="宋体" w:cs="宋体"/>
                <w:color w:val="auto"/>
                <w:sz w:val="22"/>
                <w:szCs w:val="22"/>
                <w:highlight w:val="none"/>
              </w:rPr>
            </w:pPr>
          </w:p>
        </w:tc>
        <w:tc>
          <w:tcPr>
            <w:tcW w:w="8070" w:type="dxa"/>
            <w:gridSpan w:val="6"/>
            <w:tcBorders>
              <w:top w:val="single" w:color="auto" w:sz="4" w:space="0"/>
              <w:bottom w:val="single" w:color="auto" w:sz="4" w:space="0"/>
            </w:tcBorders>
            <w:vAlign w:val="center"/>
          </w:tcPr>
          <w:p w14:paraId="22754A7C">
            <w:pPr>
              <w:spacing w:line="360" w:lineRule="exact"/>
              <w:rPr>
                <w:rFonts w:hint="eastAsia" w:ascii="宋体" w:hAnsi="宋体" w:cs="宋体"/>
                <w:color w:val="auto"/>
                <w:sz w:val="22"/>
                <w:szCs w:val="22"/>
                <w:highlight w:val="none"/>
              </w:rPr>
            </w:pPr>
          </w:p>
        </w:tc>
      </w:tr>
      <w:tr w14:paraId="0A26D2F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5E60DA90">
            <w:pPr>
              <w:spacing w:line="360" w:lineRule="exact"/>
              <w:rPr>
                <w:rFonts w:hint="eastAsia" w:ascii="宋体" w:hAnsi="宋体" w:cs="宋体"/>
                <w:color w:val="auto"/>
                <w:sz w:val="22"/>
                <w:szCs w:val="22"/>
                <w:highlight w:val="none"/>
              </w:rPr>
            </w:pPr>
          </w:p>
        </w:tc>
        <w:tc>
          <w:tcPr>
            <w:tcW w:w="8070" w:type="dxa"/>
            <w:gridSpan w:val="6"/>
            <w:tcBorders>
              <w:top w:val="single" w:color="auto" w:sz="4" w:space="0"/>
              <w:bottom w:val="single" w:color="auto" w:sz="4" w:space="0"/>
            </w:tcBorders>
            <w:vAlign w:val="center"/>
          </w:tcPr>
          <w:p w14:paraId="776FE118">
            <w:pPr>
              <w:spacing w:line="360" w:lineRule="exact"/>
              <w:rPr>
                <w:rFonts w:hint="eastAsia" w:ascii="宋体" w:hAnsi="宋体" w:cs="宋体"/>
                <w:color w:val="auto"/>
                <w:sz w:val="22"/>
                <w:szCs w:val="22"/>
                <w:highlight w:val="none"/>
              </w:rPr>
            </w:pPr>
          </w:p>
        </w:tc>
      </w:tr>
      <w:tr w14:paraId="0A9D87CD">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63A24DAA">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3.项目负责人业绩</w:t>
            </w:r>
          </w:p>
        </w:tc>
      </w:tr>
      <w:tr w14:paraId="1859564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45C6044">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3427" w:type="dxa"/>
            <w:gridSpan w:val="3"/>
            <w:tcBorders>
              <w:top w:val="single" w:color="auto" w:sz="4" w:space="0"/>
              <w:bottom w:val="single" w:color="auto" w:sz="4" w:space="0"/>
            </w:tcBorders>
            <w:vAlign w:val="center"/>
          </w:tcPr>
          <w:p w14:paraId="59318B95">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  目  名  称</w:t>
            </w:r>
          </w:p>
        </w:tc>
        <w:tc>
          <w:tcPr>
            <w:tcW w:w="1440" w:type="dxa"/>
            <w:gridSpan w:val="2"/>
            <w:tcBorders>
              <w:top w:val="single" w:color="auto" w:sz="4" w:space="0"/>
              <w:bottom w:val="single" w:color="auto" w:sz="4" w:space="0"/>
            </w:tcBorders>
            <w:vAlign w:val="center"/>
          </w:tcPr>
          <w:p w14:paraId="3252C981">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完成年份</w:t>
            </w:r>
          </w:p>
        </w:tc>
        <w:tc>
          <w:tcPr>
            <w:tcW w:w="3642" w:type="dxa"/>
            <w:gridSpan w:val="2"/>
            <w:tcBorders>
              <w:top w:val="single" w:color="auto" w:sz="4" w:space="0"/>
              <w:bottom w:val="single" w:color="auto" w:sz="4" w:space="0"/>
            </w:tcBorders>
            <w:vAlign w:val="center"/>
          </w:tcPr>
          <w:p w14:paraId="51E67353">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获奖情况</w:t>
            </w:r>
          </w:p>
        </w:tc>
      </w:tr>
      <w:tr w14:paraId="42DECE1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653B014">
            <w:pPr>
              <w:spacing w:line="360" w:lineRule="exact"/>
              <w:rPr>
                <w:rFonts w:hint="eastAsia" w:ascii="宋体" w:hAnsi="宋体" w:cs="宋体"/>
                <w:color w:val="auto"/>
                <w:sz w:val="22"/>
                <w:szCs w:val="22"/>
                <w:highlight w:val="none"/>
              </w:rPr>
            </w:pPr>
          </w:p>
        </w:tc>
        <w:tc>
          <w:tcPr>
            <w:tcW w:w="3427" w:type="dxa"/>
            <w:gridSpan w:val="3"/>
            <w:tcBorders>
              <w:top w:val="single" w:color="auto" w:sz="4" w:space="0"/>
              <w:bottom w:val="single" w:color="auto" w:sz="4" w:space="0"/>
            </w:tcBorders>
            <w:vAlign w:val="center"/>
          </w:tcPr>
          <w:p w14:paraId="6BEF63B7">
            <w:pPr>
              <w:spacing w:line="360" w:lineRule="exact"/>
              <w:rPr>
                <w:rFonts w:hint="eastAsia" w:ascii="宋体" w:hAnsi="宋体" w:cs="宋体"/>
                <w:color w:val="auto"/>
                <w:sz w:val="22"/>
                <w:szCs w:val="22"/>
                <w:highlight w:val="none"/>
              </w:rPr>
            </w:pPr>
          </w:p>
        </w:tc>
        <w:tc>
          <w:tcPr>
            <w:tcW w:w="1440" w:type="dxa"/>
            <w:gridSpan w:val="2"/>
            <w:tcBorders>
              <w:top w:val="single" w:color="auto" w:sz="4" w:space="0"/>
              <w:bottom w:val="single" w:color="auto" w:sz="4" w:space="0"/>
            </w:tcBorders>
            <w:vAlign w:val="center"/>
          </w:tcPr>
          <w:p w14:paraId="7473D0C5">
            <w:pPr>
              <w:spacing w:line="360" w:lineRule="exact"/>
              <w:rPr>
                <w:rFonts w:hint="eastAsia" w:ascii="宋体" w:hAnsi="宋体" w:cs="宋体"/>
                <w:color w:val="auto"/>
                <w:sz w:val="22"/>
                <w:szCs w:val="22"/>
                <w:highlight w:val="none"/>
              </w:rPr>
            </w:pPr>
          </w:p>
        </w:tc>
        <w:tc>
          <w:tcPr>
            <w:tcW w:w="3642" w:type="dxa"/>
            <w:gridSpan w:val="2"/>
            <w:tcBorders>
              <w:top w:val="single" w:color="auto" w:sz="4" w:space="0"/>
              <w:bottom w:val="single" w:color="auto" w:sz="4" w:space="0"/>
            </w:tcBorders>
            <w:vAlign w:val="center"/>
          </w:tcPr>
          <w:p w14:paraId="355FB63E">
            <w:pPr>
              <w:spacing w:line="360" w:lineRule="exact"/>
              <w:rPr>
                <w:rFonts w:hint="eastAsia" w:ascii="宋体" w:hAnsi="宋体" w:cs="宋体"/>
                <w:color w:val="auto"/>
                <w:sz w:val="22"/>
                <w:szCs w:val="22"/>
                <w:highlight w:val="none"/>
              </w:rPr>
            </w:pPr>
          </w:p>
        </w:tc>
      </w:tr>
      <w:tr w14:paraId="35FA4706">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20EA30D">
            <w:pPr>
              <w:spacing w:line="360" w:lineRule="exact"/>
              <w:rPr>
                <w:rFonts w:hint="eastAsia" w:ascii="宋体" w:hAnsi="宋体" w:cs="宋体"/>
                <w:color w:val="auto"/>
                <w:sz w:val="22"/>
                <w:szCs w:val="22"/>
                <w:highlight w:val="none"/>
              </w:rPr>
            </w:pPr>
          </w:p>
        </w:tc>
        <w:tc>
          <w:tcPr>
            <w:tcW w:w="3427" w:type="dxa"/>
            <w:gridSpan w:val="3"/>
            <w:tcBorders>
              <w:top w:val="single" w:color="auto" w:sz="4" w:space="0"/>
              <w:bottom w:val="single" w:color="auto" w:sz="4" w:space="0"/>
            </w:tcBorders>
            <w:vAlign w:val="center"/>
          </w:tcPr>
          <w:p w14:paraId="7CE26FA9">
            <w:pPr>
              <w:spacing w:line="360" w:lineRule="exact"/>
              <w:rPr>
                <w:rFonts w:hint="eastAsia" w:ascii="宋体" w:hAnsi="宋体" w:cs="宋体"/>
                <w:color w:val="auto"/>
                <w:sz w:val="22"/>
                <w:szCs w:val="22"/>
                <w:highlight w:val="none"/>
              </w:rPr>
            </w:pPr>
          </w:p>
        </w:tc>
        <w:tc>
          <w:tcPr>
            <w:tcW w:w="1440" w:type="dxa"/>
            <w:gridSpan w:val="2"/>
            <w:tcBorders>
              <w:top w:val="single" w:color="auto" w:sz="4" w:space="0"/>
              <w:bottom w:val="single" w:color="auto" w:sz="4" w:space="0"/>
            </w:tcBorders>
            <w:vAlign w:val="center"/>
          </w:tcPr>
          <w:p w14:paraId="3D9C78A2">
            <w:pPr>
              <w:spacing w:line="360" w:lineRule="exact"/>
              <w:rPr>
                <w:rFonts w:hint="eastAsia" w:ascii="宋体" w:hAnsi="宋体" w:cs="宋体"/>
                <w:color w:val="auto"/>
                <w:sz w:val="22"/>
                <w:szCs w:val="22"/>
                <w:highlight w:val="none"/>
              </w:rPr>
            </w:pPr>
          </w:p>
        </w:tc>
        <w:tc>
          <w:tcPr>
            <w:tcW w:w="3642" w:type="dxa"/>
            <w:gridSpan w:val="2"/>
            <w:tcBorders>
              <w:top w:val="single" w:color="auto" w:sz="4" w:space="0"/>
              <w:bottom w:val="single" w:color="auto" w:sz="4" w:space="0"/>
            </w:tcBorders>
            <w:vAlign w:val="center"/>
          </w:tcPr>
          <w:p w14:paraId="36937364">
            <w:pPr>
              <w:spacing w:line="360" w:lineRule="exact"/>
              <w:rPr>
                <w:rFonts w:hint="eastAsia" w:ascii="宋体" w:hAnsi="宋体" w:cs="宋体"/>
                <w:color w:val="auto"/>
                <w:sz w:val="22"/>
                <w:szCs w:val="22"/>
                <w:highlight w:val="none"/>
              </w:rPr>
            </w:pPr>
          </w:p>
        </w:tc>
      </w:tr>
      <w:tr w14:paraId="7C7E96FF">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60B79C0A">
            <w:pPr>
              <w:spacing w:line="360" w:lineRule="exact"/>
              <w:rPr>
                <w:rFonts w:hint="eastAsia" w:ascii="宋体" w:hAnsi="宋体" w:cs="宋体"/>
                <w:color w:val="auto"/>
                <w:sz w:val="22"/>
                <w:szCs w:val="22"/>
                <w:highlight w:val="none"/>
              </w:rPr>
            </w:pPr>
          </w:p>
        </w:tc>
        <w:tc>
          <w:tcPr>
            <w:tcW w:w="3427" w:type="dxa"/>
            <w:gridSpan w:val="3"/>
            <w:tcBorders>
              <w:top w:val="single" w:color="auto" w:sz="4" w:space="0"/>
              <w:bottom w:val="single" w:color="auto" w:sz="4" w:space="0"/>
            </w:tcBorders>
            <w:vAlign w:val="center"/>
          </w:tcPr>
          <w:p w14:paraId="62B8A3D6">
            <w:pPr>
              <w:spacing w:line="360" w:lineRule="exact"/>
              <w:rPr>
                <w:rFonts w:hint="eastAsia" w:ascii="宋体" w:hAnsi="宋体" w:cs="宋体"/>
                <w:color w:val="auto"/>
                <w:sz w:val="22"/>
                <w:szCs w:val="22"/>
                <w:highlight w:val="none"/>
              </w:rPr>
            </w:pPr>
          </w:p>
        </w:tc>
        <w:tc>
          <w:tcPr>
            <w:tcW w:w="1440" w:type="dxa"/>
            <w:gridSpan w:val="2"/>
            <w:tcBorders>
              <w:top w:val="single" w:color="auto" w:sz="4" w:space="0"/>
              <w:bottom w:val="single" w:color="auto" w:sz="4" w:space="0"/>
            </w:tcBorders>
            <w:vAlign w:val="center"/>
          </w:tcPr>
          <w:p w14:paraId="0245B97A">
            <w:pPr>
              <w:spacing w:line="360" w:lineRule="exact"/>
              <w:rPr>
                <w:rFonts w:hint="eastAsia" w:ascii="宋体" w:hAnsi="宋体" w:cs="宋体"/>
                <w:color w:val="auto"/>
                <w:sz w:val="22"/>
                <w:szCs w:val="22"/>
                <w:highlight w:val="none"/>
              </w:rPr>
            </w:pPr>
          </w:p>
        </w:tc>
        <w:tc>
          <w:tcPr>
            <w:tcW w:w="3642" w:type="dxa"/>
            <w:gridSpan w:val="2"/>
            <w:tcBorders>
              <w:top w:val="single" w:color="auto" w:sz="4" w:space="0"/>
              <w:bottom w:val="single" w:color="auto" w:sz="4" w:space="0"/>
            </w:tcBorders>
            <w:vAlign w:val="center"/>
          </w:tcPr>
          <w:p w14:paraId="39A6E13F">
            <w:pPr>
              <w:spacing w:line="360" w:lineRule="exact"/>
              <w:rPr>
                <w:rFonts w:hint="eastAsia" w:ascii="宋体" w:hAnsi="宋体" w:cs="宋体"/>
                <w:color w:val="auto"/>
                <w:sz w:val="22"/>
                <w:szCs w:val="22"/>
                <w:highlight w:val="none"/>
              </w:rPr>
            </w:pPr>
          </w:p>
        </w:tc>
      </w:tr>
      <w:tr w14:paraId="3D1839DA">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vAlign w:val="center"/>
          </w:tcPr>
          <w:p w14:paraId="095789AD">
            <w:pPr>
              <w:spacing w:line="360" w:lineRule="exact"/>
              <w:rPr>
                <w:rFonts w:hint="eastAsia" w:ascii="宋体" w:hAnsi="宋体" w:cs="宋体"/>
                <w:color w:val="auto"/>
                <w:sz w:val="22"/>
                <w:szCs w:val="22"/>
                <w:highlight w:val="none"/>
              </w:rPr>
            </w:pPr>
          </w:p>
        </w:tc>
        <w:tc>
          <w:tcPr>
            <w:tcW w:w="3427" w:type="dxa"/>
            <w:gridSpan w:val="3"/>
            <w:tcBorders>
              <w:top w:val="single" w:color="auto" w:sz="4" w:space="0"/>
              <w:bottom w:val="single" w:color="auto" w:sz="12" w:space="0"/>
            </w:tcBorders>
            <w:vAlign w:val="center"/>
          </w:tcPr>
          <w:p w14:paraId="563C24FB">
            <w:pPr>
              <w:spacing w:line="360" w:lineRule="exact"/>
              <w:rPr>
                <w:rFonts w:hint="eastAsia" w:ascii="宋体" w:hAnsi="宋体" w:cs="宋体"/>
                <w:color w:val="auto"/>
                <w:sz w:val="22"/>
                <w:szCs w:val="22"/>
                <w:highlight w:val="none"/>
              </w:rPr>
            </w:pPr>
          </w:p>
        </w:tc>
        <w:tc>
          <w:tcPr>
            <w:tcW w:w="1440" w:type="dxa"/>
            <w:gridSpan w:val="2"/>
            <w:tcBorders>
              <w:top w:val="single" w:color="auto" w:sz="4" w:space="0"/>
              <w:bottom w:val="single" w:color="auto" w:sz="12" w:space="0"/>
            </w:tcBorders>
            <w:vAlign w:val="center"/>
          </w:tcPr>
          <w:p w14:paraId="1F8A93DC">
            <w:pPr>
              <w:spacing w:line="360" w:lineRule="exact"/>
              <w:rPr>
                <w:rFonts w:hint="eastAsia" w:ascii="宋体" w:hAnsi="宋体" w:cs="宋体"/>
                <w:color w:val="auto"/>
                <w:sz w:val="22"/>
                <w:szCs w:val="22"/>
                <w:highlight w:val="none"/>
              </w:rPr>
            </w:pPr>
          </w:p>
        </w:tc>
        <w:tc>
          <w:tcPr>
            <w:tcW w:w="3642" w:type="dxa"/>
            <w:gridSpan w:val="2"/>
            <w:tcBorders>
              <w:top w:val="single" w:color="auto" w:sz="4" w:space="0"/>
              <w:bottom w:val="single" w:color="auto" w:sz="12" w:space="0"/>
            </w:tcBorders>
            <w:vAlign w:val="center"/>
          </w:tcPr>
          <w:p w14:paraId="7D9CD6F1">
            <w:pPr>
              <w:spacing w:line="360" w:lineRule="exact"/>
              <w:rPr>
                <w:rFonts w:hint="eastAsia" w:ascii="宋体" w:hAnsi="宋体" w:cs="宋体"/>
                <w:color w:val="auto"/>
                <w:sz w:val="22"/>
                <w:szCs w:val="22"/>
                <w:highlight w:val="none"/>
              </w:rPr>
            </w:pPr>
          </w:p>
        </w:tc>
      </w:tr>
    </w:tbl>
    <w:p w14:paraId="0CB24C23">
      <w:pPr>
        <w:spacing w:line="380" w:lineRule="exact"/>
        <w:ind w:firstLine="4400" w:firstLineChars="2000"/>
        <w:rPr>
          <w:rFonts w:hint="eastAsia" w:ascii="宋体" w:hAnsi="宋体" w:cs="宋体"/>
          <w:color w:val="auto"/>
          <w:sz w:val="22"/>
          <w:szCs w:val="22"/>
          <w:highlight w:val="none"/>
        </w:rPr>
      </w:pPr>
    </w:p>
    <w:p w14:paraId="4FE4581E">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15FC6344">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1E8A9201">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1D914C3D">
      <w:pPr>
        <w:tabs>
          <w:tab w:val="left" w:pos="840"/>
        </w:tabs>
        <w:adjustRightInd w:val="0"/>
        <w:snapToGrid w:val="0"/>
        <w:spacing w:line="400" w:lineRule="exact"/>
        <w:jc w:val="center"/>
        <w:rPr>
          <w:rFonts w:hint="eastAsia" w:ascii="宋体" w:hAnsi="宋体" w:cs="宋体"/>
          <w:b/>
          <w:bCs/>
          <w:color w:val="auto"/>
          <w:sz w:val="22"/>
          <w:szCs w:val="22"/>
          <w:highlight w:val="none"/>
        </w:rPr>
      </w:pPr>
      <w:r>
        <w:rPr>
          <w:rFonts w:hint="eastAsia" w:ascii="宋体" w:hAnsi="宋体" w:cs="宋体"/>
          <w:b/>
          <w:color w:val="auto"/>
          <w:sz w:val="36"/>
          <w:szCs w:val="36"/>
          <w:highlight w:val="none"/>
        </w:rPr>
        <w:br w:type="page"/>
      </w:r>
      <w:r>
        <w:rPr>
          <w:rFonts w:hint="eastAsia" w:ascii="宋体" w:hAnsi="宋体" w:cs="宋体"/>
          <w:b/>
          <w:bCs/>
          <w:color w:val="auto"/>
          <w:sz w:val="22"/>
          <w:szCs w:val="22"/>
          <w:highlight w:val="none"/>
        </w:rPr>
        <w:t>项目组服务人员汇总表</w:t>
      </w:r>
    </w:p>
    <w:p w14:paraId="750E65D5">
      <w:pPr>
        <w:tabs>
          <w:tab w:val="left" w:pos="840"/>
        </w:tabs>
        <w:adjustRightInd w:val="0"/>
        <w:snapToGrid w:val="0"/>
        <w:spacing w:line="400" w:lineRule="exact"/>
        <w:rPr>
          <w:rFonts w:hint="eastAsia" w:ascii="宋体" w:hAnsi="宋体" w:cs="宋体"/>
          <w:b/>
          <w:bCs/>
          <w:color w:val="auto"/>
          <w:sz w:val="22"/>
          <w:szCs w:val="22"/>
          <w:highlight w:val="none"/>
        </w:rPr>
      </w:pPr>
    </w:p>
    <w:p w14:paraId="07185E53">
      <w:pPr>
        <w:rPr>
          <w:rFonts w:hint="eastAsia" w:ascii="宋体" w:hAnsi="宋体" w:cs="宋体"/>
          <w:color w:val="auto"/>
          <w:sz w:val="22"/>
          <w:highlight w:val="none"/>
        </w:rPr>
      </w:pPr>
      <w:r>
        <w:rPr>
          <w:rFonts w:hint="eastAsia" w:ascii="宋体" w:hAnsi="宋体" w:cs="宋体"/>
          <w:b/>
          <w:color w:val="auto"/>
          <w:sz w:val="24"/>
          <w:highlight w:val="none"/>
        </w:rPr>
        <w:t>项目名称：</w:t>
      </w:r>
      <w:r>
        <w:rPr>
          <w:rFonts w:hint="eastAsia" w:ascii="宋体" w:hAnsi="宋体" w:cs="宋体"/>
          <w:b/>
          <w:color w:val="auto"/>
          <w:sz w:val="22"/>
          <w:highlight w:val="none"/>
        </w:rPr>
        <w:t xml:space="preserve">                                         项目编号：</w:t>
      </w:r>
      <w:r>
        <w:rPr>
          <w:rFonts w:hint="eastAsia" w:ascii="宋体" w:hAnsi="宋体" w:cs="宋体"/>
          <w:color w:val="auto"/>
          <w:sz w:val="22"/>
          <w:highlight w:val="none"/>
        </w:rPr>
        <w:t xml:space="preserve"> </w:t>
      </w:r>
    </w:p>
    <w:tbl>
      <w:tblPr>
        <w:tblStyle w:val="54"/>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5AA0E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7187431E">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序号</w:t>
            </w:r>
          </w:p>
        </w:tc>
        <w:tc>
          <w:tcPr>
            <w:tcW w:w="958" w:type="dxa"/>
            <w:vAlign w:val="center"/>
          </w:tcPr>
          <w:p w14:paraId="437D8BF2">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姓名</w:t>
            </w:r>
          </w:p>
        </w:tc>
        <w:tc>
          <w:tcPr>
            <w:tcW w:w="958" w:type="dxa"/>
            <w:vAlign w:val="center"/>
          </w:tcPr>
          <w:p w14:paraId="72F1996A">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性别</w:t>
            </w:r>
          </w:p>
        </w:tc>
        <w:tc>
          <w:tcPr>
            <w:tcW w:w="767" w:type="dxa"/>
            <w:vAlign w:val="center"/>
          </w:tcPr>
          <w:p w14:paraId="651DEFF5">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年龄</w:t>
            </w:r>
          </w:p>
        </w:tc>
        <w:tc>
          <w:tcPr>
            <w:tcW w:w="767" w:type="dxa"/>
            <w:vAlign w:val="center"/>
          </w:tcPr>
          <w:p w14:paraId="53D7059F">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学历</w:t>
            </w:r>
          </w:p>
        </w:tc>
        <w:tc>
          <w:tcPr>
            <w:tcW w:w="1340" w:type="dxa"/>
            <w:vAlign w:val="center"/>
          </w:tcPr>
          <w:p w14:paraId="36376981">
            <w:pPr>
              <w:spacing w:line="280" w:lineRule="exact"/>
              <w:jc w:val="center"/>
              <w:rPr>
                <w:rFonts w:hint="eastAsia" w:ascii="宋体" w:hAnsi="宋体" w:cs="宋体"/>
                <w:color w:val="auto"/>
                <w:sz w:val="22"/>
                <w:highlight w:val="none"/>
              </w:rPr>
            </w:pPr>
            <w:r>
              <w:rPr>
                <w:rFonts w:hint="eastAsia" w:ascii="宋体" w:hAnsi="宋体" w:cs="宋体"/>
                <w:color w:val="auto"/>
                <w:sz w:val="22"/>
                <w:highlight w:val="none"/>
              </w:rPr>
              <w:t>职称/职务</w:t>
            </w:r>
          </w:p>
        </w:tc>
        <w:tc>
          <w:tcPr>
            <w:tcW w:w="1326" w:type="dxa"/>
            <w:vAlign w:val="center"/>
          </w:tcPr>
          <w:p w14:paraId="6EA9207C">
            <w:pPr>
              <w:spacing w:line="280" w:lineRule="exact"/>
              <w:jc w:val="center"/>
              <w:rPr>
                <w:rFonts w:hint="eastAsia" w:ascii="宋体" w:hAnsi="宋体" w:cs="宋体"/>
                <w:color w:val="auto"/>
                <w:sz w:val="22"/>
                <w:highlight w:val="none"/>
              </w:rPr>
            </w:pPr>
            <w:r>
              <w:rPr>
                <w:rFonts w:hint="eastAsia" w:ascii="宋体" w:hAnsi="宋体" w:cs="宋体"/>
                <w:color w:val="auto"/>
                <w:highlight w:val="none"/>
              </w:rPr>
              <w:t>本工程中的岗位</w:t>
            </w:r>
          </w:p>
        </w:tc>
        <w:tc>
          <w:tcPr>
            <w:tcW w:w="1825" w:type="dxa"/>
            <w:vAlign w:val="center"/>
          </w:tcPr>
          <w:p w14:paraId="0DDACB44">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从事专业年限</w:t>
            </w:r>
          </w:p>
        </w:tc>
        <w:tc>
          <w:tcPr>
            <w:tcW w:w="1147" w:type="dxa"/>
            <w:vAlign w:val="center"/>
          </w:tcPr>
          <w:p w14:paraId="6F498191">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备注</w:t>
            </w:r>
          </w:p>
        </w:tc>
      </w:tr>
      <w:tr w14:paraId="1A94E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0E49A1B">
            <w:pPr>
              <w:spacing w:line="360" w:lineRule="auto"/>
              <w:jc w:val="center"/>
              <w:rPr>
                <w:rFonts w:hint="eastAsia" w:ascii="宋体" w:hAnsi="宋体" w:cs="宋体"/>
                <w:color w:val="auto"/>
                <w:sz w:val="22"/>
                <w:highlight w:val="none"/>
              </w:rPr>
            </w:pPr>
          </w:p>
        </w:tc>
        <w:tc>
          <w:tcPr>
            <w:tcW w:w="958" w:type="dxa"/>
            <w:vAlign w:val="center"/>
          </w:tcPr>
          <w:p w14:paraId="7CD399CE">
            <w:pPr>
              <w:spacing w:line="360" w:lineRule="auto"/>
              <w:jc w:val="center"/>
              <w:rPr>
                <w:rFonts w:hint="eastAsia" w:ascii="宋体" w:hAnsi="宋体" w:cs="宋体"/>
                <w:color w:val="auto"/>
                <w:sz w:val="22"/>
                <w:highlight w:val="none"/>
              </w:rPr>
            </w:pPr>
          </w:p>
        </w:tc>
        <w:tc>
          <w:tcPr>
            <w:tcW w:w="958" w:type="dxa"/>
            <w:vAlign w:val="center"/>
          </w:tcPr>
          <w:p w14:paraId="64E53952">
            <w:pPr>
              <w:spacing w:line="360" w:lineRule="auto"/>
              <w:jc w:val="center"/>
              <w:rPr>
                <w:rFonts w:hint="eastAsia" w:ascii="宋体" w:hAnsi="宋体" w:cs="宋体"/>
                <w:color w:val="auto"/>
                <w:sz w:val="22"/>
                <w:highlight w:val="none"/>
              </w:rPr>
            </w:pPr>
          </w:p>
        </w:tc>
        <w:tc>
          <w:tcPr>
            <w:tcW w:w="767" w:type="dxa"/>
            <w:vAlign w:val="center"/>
          </w:tcPr>
          <w:p w14:paraId="0F5D246B">
            <w:pPr>
              <w:spacing w:line="360" w:lineRule="auto"/>
              <w:jc w:val="center"/>
              <w:rPr>
                <w:rFonts w:hint="eastAsia" w:ascii="宋体" w:hAnsi="宋体" w:cs="宋体"/>
                <w:color w:val="auto"/>
                <w:sz w:val="22"/>
                <w:highlight w:val="none"/>
              </w:rPr>
            </w:pPr>
          </w:p>
        </w:tc>
        <w:tc>
          <w:tcPr>
            <w:tcW w:w="767" w:type="dxa"/>
            <w:vAlign w:val="center"/>
          </w:tcPr>
          <w:p w14:paraId="3B298FD9">
            <w:pPr>
              <w:spacing w:line="360" w:lineRule="auto"/>
              <w:jc w:val="center"/>
              <w:rPr>
                <w:rFonts w:hint="eastAsia" w:ascii="宋体" w:hAnsi="宋体" w:cs="宋体"/>
                <w:color w:val="auto"/>
                <w:sz w:val="22"/>
                <w:highlight w:val="none"/>
              </w:rPr>
            </w:pPr>
          </w:p>
        </w:tc>
        <w:tc>
          <w:tcPr>
            <w:tcW w:w="1340" w:type="dxa"/>
            <w:vAlign w:val="center"/>
          </w:tcPr>
          <w:p w14:paraId="3A3191A1">
            <w:pPr>
              <w:spacing w:line="360" w:lineRule="auto"/>
              <w:jc w:val="center"/>
              <w:rPr>
                <w:rFonts w:hint="eastAsia" w:ascii="宋体" w:hAnsi="宋体" w:cs="宋体"/>
                <w:color w:val="auto"/>
                <w:sz w:val="22"/>
                <w:highlight w:val="none"/>
              </w:rPr>
            </w:pPr>
          </w:p>
        </w:tc>
        <w:tc>
          <w:tcPr>
            <w:tcW w:w="1326" w:type="dxa"/>
            <w:vAlign w:val="center"/>
          </w:tcPr>
          <w:p w14:paraId="628AFC1D">
            <w:pPr>
              <w:spacing w:line="360" w:lineRule="auto"/>
              <w:jc w:val="center"/>
              <w:rPr>
                <w:rFonts w:hint="eastAsia" w:ascii="宋体" w:hAnsi="宋体" w:cs="宋体"/>
                <w:color w:val="auto"/>
                <w:sz w:val="22"/>
                <w:highlight w:val="none"/>
              </w:rPr>
            </w:pPr>
          </w:p>
        </w:tc>
        <w:tc>
          <w:tcPr>
            <w:tcW w:w="1825" w:type="dxa"/>
          </w:tcPr>
          <w:p w14:paraId="45B9886F">
            <w:pPr>
              <w:spacing w:line="360" w:lineRule="auto"/>
              <w:jc w:val="center"/>
              <w:rPr>
                <w:rFonts w:hint="eastAsia" w:ascii="宋体" w:hAnsi="宋体" w:cs="宋体"/>
                <w:color w:val="auto"/>
                <w:sz w:val="22"/>
                <w:highlight w:val="none"/>
              </w:rPr>
            </w:pPr>
          </w:p>
        </w:tc>
        <w:tc>
          <w:tcPr>
            <w:tcW w:w="1147" w:type="dxa"/>
            <w:vAlign w:val="center"/>
          </w:tcPr>
          <w:p w14:paraId="443D87EA">
            <w:pPr>
              <w:spacing w:line="360" w:lineRule="auto"/>
              <w:jc w:val="center"/>
              <w:rPr>
                <w:rFonts w:hint="eastAsia" w:ascii="宋体" w:hAnsi="宋体" w:cs="宋体"/>
                <w:color w:val="auto"/>
                <w:sz w:val="22"/>
                <w:highlight w:val="none"/>
              </w:rPr>
            </w:pPr>
          </w:p>
        </w:tc>
      </w:tr>
      <w:tr w14:paraId="22A89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5F828FC">
            <w:pPr>
              <w:spacing w:line="360" w:lineRule="auto"/>
              <w:jc w:val="center"/>
              <w:rPr>
                <w:rFonts w:hint="eastAsia" w:ascii="宋体" w:hAnsi="宋体" w:cs="宋体"/>
                <w:color w:val="auto"/>
                <w:sz w:val="22"/>
                <w:highlight w:val="none"/>
              </w:rPr>
            </w:pPr>
          </w:p>
        </w:tc>
        <w:tc>
          <w:tcPr>
            <w:tcW w:w="958" w:type="dxa"/>
            <w:vAlign w:val="center"/>
          </w:tcPr>
          <w:p w14:paraId="094EB812">
            <w:pPr>
              <w:spacing w:line="360" w:lineRule="auto"/>
              <w:jc w:val="center"/>
              <w:rPr>
                <w:rFonts w:hint="eastAsia" w:ascii="宋体" w:hAnsi="宋体" w:cs="宋体"/>
                <w:color w:val="auto"/>
                <w:sz w:val="22"/>
                <w:highlight w:val="none"/>
              </w:rPr>
            </w:pPr>
          </w:p>
        </w:tc>
        <w:tc>
          <w:tcPr>
            <w:tcW w:w="958" w:type="dxa"/>
            <w:vAlign w:val="center"/>
          </w:tcPr>
          <w:p w14:paraId="5019B6D8">
            <w:pPr>
              <w:spacing w:line="360" w:lineRule="auto"/>
              <w:jc w:val="center"/>
              <w:rPr>
                <w:rFonts w:hint="eastAsia" w:ascii="宋体" w:hAnsi="宋体" w:cs="宋体"/>
                <w:color w:val="auto"/>
                <w:sz w:val="22"/>
                <w:highlight w:val="none"/>
              </w:rPr>
            </w:pPr>
          </w:p>
        </w:tc>
        <w:tc>
          <w:tcPr>
            <w:tcW w:w="767" w:type="dxa"/>
            <w:vAlign w:val="center"/>
          </w:tcPr>
          <w:p w14:paraId="6D8C4665">
            <w:pPr>
              <w:spacing w:line="360" w:lineRule="auto"/>
              <w:jc w:val="center"/>
              <w:rPr>
                <w:rFonts w:hint="eastAsia" w:ascii="宋体" w:hAnsi="宋体" w:cs="宋体"/>
                <w:color w:val="auto"/>
                <w:sz w:val="22"/>
                <w:highlight w:val="none"/>
              </w:rPr>
            </w:pPr>
          </w:p>
        </w:tc>
        <w:tc>
          <w:tcPr>
            <w:tcW w:w="767" w:type="dxa"/>
            <w:vAlign w:val="center"/>
          </w:tcPr>
          <w:p w14:paraId="081CB5D5">
            <w:pPr>
              <w:spacing w:line="360" w:lineRule="auto"/>
              <w:jc w:val="center"/>
              <w:rPr>
                <w:rFonts w:hint="eastAsia" w:ascii="宋体" w:hAnsi="宋体" w:cs="宋体"/>
                <w:color w:val="auto"/>
                <w:sz w:val="22"/>
                <w:highlight w:val="none"/>
              </w:rPr>
            </w:pPr>
          </w:p>
        </w:tc>
        <w:tc>
          <w:tcPr>
            <w:tcW w:w="1340" w:type="dxa"/>
            <w:vAlign w:val="center"/>
          </w:tcPr>
          <w:p w14:paraId="35487ACD">
            <w:pPr>
              <w:spacing w:line="360" w:lineRule="auto"/>
              <w:jc w:val="center"/>
              <w:rPr>
                <w:rFonts w:hint="eastAsia" w:ascii="宋体" w:hAnsi="宋体" w:cs="宋体"/>
                <w:color w:val="auto"/>
                <w:sz w:val="22"/>
                <w:highlight w:val="none"/>
              </w:rPr>
            </w:pPr>
          </w:p>
        </w:tc>
        <w:tc>
          <w:tcPr>
            <w:tcW w:w="1326" w:type="dxa"/>
            <w:vAlign w:val="center"/>
          </w:tcPr>
          <w:p w14:paraId="0092F769">
            <w:pPr>
              <w:spacing w:line="360" w:lineRule="auto"/>
              <w:jc w:val="center"/>
              <w:rPr>
                <w:rFonts w:hint="eastAsia" w:ascii="宋体" w:hAnsi="宋体" w:cs="宋体"/>
                <w:color w:val="auto"/>
                <w:sz w:val="22"/>
                <w:highlight w:val="none"/>
              </w:rPr>
            </w:pPr>
          </w:p>
        </w:tc>
        <w:tc>
          <w:tcPr>
            <w:tcW w:w="1825" w:type="dxa"/>
          </w:tcPr>
          <w:p w14:paraId="7E911BFE">
            <w:pPr>
              <w:spacing w:line="360" w:lineRule="auto"/>
              <w:jc w:val="center"/>
              <w:rPr>
                <w:rFonts w:hint="eastAsia" w:ascii="宋体" w:hAnsi="宋体" w:cs="宋体"/>
                <w:color w:val="auto"/>
                <w:sz w:val="22"/>
                <w:highlight w:val="none"/>
              </w:rPr>
            </w:pPr>
          </w:p>
        </w:tc>
        <w:tc>
          <w:tcPr>
            <w:tcW w:w="1147" w:type="dxa"/>
            <w:vAlign w:val="center"/>
          </w:tcPr>
          <w:p w14:paraId="1F0D81A9">
            <w:pPr>
              <w:spacing w:line="360" w:lineRule="auto"/>
              <w:jc w:val="center"/>
              <w:rPr>
                <w:rFonts w:hint="eastAsia" w:ascii="宋体" w:hAnsi="宋体" w:cs="宋体"/>
                <w:color w:val="auto"/>
                <w:sz w:val="22"/>
                <w:highlight w:val="none"/>
              </w:rPr>
            </w:pPr>
          </w:p>
        </w:tc>
      </w:tr>
      <w:tr w14:paraId="4B9C7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AB641B4">
            <w:pPr>
              <w:spacing w:line="360" w:lineRule="auto"/>
              <w:jc w:val="center"/>
              <w:rPr>
                <w:rFonts w:hint="eastAsia" w:ascii="宋体" w:hAnsi="宋体" w:cs="宋体"/>
                <w:color w:val="auto"/>
                <w:sz w:val="22"/>
                <w:highlight w:val="none"/>
              </w:rPr>
            </w:pPr>
          </w:p>
        </w:tc>
        <w:tc>
          <w:tcPr>
            <w:tcW w:w="958" w:type="dxa"/>
            <w:vAlign w:val="center"/>
          </w:tcPr>
          <w:p w14:paraId="4A5D242A">
            <w:pPr>
              <w:spacing w:line="360" w:lineRule="auto"/>
              <w:jc w:val="center"/>
              <w:rPr>
                <w:rFonts w:hint="eastAsia" w:ascii="宋体" w:hAnsi="宋体" w:cs="宋体"/>
                <w:color w:val="auto"/>
                <w:sz w:val="22"/>
                <w:highlight w:val="none"/>
              </w:rPr>
            </w:pPr>
          </w:p>
        </w:tc>
        <w:tc>
          <w:tcPr>
            <w:tcW w:w="958" w:type="dxa"/>
            <w:vAlign w:val="center"/>
          </w:tcPr>
          <w:p w14:paraId="31794304">
            <w:pPr>
              <w:spacing w:line="360" w:lineRule="auto"/>
              <w:jc w:val="center"/>
              <w:rPr>
                <w:rFonts w:hint="eastAsia" w:ascii="宋体" w:hAnsi="宋体" w:cs="宋体"/>
                <w:color w:val="auto"/>
                <w:sz w:val="22"/>
                <w:highlight w:val="none"/>
              </w:rPr>
            </w:pPr>
          </w:p>
        </w:tc>
        <w:tc>
          <w:tcPr>
            <w:tcW w:w="767" w:type="dxa"/>
            <w:vAlign w:val="center"/>
          </w:tcPr>
          <w:p w14:paraId="5650E4E3">
            <w:pPr>
              <w:spacing w:line="360" w:lineRule="auto"/>
              <w:jc w:val="center"/>
              <w:rPr>
                <w:rFonts w:hint="eastAsia" w:ascii="宋体" w:hAnsi="宋体" w:cs="宋体"/>
                <w:color w:val="auto"/>
                <w:sz w:val="22"/>
                <w:highlight w:val="none"/>
              </w:rPr>
            </w:pPr>
          </w:p>
        </w:tc>
        <w:tc>
          <w:tcPr>
            <w:tcW w:w="767" w:type="dxa"/>
            <w:vAlign w:val="center"/>
          </w:tcPr>
          <w:p w14:paraId="258925BA">
            <w:pPr>
              <w:spacing w:line="360" w:lineRule="auto"/>
              <w:jc w:val="center"/>
              <w:rPr>
                <w:rFonts w:hint="eastAsia" w:ascii="宋体" w:hAnsi="宋体" w:cs="宋体"/>
                <w:color w:val="auto"/>
                <w:sz w:val="22"/>
                <w:highlight w:val="none"/>
              </w:rPr>
            </w:pPr>
          </w:p>
        </w:tc>
        <w:tc>
          <w:tcPr>
            <w:tcW w:w="1340" w:type="dxa"/>
            <w:vAlign w:val="center"/>
          </w:tcPr>
          <w:p w14:paraId="3EAFEE5D">
            <w:pPr>
              <w:spacing w:line="360" w:lineRule="auto"/>
              <w:jc w:val="center"/>
              <w:rPr>
                <w:rFonts w:hint="eastAsia" w:ascii="宋体" w:hAnsi="宋体" w:cs="宋体"/>
                <w:color w:val="auto"/>
                <w:sz w:val="22"/>
                <w:highlight w:val="none"/>
              </w:rPr>
            </w:pPr>
          </w:p>
        </w:tc>
        <w:tc>
          <w:tcPr>
            <w:tcW w:w="1326" w:type="dxa"/>
            <w:vAlign w:val="center"/>
          </w:tcPr>
          <w:p w14:paraId="1B823454">
            <w:pPr>
              <w:spacing w:line="360" w:lineRule="auto"/>
              <w:jc w:val="center"/>
              <w:rPr>
                <w:rFonts w:hint="eastAsia" w:ascii="宋体" w:hAnsi="宋体" w:cs="宋体"/>
                <w:color w:val="auto"/>
                <w:sz w:val="22"/>
                <w:highlight w:val="none"/>
              </w:rPr>
            </w:pPr>
          </w:p>
        </w:tc>
        <w:tc>
          <w:tcPr>
            <w:tcW w:w="1825" w:type="dxa"/>
          </w:tcPr>
          <w:p w14:paraId="052A273A">
            <w:pPr>
              <w:spacing w:line="360" w:lineRule="auto"/>
              <w:jc w:val="center"/>
              <w:rPr>
                <w:rFonts w:hint="eastAsia" w:ascii="宋体" w:hAnsi="宋体" w:cs="宋体"/>
                <w:color w:val="auto"/>
                <w:sz w:val="22"/>
                <w:highlight w:val="none"/>
              </w:rPr>
            </w:pPr>
          </w:p>
        </w:tc>
        <w:tc>
          <w:tcPr>
            <w:tcW w:w="1147" w:type="dxa"/>
            <w:vAlign w:val="center"/>
          </w:tcPr>
          <w:p w14:paraId="30AAEDD0">
            <w:pPr>
              <w:spacing w:line="360" w:lineRule="auto"/>
              <w:jc w:val="center"/>
              <w:rPr>
                <w:rFonts w:hint="eastAsia" w:ascii="宋体" w:hAnsi="宋体" w:cs="宋体"/>
                <w:color w:val="auto"/>
                <w:sz w:val="22"/>
                <w:highlight w:val="none"/>
              </w:rPr>
            </w:pPr>
          </w:p>
        </w:tc>
      </w:tr>
      <w:tr w14:paraId="1A3D5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F460C38">
            <w:pPr>
              <w:spacing w:line="360" w:lineRule="auto"/>
              <w:jc w:val="center"/>
              <w:rPr>
                <w:rFonts w:hint="eastAsia" w:ascii="宋体" w:hAnsi="宋体" w:cs="宋体"/>
                <w:color w:val="auto"/>
                <w:sz w:val="22"/>
                <w:highlight w:val="none"/>
              </w:rPr>
            </w:pPr>
          </w:p>
        </w:tc>
        <w:tc>
          <w:tcPr>
            <w:tcW w:w="958" w:type="dxa"/>
            <w:vAlign w:val="center"/>
          </w:tcPr>
          <w:p w14:paraId="3D557980">
            <w:pPr>
              <w:spacing w:line="360" w:lineRule="auto"/>
              <w:jc w:val="center"/>
              <w:rPr>
                <w:rFonts w:hint="eastAsia" w:ascii="宋体" w:hAnsi="宋体" w:cs="宋体"/>
                <w:color w:val="auto"/>
                <w:sz w:val="22"/>
                <w:highlight w:val="none"/>
              </w:rPr>
            </w:pPr>
          </w:p>
        </w:tc>
        <w:tc>
          <w:tcPr>
            <w:tcW w:w="958" w:type="dxa"/>
            <w:vAlign w:val="center"/>
          </w:tcPr>
          <w:p w14:paraId="47579036">
            <w:pPr>
              <w:spacing w:line="360" w:lineRule="auto"/>
              <w:jc w:val="center"/>
              <w:rPr>
                <w:rFonts w:hint="eastAsia" w:ascii="宋体" w:hAnsi="宋体" w:cs="宋体"/>
                <w:color w:val="auto"/>
                <w:sz w:val="22"/>
                <w:highlight w:val="none"/>
              </w:rPr>
            </w:pPr>
          </w:p>
        </w:tc>
        <w:tc>
          <w:tcPr>
            <w:tcW w:w="767" w:type="dxa"/>
            <w:vAlign w:val="center"/>
          </w:tcPr>
          <w:p w14:paraId="3AB510C4">
            <w:pPr>
              <w:spacing w:line="360" w:lineRule="auto"/>
              <w:jc w:val="center"/>
              <w:rPr>
                <w:rFonts w:hint="eastAsia" w:ascii="宋体" w:hAnsi="宋体" w:cs="宋体"/>
                <w:color w:val="auto"/>
                <w:sz w:val="22"/>
                <w:highlight w:val="none"/>
              </w:rPr>
            </w:pPr>
          </w:p>
        </w:tc>
        <w:tc>
          <w:tcPr>
            <w:tcW w:w="767" w:type="dxa"/>
            <w:vAlign w:val="center"/>
          </w:tcPr>
          <w:p w14:paraId="54F196AD">
            <w:pPr>
              <w:spacing w:line="360" w:lineRule="auto"/>
              <w:jc w:val="center"/>
              <w:rPr>
                <w:rFonts w:hint="eastAsia" w:ascii="宋体" w:hAnsi="宋体" w:cs="宋体"/>
                <w:color w:val="auto"/>
                <w:sz w:val="22"/>
                <w:highlight w:val="none"/>
              </w:rPr>
            </w:pPr>
          </w:p>
        </w:tc>
        <w:tc>
          <w:tcPr>
            <w:tcW w:w="1340" w:type="dxa"/>
            <w:vAlign w:val="center"/>
          </w:tcPr>
          <w:p w14:paraId="45941083">
            <w:pPr>
              <w:spacing w:line="360" w:lineRule="auto"/>
              <w:jc w:val="center"/>
              <w:rPr>
                <w:rFonts w:hint="eastAsia" w:ascii="宋体" w:hAnsi="宋体" w:cs="宋体"/>
                <w:color w:val="auto"/>
                <w:sz w:val="22"/>
                <w:highlight w:val="none"/>
              </w:rPr>
            </w:pPr>
          </w:p>
        </w:tc>
        <w:tc>
          <w:tcPr>
            <w:tcW w:w="1326" w:type="dxa"/>
            <w:vAlign w:val="center"/>
          </w:tcPr>
          <w:p w14:paraId="4F372CD3">
            <w:pPr>
              <w:spacing w:line="360" w:lineRule="auto"/>
              <w:jc w:val="center"/>
              <w:rPr>
                <w:rFonts w:hint="eastAsia" w:ascii="宋体" w:hAnsi="宋体" w:cs="宋体"/>
                <w:color w:val="auto"/>
                <w:sz w:val="22"/>
                <w:highlight w:val="none"/>
              </w:rPr>
            </w:pPr>
          </w:p>
        </w:tc>
        <w:tc>
          <w:tcPr>
            <w:tcW w:w="1825" w:type="dxa"/>
          </w:tcPr>
          <w:p w14:paraId="7FF3C4F9">
            <w:pPr>
              <w:spacing w:line="360" w:lineRule="auto"/>
              <w:jc w:val="center"/>
              <w:rPr>
                <w:rFonts w:hint="eastAsia" w:ascii="宋体" w:hAnsi="宋体" w:cs="宋体"/>
                <w:color w:val="auto"/>
                <w:sz w:val="22"/>
                <w:highlight w:val="none"/>
              </w:rPr>
            </w:pPr>
          </w:p>
        </w:tc>
        <w:tc>
          <w:tcPr>
            <w:tcW w:w="1147" w:type="dxa"/>
            <w:vAlign w:val="center"/>
          </w:tcPr>
          <w:p w14:paraId="089C941A">
            <w:pPr>
              <w:spacing w:line="360" w:lineRule="auto"/>
              <w:jc w:val="center"/>
              <w:rPr>
                <w:rFonts w:hint="eastAsia" w:ascii="宋体" w:hAnsi="宋体" w:cs="宋体"/>
                <w:color w:val="auto"/>
                <w:sz w:val="22"/>
                <w:highlight w:val="none"/>
              </w:rPr>
            </w:pPr>
          </w:p>
        </w:tc>
      </w:tr>
      <w:tr w14:paraId="041623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17280F4">
            <w:pPr>
              <w:spacing w:line="360" w:lineRule="auto"/>
              <w:jc w:val="center"/>
              <w:rPr>
                <w:rFonts w:hint="eastAsia" w:ascii="宋体" w:hAnsi="宋体" w:cs="宋体"/>
                <w:color w:val="auto"/>
                <w:sz w:val="22"/>
                <w:highlight w:val="none"/>
              </w:rPr>
            </w:pPr>
          </w:p>
        </w:tc>
        <w:tc>
          <w:tcPr>
            <w:tcW w:w="958" w:type="dxa"/>
            <w:vAlign w:val="center"/>
          </w:tcPr>
          <w:p w14:paraId="41802DAC">
            <w:pPr>
              <w:spacing w:line="360" w:lineRule="auto"/>
              <w:jc w:val="center"/>
              <w:rPr>
                <w:rFonts w:hint="eastAsia" w:ascii="宋体" w:hAnsi="宋体" w:cs="宋体"/>
                <w:color w:val="auto"/>
                <w:sz w:val="22"/>
                <w:highlight w:val="none"/>
              </w:rPr>
            </w:pPr>
          </w:p>
        </w:tc>
        <w:tc>
          <w:tcPr>
            <w:tcW w:w="958" w:type="dxa"/>
            <w:vAlign w:val="center"/>
          </w:tcPr>
          <w:p w14:paraId="06BB4320">
            <w:pPr>
              <w:spacing w:line="360" w:lineRule="auto"/>
              <w:jc w:val="center"/>
              <w:rPr>
                <w:rFonts w:hint="eastAsia" w:ascii="宋体" w:hAnsi="宋体" w:cs="宋体"/>
                <w:color w:val="auto"/>
                <w:sz w:val="22"/>
                <w:highlight w:val="none"/>
              </w:rPr>
            </w:pPr>
          </w:p>
        </w:tc>
        <w:tc>
          <w:tcPr>
            <w:tcW w:w="767" w:type="dxa"/>
            <w:vAlign w:val="center"/>
          </w:tcPr>
          <w:p w14:paraId="785C2FFD">
            <w:pPr>
              <w:spacing w:line="360" w:lineRule="auto"/>
              <w:jc w:val="center"/>
              <w:rPr>
                <w:rFonts w:hint="eastAsia" w:ascii="宋体" w:hAnsi="宋体" w:cs="宋体"/>
                <w:color w:val="auto"/>
                <w:sz w:val="22"/>
                <w:highlight w:val="none"/>
              </w:rPr>
            </w:pPr>
          </w:p>
        </w:tc>
        <w:tc>
          <w:tcPr>
            <w:tcW w:w="767" w:type="dxa"/>
            <w:vAlign w:val="center"/>
          </w:tcPr>
          <w:p w14:paraId="07512BFD">
            <w:pPr>
              <w:spacing w:line="360" w:lineRule="auto"/>
              <w:jc w:val="center"/>
              <w:rPr>
                <w:rFonts w:hint="eastAsia" w:ascii="宋体" w:hAnsi="宋体" w:cs="宋体"/>
                <w:color w:val="auto"/>
                <w:sz w:val="22"/>
                <w:highlight w:val="none"/>
              </w:rPr>
            </w:pPr>
          </w:p>
        </w:tc>
        <w:tc>
          <w:tcPr>
            <w:tcW w:w="1340" w:type="dxa"/>
            <w:vAlign w:val="center"/>
          </w:tcPr>
          <w:p w14:paraId="096B4E85">
            <w:pPr>
              <w:spacing w:line="360" w:lineRule="auto"/>
              <w:jc w:val="center"/>
              <w:rPr>
                <w:rFonts w:hint="eastAsia" w:ascii="宋体" w:hAnsi="宋体" w:cs="宋体"/>
                <w:color w:val="auto"/>
                <w:sz w:val="22"/>
                <w:highlight w:val="none"/>
              </w:rPr>
            </w:pPr>
          </w:p>
        </w:tc>
        <w:tc>
          <w:tcPr>
            <w:tcW w:w="1326" w:type="dxa"/>
            <w:vAlign w:val="center"/>
          </w:tcPr>
          <w:p w14:paraId="4346D404">
            <w:pPr>
              <w:spacing w:line="360" w:lineRule="auto"/>
              <w:jc w:val="center"/>
              <w:rPr>
                <w:rFonts w:hint="eastAsia" w:ascii="宋体" w:hAnsi="宋体" w:cs="宋体"/>
                <w:color w:val="auto"/>
                <w:sz w:val="22"/>
                <w:highlight w:val="none"/>
              </w:rPr>
            </w:pPr>
          </w:p>
        </w:tc>
        <w:tc>
          <w:tcPr>
            <w:tcW w:w="1825" w:type="dxa"/>
          </w:tcPr>
          <w:p w14:paraId="3883615E">
            <w:pPr>
              <w:spacing w:line="360" w:lineRule="auto"/>
              <w:jc w:val="center"/>
              <w:rPr>
                <w:rFonts w:hint="eastAsia" w:ascii="宋体" w:hAnsi="宋体" w:cs="宋体"/>
                <w:color w:val="auto"/>
                <w:sz w:val="22"/>
                <w:highlight w:val="none"/>
              </w:rPr>
            </w:pPr>
          </w:p>
        </w:tc>
        <w:tc>
          <w:tcPr>
            <w:tcW w:w="1147" w:type="dxa"/>
            <w:vAlign w:val="center"/>
          </w:tcPr>
          <w:p w14:paraId="62287E41">
            <w:pPr>
              <w:spacing w:line="360" w:lineRule="auto"/>
              <w:jc w:val="center"/>
              <w:rPr>
                <w:rFonts w:hint="eastAsia" w:ascii="宋体" w:hAnsi="宋体" w:cs="宋体"/>
                <w:color w:val="auto"/>
                <w:sz w:val="22"/>
                <w:highlight w:val="none"/>
              </w:rPr>
            </w:pPr>
          </w:p>
        </w:tc>
      </w:tr>
      <w:tr w14:paraId="0D649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8366640">
            <w:pPr>
              <w:spacing w:line="360" w:lineRule="auto"/>
              <w:jc w:val="center"/>
              <w:rPr>
                <w:rFonts w:hint="eastAsia" w:ascii="宋体" w:hAnsi="宋体" w:cs="宋体"/>
                <w:color w:val="auto"/>
                <w:sz w:val="22"/>
                <w:highlight w:val="none"/>
              </w:rPr>
            </w:pPr>
          </w:p>
        </w:tc>
        <w:tc>
          <w:tcPr>
            <w:tcW w:w="958" w:type="dxa"/>
            <w:vAlign w:val="center"/>
          </w:tcPr>
          <w:p w14:paraId="43B69FBC">
            <w:pPr>
              <w:spacing w:line="360" w:lineRule="auto"/>
              <w:jc w:val="center"/>
              <w:rPr>
                <w:rFonts w:hint="eastAsia" w:ascii="宋体" w:hAnsi="宋体" w:cs="宋体"/>
                <w:color w:val="auto"/>
                <w:sz w:val="22"/>
                <w:highlight w:val="none"/>
              </w:rPr>
            </w:pPr>
          </w:p>
        </w:tc>
        <w:tc>
          <w:tcPr>
            <w:tcW w:w="958" w:type="dxa"/>
            <w:vAlign w:val="center"/>
          </w:tcPr>
          <w:p w14:paraId="6888B07C">
            <w:pPr>
              <w:spacing w:line="360" w:lineRule="auto"/>
              <w:jc w:val="center"/>
              <w:rPr>
                <w:rFonts w:hint="eastAsia" w:ascii="宋体" w:hAnsi="宋体" w:cs="宋体"/>
                <w:color w:val="auto"/>
                <w:sz w:val="22"/>
                <w:highlight w:val="none"/>
              </w:rPr>
            </w:pPr>
          </w:p>
        </w:tc>
        <w:tc>
          <w:tcPr>
            <w:tcW w:w="767" w:type="dxa"/>
            <w:vAlign w:val="center"/>
          </w:tcPr>
          <w:p w14:paraId="598A35E3">
            <w:pPr>
              <w:spacing w:line="360" w:lineRule="auto"/>
              <w:jc w:val="center"/>
              <w:rPr>
                <w:rFonts w:hint="eastAsia" w:ascii="宋体" w:hAnsi="宋体" w:cs="宋体"/>
                <w:color w:val="auto"/>
                <w:sz w:val="22"/>
                <w:highlight w:val="none"/>
              </w:rPr>
            </w:pPr>
          </w:p>
        </w:tc>
        <w:tc>
          <w:tcPr>
            <w:tcW w:w="767" w:type="dxa"/>
            <w:vAlign w:val="center"/>
          </w:tcPr>
          <w:p w14:paraId="6A062078">
            <w:pPr>
              <w:spacing w:line="360" w:lineRule="auto"/>
              <w:jc w:val="center"/>
              <w:rPr>
                <w:rFonts w:hint="eastAsia" w:ascii="宋体" w:hAnsi="宋体" w:cs="宋体"/>
                <w:color w:val="auto"/>
                <w:sz w:val="22"/>
                <w:highlight w:val="none"/>
              </w:rPr>
            </w:pPr>
          </w:p>
        </w:tc>
        <w:tc>
          <w:tcPr>
            <w:tcW w:w="1340" w:type="dxa"/>
            <w:vAlign w:val="center"/>
          </w:tcPr>
          <w:p w14:paraId="66919D4E">
            <w:pPr>
              <w:spacing w:line="360" w:lineRule="auto"/>
              <w:jc w:val="center"/>
              <w:rPr>
                <w:rFonts w:hint="eastAsia" w:ascii="宋体" w:hAnsi="宋体" w:cs="宋体"/>
                <w:color w:val="auto"/>
                <w:sz w:val="22"/>
                <w:highlight w:val="none"/>
              </w:rPr>
            </w:pPr>
          </w:p>
        </w:tc>
        <w:tc>
          <w:tcPr>
            <w:tcW w:w="1326" w:type="dxa"/>
            <w:vAlign w:val="center"/>
          </w:tcPr>
          <w:p w14:paraId="08FB12F4">
            <w:pPr>
              <w:spacing w:line="360" w:lineRule="auto"/>
              <w:jc w:val="center"/>
              <w:rPr>
                <w:rFonts w:hint="eastAsia" w:ascii="宋体" w:hAnsi="宋体" w:cs="宋体"/>
                <w:color w:val="auto"/>
                <w:sz w:val="22"/>
                <w:highlight w:val="none"/>
              </w:rPr>
            </w:pPr>
          </w:p>
        </w:tc>
        <w:tc>
          <w:tcPr>
            <w:tcW w:w="1825" w:type="dxa"/>
          </w:tcPr>
          <w:p w14:paraId="045563D2">
            <w:pPr>
              <w:spacing w:line="360" w:lineRule="auto"/>
              <w:jc w:val="center"/>
              <w:rPr>
                <w:rFonts w:hint="eastAsia" w:ascii="宋体" w:hAnsi="宋体" w:cs="宋体"/>
                <w:color w:val="auto"/>
                <w:sz w:val="22"/>
                <w:highlight w:val="none"/>
              </w:rPr>
            </w:pPr>
          </w:p>
        </w:tc>
        <w:tc>
          <w:tcPr>
            <w:tcW w:w="1147" w:type="dxa"/>
            <w:vAlign w:val="center"/>
          </w:tcPr>
          <w:p w14:paraId="42223FD1">
            <w:pPr>
              <w:spacing w:line="360" w:lineRule="auto"/>
              <w:jc w:val="center"/>
              <w:rPr>
                <w:rFonts w:hint="eastAsia" w:ascii="宋体" w:hAnsi="宋体" w:cs="宋体"/>
                <w:color w:val="auto"/>
                <w:sz w:val="22"/>
                <w:highlight w:val="none"/>
              </w:rPr>
            </w:pPr>
          </w:p>
        </w:tc>
      </w:tr>
      <w:tr w14:paraId="0FCC9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5D134A2">
            <w:pPr>
              <w:spacing w:line="360" w:lineRule="auto"/>
              <w:jc w:val="center"/>
              <w:rPr>
                <w:rFonts w:hint="eastAsia" w:ascii="宋体" w:hAnsi="宋体" w:cs="宋体"/>
                <w:color w:val="auto"/>
                <w:sz w:val="22"/>
                <w:highlight w:val="none"/>
              </w:rPr>
            </w:pPr>
          </w:p>
        </w:tc>
        <w:tc>
          <w:tcPr>
            <w:tcW w:w="958" w:type="dxa"/>
            <w:vAlign w:val="center"/>
          </w:tcPr>
          <w:p w14:paraId="588242E8">
            <w:pPr>
              <w:spacing w:line="360" w:lineRule="auto"/>
              <w:jc w:val="center"/>
              <w:rPr>
                <w:rFonts w:hint="eastAsia" w:ascii="宋体" w:hAnsi="宋体" w:cs="宋体"/>
                <w:color w:val="auto"/>
                <w:sz w:val="22"/>
                <w:highlight w:val="none"/>
              </w:rPr>
            </w:pPr>
          </w:p>
        </w:tc>
        <w:tc>
          <w:tcPr>
            <w:tcW w:w="958" w:type="dxa"/>
            <w:vAlign w:val="center"/>
          </w:tcPr>
          <w:p w14:paraId="08BCC178">
            <w:pPr>
              <w:spacing w:line="360" w:lineRule="auto"/>
              <w:jc w:val="center"/>
              <w:rPr>
                <w:rFonts w:hint="eastAsia" w:ascii="宋体" w:hAnsi="宋体" w:cs="宋体"/>
                <w:color w:val="auto"/>
                <w:sz w:val="22"/>
                <w:highlight w:val="none"/>
              </w:rPr>
            </w:pPr>
          </w:p>
        </w:tc>
        <w:tc>
          <w:tcPr>
            <w:tcW w:w="767" w:type="dxa"/>
            <w:vAlign w:val="center"/>
          </w:tcPr>
          <w:p w14:paraId="54720218">
            <w:pPr>
              <w:spacing w:line="360" w:lineRule="auto"/>
              <w:jc w:val="center"/>
              <w:rPr>
                <w:rFonts w:hint="eastAsia" w:ascii="宋体" w:hAnsi="宋体" w:cs="宋体"/>
                <w:color w:val="auto"/>
                <w:sz w:val="22"/>
                <w:highlight w:val="none"/>
              </w:rPr>
            </w:pPr>
          </w:p>
        </w:tc>
        <w:tc>
          <w:tcPr>
            <w:tcW w:w="767" w:type="dxa"/>
            <w:vAlign w:val="center"/>
          </w:tcPr>
          <w:p w14:paraId="70B78965">
            <w:pPr>
              <w:spacing w:line="360" w:lineRule="auto"/>
              <w:jc w:val="center"/>
              <w:rPr>
                <w:rFonts w:hint="eastAsia" w:ascii="宋体" w:hAnsi="宋体" w:cs="宋体"/>
                <w:color w:val="auto"/>
                <w:sz w:val="22"/>
                <w:highlight w:val="none"/>
              </w:rPr>
            </w:pPr>
          </w:p>
        </w:tc>
        <w:tc>
          <w:tcPr>
            <w:tcW w:w="1340" w:type="dxa"/>
            <w:vAlign w:val="center"/>
          </w:tcPr>
          <w:p w14:paraId="01DFA90A">
            <w:pPr>
              <w:spacing w:line="360" w:lineRule="auto"/>
              <w:jc w:val="center"/>
              <w:rPr>
                <w:rFonts w:hint="eastAsia" w:ascii="宋体" w:hAnsi="宋体" w:cs="宋体"/>
                <w:color w:val="auto"/>
                <w:sz w:val="22"/>
                <w:highlight w:val="none"/>
              </w:rPr>
            </w:pPr>
          </w:p>
        </w:tc>
        <w:tc>
          <w:tcPr>
            <w:tcW w:w="1326" w:type="dxa"/>
            <w:vAlign w:val="center"/>
          </w:tcPr>
          <w:p w14:paraId="79721CCA">
            <w:pPr>
              <w:spacing w:line="360" w:lineRule="auto"/>
              <w:jc w:val="center"/>
              <w:rPr>
                <w:rFonts w:hint="eastAsia" w:ascii="宋体" w:hAnsi="宋体" w:cs="宋体"/>
                <w:color w:val="auto"/>
                <w:sz w:val="22"/>
                <w:highlight w:val="none"/>
              </w:rPr>
            </w:pPr>
          </w:p>
        </w:tc>
        <w:tc>
          <w:tcPr>
            <w:tcW w:w="1825" w:type="dxa"/>
          </w:tcPr>
          <w:p w14:paraId="3A46101C">
            <w:pPr>
              <w:spacing w:line="360" w:lineRule="auto"/>
              <w:jc w:val="center"/>
              <w:rPr>
                <w:rFonts w:hint="eastAsia" w:ascii="宋体" w:hAnsi="宋体" w:cs="宋体"/>
                <w:color w:val="auto"/>
                <w:sz w:val="22"/>
                <w:highlight w:val="none"/>
              </w:rPr>
            </w:pPr>
          </w:p>
        </w:tc>
        <w:tc>
          <w:tcPr>
            <w:tcW w:w="1147" w:type="dxa"/>
            <w:vAlign w:val="center"/>
          </w:tcPr>
          <w:p w14:paraId="2B035D5D">
            <w:pPr>
              <w:spacing w:line="360" w:lineRule="auto"/>
              <w:jc w:val="center"/>
              <w:rPr>
                <w:rFonts w:hint="eastAsia" w:ascii="宋体" w:hAnsi="宋体" w:cs="宋体"/>
                <w:color w:val="auto"/>
                <w:sz w:val="22"/>
                <w:highlight w:val="none"/>
              </w:rPr>
            </w:pPr>
          </w:p>
        </w:tc>
      </w:tr>
      <w:tr w14:paraId="7BC4F5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227BDCD">
            <w:pPr>
              <w:spacing w:line="360" w:lineRule="auto"/>
              <w:jc w:val="center"/>
              <w:rPr>
                <w:rFonts w:hint="eastAsia" w:ascii="宋体" w:hAnsi="宋体" w:cs="宋体"/>
                <w:color w:val="auto"/>
                <w:sz w:val="22"/>
                <w:highlight w:val="none"/>
              </w:rPr>
            </w:pPr>
          </w:p>
        </w:tc>
        <w:tc>
          <w:tcPr>
            <w:tcW w:w="958" w:type="dxa"/>
            <w:vAlign w:val="center"/>
          </w:tcPr>
          <w:p w14:paraId="36E51156">
            <w:pPr>
              <w:spacing w:line="360" w:lineRule="auto"/>
              <w:jc w:val="center"/>
              <w:rPr>
                <w:rFonts w:hint="eastAsia" w:ascii="宋体" w:hAnsi="宋体" w:cs="宋体"/>
                <w:color w:val="auto"/>
                <w:sz w:val="22"/>
                <w:highlight w:val="none"/>
              </w:rPr>
            </w:pPr>
          </w:p>
        </w:tc>
        <w:tc>
          <w:tcPr>
            <w:tcW w:w="958" w:type="dxa"/>
            <w:vAlign w:val="center"/>
          </w:tcPr>
          <w:p w14:paraId="09B2E40B">
            <w:pPr>
              <w:spacing w:line="360" w:lineRule="auto"/>
              <w:jc w:val="center"/>
              <w:rPr>
                <w:rFonts w:hint="eastAsia" w:ascii="宋体" w:hAnsi="宋体" w:cs="宋体"/>
                <w:color w:val="auto"/>
                <w:sz w:val="22"/>
                <w:highlight w:val="none"/>
              </w:rPr>
            </w:pPr>
          </w:p>
        </w:tc>
        <w:tc>
          <w:tcPr>
            <w:tcW w:w="767" w:type="dxa"/>
            <w:vAlign w:val="center"/>
          </w:tcPr>
          <w:p w14:paraId="7A40DD95">
            <w:pPr>
              <w:spacing w:line="360" w:lineRule="auto"/>
              <w:jc w:val="center"/>
              <w:rPr>
                <w:rFonts w:hint="eastAsia" w:ascii="宋体" w:hAnsi="宋体" w:cs="宋体"/>
                <w:color w:val="auto"/>
                <w:sz w:val="22"/>
                <w:highlight w:val="none"/>
              </w:rPr>
            </w:pPr>
          </w:p>
        </w:tc>
        <w:tc>
          <w:tcPr>
            <w:tcW w:w="767" w:type="dxa"/>
            <w:vAlign w:val="center"/>
          </w:tcPr>
          <w:p w14:paraId="3364EF8B">
            <w:pPr>
              <w:spacing w:line="360" w:lineRule="auto"/>
              <w:jc w:val="center"/>
              <w:rPr>
                <w:rFonts w:hint="eastAsia" w:ascii="宋体" w:hAnsi="宋体" w:cs="宋体"/>
                <w:color w:val="auto"/>
                <w:sz w:val="22"/>
                <w:highlight w:val="none"/>
              </w:rPr>
            </w:pPr>
          </w:p>
        </w:tc>
        <w:tc>
          <w:tcPr>
            <w:tcW w:w="1340" w:type="dxa"/>
            <w:vAlign w:val="center"/>
          </w:tcPr>
          <w:p w14:paraId="31958FA3">
            <w:pPr>
              <w:spacing w:line="360" w:lineRule="auto"/>
              <w:jc w:val="center"/>
              <w:rPr>
                <w:rFonts w:hint="eastAsia" w:ascii="宋体" w:hAnsi="宋体" w:cs="宋体"/>
                <w:color w:val="auto"/>
                <w:sz w:val="22"/>
                <w:highlight w:val="none"/>
              </w:rPr>
            </w:pPr>
          </w:p>
        </w:tc>
        <w:tc>
          <w:tcPr>
            <w:tcW w:w="1326" w:type="dxa"/>
            <w:vAlign w:val="center"/>
          </w:tcPr>
          <w:p w14:paraId="70595CFF">
            <w:pPr>
              <w:spacing w:line="360" w:lineRule="auto"/>
              <w:jc w:val="center"/>
              <w:rPr>
                <w:rFonts w:hint="eastAsia" w:ascii="宋体" w:hAnsi="宋体" w:cs="宋体"/>
                <w:color w:val="auto"/>
                <w:sz w:val="22"/>
                <w:highlight w:val="none"/>
              </w:rPr>
            </w:pPr>
          </w:p>
        </w:tc>
        <w:tc>
          <w:tcPr>
            <w:tcW w:w="1825" w:type="dxa"/>
          </w:tcPr>
          <w:p w14:paraId="5EF110AF">
            <w:pPr>
              <w:spacing w:line="360" w:lineRule="auto"/>
              <w:jc w:val="center"/>
              <w:rPr>
                <w:rFonts w:hint="eastAsia" w:ascii="宋体" w:hAnsi="宋体" w:cs="宋体"/>
                <w:color w:val="auto"/>
                <w:sz w:val="22"/>
                <w:highlight w:val="none"/>
              </w:rPr>
            </w:pPr>
          </w:p>
        </w:tc>
        <w:tc>
          <w:tcPr>
            <w:tcW w:w="1147" w:type="dxa"/>
            <w:vAlign w:val="center"/>
          </w:tcPr>
          <w:p w14:paraId="70828357">
            <w:pPr>
              <w:spacing w:line="360" w:lineRule="auto"/>
              <w:jc w:val="center"/>
              <w:rPr>
                <w:rFonts w:hint="eastAsia" w:ascii="宋体" w:hAnsi="宋体" w:cs="宋体"/>
                <w:color w:val="auto"/>
                <w:sz w:val="22"/>
                <w:highlight w:val="none"/>
              </w:rPr>
            </w:pPr>
          </w:p>
        </w:tc>
      </w:tr>
      <w:tr w14:paraId="11888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09CB9F5">
            <w:pPr>
              <w:spacing w:line="360" w:lineRule="auto"/>
              <w:jc w:val="center"/>
              <w:rPr>
                <w:rFonts w:hint="eastAsia" w:ascii="宋体" w:hAnsi="宋体" w:cs="宋体"/>
                <w:color w:val="auto"/>
                <w:sz w:val="22"/>
                <w:highlight w:val="none"/>
              </w:rPr>
            </w:pPr>
          </w:p>
        </w:tc>
        <w:tc>
          <w:tcPr>
            <w:tcW w:w="958" w:type="dxa"/>
            <w:vAlign w:val="center"/>
          </w:tcPr>
          <w:p w14:paraId="56482B55">
            <w:pPr>
              <w:spacing w:line="360" w:lineRule="auto"/>
              <w:jc w:val="center"/>
              <w:rPr>
                <w:rFonts w:hint="eastAsia" w:ascii="宋体" w:hAnsi="宋体" w:cs="宋体"/>
                <w:color w:val="auto"/>
                <w:sz w:val="22"/>
                <w:highlight w:val="none"/>
              </w:rPr>
            </w:pPr>
          </w:p>
        </w:tc>
        <w:tc>
          <w:tcPr>
            <w:tcW w:w="958" w:type="dxa"/>
            <w:vAlign w:val="center"/>
          </w:tcPr>
          <w:p w14:paraId="62A81ED9">
            <w:pPr>
              <w:spacing w:line="360" w:lineRule="auto"/>
              <w:jc w:val="center"/>
              <w:rPr>
                <w:rFonts w:hint="eastAsia" w:ascii="宋体" w:hAnsi="宋体" w:cs="宋体"/>
                <w:color w:val="auto"/>
                <w:sz w:val="22"/>
                <w:highlight w:val="none"/>
              </w:rPr>
            </w:pPr>
          </w:p>
        </w:tc>
        <w:tc>
          <w:tcPr>
            <w:tcW w:w="767" w:type="dxa"/>
            <w:vAlign w:val="center"/>
          </w:tcPr>
          <w:p w14:paraId="455EDBEB">
            <w:pPr>
              <w:spacing w:line="360" w:lineRule="auto"/>
              <w:jc w:val="center"/>
              <w:rPr>
                <w:rFonts w:hint="eastAsia" w:ascii="宋体" w:hAnsi="宋体" w:cs="宋体"/>
                <w:color w:val="auto"/>
                <w:sz w:val="22"/>
                <w:highlight w:val="none"/>
              </w:rPr>
            </w:pPr>
          </w:p>
        </w:tc>
        <w:tc>
          <w:tcPr>
            <w:tcW w:w="767" w:type="dxa"/>
            <w:vAlign w:val="center"/>
          </w:tcPr>
          <w:p w14:paraId="4F739DF2">
            <w:pPr>
              <w:spacing w:line="360" w:lineRule="auto"/>
              <w:jc w:val="center"/>
              <w:rPr>
                <w:rFonts w:hint="eastAsia" w:ascii="宋体" w:hAnsi="宋体" w:cs="宋体"/>
                <w:color w:val="auto"/>
                <w:sz w:val="22"/>
                <w:highlight w:val="none"/>
              </w:rPr>
            </w:pPr>
          </w:p>
        </w:tc>
        <w:tc>
          <w:tcPr>
            <w:tcW w:w="1340" w:type="dxa"/>
            <w:vAlign w:val="center"/>
          </w:tcPr>
          <w:p w14:paraId="2B48FD7F">
            <w:pPr>
              <w:spacing w:line="360" w:lineRule="auto"/>
              <w:jc w:val="center"/>
              <w:rPr>
                <w:rFonts w:hint="eastAsia" w:ascii="宋体" w:hAnsi="宋体" w:cs="宋体"/>
                <w:color w:val="auto"/>
                <w:sz w:val="22"/>
                <w:highlight w:val="none"/>
              </w:rPr>
            </w:pPr>
          </w:p>
        </w:tc>
        <w:tc>
          <w:tcPr>
            <w:tcW w:w="1326" w:type="dxa"/>
            <w:vAlign w:val="center"/>
          </w:tcPr>
          <w:p w14:paraId="583E998F">
            <w:pPr>
              <w:spacing w:line="360" w:lineRule="auto"/>
              <w:jc w:val="center"/>
              <w:rPr>
                <w:rFonts w:hint="eastAsia" w:ascii="宋体" w:hAnsi="宋体" w:cs="宋体"/>
                <w:color w:val="auto"/>
                <w:sz w:val="22"/>
                <w:highlight w:val="none"/>
              </w:rPr>
            </w:pPr>
          </w:p>
        </w:tc>
        <w:tc>
          <w:tcPr>
            <w:tcW w:w="1825" w:type="dxa"/>
          </w:tcPr>
          <w:p w14:paraId="5DA801A3">
            <w:pPr>
              <w:spacing w:line="360" w:lineRule="auto"/>
              <w:jc w:val="center"/>
              <w:rPr>
                <w:rFonts w:hint="eastAsia" w:ascii="宋体" w:hAnsi="宋体" w:cs="宋体"/>
                <w:color w:val="auto"/>
                <w:sz w:val="22"/>
                <w:highlight w:val="none"/>
              </w:rPr>
            </w:pPr>
          </w:p>
        </w:tc>
        <w:tc>
          <w:tcPr>
            <w:tcW w:w="1147" w:type="dxa"/>
            <w:vAlign w:val="center"/>
          </w:tcPr>
          <w:p w14:paraId="51432C46">
            <w:pPr>
              <w:spacing w:line="360" w:lineRule="auto"/>
              <w:jc w:val="center"/>
              <w:rPr>
                <w:rFonts w:hint="eastAsia" w:ascii="宋体" w:hAnsi="宋体" w:cs="宋体"/>
                <w:color w:val="auto"/>
                <w:sz w:val="22"/>
                <w:highlight w:val="none"/>
              </w:rPr>
            </w:pPr>
          </w:p>
        </w:tc>
      </w:tr>
      <w:tr w14:paraId="418DF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2A61DC8">
            <w:pPr>
              <w:spacing w:line="360" w:lineRule="auto"/>
              <w:jc w:val="center"/>
              <w:rPr>
                <w:rFonts w:hint="eastAsia" w:ascii="宋体" w:hAnsi="宋体" w:cs="宋体"/>
                <w:color w:val="auto"/>
                <w:sz w:val="22"/>
                <w:highlight w:val="none"/>
              </w:rPr>
            </w:pPr>
          </w:p>
        </w:tc>
        <w:tc>
          <w:tcPr>
            <w:tcW w:w="958" w:type="dxa"/>
            <w:vAlign w:val="center"/>
          </w:tcPr>
          <w:p w14:paraId="3A645090">
            <w:pPr>
              <w:spacing w:line="360" w:lineRule="auto"/>
              <w:jc w:val="center"/>
              <w:rPr>
                <w:rFonts w:hint="eastAsia" w:ascii="宋体" w:hAnsi="宋体" w:cs="宋体"/>
                <w:color w:val="auto"/>
                <w:sz w:val="22"/>
                <w:highlight w:val="none"/>
              </w:rPr>
            </w:pPr>
          </w:p>
        </w:tc>
        <w:tc>
          <w:tcPr>
            <w:tcW w:w="958" w:type="dxa"/>
            <w:vAlign w:val="center"/>
          </w:tcPr>
          <w:p w14:paraId="24B9D984">
            <w:pPr>
              <w:spacing w:line="360" w:lineRule="auto"/>
              <w:jc w:val="center"/>
              <w:rPr>
                <w:rFonts w:hint="eastAsia" w:ascii="宋体" w:hAnsi="宋体" w:cs="宋体"/>
                <w:color w:val="auto"/>
                <w:sz w:val="22"/>
                <w:highlight w:val="none"/>
              </w:rPr>
            </w:pPr>
          </w:p>
        </w:tc>
        <w:tc>
          <w:tcPr>
            <w:tcW w:w="767" w:type="dxa"/>
            <w:vAlign w:val="center"/>
          </w:tcPr>
          <w:p w14:paraId="69F33EF6">
            <w:pPr>
              <w:spacing w:line="360" w:lineRule="auto"/>
              <w:jc w:val="center"/>
              <w:rPr>
                <w:rFonts w:hint="eastAsia" w:ascii="宋体" w:hAnsi="宋体" w:cs="宋体"/>
                <w:color w:val="auto"/>
                <w:sz w:val="22"/>
                <w:highlight w:val="none"/>
              </w:rPr>
            </w:pPr>
          </w:p>
        </w:tc>
        <w:tc>
          <w:tcPr>
            <w:tcW w:w="767" w:type="dxa"/>
            <w:vAlign w:val="center"/>
          </w:tcPr>
          <w:p w14:paraId="1A2C1B8E">
            <w:pPr>
              <w:spacing w:line="360" w:lineRule="auto"/>
              <w:jc w:val="center"/>
              <w:rPr>
                <w:rFonts w:hint="eastAsia" w:ascii="宋体" w:hAnsi="宋体" w:cs="宋体"/>
                <w:color w:val="auto"/>
                <w:sz w:val="22"/>
                <w:highlight w:val="none"/>
              </w:rPr>
            </w:pPr>
          </w:p>
        </w:tc>
        <w:tc>
          <w:tcPr>
            <w:tcW w:w="1340" w:type="dxa"/>
            <w:vAlign w:val="center"/>
          </w:tcPr>
          <w:p w14:paraId="1F4048A7">
            <w:pPr>
              <w:spacing w:line="360" w:lineRule="auto"/>
              <w:jc w:val="center"/>
              <w:rPr>
                <w:rFonts w:hint="eastAsia" w:ascii="宋体" w:hAnsi="宋体" w:cs="宋体"/>
                <w:color w:val="auto"/>
                <w:sz w:val="22"/>
                <w:highlight w:val="none"/>
              </w:rPr>
            </w:pPr>
          </w:p>
        </w:tc>
        <w:tc>
          <w:tcPr>
            <w:tcW w:w="1326" w:type="dxa"/>
            <w:vAlign w:val="center"/>
          </w:tcPr>
          <w:p w14:paraId="281D7537">
            <w:pPr>
              <w:spacing w:line="360" w:lineRule="auto"/>
              <w:jc w:val="center"/>
              <w:rPr>
                <w:rFonts w:hint="eastAsia" w:ascii="宋体" w:hAnsi="宋体" w:cs="宋体"/>
                <w:color w:val="auto"/>
                <w:sz w:val="22"/>
                <w:highlight w:val="none"/>
              </w:rPr>
            </w:pPr>
          </w:p>
        </w:tc>
        <w:tc>
          <w:tcPr>
            <w:tcW w:w="1825" w:type="dxa"/>
          </w:tcPr>
          <w:p w14:paraId="3B500223">
            <w:pPr>
              <w:spacing w:line="360" w:lineRule="auto"/>
              <w:jc w:val="center"/>
              <w:rPr>
                <w:rFonts w:hint="eastAsia" w:ascii="宋体" w:hAnsi="宋体" w:cs="宋体"/>
                <w:color w:val="auto"/>
                <w:sz w:val="22"/>
                <w:highlight w:val="none"/>
              </w:rPr>
            </w:pPr>
          </w:p>
        </w:tc>
        <w:tc>
          <w:tcPr>
            <w:tcW w:w="1147" w:type="dxa"/>
            <w:vAlign w:val="center"/>
          </w:tcPr>
          <w:p w14:paraId="3362A2AD">
            <w:pPr>
              <w:spacing w:line="360" w:lineRule="auto"/>
              <w:jc w:val="center"/>
              <w:rPr>
                <w:rFonts w:hint="eastAsia" w:ascii="宋体" w:hAnsi="宋体" w:cs="宋体"/>
                <w:color w:val="auto"/>
                <w:sz w:val="22"/>
                <w:highlight w:val="none"/>
              </w:rPr>
            </w:pPr>
          </w:p>
        </w:tc>
      </w:tr>
      <w:tr w14:paraId="1AB61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B7E32DB">
            <w:pPr>
              <w:spacing w:line="360" w:lineRule="auto"/>
              <w:jc w:val="center"/>
              <w:rPr>
                <w:rFonts w:hint="eastAsia" w:ascii="宋体" w:hAnsi="宋体" w:cs="宋体"/>
                <w:color w:val="auto"/>
                <w:sz w:val="22"/>
                <w:highlight w:val="none"/>
              </w:rPr>
            </w:pPr>
          </w:p>
        </w:tc>
        <w:tc>
          <w:tcPr>
            <w:tcW w:w="958" w:type="dxa"/>
            <w:vAlign w:val="center"/>
          </w:tcPr>
          <w:p w14:paraId="487EC716">
            <w:pPr>
              <w:spacing w:line="360" w:lineRule="auto"/>
              <w:jc w:val="center"/>
              <w:rPr>
                <w:rFonts w:hint="eastAsia" w:ascii="宋体" w:hAnsi="宋体" w:cs="宋体"/>
                <w:color w:val="auto"/>
                <w:sz w:val="22"/>
                <w:highlight w:val="none"/>
              </w:rPr>
            </w:pPr>
          </w:p>
        </w:tc>
        <w:tc>
          <w:tcPr>
            <w:tcW w:w="958" w:type="dxa"/>
            <w:vAlign w:val="center"/>
          </w:tcPr>
          <w:p w14:paraId="4537D969">
            <w:pPr>
              <w:spacing w:line="360" w:lineRule="auto"/>
              <w:jc w:val="center"/>
              <w:rPr>
                <w:rFonts w:hint="eastAsia" w:ascii="宋体" w:hAnsi="宋体" w:cs="宋体"/>
                <w:color w:val="auto"/>
                <w:sz w:val="22"/>
                <w:highlight w:val="none"/>
              </w:rPr>
            </w:pPr>
          </w:p>
        </w:tc>
        <w:tc>
          <w:tcPr>
            <w:tcW w:w="767" w:type="dxa"/>
            <w:vAlign w:val="center"/>
          </w:tcPr>
          <w:p w14:paraId="5B06F6F3">
            <w:pPr>
              <w:spacing w:line="360" w:lineRule="auto"/>
              <w:jc w:val="center"/>
              <w:rPr>
                <w:rFonts w:hint="eastAsia" w:ascii="宋体" w:hAnsi="宋体" w:cs="宋体"/>
                <w:color w:val="auto"/>
                <w:sz w:val="22"/>
                <w:highlight w:val="none"/>
              </w:rPr>
            </w:pPr>
          </w:p>
        </w:tc>
        <w:tc>
          <w:tcPr>
            <w:tcW w:w="767" w:type="dxa"/>
            <w:vAlign w:val="center"/>
          </w:tcPr>
          <w:p w14:paraId="13027E8A">
            <w:pPr>
              <w:spacing w:line="360" w:lineRule="auto"/>
              <w:jc w:val="center"/>
              <w:rPr>
                <w:rFonts w:hint="eastAsia" w:ascii="宋体" w:hAnsi="宋体" w:cs="宋体"/>
                <w:color w:val="auto"/>
                <w:sz w:val="22"/>
                <w:highlight w:val="none"/>
              </w:rPr>
            </w:pPr>
          </w:p>
        </w:tc>
        <w:tc>
          <w:tcPr>
            <w:tcW w:w="1340" w:type="dxa"/>
            <w:vAlign w:val="center"/>
          </w:tcPr>
          <w:p w14:paraId="11A86E27">
            <w:pPr>
              <w:spacing w:line="360" w:lineRule="auto"/>
              <w:jc w:val="center"/>
              <w:rPr>
                <w:rFonts w:hint="eastAsia" w:ascii="宋体" w:hAnsi="宋体" w:cs="宋体"/>
                <w:color w:val="auto"/>
                <w:sz w:val="22"/>
                <w:highlight w:val="none"/>
              </w:rPr>
            </w:pPr>
          </w:p>
        </w:tc>
        <w:tc>
          <w:tcPr>
            <w:tcW w:w="1326" w:type="dxa"/>
            <w:vAlign w:val="center"/>
          </w:tcPr>
          <w:p w14:paraId="21400E3E">
            <w:pPr>
              <w:spacing w:line="360" w:lineRule="auto"/>
              <w:jc w:val="center"/>
              <w:rPr>
                <w:rFonts w:hint="eastAsia" w:ascii="宋体" w:hAnsi="宋体" w:cs="宋体"/>
                <w:color w:val="auto"/>
                <w:sz w:val="22"/>
                <w:highlight w:val="none"/>
              </w:rPr>
            </w:pPr>
          </w:p>
        </w:tc>
        <w:tc>
          <w:tcPr>
            <w:tcW w:w="1825" w:type="dxa"/>
          </w:tcPr>
          <w:p w14:paraId="46D8CA60">
            <w:pPr>
              <w:spacing w:line="360" w:lineRule="auto"/>
              <w:jc w:val="center"/>
              <w:rPr>
                <w:rFonts w:hint="eastAsia" w:ascii="宋体" w:hAnsi="宋体" w:cs="宋体"/>
                <w:color w:val="auto"/>
                <w:sz w:val="22"/>
                <w:highlight w:val="none"/>
              </w:rPr>
            </w:pPr>
          </w:p>
        </w:tc>
        <w:tc>
          <w:tcPr>
            <w:tcW w:w="1147" w:type="dxa"/>
            <w:vAlign w:val="center"/>
          </w:tcPr>
          <w:p w14:paraId="64A42404">
            <w:pPr>
              <w:spacing w:line="360" w:lineRule="auto"/>
              <w:jc w:val="center"/>
              <w:rPr>
                <w:rFonts w:hint="eastAsia" w:ascii="宋体" w:hAnsi="宋体" w:cs="宋体"/>
                <w:color w:val="auto"/>
                <w:sz w:val="22"/>
                <w:highlight w:val="none"/>
              </w:rPr>
            </w:pPr>
          </w:p>
        </w:tc>
      </w:tr>
      <w:tr w14:paraId="4B8A3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C19DB0B">
            <w:pPr>
              <w:spacing w:line="360" w:lineRule="auto"/>
              <w:jc w:val="center"/>
              <w:rPr>
                <w:rFonts w:hint="eastAsia" w:ascii="宋体" w:hAnsi="宋体" w:cs="宋体"/>
                <w:color w:val="auto"/>
                <w:sz w:val="22"/>
                <w:highlight w:val="none"/>
              </w:rPr>
            </w:pPr>
          </w:p>
        </w:tc>
        <w:tc>
          <w:tcPr>
            <w:tcW w:w="958" w:type="dxa"/>
            <w:vAlign w:val="center"/>
          </w:tcPr>
          <w:p w14:paraId="3EDAF5E2">
            <w:pPr>
              <w:spacing w:line="360" w:lineRule="auto"/>
              <w:jc w:val="center"/>
              <w:rPr>
                <w:rFonts w:hint="eastAsia" w:ascii="宋体" w:hAnsi="宋体" w:cs="宋体"/>
                <w:color w:val="auto"/>
                <w:sz w:val="22"/>
                <w:highlight w:val="none"/>
              </w:rPr>
            </w:pPr>
          </w:p>
        </w:tc>
        <w:tc>
          <w:tcPr>
            <w:tcW w:w="958" w:type="dxa"/>
            <w:vAlign w:val="center"/>
          </w:tcPr>
          <w:p w14:paraId="58E94A4D">
            <w:pPr>
              <w:spacing w:line="360" w:lineRule="auto"/>
              <w:jc w:val="center"/>
              <w:rPr>
                <w:rFonts w:hint="eastAsia" w:ascii="宋体" w:hAnsi="宋体" w:cs="宋体"/>
                <w:color w:val="auto"/>
                <w:sz w:val="22"/>
                <w:highlight w:val="none"/>
              </w:rPr>
            </w:pPr>
          </w:p>
        </w:tc>
        <w:tc>
          <w:tcPr>
            <w:tcW w:w="767" w:type="dxa"/>
            <w:vAlign w:val="center"/>
          </w:tcPr>
          <w:p w14:paraId="08B62951">
            <w:pPr>
              <w:spacing w:line="360" w:lineRule="auto"/>
              <w:jc w:val="center"/>
              <w:rPr>
                <w:rFonts w:hint="eastAsia" w:ascii="宋体" w:hAnsi="宋体" w:cs="宋体"/>
                <w:color w:val="auto"/>
                <w:sz w:val="22"/>
                <w:highlight w:val="none"/>
              </w:rPr>
            </w:pPr>
          </w:p>
        </w:tc>
        <w:tc>
          <w:tcPr>
            <w:tcW w:w="767" w:type="dxa"/>
            <w:vAlign w:val="center"/>
          </w:tcPr>
          <w:p w14:paraId="188116DA">
            <w:pPr>
              <w:spacing w:line="360" w:lineRule="auto"/>
              <w:jc w:val="center"/>
              <w:rPr>
                <w:rFonts w:hint="eastAsia" w:ascii="宋体" w:hAnsi="宋体" w:cs="宋体"/>
                <w:color w:val="auto"/>
                <w:sz w:val="22"/>
                <w:highlight w:val="none"/>
              </w:rPr>
            </w:pPr>
          </w:p>
        </w:tc>
        <w:tc>
          <w:tcPr>
            <w:tcW w:w="1340" w:type="dxa"/>
            <w:vAlign w:val="center"/>
          </w:tcPr>
          <w:p w14:paraId="16336F8B">
            <w:pPr>
              <w:spacing w:line="360" w:lineRule="auto"/>
              <w:jc w:val="center"/>
              <w:rPr>
                <w:rFonts w:hint="eastAsia" w:ascii="宋体" w:hAnsi="宋体" w:cs="宋体"/>
                <w:color w:val="auto"/>
                <w:sz w:val="22"/>
                <w:highlight w:val="none"/>
              </w:rPr>
            </w:pPr>
          </w:p>
        </w:tc>
        <w:tc>
          <w:tcPr>
            <w:tcW w:w="1326" w:type="dxa"/>
            <w:vAlign w:val="center"/>
          </w:tcPr>
          <w:p w14:paraId="29953BF4">
            <w:pPr>
              <w:spacing w:line="360" w:lineRule="auto"/>
              <w:jc w:val="center"/>
              <w:rPr>
                <w:rFonts w:hint="eastAsia" w:ascii="宋体" w:hAnsi="宋体" w:cs="宋体"/>
                <w:color w:val="auto"/>
                <w:sz w:val="22"/>
                <w:highlight w:val="none"/>
              </w:rPr>
            </w:pPr>
          </w:p>
        </w:tc>
        <w:tc>
          <w:tcPr>
            <w:tcW w:w="1825" w:type="dxa"/>
          </w:tcPr>
          <w:p w14:paraId="292A8B02">
            <w:pPr>
              <w:spacing w:line="360" w:lineRule="auto"/>
              <w:jc w:val="center"/>
              <w:rPr>
                <w:rFonts w:hint="eastAsia" w:ascii="宋体" w:hAnsi="宋体" w:cs="宋体"/>
                <w:color w:val="auto"/>
                <w:sz w:val="22"/>
                <w:highlight w:val="none"/>
              </w:rPr>
            </w:pPr>
          </w:p>
        </w:tc>
        <w:tc>
          <w:tcPr>
            <w:tcW w:w="1147" w:type="dxa"/>
            <w:vAlign w:val="center"/>
          </w:tcPr>
          <w:p w14:paraId="0360A166">
            <w:pPr>
              <w:spacing w:line="360" w:lineRule="auto"/>
              <w:jc w:val="center"/>
              <w:rPr>
                <w:rFonts w:hint="eastAsia" w:ascii="宋体" w:hAnsi="宋体" w:cs="宋体"/>
                <w:color w:val="auto"/>
                <w:sz w:val="22"/>
                <w:highlight w:val="none"/>
              </w:rPr>
            </w:pPr>
          </w:p>
        </w:tc>
      </w:tr>
      <w:tr w14:paraId="57720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B8AFAA4">
            <w:pPr>
              <w:spacing w:line="360" w:lineRule="auto"/>
              <w:jc w:val="center"/>
              <w:rPr>
                <w:rFonts w:hint="eastAsia" w:ascii="宋体" w:hAnsi="宋体" w:cs="宋体"/>
                <w:color w:val="auto"/>
                <w:sz w:val="22"/>
                <w:highlight w:val="none"/>
              </w:rPr>
            </w:pPr>
          </w:p>
        </w:tc>
        <w:tc>
          <w:tcPr>
            <w:tcW w:w="958" w:type="dxa"/>
            <w:vAlign w:val="center"/>
          </w:tcPr>
          <w:p w14:paraId="3FC0BCFC">
            <w:pPr>
              <w:spacing w:line="360" w:lineRule="auto"/>
              <w:jc w:val="center"/>
              <w:rPr>
                <w:rFonts w:hint="eastAsia" w:ascii="宋体" w:hAnsi="宋体" w:cs="宋体"/>
                <w:color w:val="auto"/>
                <w:sz w:val="22"/>
                <w:highlight w:val="none"/>
              </w:rPr>
            </w:pPr>
          </w:p>
        </w:tc>
        <w:tc>
          <w:tcPr>
            <w:tcW w:w="958" w:type="dxa"/>
            <w:vAlign w:val="center"/>
          </w:tcPr>
          <w:p w14:paraId="5AA7C9A6">
            <w:pPr>
              <w:spacing w:line="360" w:lineRule="auto"/>
              <w:jc w:val="center"/>
              <w:rPr>
                <w:rFonts w:hint="eastAsia" w:ascii="宋体" w:hAnsi="宋体" w:cs="宋体"/>
                <w:color w:val="auto"/>
                <w:sz w:val="22"/>
                <w:highlight w:val="none"/>
              </w:rPr>
            </w:pPr>
          </w:p>
        </w:tc>
        <w:tc>
          <w:tcPr>
            <w:tcW w:w="767" w:type="dxa"/>
            <w:vAlign w:val="center"/>
          </w:tcPr>
          <w:p w14:paraId="660F1ECC">
            <w:pPr>
              <w:spacing w:line="360" w:lineRule="auto"/>
              <w:jc w:val="center"/>
              <w:rPr>
                <w:rFonts w:hint="eastAsia" w:ascii="宋体" w:hAnsi="宋体" w:cs="宋体"/>
                <w:color w:val="auto"/>
                <w:sz w:val="22"/>
                <w:highlight w:val="none"/>
              </w:rPr>
            </w:pPr>
          </w:p>
        </w:tc>
        <w:tc>
          <w:tcPr>
            <w:tcW w:w="767" w:type="dxa"/>
            <w:vAlign w:val="center"/>
          </w:tcPr>
          <w:p w14:paraId="73CD6C58">
            <w:pPr>
              <w:spacing w:line="360" w:lineRule="auto"/>
              <w:jc w:val="center"/>
              <w:rPr>
                <w:rFonts w:hint="eastAsia" w:ascii="宋体" w:hAnsi="宋体" w:cs="宋体"/>
                <w:color w:val="auto"/>
                <w:sz w:val="22"/>
                <w:highlight w:val="none"/>
              </w:rPr>
            </w:pPr>
          </w:p>
        </w:tc>
        <w:tc>
          <w:tcPr>
            <w:tcW w:w="1340" w:type="dxa"/>
            <w:vAlign w:val="center"/>
          </w:tcPr>
          <w:p w14:paraId="2881629C">
            <w:pPr>
              <w:spacing w:line="360" w:lineRule="auto"/>
              <w:jc w:val="center"/>
              <w:rPr>
                <w:rFonts w:hint="eastAsia" w:ascii="宋体" w:hAnsi="宋体" w:cs="宋体"/>
                <w:color w:val="auto"/>
                <w:sz w:val="22"/>
                <w:highlight w:val="none"/>
              </w:rPr>
            </w:pPr>
          </w:p>
        </w:tc>
        <w:tc>
          <w:tcPr>
            <w:tcW w:w="1326" w:type="dxa"/>
            <w:vAlign w:val="center"/>
          </w:tcPr>
          <w:p w14:paraId="15FB0EB4">
            <w:pPr>
              <w:spacing w:line="360" w:lineRule="auto"/>
              <w:jc w:val="center"/>
              <w:rPr>
                <w:rFonts w:hint="eastAsia" w:ascii="宋体" w:hAnsi="宋体" w:cs="宋体"/>
                <w:color w:val="auto"/>
                <w:sz w:val="22"/>
                <w:highlight w:val="none"/>
              </w:rPr>
            </w:pPr>
          </w:p>
        </w:tc>
        <w:tc>
          <w:tcPr>
            <w:tcW w:w="1825" w:type="dxa"/>
          </w:tcPr>
          <w:p w14:paraId="7D5647BF">
            <w:pPr>
              <w:spacing w:line="360" w:lineRule="auto"/>
              <w:jc w:val="center"/>
              <w:rPr>
                <w:rFonts w:hint="eastAsia" w:ascii="宋体" w:hAnsi="宋体" w:cs="宋体"/>
                <w:color w:val="auto"/>
                <w:sz w:val="22"/>
                <w:highlight w:val="none"/>
              </w:rPr>
            </w:pPr>
          </w:p>
        </w:tc>
        <w:tc>
          <w:tcPr>
            <w:tcW w:w="1147" w:type="dxa"/>
            <w:vAlign w:val="center"/>
          </w:tcPr>
          <w:p w14:paraId="0A447A4A">
            <w:pPr>
              <w:spacing w:line="360" w:lineRule="auto"/>
              <w:jc w:val="center"/>
              <w:rPr>
                <w:rFonts w:hint="eastAsia" w:ascii="宋体" w:hAnsi="宋体" w:cs="宋体"/>
                <w:color w:val="auto"/>
                <w:sz w:val="22"/>
                <w:highlight w:val="none"/>
              </w:rPr>
            </w:pPr>
          </w:p>
        </w:tc>
      </w:tr>
      <w:tr w14:paraId="6258D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859BFCD">
            <w:pPr>
              <w:spacing w:line="360" w:lineRule="auto"/>
              <w:jc w:val="center"/>
              <w:rPr>
                <w:rFonts w:hint="eastAsia" w:ascii="宋体" w:hAnsi="宋体" w:cs="宋体"/>
                <w:color w:val="auto"/>
                <w:sz w:val="22"/>
                <w:highlight w:val="none"/>
              </w:rPr>
            </w:pPr>
          </w:p>
        </w:tc>
        <w:tc>
          <w:tcPr>
            <w:tcW w:w="958" w:type="dxa"/>
            <w:vAlign w:val="center"/>
          </w:tcPr>
          <w:p w14:paraId="7F6A0FA7">
            <w:pPr>
              <w:spacing w:line="360" w:lineRule="auto"/>
              <w:jc w:val="center"/>
              <w:rPr>
                <w:rFonts w:hint="eastAsia" w:ascii="宋体" w:hAnsi="宋体" w:cs="宋体"/>
                <w:color w:val="auto"/>
                <w:sz w:val="22"/>
                <w:highlight w:val="none"/>
              </w:rPr>
            </w:pPr>
          </w:p>
        </w:tc>
        <w:tc>
          <w:tcPr>
            <w:tcW w:w="958" w:type="dxa"/>
            <w:vAlign w:val="center"/>
          </w:tcPr>
          <w:p w14:paraId="3B0E5B98">
            <w:pPr>
              <w:spacing w:line="360" w:lineRule="auto"/>
              <w:jc w:val="center"/>
              <w:rPr>
                <w:rFonts w:hint="eastAsia" w:ascii="宋体" w:hAnsi="宋体" w:cs="宋体"/>
                <w:color w:val="auto"/>
                <w:sz w:val="22"/>
                <w:highlight w:val="none"/>
              </w:rPr>
            </w:pPr>
          </w:p>
        </w:tc>
        <w:tc>
          <w:tcPr>
            <w:tcW w:w="767" w:type="dxa"/>
            <w:vAlign w:val="center"/>
          </w:tcPr>
          <w:p w14:paraId="5E66C158">
            <w:pPr>
              <w:spacing w:line="360" w:lineRule="auto"/>
              <w:jc w:val="center"/>
              <w:rPr>
                <w:rFonts w:hint="eastAsia" w:ascii="宋体" w:hAnsi="宋体" w:cs="宋体"/>
                <w:color w:val="auto"/>
                <w:sz w:val="22"/>
                <w:highlight w:val="none"/>
              </w:rPr>
            </w:pPr>
          </w:p>
        </w:tc>
        <w:tc>
          <w:tcPr>
            <w:tcW w:w="767" w:type="dxa"/>
            <w:vAlign w:val="center"/>
          </w:tcPr>
          <w:p w14:paraId="1A8BFF06">
            <w:pPr>
              <w:spacing w:line="360" w:lineRule="auto"/>
              <w:jc w:val="center"/>
              <w:rPr>
                <w:rFonts w:hint="eastAsia" w:ascii="宋体" w:hAnsi="宋体" w:cs="宋体"/>
                <w:color w:val="auto"/>
                <w:sz w:val="22"/>
                <w:highlight w:val="none"/>
              </w:rPr>
            </w:pPr>
          </w:p>
        </w:tc>
        <w:tc>
          <w:tcPr>
            <w:tcW w:w="1340" w:type="dxa"/>
            <w:vAlign w:val="center"/>
          </w:tcPr>
          <w:p w14:paraId="520635CB">
            <w:pPr>
              <w:spacing w:line="360" w:lineRule="auto"/>
              <w:jc w:val="center"/>
              <w:rPr>
                <w:rFonts w:hint="eastAsia" w:ascii="宋体" w:hAnsi="宋体" w:cs="宋体"/>
                <w:color w:val="auto"/>
                <w:sz w:val="22"/>
                <w:highlight w:val="none"/>
              </w:rPr>
            </w:pPr>
          </w:p>
        </w:tc>
        <w:tc>
          <w:tcPr>
            <w:tcW w:w="1326" w:type="dxa"/>
            <w:vAlign w:val="center"/>
          </w:tcPr>
          <w:p w14:paraId="3918AD04">
            <w:pPr>
              <w:spacing w:line="360" w:lineRule="auto"/>
              <w:jc w:val="center"/>
              <w:rPr>
                <w:rFonts w:hint="eastAsia" w:ascii="宋体" w:hAnsi="宋体" w:cs="宋体"/>
                <w:color w:val="auto"/>
                <w:sz w:val="22"/>
                <w:highlight w:val="none"/>
              </w:rPr>
            </w:pPr>
          </w:p>
        </w:tc>
        <w:tc>
          <w:tcPr>
            <w:tcW w:w="1825" w:type="dxa"/>
          </w:tcPr>
          <w:p w14:paraId="4FAF0C37">
            <w:pPr>
              <w:spacing w:line="360" w:lineRule="auto"/>
              <w:jc w:val="center"/>
              <w:rPr>
                <w:rFonts w:hint="eastAsia" w:ascii="宋体" w:hAnsi="宋体" w:cs="宋体"/>
                <w:color w:val="auto"/>
                <w:sz w:val="22"/>
                <w:highlight w:val="none"/>
              </w:rPr>
            </w:pPr>
          </w:p>
        </w:tc>
        <w:tc>
          <w:tcPr>
            <w:tcW w:w="1147" w:type="dxa"/>
            <w:vAlign w:val="center"/>
          </w:tcPr>
          <w:p w14:paraId="5C31BA94">
            <w:pPr>
              <w:spacing w:line="360" w:lineRule="auto"/>
              <w:jc w:val="center"/>
              <w:rPr>
                <w:rFonts w:hint="eastAsia" w:ascii="宋体" w:hAnsi="宋体" w:cs="宋体"/>
                <w:color w:val="auto"/>
                <w:sz w:val="22"/>
                <w:highlight w:val="none"/>
              </w:rPr>
            </w:pPr>
          </w:p>
        </w:tc>
      </w:tr>
      <w:tr w14:paraId="2F076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71C86C2">
            <w:pPr>
              <w:spacing w:line="360" w:lineRule="auto"/>
              <w:jc w:val="center"/>
              <w:rPr>
                <w:rFonts w:hint="eastAsia" w:ascii="宋体" w:hAnsi="宋体" w:cs="宋体"/>
                <w:color w:val="auto"/>
                <w:sz w:val="22"/>
                <w:highlight w:val="none"/>
              </w:rPr>
            </w:pPr>
          </w:p>
        </w:tc>
        <w:tc>
          <w:tcPr>
            <w:tcW w:w="958" w:type="dxa"/>
            <w:vAlign w:val="center"/>
          </w:tcPr>
          <w:p w14:paraId="69854F5E">
            <w:pPr>
              <w:spacing w:line="360" w:lineRule="auto"/>
              <w:jc w:val="center"/>
              <w:rPr>
                <w:rFonts w:hint="eastAsia" w:ascii="宋体" w:hAnsi="宋体" w:cs="宋体"/>
                <w:color w:val="auto"/>
                <w:sz w:val="22"/>
                <w:highlight w:val="none"/>
              </w:rPr>
            </w:pPr>
          </w:p>
        </w:tc>
        <w:tc>
          <w:tcPr>
            <w:tcW w:w="958" w:type="dxa"/>
            <w:vAlign w:val="center"/>
          </w:tcPr>
          <w:p w14:paraId="0CA97B03">
            <w:pPr>
              <w:spacing w:line="360" w:lineRule="auto"/>
              <w:jc w:val="center"/>
              <w:rPr>
                <w:rFonts w:hint="eastAsia" w:ascii="宋体" w:hAnsi="宋体" w:cs="宋体"/>
                <w:color w:val="auto"/>
                <w:sz w:val="22"/>
                <w:highlight w:val="none"/>
              </w:rPr>
            </w:pPr>
          </w:p>
        </w:tc>
        <w:tc>
          <w:tcPr>
            <w:tcW w:w="767" w:type="dxa"/>
            <w:vAlign w:val="center"/>
          </w:tcPr>
          <w:p w14:paraId="61A851DF">
            <w:pPr>
              <w:spacing w:line="360" w:lineRule="auto"/>
              <w:jc w:val="center"/>
              <w:rPr>
                <w:rFonts w:hint="eastAsia" w:ascii="宋体" w:hAnsi="宋体" w:cs="宋体"/>
                <w:color w:val="auto"/>
                <w:sz w:val="22"/>
                <w:highlight w:val="none"/>
              </w:rPr>
            </w:pPr>
          </w:p>
        </w:tc>
        <w:tc>
          <w:tcPr>
            <w:tcW w:w="767" w:type="dxa"/>
            <w:vAlign w:val="center"/>
          </w:tcPr>
          <w:p w14:paraId="5FB6E072">
            <w:pPr>
              <w:spacing w:line="360" w:lineRule="auto"/>
              <w:jc w:val="center"/>
              <w:rPr>
                <w:rFonts w:hint="eastAsia" w:ascii="宋体" w:hAnsi="宋体" w:cs="宋体"/>
                <w:color w:val="auto"/>
                <w:sz w:val="22"/>
                <w:highlight w:val="none"/>
              </w:rPr>
            </w:pPr>
          </w:p>
        </w:tc>
        <w:tc>
          <w:tcPr>
            <w:tcW w:w="1340" w:type="dxa"/>
            <w:vAlign w:val="center"/>
          </w:tcPr>
          <w:p w14:paraId="335E78E9">
            <w:pPr>
              <w:spacing w:line="360" w:lineRule="auto"/>
              <w:jc w:val="center"/>
              <w:rPr>
                <w:rFonts w:hint="eastAsia" w:ascii="宋体" w:hAnsi="宋体" w:cs="宋体"/>
                <w:color w:val="auto"/>
                <w:sz w:val="22"/>
                <w:highlight w:val="none"/>
              </w:rPr>
            </w:pPr>
          </w:p>
        </w:tc>
        <w:tc>
          <w:tcPr>
            <w:tcW w:w="1326" w:type="dxa"/>
            <w:vAlign w:val="center"/>
          </w:tcPr>
          <w:p w14:paraId="296FB370">
            <w:pPr>
              <w:spacing w:line="360" w:lineRule="auto"/>
              <w:jc w:val="center"/>
              <w:rPr>
                <w:rFonts w:hint="eastAsia" w:ascii="宋体" w:hAnsi="宋体" w:cs="宋体"/>
                <w:color w:val="auto"/>
                <w:sz w:val="22"/>
                <w:highlight w:val="none"/>
              </w:rPr>
            </w:pPr>
          </w:p>
        </w:tc>
        <w:tc>
          <w:tcPr>
            <w:tcW w:w="1825" w:type="dxa"/>
          </w:tcPr>
          <w:p w14:paraId="7348354B">
            <w:pPr>
              <w:spacing w:line="360" w:lineRule="auto"/>
              <w:jc w:val="center"/>
              <w:rPr>
                <w:rFonts w:hint="eastAsia" w:ascii="宋体" w:hAnsi="宋体" w:cs="宋体"/>
                <w:color w:val="auto"/>
                <w:sz w:val="22"/>
                <w:highlight w:val="none"/>
              </w:rPr>
            </w:pPr>
          </w:p>
        </w:tc>
        <w:tc>
          <w:tcPr>
            <w:tcW w:w="1147" w:type="dxa"/>
            <w:vAlign w:val="center"/>
          </w:tcPr>
          <w:p w14:paraId="0C881072">
            <w:pPr>
              <w:spacing w:line="360" w:lineRule="auto"/>
              <w:jc w:val="center"/>
              <w:rPr>
                <w:rFonts w:hint="eastAsia" w:ascii="宋体" w:hAnsi="宋体" w:cs="宋体"/>
                <w:color w:val="auto"/>
                <w:sz w:val="22"/>
                <w:highlight w:val="none"/>
              </w:rPr>
            </w:pPr>
          </w:p>
        </w:tc>
      </w:tr>
      <w:tr w14:paraId="1709C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A64E11D">
            <w:pPr>
              <w:spacing w:line="360" w:lineRule="auto"/>
              <w:jc w:val="center"/>
              <w:rPr>
                <w:rFonts w:hint="eastAsia" w:ascii="宋体" w:hAnsi="宋体" w:cs="宋体"/>
                <w:color w:val="auto"/>
                <w:sz w:val="22"/>
                <w:highlight w:val="none"/>
              </w:rPr>
            </w:pPr>
          </w:p>
        </w:tc>
        <w:tc>
          <w:tcPr>
            <w:tcW w:w="958" w:type="dxa"/>
            <w:vAlign w:val="center"/>
          </w:tcPr>
          <w:p w14:paraId="3E0C5D8F">
            <w:pPr>
              <w:spacing w:line="360" w:lineRule="auto"/>
              <w:jc w:val="center"/>
              <w:rPr>
                <w:rFonts w:hint="eastAsia" w:ascii="宋体" w:hAnsi="宋体" w:cs="宋体"/>
                <w:color w:val="auto"/>
                <w:sz w:val="22"/>
                <w:highlight w:val="none"/>
              </w:rPr>
            </w:pPr>
          </w:p>
        </w:tc>
        <w:tc>
          <w:tcPr>
            <w:tcW w:w="958" w:type="dxa"/>
            <w:vAlign w:val="center"/>
          </w:tcPr>
          <w:p w14:paraId="1C5FF270">
            <w:pPr>
              <w:spacing w:line="360" w:lineRule="auto"/>
              <w:jc w:val="center"/>
              <w:rPr>
                <w:rFonts w:hint="eastAsia" w:ascii="宋体" w:hAnsi="宋体" w:cs="宋体"/>
                <w:color w:val="auto"/>
                <w:sz w:val="22"/>
                <w:highlight w:val="none"/>
              </w:rPr>
            </w:pPr>
          </w:p>
        </w:tc>
        <w:tc>
          <w:tcPr>
            <w:tcW w:w="767" w:type="dxa"/>
            <w:vAlign w:val="center"/>
          </w:tcPr>
          <w:p w14:paraId="6BE47B57">
            <w:pPr>
              <w:spacing w:line="360" w:lineRule="auto"/>
              <w:jc w:val="center"/>
              <w:rPr>
                <w:rFonts w:hint="eastAsia" w:ascii="宋体" w:hAnsi="宋体" w:cs="宋体"/>
                <w:color w:val="auto"/>
                <w:sz w:val="22"/>
                <w:highlight w:val="none"/>
              </w:rPr>
            </w:pPr>
          </w:p>
        </w:tc>
        <w:tc>
          <w:tcPr>
            <w:tcW w:w="767" w:type="dxa"/>
            <w:vAlign w:val="center"/>
          </w:tcPr>
          <w:p w14:paraId="0E1E066D">
            <w:pPr>
              <w:spacing w:line="360" w:lineRule="auto"/>
              <w:jc w:val="center"/>
              <w:rPr>
                <w:rFonts w:hint="eastAsia" w:ascii="宋体" w:hAnsi="宋体" w:cs="宋体"/>
                <w:color w:val="auto"/>
                <w:sz w:val="22"/>
                <w:highlight w:val="none"/>
              </w:rPr>
            </w:pPr>
          </w:p>
        </w:tc>
        <w:tc>
          <w:tcPr>
            <w:tcW w:w="1340" w:type="dxa"/>
            <w:vAlign w:val="center"/>
          </w:tcPr>
          <w:p w14:paraId="53DB9910">
            <w:pPr>
              <w:spacing w:line="360" w:lineRule="auto"/>
              <w:jc w:val="center"/>
              <w:rPr>
                <w:rFonts w:hint="eastAsia" w:ascii="宋体" w:hAnsi="宋体" w:cs="宋体"/>
                <w:color w:val="auto"/>
                <w:sz w:val="22"/>
                <w:highlight w:val="none"/>
              </w:rPr>
            </w:pPr>
          </w:p>
        </w:tc>
        <w:tc>
          <w:tcPr>
            <w:tcW w:w="1326" w:type="dxa"/>
            <w:vAlign w:val="center"/>
          </w:tcPr>
          <w:p w14:paraId="7C9F4BA9">
            <w:pPr>
              <w:spacing w:line="360" w:lineRule="auto"/>
              <w:jc w:val="center"/>
              <w:rPr>
                <w:rFonts w:hint="eastAsia" w:ascii="宋体" w:hAnsi="宋体" w:cs="宋体"/>
                <w:color w:val="auto"/>
                <w:sz w:val="22"/>
                <w:highlight w:val="none"/>
              </w:rPr>
            </w:pPr>
          </w:p>
        </w:tc>
        <w:tc>
          <w:tcPr>
            <w:tcW w:w="1825" w:type="dxa"/>
          </w:tcPr>
          <w:p w14:paraId="4B979CB8">
            <w:pPr>
              <w:spacing w:line="360" w:lineRule="auto"/>
              <w:jc w:val="center"/>
              <w:rPr>
                <w:rFonts w:hint="eastAsia" w:ascii="宋体" w:hAnsi="宋体" w:cs="宋体"/>
                <w:color w:val="auto"/>
                <w:sz w:val="22"/>
                <w:highlight w:val="none"/>
              </w:rPr>
            </w:pPr>
          </w:p>
        </w:tc>
        <w:tc>
          <w:tcPr>
            <w:tcW w:w="1147" w:type="dxa"/>
            <w:vAlign w:val="center"/>
          </w:tcPr>
          <w:p w14:paraId="7D6274E2">
            <w:pPr>
              <w:spacing w:line="360" w:lineRule="auto"/>
              <w:jc w:val="center"/>
              <w:rPr>
                <w:rFonts w:hint="eastAsia" w:ascii="宋体" w:hAnsi="宋体" w:cs="宋体"/>
                <w:color w:val="auto"/>
                <w:sz w:val="22"/>
                <w:highlight w:val="none"/>
              </w:rPr>
            </w:pPr>
          </w:p>
        </w:tc>
      </w:tr>
      <w:tr w14:paraId="2349E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767B061">
            <w:pPr>
              <w:spacing w:line="360" w:lineRule="auto"/>
              <w:jc w:val="center"/>
              <w:rPr>
                <w:rFonts w:hint="eastAsia" w:ascii="宋体" w:hAnsi="宋体" w:cs="宋体"/>
                <w:color w:val="auto"/>
                <w:sz w:val="22"/>
                <w:highlight w:val="none"/>
              </w:rPr>
            </w:pPr>
          </w:p>
        </w:tc>
        <w:tc>
          <w:tcPr>
            <w:tcW w:w="958" w:type="dxa"/>
            <w:vAlign w:val="center"/>
          </w:tcPr>
          <w:p w14:paraId="72E13211">
            <w:pPr>
              <w:spacing w:line="360" w:lineRule="auto"/>
              <w:jc w:val="center"/>
              <w:rPr>
                <w:rFonts w:hint="eastAsia" w:ascii="宋体" w:hAnsi="宋体" w:cs="宋体"/>
                <w:color w:val="auto"/>
                <w:sz w:val="22"/>
                <w:highlight w:val="none"/>
              </w:rPr>
            </w:pPr>
          </w:p>
        </w:tc>
        <w:tc>
          <w:tcPr>
            <w:tcW w:w="958" w:type="dxa"/>
            <w:vAlign w:val="center"/>
          </w:tcPr>
          <w:p w14:paraId="3FE66865">
            <w:pPr>
              <w:spacing w:line="360" w:lineRule="auto"/>
              <w:jc w:val="center"/>
              <w:rPr>
                <w:rFonts w:hint="eastAsia" w:ascii="宋体" w:hAnsi="宋体" w:cs="宋体"/>
                <w:color w:val="auto"/>
                <w:sz w:val="22"/>
                <w:highlight w:val="none"/>
              </w:rPr>
            </w:pPr>
          </w:p>
        </w:tc>
        <w:tc>
          <w:tcPr>
            <w:tcW w:w="767" w:type="dxa"/>
            <w:vAlign w:val="center"/>
          </w:tcPr>
          <w:p w14:paraId="4C70F9FD">
            <w:pPr>
              <w:spacing w:line="360" w:lineRule="auto"/>
              <w:jc w:val="center"/>
              <w:rPr>
                <w:rFonts w:hint="eastAsia" w:ascii="宋体" w:hAnsi="宋体" w:cs="宋体"/>
                <w:color w:val="auto"/>
                <w:sz w:val="22"/>
                <w:highlight w:val="none"/>
              </w:rPr>
            </w:pPr>
          </w:p>
        </w:tc>
        <w:tc>
          <w:tcPr>
            <w:tcW w:w="767" w:type="dxa"/>
            <w:vAlign w:val="center"/>
          </w:tcPr>
          <w:p w14:paraId="1B4118F6">
            <w:pPr>
              <w:spacing w:line="360" w:lineRule="auto"/>
              <w:jc w:val="center"/>
              <w:rPr>
                <w:rFonts w:hint="eastAsia" w:ascii="宋体" w:hAnsi="宋体" w:cs="宋体"/>
                <w:color w:val="auto"/>
                <w:sz w:val="22"/>
                <w:highlight w:val="none"/>
              </w:rPr>
            </w:pPr>
          </w:p>
        </w:tc>
        <w:tc>
          <w:tcPr>
            <w:tcW w:w="1340" w:type="dxa"/>
            <w:vAlign w:val="center"/>
          </w:tcPr>
          <w:p w14:paraId="4C3C5D0B">
            <w:pPr>
              <w:spacing w:line="360" w:lineRule="auto"/>
              <w:jc w:val="center"/>
              <w:rPr>
                <w:rFonts w:hint="eastAsia" w:ascii="宋体" w:hAnsi="宋体" w:cs="宋体"/>
                <w:color w:val="auto"/>
                <w:sz w:val="22"/>
                <w:highlight w:val="none"/>
              </w:rPr>
            </w:pPr>
          </w:p>
        </w:tc>
        <w:tc>
          <w:tcPr>
            <w:tcW w:w="1326" w:type="dxa"/>
            <w:vAlign w:val="center"/>
          </w:tcPr>
          <w:p w14:paraId="52BF439D">
            <w:pPr>
              <w:spacing w:line="360" w:lineRule="auto"/>
              <w:jc w:val="center"/>
              <w:rPr>
                <w:rFonts w:hint="eastAsia" w:ascii="宋体" w:hAnsi="宋体" w:cs="宋体"/>
                <w:color w:val="auto"/>
                <w:sz w:val="22"/>
                <w:highlight w:val="none"/>
              </w:rPr>
            </w:pPr>
          </w:p>
        </w:tc>
        <w:tc>
          <w:tcPr>
            <w:tcW w:w="1825" w:type="dxa"/>
          </w:tcPr>
          <w:p w14:paraId="2D9E3A36">
            <w:pPr>
              <w:spacing w:line="360" w:lineRule="auto"/>
              <w:jc w:val="center"/>
              <w:rPr>
                <w:rFonts w:hint="eastAsia" w:ascii="宋体" w:hAnsi="宋体" w:cs="宋体"/>
                <w:color w:val="auto"/>
                <w:sz w:val="22"/>
                <w:highlight w:val="none"/>
              </w:rPr>
            </w:pPr>
          </w:p>
        </w:tc>
        <w:tc>
          <w:tcPr>
            <w:tcW w:w="1147" w:type="dxa"/>
            <w:vAlign w:val="center"/>
          </w:tcPr>
          <w:p w14:paraId="1896251A">
            <w:pPr>
              <w:spacing w:line="360" w:lineRule="auto"/>
              <w:jc w:val="center"/>
              <w:rPr>
                <w:rFonts w:hint="eastAsia" w:ascii="宋体" w:hAnsi="宋体" w:cs="宋体"/>
                <w:color w:val="auto"/>
                <w:sz w:val="22"/>
                <w:highlight w:val="none"/>
              </w:rPr>
            </w:pPr>
          </w:p>
        </w:tc>
      </w:tr>
    </w:tbl>
    <w:p w14:paraId="5B04DBFA">
      <w:pPr>
        <w:pStyle w:val="30"/>
        <w:spacing w:line="400" w:lineRule="atLeast"/>
        <w:ind w:left="660" w:hanging="660" w:hangingChars="300"/>
        <w:rPr>
          <w:rFonts w:hint="eastAsia" w:hAnsi="宋体" w:cs="宋体"/>
          <w:color w:val="auto"/>
          <w:sz w:val="22"/>
          <w:highlight w:val="none"/>
        </w:rPr>
      </w:pPr>
      <w:r>
        <w:rPr>
          <w:rFonts w:hint="eastAsia" w:hAnsi="宋体" w:cs="宋体"/>
          <w:color w:val="auto"/>
          <w:sz w:val="22"/>
          <w:highlight w:val="none"/>
        </w:rPr>
        <w:t>注：此表仅提供了表格形式，供应商可按此表格复制。</w:t>
      </w:r>
    </w:p>
    <w:p w14:paraId="23767CFB">
      <w:pPr>
        <w:spacing w:line="380" w:lineRule="exact"/>
        <w:ind w:firstLine="4400" w:firstLineChars="2000"/>
        <w:rPr>
          <w:rFonts w:hint="eastAsia" w:ascii="宋体" w:hAnsi="宋体" w:cs="宋体"/>
          <w:color w:val="auto"/>
          <w:sz w:val="22"/>
          <w:szCs w:val="22"/>
          <w:highlight w:val="none"/>
        </w:rPr>
      </w:pPr>
    </w:p>
    <w:p w14:paraId="71F28CCE">
      <w:pPr>
        <w:spacing w:line="380" w:lineRule="exact"/>
        <w:ind w:firstLine="4400" w:firstLineChars="2000"/>
        <w:rPr>
          <w:rFonts w:hint="eastAsia" w:ascii="宋体" w:hAnsi="宋体" w:cs="宋体"/>
          <w:color w:val="auto"/>
          <w:sz w:val="22"/>
          <w:szCs w:val="22"/>
          <w:highlight w:val="none"/>
        </w:rPr>
      </w:pPr>
    </w:p>
    <w:p w14:paraId="626AB1D6">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4D89F2B7">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02FF12A5">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1B581066">
      <w:pPr>
        <w:pStyle w:val="4"/>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附件四</w:t>
      </w:r>
    </w:p>
    <w:p w14:paraId="2D6FC305">
      <w:pPr>
        <w:pStyle w:val="30"/>
        <w:spacing w:line="400" w:lineRule="atLeast"/>
        <w:ind w:left="843" w:hanging="843" w:hangingChars="300"/>
        <w:jc w:val="center"/>
        <w:rPr>
          <w:rFonts w:hint="eastAsia" w:hAnsi="宋体" w:cs="宋体"/>
          <w:b/>
          <w:color w:val="auto"/>
          <w:sz w:val="28"/>
          <w:szCs w:val="28"/>
          <w:highlight w:val="none"/>
        </w:rPr>
      </w:pPr>
      <w:r>
        <w:rPr>
          <w:rFonts w:hint="eastAsia" w:hAnsi="宋体" w:cs="宋体"/>
          <w:b/>
          <w:color w:val="auto"/>
          <w:sz w:val="28"/>
          <w:szCs w:val="28"/>
          <w:highlight w:val="none"/>
        </w:rPr>
        <w:t>同类项目业绩</w:t>
      </w:r>
    </w:p>
    <w:p w14:paraId="75A84D34">
      <w:pPr>
        <w:spacing w:line="460" w:lineRule="exact"/>
        <w:rPr>
          <w:rFonts w:hint="eastAsia" w:ascii="宋体" w:hAnsi="宋体" w:cs="宋体"/>
          <w:b/>
          <w:bCs/>
          <w:color w:val="auto"/>
          <w:sz w:val="28"/>
          <w:szCs w:val="28"/>
          <w:highlight w:val="none"/>
        </w:rPr>
      </w:pPr>
      <w:r>
        <w:rPr>
          <w:rFonts w:hint="eastAsia" w:ascii="宋体" w:hAnsi="宋体" w:cs="宋体"/>
          <w:b/>
          <w:bCs/>
          <w:color w:val="auto"/>
          <w:sz w:val="22"/>
          <w:szCs w:val="22"/>
          <w:highlight w:val="none"/>
        </w:rPr>
        <w:t>项目名称：                                              项目编号：</w:t>
      </w:r>
    </w:p>
    <w:tbl>
      <w:tblPr>
        <w:tblStyle w:val="54"/>
        <w:tblW w:w="955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223"/>
        <w:gridCol w:w="2160"/>
        <w:gridCol w:w="1440"/>
        <w:gridCol w:w="1260"/>
        <w:gridCol w:w="1633"/>
      </w:tblGrid>
      <w:tr w14:paraId="4BD6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23821271">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223" w:type="dxa"/>
            <w:vAlign w:val="center"/>
          </w:tcPr>
          <w:p w14:paraId="1A366047">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项目内容</w:t>
            </w:r>
          </w:p>
        </w:tc>
        <w:tc>
          <w:tcPr>
            <w:tcW w:w="2160" w:type="dxa"/>
            <w:vAlign w:val="center"/>
          </w:tcPr>
          <w:p w14:paraId="60A3009A">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用户单位</w:t>
            </w:r>
          </w:p>
        </w:tc>
        <w:tc>
          <w:tcPr>
            <w:tcW w:w="1440" w:type="dxa"/>
            <w:vAlign w:val="center"/>
          </w:tcPr>
          <w:p w14:paraId="2841019C">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合同金额</w:t>
            </w:r>
          </w:p>
        </w:tc>
        <w:tc>
          <w:tcPr>
            <w:tcW w:w="1260" w:type="dxa"/>
            <w:vAlign w:val="center"/>
          </w:tcPr>
          <w:p w14:paraId="5D00956E">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合同日期</w:t>
            </w:r>
          </w:p>
        </w:tc>
        <w:tc>
          <w:tcPr>
            <w:tcW w:w="1633" w:type="dxa"/>
            <w:vAlign w:val="center"/>
          </w:tcPr>
          <w:p w14:paraId="1676F902">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联系方式</w:t>
            </w:r>
          </w:p>
        </w:tc>
      </w:tr>
      <w:tr w14:paraId="4814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0274446E">
            <w:pPr>
              <w:spacing w:line="380" w:lineRule="exact"/>
              <w:jc w:val="center"/>
              <w:rPr>
                <w:rFonts w:hint="eastAsia" w:ascii="宋体" w:hAnsi="宋体" w:cs="宋体"/>
                <w:b/>
                <w:bCs/>
                <w:color w:val="auto"/>
                <w:sz w:val="22"/>
                <w:szCs w:val="22"/>
                <w:highlight w:val="none"/>
              </w:rPr>
            </w:pPr>
          </w:p>
        </w:tc>
        <w:tc>
          <w:tcPr>
            <w:tcW w:w="2223" w:type="dxa"/>
            <w:vAlign w:val="center"/>
          </w:tcPr>
          <w:p w14:paraId="2E509E75">
            <w:pPr>
              <w:spacing w:line="380" w:lineRule="exact"/>
              <w:jc w:val="center"/>
              <w:rPr>
                <w:rFonts w:hint="eastAsia" w:ascii="宋体" w:hAnsi="宋体" w:cs="宋体"/>
                <w:b/>
                <w:bCs/>
                <w:color w:val="auto"/>
                <w:sz w:val="22"/>
                <w:szCs w:val="22"/>
                <w:highlight w:val="none"/>
              </w:rPr>
            </w:pPr>
          </w:p>
        </w:tc>
        <w:tc>
          <w:tcPr>
            <w:tcW w:w="2160" w:type="dxa"/>
            <w:vAlign w:val="center"/>
          </w:tcPr>
          <w:p w14:paraId="380DE8C0">
            <w:pPr>
              <w:spacing w:line="380" w:lineRule="exact"/>
              <w:jc w:val="center"/>
              <w:rPr>
                <w:rFonts w:hint="eastAsia" w:ascii="宋体" w:hAnsi="宋体" w:cs="宋体"/>
                <w:b/>
                <w:bCs/>
                <w:color w:val="auto"/>
                <w:sz w:val="22"/>
                <w:szCs w:val="22"/>
                <w:highlight w:val="none"/>
              </w:rPr>
            </w:pPr>
          </w:p>
        </w:tc>
        <w:tc>
          <w:tcPr>
            <w:tcW w:w="1440" w:type="dxa"/>
            <w:vAlign w:val="center"/>
          </w:tcPr>
          <w:p w14:paraId="5D499EB8">
            <w:pPr>
              <w:spacing w:line="380" w:lineRule="exact"/>
              <w:jc w:val="center"/>
              <w:rPr>
                <w:rFonts w:hint="eastAsia" w:ascii="宋体" w:hAnsi="宋体" w:cs="宋体"/>
                <w:b/>
                <w:bCs/>
                <w:color w:val="auto"/>
                <w:sz w:val="22"/>
                <w:szCs w:val="22"/>
                <w:highlight w:val="none"/>
              </w:rPr>
            </w:pPr>
          </w:p>
        </w:tc>
        <w:tc>
          <w:tcPr>
            <w:tcW w:w="1260" w:type="dxa"/>
            <w:vAlign w:val="center"/>
          </w:tcPr>
          <w:p w14:paraId="3407E2CF">
            <w:pPr>
              <w:spacing w:line="380" w:lineRule="exact"/>
              <w:jc w:val="center"/>
              <w:rPr>
                <w:rFonts w:hint="eastAsia" w:ascii="宋体" w:hAnsi="宋体" w:cs="宋体"/>
                <w:b/>
                <w:bCs/>
                <w:color w:val="auto"/>
                <w:sz w:val="22"/>
                <w:szCs w:val="22"/>
                <w:highlight w:val="none"/>
              </w:rPr>
            </w:pPr>
          </w:p>
        </w:tc>
        <w:tc>
          <w:tcPr>
            <w:tcW w:w="1633" w:type="dxa"/>
            <w:vAlign w:val="center"/>
          </w:tcPr>
          <w:p w14:paraId="14CABB48">
            <w:pPr>
              <w:spacing w:line="380" w:lineRule="exact"/>
              <w:jc w:val="center"/>
              <w:rPr>
                <w:rFonts w:hint="eastAsia" w:ascii="宋体" w:hAnsi="宋体" w:cs="宋体"/>
                <w:b/>
                <w:bCs/>
                <w:color w:val="auto"/>
                <w:sz w:val="22"/>
                <w:szCs w:val="22"/>
                <w:highlight w:val="none"/>
              </w:rPr>
            </w:pPr>
          </w:p>
        </w:tc>
      </w:tr>
      <w:tr w14:paraId="1898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5AD61575">
            <w:pPr>
              <w:spacing w:line="380" w:lineRule="exact"/>
              <w:jc w:val="center"/>
              <w:rPr>
                <w:rFonts w:hint="eastAsia" w:ascii="宋体" w:hAnsi="宋体" w:cs="宋体"/>
                <w:b/>
                <w:bCs/>
                <w:color w:val="auto"/>
                <w:sz w:val="22"/>
                <w:szCs w:val="22"/>
                <w:highlight w:val="none"/>
              </w:rPr>
            </w:pPr>
          </w:p>
        </w:tc>
        <w:tc>
          <w:tcPr>
            <w:tcW w:w="2223" w:type="dxa"/>
            <w:vAlign w:val="center"/>
          </w:tcPr>
          <w:p w14:paraId="272CFF08">
            <w:pPr>
              <w:spacing w:line="380" w:lineRule="exact"/>
              <w:jc w:val="center"/>
              <w:rPr>
                <w:rFonts w:hint="eastAsia" w:ascii="宋体" w:hAnsi="宋体" w:cs="宋体"/>
                <w:b/>
                <w:bCs/>
                <w:color w:val="auto"/>
                <w:sz w:val="22"/>
                <w:szCs w:val="22"/>
                <w:highlight w:val="none"/>
              </w:rPr>
            </w:pPr>
          </w:p>
        </w:tc>
        <w:tc>
          <w:tcPr>
            <w:tcW w:w="2160" w:type="dxa"/>
            <w:vAlign w:val="center"/>
          </w:tcPr>
          <w:p w14:paraId="0FE23271">
            <w:pPr>
              <w:spacing w:line="380" w:lineRule="exact"/>
              <w:jc w:val="center"/>
              <w:rPr>
                <w:rFonts w:hint="eastAsia" w:ascii="宋体" w:hAnsi="宋体" w:cs="宋体"/>
                <w:b/>
                <w:bCs/>
                <w:color w:val="auto"/>
                <w:sz w:val="22"/>
                <w:szCs w:val="22"/>
                <w:highlight w:val="none"/>
              </w:rPr>
            </w:pPr>
          </w:p>
        </w:tc>
        <w:tc>
          <w:tcPr>
            <w:tcW w:w="1440" w:type="dxa"/>
            <w:vAlign w:val="center"/>
          </w:tcPr>
          <w:p w14:paraId="7406A634">
            <w:pPr>
              <w:spacing w:line="380" w:lineRule="exact"/>
              <w:jc w:val="center"/>
              <w:rPr>
                <w:rFonts w:hint="eastAsia" w:ascii="宋体" w:hAnsi="宋体" w:cs="宋体"/>
                <w:b/>
                <w:bCs/>
                <w:color w:val="auto"/>
                <w:sz w:val="22"/>
                <w:szCs w:val="22"/>
                <w:highlight w:val="none"/>
              </w:rPr>
            </w:pPr>
          </w:p>
        </w:tc>
        <w:tc>
          <w:tcPr>
            <w:tcW w:w="1260" w:type="dxa"/>
            <w:vAlign w:val="center"/>
          </w:tcPr>
          <w:p w14:paraId="452F26BD">
            <w:pPr>
              <w:spacing w:line="380" w:lineRule="exact"/>
              <w:jc w:val="center"/>
              <w:rPr>
                <w:rFonts w:hint="eastAsia" w:ascii="宋体" w:hAnsi="宋体" w:cs="宋体"/>
                <w:b/>
                <w:bCs/>
                <w:color w:val="auto"/>
                <w:sz w:val="22"/>
                <w:szCs w:val="22"/>
                <w:highlight w:val="none"/>
              </w:rPr>
            </w:pPr>
          </w:p>
        </w:tc>
        <w:tc>
          <w:tcPr>
            <w:tcW w:w="1633" w:type="dxa"/>
            <w:vAlign w:val="center"/>
          </w:tcPr>
          <w:p w14:paraId="390D8815">
            <w:pPr>
              <w:spacing w:line="380" w:lineRule="exact"/>
              <w:jc w:val="center"/>
              <w:rPr>
                <w:rFonts w:hint="eastAsia" w:ascii="宋体" w:hAnsi="宋体" w:cs="宋体"/>
                <w:b/>
                <w:bCs/>
                <w:color w:val="auto"/>
                <w:sz w:val="22"/>
                <w:szCs w:val="22"/>
                <w:highlight w:val="none"/>
              </w:rPr>
            </w:pPr>
          </w:p>
        </w:tc>
      </w:tr>
      <w:tr w14:paraId="739D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4CAD4775">
            <w:pPr>
              <w:spacing w:line="380" w:lineRule="exact"/>
              <w:jc w:val="center"/>
              <w:rPr>
                <w:rFonts w:hint="eastAsia" w:ascii="宋体" w:hAnsi="宋体" w:cs="宋体"/>
                <w:b/>
                <w:bCs/>
                <w:color w:val="auto"/>
                <w:sz w:val="22"/>
                <w:szCs w:val="22"/>
                <w:highlight w:val="none"/>
              </w:rPr>
            </w:pPr>
          </w:p>
        </w:tc>
        <w:tc>
          <w:tcPr>
            <w:tcW w:w="2223" w:type="dxa"/>
            <w:vAlign w:val="center"/>
          </w:tcPr>
          <w:p w14:paraId="2A6A92A3">
            <w:pPr>
              <w:spacing w:line="380" w:lineRule="exact"/>
              <w:jc w:val="center"/>
              <w:rPr>
                <w:rFonts w:hint="eastAsia" w:ascii="宋体" w:hAnsi="宋体" w:cs="宋体"/>
                <w:b/>
                <w:bCs/>
                <w:color w:val="auto"/>
                <w:sz w:val="22"/>
                <w:szCs w:val="22"/>
                <w:highlight w:val="none"/>
              </w:rPr>
            </w:pPr>
          </w:p>
        </w:tc>
        <w:tc>
          <w:tcPr>
            <w:tcW w:w="2160" w:type="dxa"/>
            <w:vAlign w:val="center"/>
          </w:tcPr>
          <w:p w14:paraId="47EA3350">
            <w:pPr>
              <w:spacing w:line="380" w:lineRule="exact"/>
              <w:jc w:val="center"/>
              <w:rPr>
                <w:rFonts w:hint="eastAsia" w:ascii="宋体" w:hAnsi="宋体" w:cs="宋体"/>
                <w:b/>
                <w:bCs/>
                <w:color w:val="auto"/>
                <w:sz w:val="22"/>
                <w:szCs w:val="22"/>
                <w:highlight w:val="none"/>
              </w:rPr>
            </w:pPr>
          </w:p>
        </w:tc>
        <w:tc>
          <w:tcPr>
            <w:tcW w:w="1440" w:type="dxa"/>
            <w:vAlign w:val="center"/>
          </w:tcPr>
          <w:p w14:paraId="4F0B5854">
            <w:pPr>
              <w:spacing w:line="380" w:lineRule="exact"/>
              <w:jc w:val="center"/>
              <w:rPr>
                <w:rFonts w:hint="eastAsia" w:ascii="宋体" w:hAnsi="宋体" w:cs="宋体"/>
                <w:b/>
                <w:bCs/>
                <w:color w:val="auto"/>
                <w:sz w:val="22"/>
                <w:szCs w:val="22"/>
                <w:highlight w:val="none"/>
              </w:rPr>
            </w:pPr>
          </w:p>
        </w:tc>
        <w:tc>
          <w:tcPr>
            <w:tcW w:w="1260" w:type="dxa"/>
            <w:vAlign w:val="center"/>
          </w:tcPr>
          <w:p w14:paraId="3FDF62F7">
            <w:pPr>
              <w:spacing w:line="380" w:lineRule="exact"/>
              <w:jc w:val="center"/>
              <w:rPr>
                <w:rFonts w:hint="eastAsia" w:ascii="宋体" w:hAnsi="宋体" w:cs="宋体"/>
                <w:b/>
                <w:bCs/>
                <w:color w:val="auto"/>
                <w:sz w:val="22"/>
                <w:szCs w:val="22"/>
                <w:highlight w:val="none"/>
              </w:rPr>
            </w:pPr>
          </w:p>
        </w:tc>
        <w:tc>
          <w:tcPr>
            <w:tcW w:w="1633" w:type="dxa"/>
            <w:vAlign w:val="center"/>
          </w:tcPr>
          <w:p w14:paraId="26C6D42D">
            <w:pPr>
              <w:spacing w:line="380" w:lineRule="exact"/>
              <w:jc w:val="center"/>
              <w:rPr>
                <w:rFonts w:hint="eastAsia" w:ascii="宋体" w:hAnsi="宋体" w:cs="宋体"/>
                <w:b/>
                <w:bCs/>
                <w:color w:val="auto"/>
                <w:sz w:val="22"/>
                <w:szCs w:val="22"/>
                <w:highlight w:val="none"/>
              </w:rPr>
            </w:pPr>
          </w:p>
        </w:tc>
      </w:tr>
      <w:tr w14:paraId="5826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2E816B2F">
            <w:pPr>
              <w:spacing w:line="380" w:lineRule="exact"/>
              <w:jc w:val="center"/>
              <w:rPr>
                <w:rFonts w:hint="eastAsia" w:ascii="宋体" w:hAnsi="宋体" w:cs="宋体"/>
                <w:b/>
                <w:bCs/>
                <w:color w:val="auto"/>
                <w:sz w:val="22"/>
                <w:szCs w:val="22"/>
                <w:highlight w:val="none"/>
              </w:rPr>
            </w:pPr>
          </w:p>
        </w:tc>
        <w:tc>
          <w:tcPr>
            <w:tcW w:w="2223" w:type="dxa"/>
            <w:vAlign w:val="center"/>
          </w:tcPr>
          <w:p w14:paraId="6FC45615">
            <w:pPr>
              <w:spacing w:line="380" w:lineRule="exact"/>
              <w:jc w:val="center"/>
              <w:rPr>
                <w:rFonts w:hint="eastAsia" w:ascii="宋体" w:hAnsi="宋体" w:cs="宋体"/>
                <w:b/>
                <w:bCs/>
                <w:color w:val="auto"/>
                <w:sz w:val="22"/>
                <w:szCs w:val="22"/>
                <w:highlight w:val="none"/>
              </w:rPr>
            </w:pPr>
          </w:p>
        </w:tc>
        <w:tc>
          <w:tcPr>
            <w:tcW w:w="2160" w:type="dxa"/>
            <w:vAlign w:val="center"/>
          </w:tcPr>
          <w:p w14:paraId="2FCBA7F0">
            <w:pPr>
              <w:spacing w:line="380" w:lineRule="exact"/>
              <w:jc w:val="center"/>
              <w:rPr>
                <w:rFonts w:hint="eastAsia" w:ascii="宋体" w:hAnsi="宋体" w:cs="宋体"/>
                <w:b/>
                <w:bCs/>
                <w:color w:val="auto"/>
                <w:sz w:val="22"/>
                <w:szCs w:val="22"/>
                <w:highlight w:val="none"/>
              </w:rPr>
            </w:pPr>
          </w:p>
        </w:tc>
        <w:tc>
          <w:tcPr>
            <w:tcW w:w="1440" w:type="dxa"/>
            <w:vAlign w:val="center"/>
          </w:tcPr>
          <w:p w14:paraId="56CD1F3F">
            <w:pPr>
              <w:spacing w:line="380" w:lineRule="exact"/>
              <w:jc w:val="center"/>
              <w:rPr>
                <w:rFonts w:hint="eastAsia" w:ascii="宋体" w:hAnsi="宋体" w:cs="宋体"/>
                <w:b/>
                <w:bCs/>
                <w:color w:val="auto"/>
                <w:sz w:val="22"/>
                <w:szCs w:val="22"/>
                <w:highlight w:val="none"/>
              </w:rPr>
            </w:pPr>
          </w:p>
        </w:tc>
        <w:tc>
          <w:tcPr>
            <w:tcW w:w="1260" w:type="dxa"/>
            <w:vAlign w:val="center"/>
          </w:tcPr>
          <w:p w14:paraId="563881CE">
            <w:pPr>
              <w:spacing w:line="380" w:lineRule="exact"/>
              <w:jc w:val="center"/>
              <w:rPr>
                <w:rFonts w:hint="eastAsia" w:ascii="宋体" w:hAnsi="宋体" w:cs="宋体"/>
                <w:b/>
                <w:bCs/>
                <w:color w:val="auto"/>
                <w:sz w:val="22"/>
                <w:szCs w:val="22"/>
                <w:highlight w:val="none"/>
              </w:rPr>
            </w:pPr>
          </w:p>
        </w:tc>
        <w:tc>
          <w:tcPr>
            <w:tcW w:w="1633" w:type="dxa"/>
            <w:vAlign w:val="center"/>
          </w:tcPr>
          <w:p w14:paraId="39B619CD">
            <w:pPr>
              <w:spacing w:line="380" w:lineRule="exact"/>
              <w:jc w:val="center"/>
              <w:rPr>
                <w:rFonts w:hint="eastAsia" w:ascii="宋体" w:hAnsi="宋体" w:cs="宋体"/>
                <w:b/>
                <w:bCs/>
                <w:color w:val="auto"/>
                <w:sz w:val="22"/>
                <w:szCs w:val="22"/>
                <w:highlight w:val="none"/>
              </w:rPr>
            </w:pPr>
          </w:p>
        </w:tc>
      </w:tr>
      <w:tr w14:paraId="5A64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4850D0C0">
            <w:pPr>
              <w:spacing w:line="380" w:lineRule="exact"/>
              <w:jc w:val="center"/>
              <w:rPr>
                <w:rFonts w:hint="eastAsia" w:ascii="宋体" w:hAnsi="宋体" w:cs="宋体"/>
                <w:b/>
                <w:bCs/>
                <w:color w:val="auto"/>
                <w:sz w:val="22"/>
                <w:szCs w:val="22"/>
                <w:highlight w:val="none"/>
              </w:rPr>
            </w:pPr>
          </w:p>
        </w:tc>
        <w:tc>
          <w:tcPr>
            <w:tcW w:w="2223" w:type="dxa"/>
            <w:vAlign w:val="center"/>
          </w:tcPr>
          <w:p w14:paraId="6FDBDC11">
            <w:pPr>
              <w:spacing w:line="380" w:lineRule="exact"/>
              <w:jc w:val="center"/>
              <w:rPr>
                <w:rFonts w:hint="eastAsia" w:ascii="宋体" w:hAnsi="宋体" w:cs="宋体"/>
                <w:b/>
                <w:bCs/>
                <w:color w:val="auto"/>
                <w:sz w:val="22"/>
                <w:szCs w:val="22"/>
                <w:highlight w:val="none"/>
              </w:rPr>
            </w:pPr>
          </w:p>
        </w:tc>
        <w:tc>
          <w:tcPr>
            <w:tcW w:w="2160" w:type="dxa"/>
            <w:vAlign w:val="center"/>
          </w:tcPr>
          <w:p w14:paraId="24831FD8">
            <w:pPr>
              <w:spacing w:line="380" w:lineRule="exact"/>
              <w:jc w:val="center"/>
              <w:rPr>
                <w:rFonts w:hint="eastAsia" w:ascii="宋体" w:hAnsi="宋体" w:cs="宋体"/>
                <w:b/>
                <w:bCs/>
                <w:color w:val="auto"/>
                <w:sz w:val="22"/>
                <w:szCs w:val="22"/>
                <w:highlight w:val="none"/>
              </w:rPr>
            </w:pPr>
          </w:p>
        </w:tc>
        <w:tc>
          <w:tcPr>
            <w:tcW w:w="1440" w:type="dxa"/>
            <w:vAlign w:val="center"/>
          </w:tcPr>
          <w:p w14:paraId="2C666C31">
            <w:pPr>
              <w:spacing w:line="380" w:lineRule="exact"/>
              <w:jc w:val="center"/>
              <w:rPr>
                <w:rFonts w:hint="eastAsia" w:ascii="宋体" w:hAnsi="宋体" w:cs="宋体"/>
                <w:b/>
                <w:bCs/>
                <w:color w:val="auto"/>
                <w:sz w:val="22"/>
                <w:szCs w:val="22"/>
                <w:highlight w:val="none"/>
              </w:rPr>
            </w:pPr>
          </w:p>
        </w:tc>
        <w:tc>
          <w:tcPr>
            <w:tcW w:w="1260" w:type="dxa"/>
            <w:vAlign w:val="center"/>
          </w:tcPr>
          <w:p w14:paraId="47248ABE">
            <w:pPr>
              <w:spacing w:line="380" w:lineRule="exact"/>
              <w:jc w:val="center"/>
              <w:rPr>
                <w:rFonts w:hint="eastAsia" w:ascii="宋体" w:hAnsi="宋体" w:cs="宋体"/>
                <w:b/>
                <w:bCs/>
                <w:color w:val="auto"/>
                <w:sz w:val="22"/>
                <w:szCs w:val="22"/>
                <w:highlight w:val="none"/>
              </w:rPr>
            </w:pPr>
          </w:p>
        </w:tc>
        <w:tc>
          <w:tcPr>
            <w:tcW w:w="1633" w:type="dxa"/>
            <w:vAlign w:val="center"/>
          </w:tcPr>
          <w:p w14:paraId="4CAE9F75">
            <w:pPr>
              <w:spacing w:line="380" w:lineRule="exact"/>
              <w:jc w:val="center"/>
              <w:rPr>
                <w:rFonts w:hint="eastAsia" w:ascii="宋体" w:hAnsi="宋体" w:cs="宋体"/>
                <w:b/>
                <w:bCs/>
                <w:color w:val="auto"/>
                <w:sz w:val="22"/>
                <w:szCs w:val="22"/>
                <w:highlight w:val="none"/>
              </w:rPr>
            </w:pPr>
          </w:p>
        </w:tc>
      </w:tr>
      <w:tr w14:paraId="44CD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249EC3AD">
            <w:pPr>
              <w:spacing w:line="380" w:lineRule="exact"/>
              <w:jc w:val="center"/>
              <w:rPr>
                <w:rFonts w:hint="eastAsia" w:ascii="宋体" w:hAnsi="宋体" w:cs="宋体"/>
                <w:b/>
                <w:bCs/>
                <w:color w:val="auto"/>
                <w:sz w:val="22"/>
                <w:szCs w:val="22"/>
                <w:highlight w:val="none"/>
              </w:rPr>
            </w:pPr>
          </w:p>
        </w:tc>
        <w:tc>
          <w:tcPr>
            <w:tcW w:w="2223" w:type="dxa"/>
            <w:vAlign w:val="center"/>
          </w:tcPr>
          <w:p w14:paraId="53392929">
            <w:pPr>
              <w:spacing w:line="380" w:lineRule="exact"/>
              <w:jc w:val="center"/>
              <w:rPr>
                <w:rFonts w:hint="eastAsia" w:ascii="宋体" w:hAnsi="宋体" w:cs="宋体"/>
                <w:b/>
                <w:bCs/>
                <w:color w:val="auto"/>
                <w:sz w:val="22"/>
                <w:szCs w:val="22"/>
                <w:highlight w:val="none"/>
              </w:rPr>
            </w:pPr>
          </w:p>
        </w:tc>
        <w:tc>
          <w:tcPr>
            <w:tcW w:w="2160" w:type="dxa"/>
            <w:vAlign w:val="center"/>
          </w:tcPr>
          <w:p w14:paraId="0468EC97">
            <w:pPr>
              <w:spacing w:line="380" w:lineRule="exact"/>
              <w:jc w:val="center"/>
              <w:rPr>
                <w:rFonts w:hint="eastAsia" w:ascii="宋体" w:hAnsi="宋体" w:cs="宋体"/>
                <w:b/>
                <w:bCs/>
                <w:color w:val="auto"/>
                <w:sz w:val="22"/>
                <w:szCs w:val="22"/>
                <w:highlight w:val="none"/>
              </w:rPr>
            </w:pPr>
          </w:p>
        </w:tc>
        <w:tc>
          <w:tcPr>
            <w:tcW w:w="1440" w:type="dxa"/>
            <w:vAlign w:val="center"/>
          </w:tcPr>
          <w:p w14:paraId="046AC8D9">
            <w:pPr>
              <w:spacing w:line="380" w:lineRule="exact"/>
              <w:jc w:val="center"/>
              <w:rPr>
                <w:rFonts w:hint="eastAsia" w:ascii="宋体" w:hAnsi="宋体" w:cs="宋体"/>
                <w:b/>
                <w:bCs/>
                <w:color w:val="auto"/>
                <w:sz w:val="22"/>
                <w:szCs w:val="22"/>
                <w:highlight w:val="none"/>
              </w:rPr>
            </w:pPr>
          </w:p>
        </w:tc>
        <w:tc>
          <w:tcPr>
            <w:tcW w:w="1260" w:type="dxa"/>
            <w:vAlign w:val="center"/>
          </w:tcPr>
          <w:p w14:paraId="2D578A4C">
            <w:pPr>
              <w:spacing w:line="380" w:lineRule="exact"/>
              <w:jc w:val="center"/>
              <w:rPr>
                <w:rFonts w:hint="eastAsia" w:ascii="宋体" w:hAnsi="宋体" w:cs="宋体"/>
                <w:b/>
                <w:bCs/>
                <w:color w:val="auto"/>
                <w:sz w:val="22"/>
                <w:szCs w:val="22"/>
                <w:highlight w:val="none"/>
              </w:rPr>
            </w:pPr>
          </w:p>
        </w:tc>
        <w:tc>
          <w:tcPr>
            <w:tcW w:w="1633" w:type="dxa"/>
            <w:vAlign w:val="center"/>
          </w:tcPr>
          <w:p w14:paraId="75E9094C">
            <w:pPr>
              <w:spacing w:line="380" w:lineRule="exact"/>
              <w:jc w:val="center"/>
              <w:rPr>
                <w:rFonts w:hint="eastAsia" w:ascii="宋体" w:hAnsi="宋体" w:cs="宋体"/>
                <w:b/>
                <w:bCs/>
                <w:color w:val="auto"/>
                <w:sz w:val="22"/>
                <w:szCs w:val="22"/>
                <w:highlight w:val="none"/>
              </w:rPr>
            </w:pPr>
          </w:p>
        </w:tc>
      </w:tr>
      <w:tr w14:paraId="503B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267C9268">
            <w:pPr>
              <w:spacing w:line="380" w:lineRule="exact"/>
              <w:jc w:val="center"/>
              <w:rPr>
                <w:rFonts w:hint="eastAsia" w:ascii="宋体" w:hAnsi="宋体" w:cs="宋体"/>
                <w:b/>
                <w:bCs/>
                <w:color w:val="auto"/>
                <w:sz w:val="22"/>
                <w:szCs w:val="22"/>
                <w:highlight w:val="none"/>
              </w:rPr>
            </w:pPr>
          </w:p>
        </w:tc>
        <w:tc>
          <w:tcPr>
            <w:tcW w:w="2223" w:type="dxa"/>
            <w:vAlign w:val="center"/>
          </w:tcPr>
          <w:p w14:paraId="417D755F">
            <w:pPr>
              <w:spacing w:line="380" w:lineRule="exact"/>
              <w:jc w:val="center"/>
              <w:rPr>
                <w:rFonts w:hint="eastAsia" w:ascii="宋体" w:hAnsi="宋体" w:cs="宋体"/>
                <w:b/>
                <w:bCs/>
                <w:color w:val="auto"/>
                <w:sz w:val="22"/>
                <w:szCs w:val="22"/>
                <w:highlight w:val="none"/>
              </w:rPr>
            </w:pPr>
          </w:p>
        </w:tc>
        <w:tc>
          <w:tcPr>
            <w:tcW w:w="2160" w:type="dxa"/>
            <w:vAlign w:val="center"/>
          </w:tcPr>
          <w:p w14:paraId="66FD45B3">
            <w:pPr>
              <w:spacing w:line="380" w:lineRule="exact"/>
              <w:jc w:val="center"/>
              <w:rPr>
                <w:rFonts w:hint="eastAsia" w:ascii="宋体" w:hAnsi="宋体" w:cs="宋体"/>
                <w:b/>
                <w:bCs/>
                <w:color w:val="auto"/>
                <w:sz w:val="22"/>
                <w:szCs w:val="22"/>
                <w:highlight w:val="none"/>
              </w:rPr>
            </w:pPr>
          </w:p>
        </w:tc>
        <w:tc>
          <w:tcPr>
            <w:tcW w:w="1440" w:type="dxa"/>
            <w:vAlign w:val="center"/>
          </w:tcPr>
          <w:p w14:paraId="699DE5B7">
            <w:pPr>
              <w:spacing w:line="380" w:lineRule="exact"/>
              <w:jc w:val="center"/>
              <w:rPr>
                <w:rFonts w:hint="eastAsia" w:ascii="宋体" w:hAnsi="宋体" w:cs="宋体"/>
                <w:b/>
                <w:bCs/>
                <w:color w:val="auto"/>
                <w:sz w:val="22"/>
                <w:szCs w:val="22"/>
                <w:highlight w:val="none"/>
              </w:rPr>
            </w:pPr>
          </w:p>
        </w:tc>
        <w:tc>
          <w:tcPr>
            <w:tcW w:w="1260" w:type="dxa"/>
            <w:vAlign w:val="center"/>
          </w:tcPr>
          <w:p w14:paraId="606B4E78">
            <w:pPr>
              <w:spacing w:line="380" w:lineRule="exact"/>
              <w:jc w:val="center"/>
              <w:rPr>
                <w:rFonts w:hint="eastAsia" w:ascii="宋体" w:hAnsi="宋体" w:cs="宋体"/>
                <w:b/>
                <w:bCs/>
                <w:color w:val="auto"/>
                <w:sz w:val="22"/>
                <w:szCs w:val="22"/>
                <w:highlight w:val="none"/>
              </w:rPr>
            </w:pPr>
          </w:p>
        </w:tc>
        <w:tc>
          <w:tcPr>
            <w:tcW w:w="1633" w:type="dxa"/>
            <w:vAlign w:val="center"/>
          </w:tcPr>
          <w:p w14:paraId="4B7D019D">
            <w:pPr>
              <w:spacing w:line="380" w:lineRule="exact"/>
              <w:jc w:val="center"/>
              <w:rPr>
                <w:rFonts w:hint="eastAsia" w:ascii="宋体" w:hAnsi="宋体" w:cs="宋体"/>
                <w:b/>
                <w:bCs/>
                <w:color w:val="auto"/>
                <w:sz w:val="22"/>
                <w:szCs w:val="22"/>
                <w:highlight w:val="none"/>
              </w:rPr>
            </w:pPr>
          </w:p>
        </w:tc>
      </w:tr>
      <w:tr w14:paraId="5935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1E8280A2">
            <w:pPr>
              <w:spacing w:line="380" w:lineRule="exact"/>
              <w:jc w:val="center"/>
              <w:rPr>
                <w:rFonts w:hint="eastAsia" w:ascii="宋体" w:hAnsi="宋体" w:cs="宋体"/>
                <w:b/>
                <w:bCs/>
                <w:color w:val="auto"/>
                <w:sz w:val="22"/>
                <w:szCs w:val="22"/>
                <w:highlight w:val="none"/>
              </w:rPr>
            </w:pPr>
          </w:p>
        </w:tc>
        <w:tc>
          <w:tcPr>
            <w:tcW w:w="2223" w:type="dxa"/>
            <w:vAlign w:val="center"/>
          </w:tcPr>
          <w:p w14:paraId="2E0447FC">
            <w:pPr>
              <w:spacing w:line="380" w:lineRule="exact"/>
              <w:jc w:val="center"/>
              <w:rPr>
                <w:rFonts w:hint="eastAsia" w:ascii="宋体" w:hAnsi="宋体" w:cs="宋体"/>
                <w:b/>
                <w:bCs/>
                <w:color w:val="auto"/>
                <w:sz w:val="22"/>
                <w:szCs w:val="22"/>
                <w:highlight w:val="none"/>
              </w:rPr>
            </w:pPr>
          </w:p>
        </w:tc>
        <w:tc>
          <w:tcPr>
            <w:tcW w:w="2160" w:type="dxa"/>
            <w:vAlign w:val="center"/>
          </w:tcPr>
          <w:p w14:paraId="64796CC3">
            <w:pPr>
              <w:spacing w:line="380" w:lineRule="exact"/>
              <w:jc w:val="center"/>
              <w:rPr>
                <w:rFonts w:hint="eastAsia" w:ascii="宋体" w:hAnsi="宋体" w:cs="宋体"/>
                <w:b/>
                <w:bCs/>
                <w:color w:val="auto"/>
                <w:sz w:val="22"/>
                <w:szCs w:val="22"/>
                <w:highlight w:val="none"/>
              </w:rPr>
            </w:pPr>
          </w:p>
        </w:tc>
        <w:tc>
          <w:tcPr>
            <w:tcW w:w="1440" w:type="dxa"/>
            <w:vAlign w:val="center"/>
          </w:tcPr>
          <w:p w14:paraId="5A838951">
            <w:pPr>
              <w:spacing w:line="380" w:lineRule="exact"/>
              <w:jc w:val="center"/>
              <w:rPr>
                <w:rFonts w:hint="eastAsia" w:ascii="宋体" w:hAnsi="宋体" w:cs="宋体"/>
                <w:b/>
                <w:bCs/>
                <w:color w:val="auto"/>
                <w:sz w:val="22"/>
                <w:szCs w:val="22"/>
                <w:highlight w:val="none"/>
              </w:rPr>
            </w:pPr>
          </w:p>
        </w:tc>
        <w:tc>
          <w:tcPr>
            <w:tcW w:w="1260" w:type="dxa"/>
            <w:vAlign w:val="center"/>
          </w:tcPr>
          <w:p w14:paraId="2A452C3F">
            <w:pPr>
              <w:spacing w:line="380" w:lineRule="exact"/>
              <w:jc w:val="center"/>
              <w:rPr>
                <w:rFonts w:hint="eastAsia" w:ascii="宋体" w:hAnsi="宋体" w:cs="宋体"/>
                <w:b/>
                <w:bCs/>
                <w:color w:val="auto"/>
                <w:sz w:val="22"/>
                <w:szCs w:val="22"/>
                <w:highlight w:val="none"/>
              </w:rPr>
            </w:pPr>
          </w:p>
        </w:tc>
        <w:tc>
          <w:tcPr>
            <w:tcW w:w="1633" w:type="dxa"/>
            <w:vAlign w:val="center"/>
          </w:tcPr>
          <w:p w14:paraId="6820B586">
            <w:pPr>
              <w:spacing w:line="380" w:lineRule="exact"/>
              <w:jc w:val="center"/>
              <w:rPr>
                <w:rFonts w:hint="eastAsia" w:ascii="宋体" w:hAnsi="宋体" w:cs="宋体"/>
                <w:b/>
                <w:bCs/>
                <w:color w:val="auto"/>
                <w:sz w:val="22"/>
                <w:szCs w:val="22"/>
                <w:highlight w:val="none"/>
              </w:rPr>
            </w:pPr>
          </w:p>
        </w:tc>
      </w:tr>
      <w:tr w14:paraId="631A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7277EF56">
            <w:pPr>
              <w:spacing w:line="380" w:lineRule="exact"/>
              <w:jc w:val="center"/>
              <w:rPr>
                <w:rFonts w:hint="eastAsia" w:ascii="宋体" w:hAnsi="宋体" w:cs="宋体"/>
                <w:b/>
                <w:bCs/>
                <w:color w:val="auto"/>
                <w:sz w:val="22"/>
                <w:szCs w:val="22"/>
                <w:highlight w:val="none"/>
              </w:rPr>
            </w:pPr>
          </w:p>
        </w:tc>
        <w:tc>
          <w:tcPr>
            <w:tcW w:w="2223" w:type="dxa"/>
            <w:vAlign w:val="center"/>
          </w:tcPr>
          <w:p w14:paraId="56660F14">
            <w:pPr>
              <w:spacing w:line="380" w:lineRule="exact"/>
              <w:jc w:val="center"/>
              <w:rPr>
                <w:rFonts w:hint="eastAsia" w:ascii="宋体" w:hAnsi="宋体" w:cs="宋体"/>
                <w:b/>
                <w:bCs/>
                <w:color w:val="auto"/>
                <w:sz w:val="22"/>
                <w:szCs w:val="22"/>
                <w:highlight w:val="none"/>
              </w:rPr>
            </w:pPr>
          </w:p>
        </w:tc>
        <w:tc>
          <w:tcPr>
            <w:tcW w:w="2160" w:type="dxa"/>
            <w:vAlign w:val="center"/>
          </w:tcPr>
          <w:p w14:paraId="6341E279">
            <w:pPr>
              <w:spacing w:line="380" w:lineRule="exact"/>
              <w:jc w:val="center"/>
              <w:rPr>
                <w:rFonts w:hint="eastAsia" w:ascii="宋体" w:hAnsi="宋体" w:cs="宋体"/>
                <w:b/>
                <w:bCs/>
                <w:color w:val="auto"/>
                <w:sz w:val="22"/>
                <w:szCs w:val="22"/>
                <w:highlight w:val="none"/>
              </w:rPr>
            </w:pPr>
          </w:p>
        </w:tc>
        <w:tc>
          <w:tcPr>
            <w:tcW w:w="1440" w:type="dxa"/>
            <w:vAlign w:val="center"/>
          </w:tcPr>
          <w:p w14:paraId="13B68C9E">
            <w:pPr>
              <w:spacing w:line="380" w:lineRule="exact"/>
              <w:jc w:val="center"/>
              <w:rPr>
                <w:rFonts w:hint="eastAsia" w:ascii="宋体" w:hAnsi="宋体" w:cs="宋体"/>
                <w:b/>
                <w:bCs/>
                <w:color w:val="auto"/>
                <w:sz w:val="22"/>
                <w:szCs w:val="22"/>
                <w:highlight w:val="none"/>
              </w:rPr>
            </w:pPr>
          </w:p>
        </w:tc>
        <w:tc>
          <w:tcPr>
            <w:tcW w:w="1260" w:type="dxa"/>
            <w:vAlign w:val="center"/>
          </w:tcPr>
          <w:p w14:paraId="4D3FDDD5">
            <w:pPr>
              <w:spacing w:line="380" w:lineRule="exact"/>
              <w:jc w:val="center"/>
              <w:rPr>
                <w:rFonts w:hint="eastAsia" w:ascii="宋体" w:hAnsi="宋体" w:cs="宋体"/>
                <w:b/>
                <w:bCs/>
                <w:color w:val="auto"/>
                <w:sz w:val="22"/>
                <w:szCs w:val="22"/>
                <w:highlight w:val="none"/>
              </w:rPr>
            </w:pPr>
          </w:p>
        </w:tc>
        <w:tc>
          <w:tcPr>
            <w:tcW w:w="1633" w:type="dxa"/>
            <w:vAlign w:val="center"/>
          </w:tcPr>
          <w:p w14:paraId="6332DF3B">
            <w:pPr>
              <w:spacing w:line="380" w:lineRule="exact"/>
              <w:jc w:val="center"/>
              <w:rPr>
                <w:rFonts w:hint="eastAsia" w:ascii="宋体" w:hAnsi="宋体" w:cs="宋体"/>
                <w:b/>
                <w:bCs/>
                <w:color w:val="auto"/>
                <w:sz w:val="22"/>
                <w:szCs w:val="22"/>
                <w:highlight w:val="none"/>
              </w:rPr>
            </w:pPr>
          </w:p>
        </w:tc>
      </w:tr>
      <w:tr w14:paraId="685D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659473D3">
            <w:pPr>
              <w:spacing w:line="380" w:lineRule="exact"/>
              <w:jc w:val="center"/>
              <w:rPr>
                <w:rFonts w:hint="eastAsia" w:ascii="宋体" w:hAnsi="宋体" w:cs="宋体"/>
                <w:b/>
                <w:bCs/>
                <w:color w:val="auto"/>
                <w:sz w:val="22"/>
                <w:szCs w:val="22"/>
                <w:highlight w:val="none"/>
              </w:rPr>
            </w:pPr>
          </w:p>
        </w:tc>
        <w:tc>
          <w:tcPr>
            <w:tcW w:w="2223" w:type="dxa"/>
            <w:vAlign w:val="center"/>
          </w:tcPr>
          <w:p w14:paraId="0BCA19AD">
            <w:pPr>
              <w:spacing w:line="380" w:lineRule="exact"/>
              <w:jc w:val="center"/>
              <w:rPr>
                <w:rFonts w:hint="eastAsia" w:ascii="宋体" w:hAnsi="宋体" w:cs="宋体"/>
                <w:b/>
                <w:bCs/>
                <w:color w:val="auto"/>
                <w:sz w:val="22"/>
                <w:szCs w:val="22"/>
                <w:highlight w:val="none"/>
              </w:rPr>
            </w:pPr>
          </w:p>
        </w:tc>
        <w:tc>
          <w:tcPr>
            <w:tcW w:w="2160" w:type="dxa"/>
            <w:vAlign w:val="center"/>
          </w:tcPr>
          <w:p w14:paraId="3AECAF39">
            <w:pPr>
              <w:spacing w:line="380" w:lineRule="exact"/>
              <w:jc w:val="center"/>
              <w:rPr>
                <w:rFonts w:hint="eastAsia" w:ascii="宋体" w:hAnsi="宋体" w:cs="宋体"/>
                <w:b/>
                <w:bCs/>
                <w:color w:val="auto"/>
                <w:sz w:val="22"/>
                <w:szCs w:val="22"/>
                <w:highlight w:val="none"/>
              </w:rPr>
            </w:pPr>
          </w:p>
        </w:tc>
        <w:tc>
          <w:tcPr>
            <w:tcW w:w="1440" w:type="dxa"/>
            <w:vAlign w:val="center"/>
          </w:tcPr>
          <w:p w14:paraId="1BBA6029">
            <w:pPr>
              <w:spacing w:line="380" w:lineRule="exact"/>
              <w:jc w:val="center"/>
              <w:rPr>
                <w:rFonts w:hint="eastAsia" w:ascii="宋体" w:hAnsi="宋体" w:cs="宋体"/>
                <w:b/>
                <w:bCs/>
                <w:color w:val="auto"/>
                <w:sz w:val="22"/>
                <w:szCs w:val="22"/>
                <w:highlight w:val="none"/>
              </w:rPr>
            </w:pPr>
          </w:p>
        </w:tc>
        <w:tc>
          <w:tcPr>
            <w:tcW w:w="1260" w:type="dxa"/>
            <w:vAlign w:val="center"/>
          </w:tcPr>
          <w:p w14:paraId="0F55B363">
            <w:pPr>
              <w:spacing w:line="380" w:lineRule="exact"/>
              <w:jc w:val="center"/>
              <w:rPr>
                <w:rFonts w:hint="eastAsia" w:ascii="宋体" w:hAnsi="宋体" w:cs="宋体"/>
                <w:b/>
                <w:bCs/>
                <w:color w:val="auto"/>
                <w:sz w:val="22"/>
                <w:szCs w:val="22"/>
                <w:highlight w:val="none"/>
              </w:rPr>
            </w:pPr>
          </w:p>
        </w:tc>
        <w:tc>
          <w:tcPr>
            <w:tcW w:w="1633" w:type="dxa"/>
            <w:vAlign w:val="center"/>
          </w:tcPr>
          <w:p w14:paraId="41D2CACD">
            <w:pPr>
              <w:spacing w:line="380" w:lineRule="exact"/>
              <w:jc w:val="center"/>
              <w:rPr>
                <w:rFonts w:hint="eastAsia" w:ascii="宋体" w:hAnsi="宋体" w:cs="宋体"/>
                <w:b/>
                <w:bCs/>
                <w:color w:val="auto"/>
                <w:sz w:val="22"/>
                <w:szCs w:val="22"/>
                <w:highlight w:val="none"/>
              </w:rPr>
            </w:pPr>
          </w:p>
        </w:tc>
      </w:tr>
      <w:tr w14:paraId="0646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5A1F3189">
            <w:pPr>
              <w:spacing w:line="380" w:lineRule="exact"/>
              <w:jc w:val="center"/>
              <w:rPr>
                <w:rFonts w:hint="eastAsia" w:ascii="宋体" w:hAnsi="宋体" w:cs="宋体"/>
                <w:b/>
                <w:bCs/>
                <w:color w:val="auto"/>
                <w:sz w:val="22"/>
                <w:szCs w:val="22"/>
                <w:highlight w:val="none"/>
              </w:rPr>
            </w:pPr>
          </w:p>
        </w:tc>
        <w:tc>
          <w:tcPr>
            <w:tcW w:w="2223" w:type="dxa"/>
            <w:vAlign w:val="center"/>
          </w:tcPr>
          <w:p w14:paraId="1847CB99">
            <w:pPr>
              <w:spacing w:line="380" w:lineRule="exact"/>
              <w:jc w:val="center"/>
              <w:rPr>
                <w:rFonts w:hint="eastAsia" w:ascii="宋体" w:hAnsi="宋体" w:cs="宋体"/>
                <w:b/>
                <w:bCs/>
                <w:color w:val="auto"/>
                <w:sz w:val="22"/>
                <w:szCs w:val="22"/>
                <w:highlight w:val="none"/>
              </w:rPr>
            </w:pPr>
          </w:p>
        </w:tc>
        <w:tc>
          <w:tcPr>
            <w:tcW w:w="2160" w:type="dxa"/>
            <w:vAlign w:val="center"/>
          </w:tcPr>
          <w:p w14:paraId="3A5174FB">
            <w:pPr>
              <w:spacing w:line="380" w:lineRule="exact"/>
              <w:jc w:val="center"/>
              <w:rPr>
                <w:rFonts w:hint="eastAsia" w:ascii="宋体" w:hAnsi="宋体" w:cs="宋体"/>
                <w:b/>
                <w:bCs/>
                <w:color w:val="auto"/>
                <w:sz w:val="22"/>
                <w:szCs w:val="22"/>
                <w:highlight w:val="none"/>
              </w:rPr>
            </w:pPr>
          </w:p>
        </w:tc>
        <w:tc>
          <w:tcPr>
            <w:tcW w:w="1440" w:type="dxa"/>
            <w:vAlign w:val="center"/>
          </w:tcPr>
          <w:p w14:paraId="733D639B">
            <w:pPr>
              <w:spacing w:line="380" w:lineRule="exact"/>
              <w:jc w:val="center"/>
              <w:rPr>
                <w:rFonts w:hint="eastAsia" w:ascii="宋体" w:hAnsi="宋体" w:cs="宋体"/>
                <w:b/>
                <w:bCs/>
                <w:color w:val="auto"/>
                <w:sz w:val="22"/>
                <w:szCs w:val="22"/>
                <w:highlight w:val="none"/>
              </w:rPr>
            </w:pPr>
          </w:p>
        </w:tc>
        <w:tc>
          <w:tcPr>
            <w:tcW w:w="1260" w:type="dxa"/>
            <w:vAlign w:val="center"/>
          </w:tcPr>
          <w:p w14:paraId="3CD48913">
            <w:pPr>
              <w:spacing w:line="380" w:lineRule="exact"/>
              <w:jc w:val="center"/>
              <w:rPr>
                <w:rFonts w:hint="eastAsia" w:ascii="宋体" w:hAnsi="宋体" w:cs="宋体"/>
                <w:b/>
                <w:bCs/>
                <w:color w:val="auto"/>
                <w:sz w:val="22"/>
                <w:szCs w:val="22"/>
                <w:highlight w:val="none"/>
              </w:rPr>
            </w:pPr>
          </w:p>
        </w:tc>
        <w:tc>
          <w:tcPr>
            <w:tcW w:w="1633" w:type="dxa"/>
            <w:vAlign w:val="center"/>
          </w:tcPr>
          <w:p w14:paraId="3F7E778A">
            <w:pPr>
              <w:spacing w:line="380" w:lineRule="exact"/>
              <w:jc w:val="center"/>
              <w:rPr>
                <w:rFonts w:hint="eastAsia" w:ascii="宋体" w:hAnsi="宋体" w:cs="宋体"/>
                <w:b/>
                <w:bCs/>
                <w:color w:val="auto"/>
                <w:sz w:val="22"/>
                <w:szCs w:val="22"/>
                <w:highlight w:val="none"/>
              </w:rPr>
            </w:pPr>
          </w:p>
        </w:tc>
      </w:tr>
      <w:tr w14:paraId="03A1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7B072A79">
            <w:pPr>
              <w:spacing w:line="380" w:lineRule="exact"/>
              <w:jc w:val="center"/>
              <w:rPr>
                <w:rFonts w:hint="eastAsia" w:ascii="宋体" w:hAnsi="宋体" w:cs="宋体"/>
                <w:b/>
                <w:bCs/>
                <w:color w:val="auto"/>
                <w:sz w:val="22"/>
                <w:szCs w:val="22"/>
                <w:highlight w:val="none"/>
              </w:rPr>
            </w:pPr>
          </w:p>
        </w:tc>
        <w:tc>
          <w:tcPr>
            <w:tcW w:w="2223" w:type="dxa"/>
            <w:vAlign w:val="center"/>
          </w:tcPr>
          <w:p w14:paraId="4A90FDCB">
            <w:pPr>
              <w:spacing w:line="380" w:lineRule="exact"/>
              <w:jc w:val="center"/>
              <w:rPr>
                <w:rFonts w:hint="eastAsia" w:ascii="宋体" w:hAnsi="宋体" w:cs="宋体"/>
                <w:b/>
                <w:bCs/>
                <w:color w:val="auto"/>
                <w:sz w:val="22"/>
                <w:szCs w:val="22"/>
                <w:highlight w:val="none"/>
              </w:rPr>
            </w:pPr>
          </w:p>
        </w:tc>
        <w:tc>
          <w:tcPr>
            <w:tcW w:w="2160" w:type="dxa"/>
            <w:vAlign w:val="center"/>
          </w:tcPr>
          <w:p w14:paraId="162F1892">
            <w:pPr>
              <w:spacing w:line="380" w:lineRule="exact"/>
              <w:jc w:val="center"/>
              <w:rPr>
                <w:rFonts w:hint="eastAsia" w:ascii="宋体" w:hAnsi="宋体" w:cs="宋体"/>
                <w:b/>
                <w:bCs/>
                <w:color w:val="auto"/>
                <w:sz w:val="22"/>
                <w:szCs w:val="22"/>
                <w:highlight w:val="none"/>
              </w:rPr>
            </w:pPr>
          </w:p>
        </w:tc>
        <w:tc>
          <w:tcPr>
            <w:tcW w:w="1440" w:type="dxa"/>
            <w:vAlign w:val="center"/>
          </w:tcPr>
          <w:p w14:paraId="4BAEBEAF">
            <w:pPr>
              <w:spacing w:line="380" w:lineRule="exact"/>
              <w:jc w:val="center"/>
              <w:rPr>
                <w:rFonts w:hint="eastAsia" w:ascii="宋体" w:hAnsi="宋体" w:cs="宋体"/>
                <w:b/>
                <w:bCs/>
                <w:color w:val="auto"/>
                <w:sz w:val="22"/>
                <w:szCs w:val="22"/>
                <w:highlight w:val="none"/>
              </w:rPr>
            </w:pPr>
          </w:p>
        </w:tc>
        <w:tc>
          <w:tcPr>
            <w:tcW w:w="1260" w:type="dxa"/>
            <w:vAlign w:val="center"/>
          </w:tcPr>
          <w:p w14:paraId="12F48573">
            <w:pPr>
              <w:spacing w:line="380" w:lineRule="exact"/>
              <w:jc w:val="center"/>
              <w:rPr>
                <w:rFonts w:hint="eastAsia" w:ascii="宋体" w:hAnsi="宋体" w:cs="宋体"/>
                <w:b/>
                <w:bCs/>
                <w:color w:val="auto"/>
                <w:sz w:val="22"/>
                <w:szCs w:val="22"/>
                <w:highlight w:val="none"/>
              </w:rPr>
            </w:pPr>
          </w:p>
        </w:tc>
        <w:tc>
          <w:tcPr>
            <w:tcW w:w="1633" w:type="dxa"/>
            <w:vAlign w:val="center"/>
          </w:tcPr>
          <w:p w14:paraId="663FA9D7">
            <w:pPr>
              <w:spacing w:line="380" w:lineRule="exact"/>
              <w:jc w:val="center"/>
              <w:rPr>
                <w:rFonts w:hint="eastAsia" w:ascii="宋体" w:hAnsi="宋体" w:cs="宋体"/>
                <w:b/>
                <w:bCs/>
                <w:color w:val="auto"/>
                <w:sz w:val="22"/>
                <w:szCs w:val="22"/>
                <w:highlight w:val="none"/>
              </w:rPr>
            </w:pPr>
          </w:p>
        </w:tc>
      </w:tr>
    </w:tbl>
    <w:p w14:paraId="51EC0DBE">
      <w:pPr>
        <w:spacing w:line="460" w:lineRule="exact"/>
        <w:ind w:left="755" w:hanging="754" w:hangingChars="343"/>
        <w:rPr>
          <w:rFonts w:hint="eastAsia" w:ascii="宋体" w:hAnsi="宋体" w:cs="宋体"/>
          <w:b/>
          <w:color w:val="auto"/>
          <w:sz w:val="22"/>
          <w:szCs w:val="22"/>
          <w:highlight w:val="none"/>
        </w:rPr>
      </w:pPr>
      <w:r>
        <w:rPr>
          <w:rFonts w:hint="eastAsia" w:ascii="宋体" w:hAnsi="宋体" w:cs="宋体"/>
          <w:bCs/>
          <w:color w:val="auto"/>
          <w:sz w:val="22"/>
          <w:szCs w:val="22"/>
          <w:highlight w:val="none"/>
        </w:rPr>
        <w:t>注：</w:t>
      </w:r>
    </w:p>
    <w:p w14:paraId="449321B9">
      <w:pPr>
        <w:spacing w:line="460" w:lineRule="exact"/>
        <w:ind w:left="753" w:leftChars="209" w:hanging="314" w:hangingChars="143"/>
        <w:rPr>
          <w:rFonts w:hint="eastAsia" w:ascii="宋体" w:hAnsi="宋体" w:cs="宋体"/>
          <w:b/>
          <w:color w:val="auto"/>
          <w:sz w:val="22"/>
          <w:szCs w:val="22"/>
          <w:highlight w:val="none"/>
        </w:rPr>
      </w:pPr>
      <w:r>
        <w:rPr>
          <w:rFonts w:hint="eastAsia" w:ascii="宋体" w:hAnsi="宋体" w:cs="宋体"/>
          <w:color w:val="auto"/>
          <w:sz w:val="22"/>
          <w:highlight w:val="none"/>
        </w:rPr>
        <w:t>1.本表可在不改变格式的情况下根据具体需要自行增减。</w:t>
      </w:r>
    </w:p>
    <w:p w14:paraId="76CD57C0">
      <w:pPr>
        <w:rPr>
          <w:rFonts w:hint="eastAsia" w:ascii="宋体" w:hAnsi="宋体" w:cs="宋体"/>
          <w:color w:val="auto"/>
          <w:highlight w:val="none"/>
        </w:rPr>
      </w:pPr>
    </w:p>
    <w:p w14:paraId="0AD83DD5">
      <w:pPr>
        <w:spacing w:line="380" w:lineRule="exact"/>
        <w:rPr>
          <w:rFonts w:hint="eastAsia" w:ascii="宋体" w:hAnsi="宋体" w:cs="宋体"/>
          <w:color w:val="auto"/>
          <w:sz w:val="22"/>
          <w:szCs w:val="22"/>
          <w:highlight w:val="none"/>
        </w:rPr>
      </w:pPr>
    </w:p>
    <w:p w14:paraId="2E502051">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供应商全称（盖章）：</w:t>
      </w:r>
    </w:p>
    <w:p w14:paraId="11B8B1F0">
      <w:pPr>
        <w:spacing w:line="380" w:lineRule="exact"/>
        <w:ind w:firstLine="4620" w:firstLineChars="21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0712909F">
      <w:pPr>
        <w:spacing w:line="380" w:lineRule="exact"/>
        <w:ind w:firstLine="4620" w:firstLineChars="21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407F6D68">
      <w:pPr>
        <w:tabs>
          <w:tab w:val="left" w:pos="5592"/>
        </w:tabs>
        <w:spacing w:line="380" w:lineRule="exact"/>
        <w:rPr>
          <w:rFonts w:hint="eastAsia" w:ascii="宋体" w:hAnsi="宋体" w:cs="宋体"/>
          <w:color w:val="auto"/>
          <w:sz w:val="22"/>
          <w:szCs w:val="22"/>
          <w:highlight w:val="none"/>
        </w:rPr>
      </w:pPr>
    </w:p>
    <w:p w14:paraId="75C81697">
      <w:pPr>
        <w:spacing w:line="380" w:lineRule="exact"/>
        <w:rPr>
          <w:rFonts w:hint="eastAsia" w:ascii="宋体" w:hAnsi="宋体" w:cs="宋体"/>
          <w:color w:val="auto"/>
          <w:sz w:val="22"/>
          <w:szCs w:val="22"/>
          <w:highlight w:val="none"/>
        </w:rPr>
      </w:pPr>
    </w:p>
    <w:p w14:paraId="64CC0F25">
      <w:pPr>
        <w:rPr>
          <w:rFonts w:hint="eastAsia" w:ascii="宋体" w:hAnsi="宋体" w:cs="宋体"/>
          <w:color w:val="auto"/>
          <w:sz w:val="22"/>
          <w:szCs w:val="22"/>
          <w:highlight w:val="none"/>
        </w:rPr>
      </w:pPr>
      <w:r>
        <w:rPr>
          <w:rFonts w:hint="eastAsia" w:ascii="宋体" w:hAnsi="宋体" w:cs="宋体"/>
          <w:color w:val="auto"/>
          <w:sz w:val="22"/>
          <w:szCs w:val="22"/>
          <w:highlight w:val="none"/>
        </w:rPr>
        <w:br w:type="page"/>
      </w:r>
    </w:p>
    <w:p w14:paraId="0624C06A">
      <w:pPr>
        <w:spacing w:before="120" w:beforeLines="50" w:after="120" w:afterLines="50"/>
        <w:rPr>
          <w:rFonts w:hint="eastAsia" w:ascii="宋体" w:hAnsi="宋体" w:cs="宋体"/>
          <w:color w:val="auto"/>
          <w:sz w:val="22"/>
          <w:szCs w:val="22"/>
          <w:highlight w:val="none"/>
        </w:rPr>
      </w:pPr>
      <w:r>
        <w:rPr>
          <w:rFonts w:hint="eastAsia" w:ascii="宋体" w:hAnsi="宋体" w:cs="宋体"/>
          <w:color w:val="auto"/>
          <w:sz w:val="22"/>
          <w:szCs w:val="22"/>
          <w:highlight w:val="none"/>
        </w:rPr>
        <w:t>（报价标封面，供参考）</w:t>
      </w:r>
    </w:p>
    <w:p w14:paraId="06F0AF30">
      <w:pPr>
        <w:rPr>
          <w:rFonts w:hint="eastAsia" w:ascii="宋体" w:hAnsi="宋体" w:cs="宋体"/>
          <w:color w:val="auto"/>
          <w:highlight w:val="none"/>
        </w:rPr>
      </w:pPr>
    </w:p>
    <w:p w14:paraId="68587CAF">
      <w:pPr>
        <w:rPr>
          <w:rFonts w:hint="eastAsia" w:ascii="宋体" w:hAnsi="宋体" w:cs="宋体"/>
          <w:color w:val="auto"/>
          <w:highlight w:val="none"/>
        </w:rPr>
      </w:pPr>
    </w:p>
    <w:p w14:paraId="7DD414CF">
      <w:pPr>
        <w:rPr>
          <w:rFonts w:hint="eastAsia" w:ascii="宋体" w:hAnsi="宋体" w:cs="宋体"/>
          <w:color w:val="auto"/>
          <w:highlight w:val="none"/>
        </w:rPr>
      </w:pPr>
    </w:p>
    <w:p w14:paraId="7CC61127">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rPr>
        <w:t>磋商响应文件</w:t>
      </w:r>
    </w:p>
    <w:p w14:paraId="15291049">
      <w:pPr>
        <w:rPr>
          <w:rFonts w:hint="eastAsia" w:ascii="宋体" w:hAnsi="宋体" w:cs="宋体"/>
          <w:color w:val="auto"/>
          <w:sz w:val="28"/>
          <w:szCs w:val="28"/>
          <w:highlight w:val="none"/>
        </w:rPr>
      </w:pPr>
    </w:p>
    <w:p w14:paraId="60805799">
      <w:pPr>
        <w:rPr>
          <w:rFonts w:hint="eastAsia" w:ascii="宋体" w:hAnsi="宋体" w:cs="宋体"/>
          <w:color w:val="auto"/>
          <w:sz w:val="28"/>
          <w:szCs w:val="28"/>
          <w:highlight w:val="none"/>
        </w:rPr>
      </w:pPr>
    </w:p>
    <w:p w14:paraId="3D4ECFD7">
      <w:pPr>
        <w:pStyle w:val="22"/>
        <w:ind w:firstLine="281"/>
        <w:rPr>
          <w:rFonts w:hint="eastAsia" w:ascii="宋体" w:hAnsi="宋体" w:cs="宋体"/>
          <w:color w:val="auto"/>
          <w:sz w:val="28"/>
          <w:szCs w:val="28"/>
          <w:highlight w:val="none"/>
        </w:rPr>
      </w:pPr>
    </w:p>
    <w:p w14:paraId="4C71E573">
      <w:pPr>
        <w:pStyle w:val="22"/>
        <w:ind w:firstLine="281"/>
        <w:rPr>
          <w:rFonts w:hint="eastAsia" w:ascii="宋体" w:hAnsi="宋体" w:cs="宋体"/>
          <w:color w:val="auto"/>
          <w:sz w:val="28"/>
          <w:szCs w:val="28"/>
          <w:highlight w:val="none"/>
        </w:rPr>
      </w:pPr>
    </w:p>
    <w:p w14:paraId="1A6B37B9">
      <w:pPr>
        <w:rPr>
          <w:rFonts w:hint="eastAsia" w:ascii="宋体" w:hAnsi="宋体" w:cs="宋体"/>
          <w:color w:val="auto"/>
          <w:sz w:val="28"/>
          <w:szCs w:val="28"/>
          <w:highlight w:val="none"/>
        </w:rPr>
      </w:pPr>
    </w:p>
    <w:p w14:paraId="6AB53FF0">
      <w:pPr>
        <w:rPr>
          <w:rFonts w:hint="eastAsia" w:ascii="宋体" w:hAnsi="宋体" w:cs="宋体"/>
          <w:color w:val="auto"/>
          <w:sz w:val="28"/>
          <w:szCs w:val="28"/>
          <w:highlight w:val="none"/>
        </w:rPr>
      </w:pPr>
    </w:p>
    <w:p w14:paraId="7FA59AC7">
      <w:pPr>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报  价  标</w:t>
      </w:r>
    </w:p>
    <w:p w14:paraId="6775FA23">
      <w:pPr>
        <w:spacing w:line="360" w:lineRule="auto"/>
        <w:rPr>
          <w:rFonts w:hint="eastAsia" w:ascii="宋体" w:hAnsi="宋体" w:cs="宋体"/>
          <w:color w:val="auto"/>
          <w:szCs w:val="21"/>
          <w:highlight w:val="none"/>
        </w:rPr>
      </w:pPr>
    </w:p>
    <w:p w14:paraId="242EEDFE">
      <w:pPr>
        <w:spacing w:line="360" w:lineRule="auto"/>
        <w:rPr>
          <w:rFonts w:hint="eastAsia" w:ascii="宋体" w:hAnsi="宋体" w:cs="宋体"/>
          <w:color w:val="auto"/>
          <w:szCs w:val="21"/>
          <w:highlight w:val="none"/>
        </w:rPr>
      </w:pPr>
    </w:p>
    <w:p w14:paraId="17F83725">
      <w:pPr>
        <w:spacing w:line="360" w:lineRule="auto"/>
        <w:rPr>
          <w:rFonts w:hint="eastAsia" w:ascii="宋体" w:hAnsi="宋体" w:cs="宋体"/>
          <w:color w:val="auto"/>
          <w:szCs w:val="21"/>
          <w:highlight w:val="none"/>
        </w:rPr>
      </w:pPr>
    </w:p>
    <w:p w14:paraId="78645783">
      <w:pPr>
        <w:spacing w:line="360" w:lineRule="auto"/>
        <w:rPr>
          <w:rFonts w:hint="eastAsia" w:ascii="宋体" w:hAnsi="宋体" w:cs="宋体"/>
          <w:color w:val="auto"/>
          <w:szCs w:val="21"/>
          <w:highlight w:val="none"/>
        </w:rPr>
      </w:pPr>
    </w:p>
    <w:p w14:paraId="5D1D3C6A">
      <w:pPr>
        <w:spacing w:line="360" w:lineRule="auto"/>
        <w:rPr>
          <w:rFonts w:hint="eastAsia" w:ascii="宋体" w:hAnsi="宋体" w:cs="宋体"/>
          <w:color w:val="auto"/>
          <w:szCs w:val="21"/>
          <w:highlight w:val="none"/>
        </w:rPr>
      </w:pPr>
    </w:p>
    <w:p w14:paraId="7ECD04F9">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1273C52E">
      <w:pPr>
        <w:rPr>
          <w:rFonts w:hint="eastAsia" w:ascii="宋体" w:hAnsi="宋体" w:cs="宋体"/>
          <w:color w:val="auto"/>
          <w:sz w:val="28"/>
          <w:szCs w:val="28"/>
          <w:highlight w:val="none"/>
          <w:u w:val="single"/>
        </w:rPr>
      </w:pPr>
    </w:p>
    <w:p w14:paraId="65E7E1CE">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56B0B800">
      <w:pPr>
        <w:rPr>
          <w:rFonts w:hint="eastAsia" w:ascii="宋体" w:hAnsi="宋体" w:cs="宋体"/>
          <w:color w:val="auto"/>
          <w:sz w:val="28"/>
          <w:szCs w:val="28"/>
          <w:highlight w:val="none"/>
        </w:rPr>
      </w:pPr>
    </w:p>
    <w:p w14:paraId="7C93CD1B">
      <w:pPr>
        <w:overflowPunct w:val="0"/>
        <w:spacing w:line="380" w:lineRule="exact"/>
        <w:ind w:firstLine="2738" w:firstLineChars="978"/>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69E92416">
      <w:pPr>
        <w:overflowPunct w:val="0"/>
        <w:spacing w:line="38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w:br w:type="page"/>
      </w:r>
      <w:r>
        <w:rPr>
          <w:rFonts w:hint="eastAsia" w:ascii="宋体" w:hAnsi="宋体" w:cs="宋体"/>
          <w:b/>
          <w:bCs/>
          <w:color w:val="auto"/>
          <w:sz w:val="22"/>
          <w:szCs w:val="22"/>
          <w:highlight w:val="none"/>
        </w:rPr>
        <w:t>附件一</w:t>
      </w:r>
    </w:p>
    <w:p w14:paraId="2C7542E3">
      <w:pPr>
        <w:autoSpaceDE w:val="0"/>
        <w:autoSpaceDN w:val="0"/>
        <w:adjustRightInd w:val="0"/>
        <w:spacing w:line="460" w:lineRule="atLeast"/>
        <w:jc w:val="center"/>
        <w:rPr>
          <w:rFonts w:hint="eastAsia" w:ascii="宋体" w:hAnsi="宋体" w:cs="宋体"/>
          <w:b/>
          <w:bCs/>
          <w:color w:val="auto"/>
          <w:kern w:val="0"/>
          <w:sz w:val="28"/>
          <w:szCs w:val="28"/>
          <w:highlight w:val="none"/>
          <w:lang w:val="zh-CN"/>
        </w:rPr>
      </w:pPr>
    </w:p>
    <w:p w14:paraId="360D48A4">
      <w:pPr>
        <w:autoSpaceDE w:val="0"/>
        <w:autoSpaceDN w:val="0"/>
        <w:adjustRightInd w:val="0"/>
        <w:spacing w:line="460" w:lineRule="atLeast"/>
        <w:jc w:val="cente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开标一览表</w:t>
      </w:r>
    </w:p>
    <w:p w14:paraId="4BAD6B8D">
      <w:pPr>
        <w:spacing w:line="380" w:lineRule="exact"/>
        <w:ind w:right="349" w:rightChars="166" w:firstLine="330" w:firstLineChars="150"/>
        <w:rPr>
          <w:rFonts w:hint="eastAsia" w:ascii="宋体" w:hAnsi="宋体" w:cs="宋体"/>
          <w:b/>
          <w:color w:val="auto"/>
          <w:sz w:val="22"/>
          <w:highlight w:val="none"/>
        </w:rPr>
      </w:pPr>
      <w:r>
        <w:rPr>
          <w:rFonts w:hint="eastAsia" w:ascii="宋体" w:hAnsi="宋体" w:cs="宋体"/>
          <w:color w:val="auto"/>
          <w:sz w:val="22"/>
          <w:highlight w:val="none"/>
        </w:rPr>
        <w:t>项目名称：                                          项目编号：</w:t>
      </w:r>
    </w:p>
    <w:tbl>
      <w:tblPr>
        <w:tblStyle w:val="54"/>
        <w:tblW w:w="102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0"/>
      </w:tblGrid>
      <w:tr w14:paraId="11B14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40" w:hRule="atLeast"/>
          <w:jc w:val="center"/>
        </w:trPr>
        <w:tc>
          <w:tcPr>
            <w:tcW w:w="10200" w:type="dxa"/>
            <w:tcBorders>
              <w:left w:val="single" w:color="auto" w:sz="12" w:space="0"/>
              <w:bottom w:val="single" w:color="auto" w:sz="12" w:space="0"/>
              <w:right w:val="single" w:color="auto" w:sz="12" w:space="0"/>
            </w:tcBorders>
            <w:vAlign w:val="center"/>
          </w:tcPr>
          <w:p w14:paraId="3F8F7420">
            <w:pPr>
              <w:autoSpaceDE w:val="0"/>
              <w:autoSpaceDN w:val="0"/>
              <w:adjustRightInd w:val="0"/>
              <w:spacing w:line="380" w:lineRule="atLeast"/>
              <w:ind w:right="349" w:firstLine="331"/>
              <w:jc w:val="left"/>
              <w:rPr>
                <w:rFonts w:hint="eastAsia"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投标总价（大写）：</w:t>
            </w:r>
          </w:p>
          <w:p w14:paraId="2A6915B5">
            <w:pPr>
              <w:autoSpaceDE w:val="0"/>
              <w:autoSpaceDN w:val="0"/>
              <w:adjustRightInd w:val="0"/>
              <w:spacing w:line="380" w:lineRule="atLeast"/>
              <w:ind w:right="349" w:firstLine="331"/>
              <w:jc w:val="left"/>
              <w:rPr>
                <w:rFonts w:hint="eastAsia" w:ascii="新宋体" w:hAnsi="新宋体" w:eastAsia="新宋体" w:cs="宋体"/>
                <w:b/>
                <w:bCs/>
                <w:color w:val="auto"/>
                <w:kern w:val="0"/>
                <w:sz w:val="22"/>
                <w:szCs w:val="22"/>
                <w:highlight w:val="none"/>
              </w:rPr>
            </w:pPr>
          </w:p>
          <w:p w14:paraId="341FA30B">
            <w:pPr>
              <w:autoSpaceDE w:val="0"/>
              <w:autoSpaceDN w:val="0"/>
              <w:adjustRightInd w:val="0"/>
              <w:spacing w:line="380" w:lineRule="atLeast"/>
              <w:ind w:right="349" w:firstLine="331"/>
              <w:jc w:val="left"/>
              <w:rPr>
                <w:rFonts w:hint="eastAsia"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（小写）¥</w:t>
            </w:r>
          </w:p>
        </w:tc>
      </w:tr>
    </w:tbl>
    <w:p w14:paraId="1EAA1E26">
      <w:pPr>
        <w:spacing w:line="380" w:lineRule="exact"/>
        <w:ind w:left="1"/>
        <w:rPr>
          <w:rFonts w:hint="eastAsia" w:ascii="宋体" w:hAnsi="宋体" w:cs="宋体"/>
          <w:b/>
          <w:color w:val="auto"/>
          <w:sz w:val="22"/>
          <w:szCs w:val="22"/>
          <w:highlight w:val="none"/>
        </w:rPr>
      </w:pPr>
    </w:p>
    <w:p w14:paraId="0307C2BC">
      <w:pPr>
        <w:spacing w:line="380" w:lineRule="exact"/>
        <w:ind w:left="1"/>
        <w:rPr>
          <w:rFonts w:hint="eastAsia" w:ascii="宋体" w:hAnsi="宋体" w:cs="宋体"/>
          <w:b/>
          <w:color w:val="auto"/>
          <w:sz w:val="22"/>
          <w:szCs w:val="22"/>
          <w:highlight w:val="none"/>
        </w:rPr>
      </w:pPr>
      <w:r>
        <w:rPr>
          <w:rFonts w:hint="eastAsia" w:ascii="宋体" w:hAnsi="宋体" w:cs="宋体"/>
          <w:b/>
          <w:color w:val="auto"/>
          <w:sz w:val="22"/>
          <w:szCs w:val="22"/>
          <w:highlight w:val="none"/>
        </w:rPr>
        <w:t>说明：</w:t>
      </w:r>
    </w:p>
    <w:p w14:paraId="568FA36C">
      <w:pPr>
        <w:spacing w:line="380" w:lineRule="exact"/>
        <w:ind w:left="1"/>
        <w:rPr>
          <w:rFonts w:hint="eastAsia" w:ascii="宋体" w:hAnsi="宋体" w:cs="宋体"/>
          <w:color w:val="auto"/>
          <w:sz w:val="22"/>
          <w:szCs w:val="22"/>
          <w:highlight w:val="none"/>
        </w:rPr>
      </w:pPr>
      <w:r>
        <w:rPr>
          <w:rFonts w:hint="eastAsia" w:ascii="宋体" w:hAnsi="宋体" w:cs="宋体"/>
          <w:b/>
          <w:color w:val="auto"/>
          <w:sz w:val="22"/>
          <w:szCs w:val="22"/>
          <w:highlight w:val="none"/>
        </w:rPr>
        <w:t>1.此栏内投标总价应与“投标分项报价表”中总计价相一致。</w:t>
      </w:r>
    </w:p>
    <w:p w14:paraId="51160FA0">
      <w:pPr>
        <w:autoSpaceDE w:val="0"/>
        <w:autoSpaceDN w:val="0"/>
        <w:adjustRightInd w:val="0"/>
        <w:spacing w:line="380" w:lineRule="atLeast"/>
        <w:rPr>
          <w:rFonts w:hint="eastAsia" w:ascii="新宋体" w:hAnsi="新宋体" w:eastAsia="新宋体"/>
          <w:b/>
          <w:bCs/>
          <w:color w:val="auto"/>
          <w:kern w:val="0"/>
          <w:sz w:val="22"/>
          <w:szCs w:val="22"/>
          <w:highlight w:val="none"/>
          <w:u w:val="wave"/>
          <w:lang w:val="zh-CN"/>
        </w:rPr>
      </w:pPr>
      <w:r>
        <w:rPr>
          <w:rFonts w:hint="eastAsia" w:ascii="新宋体" w:hAnsi="新宋体" w:eastAsia="新宋体"/>
          <w:b/>
          <w:bCs/>
          <w:color w:val="auto"/>
          <w:kern w:val="0"/>
          <w:sz w:val="22"/>
          <w:szCs w:val="22"/>
          <w:highlight w:val="none"/>
          <w:u w:val="single"/>
        </w:rPr>
        <w:t>2.</w:t>
      </w:r>
      <w:r>
        <w:rPr>
          <w:rFonts w:hint="eastAsia" w:ascii="新宋体" w:hAnsi="新宋体" w:eastAsia="新宋体"/>
          <w:b/>
          <w:bCs/>
          <w:color w:val="auto"/>
          <w:kern w:val="0"/>
          <w:sz w:val="22"/>
          <w:szCs w:val="22"/>
          <w:highlight w:val="none"/>
          <w:u w:val="single"/>
          <w:lang w:val="zh-CN"/>
        </w:rPr>
        <w:t>不提供此表格</w:t>
      </w:r>
      <w:r>
        <w:rPr>
          <w:rFonts w:hint="eastAsia" w:ascii="新宋体" w:hAnsi="新宋体" w:eastAsia="新宋体"/>
          <w:b/>
          <w:color w:val="auto"/>
          <w:sz w:val="22"/>
          <w:szCs w:val="22"/>
          <w:highlight w:val="none"/>
          <w:u w:val="single"/>
        </w:rPr>
        <w:t>的磋商响应文件将被视为未实质性响应竞争性磋商文件。其磋商响应文件将被否决。</w:t>
      </w:r>
    </w:p>
    <w:p w14:paraId="3821B8AF">
      <w:pPr>
        <w:autoSpaceDE w:val="0"/>
        <w:autoSpaceDN w:val="0"/>
        <w:adjustRightInd w:val="0"/>
        <w:spacing w:line="380" w:lineRule="atLeast"/>
        <w:ind w:firstLine="660"/>
        <w:rPr>
          <w:rFonts w:hint="eastAsia" w:ascii="宋体" w:hAnsi="宋体" w:cs="宋体"/>
          <w:color w:val="auto"/>
          <w:kern w:val="0"/>
          <w:sz w:val="22"/>
          <w:szCs w:val="22"/>
          <w:highlight w:val="none"/>
          <w:lang w:val="zh-CN"/>
        </w:rPr>
      </w:pPr>
    </w:p>
    <w:p w14:paraId="1EB8A483">
      <w:pPr>
        <w:autoSpaceDE w:val="0"/>
        <w:autoSpaceDN w:val="0"/>
        <w:adjustRightInd w:val="0"/>
        <w:spacing w:line="380" w:lineRule="atLeast"/>
        <w:ind w:firstLine="660"/>
        <w:rPr>
          <w:rFonts w:hint="eastAsia" w:ascii="宋体" w:hAnsi="宋体" w:cs="宋体"/>
          <w:color w:val="auto"/>
          <w:kern w:val="0"/>
          <w:sz w:val="22"/>
          <w:szCs w:val="22"/>
          <w:highlight w:val="none"/>
          <w:lang w:val="zh-CN"/>
        </w:rPr>
      </w:pPr>
    </w:p>
    <w:p w14:paraId="570742CB">
      <w:pPr>
        <w:autoSpaceDE w:val="0"/>
        <w:autoSpaceDN w:val="0"/>
        <w:adjustRightInd w:val="0"/>
        <w:spacing w:line="380" w:lineRule="atLeast"/>
        <w:rPr>
          <w:rFonts w:hint="eastAsia" w:ascii="宋体" w:hAnsi="宋体" w:cs="宋体"/>
          <w:color w:val="auto"/>
          <w:kern w:val="0"/>
          <w:sz w:val="22"/>
          <w:szCs w:val="22"/>
          <w:highlight w:val="none"/>
          <w:lang w:val="zh-CN"/>
        </w:rPr>
      </w:pPr>
    </w:p>
    <w:p w14:paraId="5985EA20">
      <w:pPr>
        <w:autoSpaceDE w:val="0"/>
        <w:autoSpaceDN w:val="0"/>
        <w:adjustRightInd w:val="0"/>
        <w:spacing w:line="380" w:lineRule="atLeast"/>
        <w:ind w:firstLine="660"/>
        <w:rPr>
          <w:rFonts w:hint="eastAsia" w:ascii="宋体" w:hAnsi="宋体" w:cs="宋体"/>
          <w:color w:val="auto"/>
          <w:kern w:val="0"/>
          <w:sz w:val="22"/>
          <w:szCs w:val="22"/>
          <w:highlight w:val="none"/>
          <w:lang w:val="zh-CN"/>
        </w:rPr>
      </w:pPr>
    </w:p>
    <w:p w14:paraId="22FD3C0E">
      <w:pPr>
        <w:autoSpaceDE w:val="0"/>
        <w:autoSpaceDN w:val="0"/>
        <w:adjustRightInd w:val="0"/>
        <w:spacing w:line="380" w:lineRule="atLeast"/>
        <w:ind w:firstLine="660"/>
        <w:rPr>
          <w:rFonts w:hint="eastAsia" w:ascii="宋体" w:hAnsi="宋体" w:cs="宋体"/>
          <w:color w:val="auto"/>
          <w:kern w:val="0"/>
          <w:sz w:val="22"/>
          <w:szCs w:val="22"/>
          <w:highlight w:val="none"/>
          <w:lang w:val="zh-CN"/>
        </w:rPr>
      </w:pPr>
    </w:p>
    <w:p w14:paraId="716ADC70">
      <w:pPr>
        <w:autoSpaceDE w:val="0"/>
        <w:autoSpaceDN w:val="0"/>
        <w:adjustRightInd w:val="0"/>
        <w:spacing w:line="380" w:lineRule="atLeas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供应商全称（盖章）：</w:t>
      </w:r>
    </w:p>
    <w:p w14:paraId="4CE1485A">
      <w:pPr>
        <w:autoSpaceDE w:val="0"/>
        <w:autoSpaceDN w:val="0"/>
        <w:adjustRightInd w:val="0"/>
        <w:spacing w:line="380" w:lineRule="atLeas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供应商代表（签名）：</w:t>
      </w:r>
    </w:p>
    <w:p w14:paraId="02D4937E">
      <w:pPr>
        <w:autoSpaceDE w:val="0"/>
        <w:autoSpaceDN w:val="0"/>
        <w:adjustRightInd w:val="0"/>
        <w:spacing w:line="380" w:lineRule="atLeas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 xml:space="preserve">日 期：  年  月  日 </w:t>
      </w:r>
    </w:p>
    <w:p w14:paraId="690D5A80">
      <w:pPr>
        <w:autoSpaceDE w:val="0"/>
        <w:autoSpaceDN w:val="0"/>
        <w:adjustRightInd w:val="0"/>
        <w:spacing w:line="380" w:lineRule="atLeast"/>
        <w:rPr>
          <w:rFonts w:hint="eastAsia" w:ascii="宋体" w:hAnsi="宋体" w:cs="宋体"/>
          <w:color w:val="auto"/>
          <w:kern w:val="0"/>
          <w:sz w:val="22"/>
          <w:szCs w:val="22"/>
          <w:highlight w:val="none"/>
          <w:lang w:val="zh-CN"/>
        </w:rPr>
      </w:pPr>
    </w:p>
    <w:p w14:paraId="317AC933">
      <w:pPr>
        <w:autoSpaceDE w:val="0"/>
        <w:autoSpaceDN w:val="0"/>
        <w:adjustRightInd w:val="0"/>
        <w:spacing w:line="38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556BD802">
      <w:pPr>
        <w:spacing w:line="4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br w:type="page"/>
      </w:r>
    </w:p>
    <w:p w14:paraId="1A3A3E77">
      <w:pPr>
        <w:spacing w:line="460" w:lineRule="exact"/>
        <w:jc w:val="left"/>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附件二</w:t>
      </w:r>
    </w:p>
    <w:p w14:paraId="1137137C">
      <w:pPr>
        <w:spacing w:line="46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分项报价表</w:t>
      </w:r>
    </w:p>
    <w:p w14:paraId="08E0118F">
      <w:pPr>
        <w:spacing w:line="380" w:lineRule="exact"/>
        <w:ind w:right="349" w:rightChars="166"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采购项目名称：                项目编号：                    单位：人民币元</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73"/>
        <w:gridCol w:w="2224"/>
        <w:gridCol w:w="1359"/>
        <w:gridCol w:w="1281"/>
        <w:gridCol w:w="1335"/>
        <w:gridCol w:w="1314"/>
      </w:tblGrid>
      <w:tr w14:paraId="4E2B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15" w:type="dxa"/>
            <w:noWrap w:val="0"/>
            <w:vAlign w:val="center"/>
          </w:tcPr>
          <w:p w14:paraId="1D4C348B">
            <w:pPr>
              <w:tabs>
                <w:tab w:val="left" w:pos="1620"/>
              </w:tabs>
              <w:spacing w:line="360" w:lineRule="exact"/>
              <w:jc w:val="center"/>
              <w:rPr>
                <w:rFonts w:hint="eastAsia" w:ascii="宋体" w:hAnsi="宋体" w:cs="仿宋"/>
                <w:b/>
                <w:color w:val="auto"/>
                <w:sz w:val="22"/>
                <w:szCs w:val="22"/>
                <w:highlight w:val="none"/>
              </w:rPr>
            </w:pPr>
            <w:r>
              <w:rPr>
                <w:rFonts w:hint="eastAsia" w:ascii="宋体" w:hAnsi="宋体" w:cs="仿宋"/>
                <w:b/>
                <w:color w:val="auto"/>
                <w:sz w:val="22"/>
                <w:szCs w:val="22"/>
                <w:highlight w:val="none"/>
              </w:rPr>
              <w:t>序号</w:t>
            </w:r>
          </w:p>
        </w:tc>
        <w:tc>
          <w:tcPr>
            <w:tcW w:w="1073" w:type="dxa"/>
            <w:noWrap w:val="0"/>
            <w:vAlign w:val="center"/>
          </w:tcPr>
          <w:p w14:paraId="046E0A9F">
            <w:pPr>
              <w:tabs>
                <w:tab w:val="left" w:pos="1620"/>
              </w:tabs>
              <w:spacing w:line="360" w:lineRule="exact"/>
              <w:jc w:val="center"/>
              <w:rPr>
                <w:rFonts w:hint="eastAsia" w:ascii="宋体" w:hAnsi="宋体" w:cs="仿宋"/>
                <w:b/>
                <w:color w:val="auto"/>
                <w:sz w:val="22"/>
                <w:szCs w:val="22"/>
                <w:highlight w:val="none"/>
              </w:rPr>
            </w:pPr>
          </w:p>
        </w:tc>
        <w:tc>
          <w:tcPr>
            <w:tcW w:w="2224" w:type="dxa"/>
            <w:noWrap w:val="0"/>
            <w:vAlign w:val="center"/>
          </w:tcPr>
          <w:p w14:paraId="4FFD476B">
            <w:pPr>
              <w:tabs>
                <w:tab w:val="left" w:pos="1620"/>
              </w:tabs>
              <w:spacing w:line="360" w:lineRule="exact"/>
              <w:jc w:val="center"/>
              <w:rPr>
                <w:rFonts w:hint="eastAsia" w:ascii="宋体" w:hAnsi="宋体" w:cs="仿宋"/>
                <w:b/>
                <w:color w:val="auto"/>
                <w:sz w:val="22"/>
                <w:szCs w:val="22"/>
                <w:highlight w:val="none"/>
              </w:rPr>
            </w:pPr>
            <w:r>
              <w:rPr>
                <w:rFonts w:hint="eastAsia" w:ascii="宋体" w:hAnsi="宋体" w:cs="仿宋"/>
                <w:b/>
                <w:color w:val="auto"/>
                <w:sz w:val="22"/>
                <w:szCs w:val="22"/>
                <w:highlight w:val="none"/>
              </w:rPr>
              <w:t>内    容</w:t>
            </w:r>
          </w:p>
        </w:tc>
        <w:tc>
          <w:tcPr>
            <w:tcW w:w="1359" w:type="dxa"/>
            <w:noWrap w:val="0"/>
            <w:vAlign w:val="center"/>
          </w:tcPr>
          <w:p w14:paraId="2EE9B8FB">
            <w:pPr>
              <w:tabs>
                <w:tab w:val="left" w:pos="1620"/>
              </w:tabs>
              <w:spacing w:line="360" w:lineRule="exact"/>
              <w:jc w:val="center"/>
              <w:rPr>
                <w:rFonts w:hint="eastAsia" w:ascii="宋体" w:hAnsi="宋体" w:eastAsia="宋体" w:cs="仿宋"/>
                <w:b/>
                <w:color w:val="auto"/>
                <w:sz w:val="22"/>
                <w:szCs w:val="22"/>
                <w:highlight w:val="none"/>
                <w:lang w:eastAsia="zh-CN"/>
              </w:rPr>
            </w:pPr>
            <w:r>
              <w:rPr>
                <w:rFonts w:hint="eastAsia" w:ascii="宋体" w:hAnsi="宋体" w:cs="仿宋"/>
                <w:b/>
                <w:color w:val="auto"/>
                <w:sz w:val="22"/>
                <w:szCs w:val="22"/>
                <w:highlight w:val="none"/>
                <w:lang w:eastAsia="zh-CN"/>
              </w:rPr>
              <w:t>岗位</w:t>
            </w:r>
            <w:r>
              <w:rPr>
                <w:rFonts w:hint="eastAsia" w:ascii="宋体" w:hAnsi="宋体" w:cs="仿宋"/>
                <w:b/>
                <w:color w:val="auto"/>
                <w:sz w:val="22"/>
                <w:szCs w:val="22"/>
                <w:highlight w:val="none"/>
              </w:rPr>
              <w:t>/</w:t>
            </w:r>
            <w:r>
              <w:rPr>
                <w:rFonts w:hint="eastAsia" w:ascii="宋体" w:hAnsi="宋体" w:cs="仿宋"/>
                <w:b/>
                <w:color w:val="auto"/>
                <w:sz w:val="22"/>
                <w:szCs w:val="22"/>
                <w:highlight w:val="none"/>
                <w:lang w:eastAsia="zh-CN"/>
              </w:rPr>
              <w:t>数量</w:t>
            </w:r>
          </w:p>
        </w:tc>
        <w:tc>
          <w:tcPr>
            <w:tcW w:w="1281" w:type="dxa"/>
            <w:noWrap w:val="0"/>
            <w:vAlign w:val="center"/>
          </w:tcPr>
          <w:p w14:paraId="672108F2">
            <w:pPr>
              <w:tabs>
                <w:tab w:val="left" w:pos="1620"/>
              </w:tabs>
              <w:spacing w:line="360" w:lineRule="exact"/>
              <w:jc w:val="center"/>
              <w:rPr>
                <w:rFonts w:hint="eastAsia" w:ascii="宋体" w:hAnsi="宋体" w:eastAsia="宋体" w:cs="仿宋"/>
                <w:b/>
                <w:color w:val="auto"/>
                <w:sz w:val="22"/>
                <w:szCs w:val="22"/>
                <w:highlight w:val="none"/>
                <w:lang w:eastAsia="zh-CN"/>
              </w:rPr>
            </w:pPr>
            <w:r>
              <w:rPr>
                <w:rFonts w:hint="eastAsia" w:ascii="宋体" w:hAnsi="宋体" w:cs="仿宋"/>
                <w:b/>
                <w:color w:val="auto"/>
                <w:sz w:val="22"/>
                <w:szCs w:val="22"/>
                <w:highlight w:val="none"/>
              </w:rPr>
              <w:t>单价</w:t>
            </w:r>
            <w:r>
              <w:rPr>
                <w:rFonts w:hint="eastAsia" w:ascii="宋体" w:hAnsi="宋体" w:cs="仿宋"/>
                <w:b/>
                <w:color w:val="auto"/>
                <w:sz w:val="22"/>
                <w:szCs w:val="22"/>
                <w:highlight w:val="none"/>
                <w:lang w:eastAsia="zh-CN"/>
              </w:rPr>
              <w:t>（</w:t>
            </w:r>
            <w:r>
              <w:rPr>
                <w:rFonts w:hint="eastAsia" w:ascii="宋体" w:hAnsi="宋体" w:cs="仿宋"/>
                <w:b/>
                <w:color w:val="auto"/>
                <w:sz w:val="22"/>
                <w:szCs w:val="22"/>
                <w:highlight w:val="none"/>
                <w:lang w:val="en-US" w:eastAsia="zh-CN"/>
              </w:rPr>
              <w:t>元</w:t>
            </w:r>
            <w:r>
              <w:rPr>
                <w:rFonts w:hint="eastAsia" w:ascii="宋体" w:hAnsi="宋体" w:cs="仿宋"/>
                <w:b/>
                <w:color w:val="auto"/>
                <w:sz w:val="22"/>
                <w:szCs w:val="22"/>
                <w:highlight w:val="none"/>
                <w:lang w:eastAsia="zh-CN"/>
              </w:rPr>
              <w:t>）</w:t>
            </w:r>
          </w:p>
        </w:tc>
        <w:tc>
          <w:tcPr>
            <w:tcW w:w="1335" w:type="dxa"/>
            <w:noWrap w:val="0"/>
            <w:vAlign w:val="center"/>
          </w:tcPr>
          <w:p w14:paraId="154E3076">
            <w:pPr>
              <w:tabs>
                <w:tab w:val="left" w:pos="1620"/>
              </w:tabs>
              <w:spacing w:line="360" w:lineRule="exact"/>
              <w:jc w:val="center"/>
              <w:rPr>
                <w:rFonts w:hint="eastAsia" w:ascii="宋体" w:hAnsi="宋体" w:cs="仿宋"/>
                <w:b/>
                <w:color w:val="auto"/>
                <w:sz w:val="22"/>
                <w:szCs w:val="22"/>
                <w:highlight w:val="none"/>
              </w:rPr>
            </w:pPr>
            <w:r>
              <w:rPr>
                <w:rFonts w:hint="eastAsia" w:ascii="宋体" w:hAnsi="宋体" w:cs="仿宋"/>
                <w:b/>
                <w:color w:val="auto"/>
                <w:sz w:val="22"/>
                <w:szCs w:val="22"/>
                <w:highlight w:val="none"/>
              </w:rPr>
              <w:t>合价</w:t>
            </w:r>
            <w:r>
              <w:rPr>
                <w:rFonts w:hint="eastAsia" w:ascii="宋体" w:hAnsi="宋体" w:cs="仿宋"/>
                <w:b/>
                <w:color w:val="auto"/>
                <w:sz w:val="22"/>
                <w:szCs w:val="22"/>
                <w:highlight w:val="none"/>
                <w:lang w:eastAsia="zh-CN"/>
              </w:rPr>
              <w:t>（</w:t>
            </w:r>
            <w:r>
              <w:rPr>
                <w:rFonts w:hint="eastAsia" w:ascii="宋体" w:hAnsi="宋体" w:cs="仿宋"/>
                <w:b/>
                <w:color w:val="auto"/>
                <w:sz w:val="22"/>
                <w:szCs w:val="22"/>
                <w:highlight w:val="none"/>
                <w:lang w:val="en-US" w:eastAsia="zh-CN"/>
              </w:rPr>
              <w:t>元</w:t>
            </w:r>
            <w:r>
              <w:rPr>
                <w:rFonts w:hint="eastAsia" w:ascii="宋体" w:hAnsi="宋体" w:cs="仿宋"/>
                <w:b/>
                <w:color w:val="auto"/>
                <w:sz w:val="22"/>
                <w:szCs w:val="22"/>
                <w:highlight w:val="none"/>
                <w:lang w:eastAsia="zh-CN"/>
              </w:rPr>
              <w:t>）</w:t>
            </w:r>
          </w:p>
        </w:tc>
        <w:tc>
          <w:tcPr>
            <w:tcW w:w="1314" w:type="dxa"/>
            <w:noWrap w:val="0"/>
            <w:vAlign w:val="center"/>
          </w:tcPr>
          <w:p w14:paraId="6D3181CD">
            <w:pPr>
              <w:tabs>
                <w:tab w:val="left" w:pos="1620"/>
              </w:tabs>
              <w:spacing w:line="360" w:lineRule="exact"/>
              <w:jc w:val="center"/>
              <w:rPr>
                <w:rFonts w:hint="eastAsia" w:ascii="宋体" w:hAnsi="宋体" w:cs="仿宋"/>
                <w:b/>
                <w:color w:val="auto"/>
                <w:sz w:val="22"/>
                <w:szCs w:val="22"/>
                <w:highlight w:val="none"/>
              </w:rPr>
            </w:pPr>
            <w:r>
              <w:rPr>
                <w:rFonts w:hint="eastAsia" w:ascii="宋体" w:hAnsi="宋体" w:cs="仿宋"/>
                <w:b/>
                <w:color w:val="auto"/>
                <w:sz w:val="22"/>
                <w:szCs w:val="22"/>
                <w:highlight w:val="none"/>
              </w:rPr>
              <w:t>备  注</w:t>
            </w:r>
          </w:p>
        </w:tc>
      </w:tr>
      <w:tr w14:paraId="6323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15" w:type="dxa"/>
            <w:vMerge w:val="restart"/>
            <w:noWrap w:val="0"/>
            <w:vAlign w:val="center"/>
          </w:tcPr>
          <w:p w14:paraId="6DE5C57E">
            <w:pPr>
              <w:tabs>
                <w:tab w:val="left" w:pos="1620"/>
              </w:tabs>
              <w:spacing w:line="360" w:lineRule="exact"/>
              <w:jc w:val="center"/>
              <w:rPr>
                <w:rFonts w:hint="eastAsia" w:ascii="宋体" w:hAnsi="宋体" w:cs="仿宋"/>
                <w:color w:val="auto"/>
                <w:sz w:val="22"/>
                <w:szCs w:val="22"/>
                <w:highlight w:val="none"/>
              </w:rPr>
            </w:pPr>
            <w:r>
              <w:rPr>
                <w:rFonts w:hint="eastAsia" w:ascii="宋体" w:hAnsi="宋体" w:cs="仿宋"/>
                <w:color w:val="auto"/>
                <w:sz w:val="22"/>
                <w:szCs w:val="22"/>
                <w:highlight w:val="none"/>
              </w:rPr>
              <w:t>1</w:t>
            </w:r>
          </w:p>
        </w:tc>
        <w:tc>
          <w:tcPr>
            <w:tcW w:w="1073" w:type="dxa"/>
            <w:vMerge w:val="restart"/>
            <w:noWrap w:val="0"/>
            <w:vAlign w:val="center"/>
          </w:tcPr>
          <w:p w14:paraId="51FFE204">
            <w:pPr>
              <w:tabs>
                <w:tab w:val="left" w:pos="1050"/>
                <w:tab w:val="left" w:pos="1260"/>
                <w:tab w:val="left" w:pos="1620"/>
              </w:tabs>
              <w:spacing w:line="360" w:lineRule="exact"/>
              <w:ind w:right="-107" w:rightChars="-51"/>
              <w:jc w:val="center"/>
              <w:rPr>
                <w:rFonts w:hint="eastAsia" w:ascii="宋体" w:hAnsi="宋体" w:cs="仿宋"/>
                <w:color w:val="auto"/>
                <w:sz w:val="22"/>
                <w:szCs w:val="22"/>
                <w:highlight w:val="none"/>
              </w:rPr>
            </w:pPr>
            <w:r>
              <w:rPr>
                <w:rFonts w:hint="eastAsia" w:ascii="宋体" w:hAnsi="宋体" w:cs="仿宋"/>
                <w:color w:val="auto"/>
                <w:sz w:val="22"/>
                <w:szCs w:val="22"/>
                <w:highlight w:val="none"/>
              </w:rPr>
              <w:t>人员费用</w:t>
            </w:r>
          </w:p>
        </w:tc>
        <w:tc>
          <w:tcPr>
            <w:tcW w:w="2224" w:type="dxa"/>
            <w:noWrap w:val="0"/>
            <w:vAlign w:val="center"/>
          </w:tcPr>
          <w:p w14:paraId="114AA1CA">
            <w:pPr>
              <w:tabs>
                <w:tab w:val="left" w:pos="1050"/>
                <w:tab w:val="left" w:pos="1260"/>
                <w:tab w:val="left" w:pos="1620"/>
              </w:tabs>
              <w:spacing w:line="360" w:lineRule="exact"/>
              <w:ind w:right="-107" w:rightChars="-51"/>
              <w:jc w:val="center"/>
              <w:rPr>
                <w:rFonts w:hint="eastAsia" w:ascii="宋体" w:hAnsi="宋体" w:cs="仿宋"/>
                <w:color w:val="auto"/>
                <w:sz w:val="22"/>
                <w:szCs w:val="22"/>
                <w:highlight w:val="none"/>
              </w:rPr>
            </w:pPr>
            <w:r>
              <w:rPr>
                <w:rFonts w:hint="eastAsia" w:ascii="宋体" w:hAnsi="宋体" w:cs="仿宋"/>
                <w:color w:val="auto"/>
                <w:sz w:val="22"/>
                <w:szCs w:val="22"/>
                <w:highlight w:val="none"/>
              </w:rPr>
              <w:t>人员工资</w:t>
            </w:r>
          </w:p>
        </w:tc>
        <w:tc>
          <w:tcPr>
            <w:tcW w:w="1359" w:type="dxa"/>
            <w:noWrap w:val="0"/>
            <w:vAlign w:val="center"/>
          </w:tcPr>
          <w:p w14:paraId="5C1ADB17">
            <w:pPr>
              <w:tabs>
                <w:tab w:val="left" w:pos="1620"/>
              </w:tabs>
              <w:spacing w:line="360" w:lineRule="exact"/>
              <w:jc w:val="center"/>
              <w:rPr>
                <w:rFonts w:hint="eastAsia" w:ascii="宋体" w:hAnsi="宋体" w:cs="仿宋"/>
                <w:color w:val="auto"/>
                <w:sz w:val="22"/>
                <w:szCs w:val="22"/>
                <w:highlight w:val="none"/>
              </w:rPr>
            </w:pPr>
            <w:r>
              <w:rPr>
                <w:rFonts w:hint="eastAsia" w:ascii="宋体" w:hAnsi="宋体" w:cs="仿宋"/>
                <w:color w:val="auto"/>
                <w:sz w:val="22"/>
                <w:szCs w:val="22"/>
                <w:highlight w:val="none"/>
              </w:rPr>
              <w:t xml:space="preserve">  </w:t>
            </w:r>
          </w:p>
        </w:tc>
        <w:tc>
          <w:tcPr>
            <w:tcW w:w="1281" w:type="dxa"/>
            <w:noWrap w:val="0"/>
            <w:vAlign w:val="center"/>
          </w:tcPr>
          <w:p w14:paraId="7C9257EA">
            <w:pPr>
              <w:tabs>
                <w:tab w:val="left" w:pos="1620"/>
              </w:tabs>
              <w:spacing w:line="360" w:lineRule="exact"/>
              <w:jc w:val="center"/>
              <w:rPr>
                <w:rFonts w:hint="eastAsia" w:ascii="宋体" w:hAnsi="宋体" w:cs="仿宋"/>
                <w:color w:val="auto"/>
                <w:sz w:val="22"/>
                <w:szCs w:val="22"/>
                <w:highlight w:val="none"/>
              </w:rPr>
            </w:pPr>
          </w:p>
        </w:tc>
        <w:tc>
          <w:tcPr>
            <w:tcW w:w="1335" w:type="dxa"/>
            <w:noWrap w:val="0"/>
            <w:vAlign w:val="center"/>
          </w:tcPr>
          <w:p w14:paraId="3B015BE3">
            <w:pPr>
              <w:tabs>
                <w:tab w:val="left" w:pos="1620"/>
              </w:tabs>
              <w:spacing w:line="360" w:lineRule="exact"/>
              <w:jc w:val="center"/>
              <w:rPr>
                <w:rFonts w:hint="eastAsia" w:ascii="宋体" w:hAnsi="宋体" w:cs="仿宋"/>
                <w:color w:val="auto"/>
                <w:sz w:val="22"/>
                <w:szCs w:val="22"/>
                <w:highlight w:val="none"/>
              </w:rPr>
            </w:pPr>
          </w:p>
        </w:tc>
        <w:tc>
          <w:tcPr>
            <w:tcW w:w="1314" w:type="dxa"/>
            <w:vMerge w:val="restart"/>
            <w:noWrap w:val="0"/>
            <w:vAlign w:val="center"/>
          </w:tcPr>
          <w:p w14:paraId="44DAE0D1">
            <w:pPr>
              <w:tabs>
                <w:tab w:val="left" w:pos="1620"/>
              </w:tabs>
              <w:spacing w:line="360" w:lineRule="exact"/>
              <w:jc w:val="center"/>
              <w:rPr>
                <w:rFonts w:hint="eastAsia" w:ascii="宋体" w:hAnsi="宋体" w:cs="仿宋"/>
                <w:color w:val="auto"/>
                <w:sz w:val="22"/>
                <w:szCs w:val="22"/>
                <w:highlight w:val="none"/>
              </w:rPr>
            </w:pPr>
            <w:r>
              <w:rPr>
                <w:rFonts w:hint="eastAsia" w:ascii="宋体" w:hAnsi="宋体" w:cs="仿宋"/>
                <w:color w:val="auto"/>
                <w:sz w:val="22"/>
                <w:szCs w:val="22"/>
                <w:highlight w:val="none"/>
              </w:rPr>
              <w:t>可</w:t>
            </w:r>
            <w:r>
              <w:rPr>
                <w:rFonts w:hint="eastAsia" w:ascii="宋体" w:hAnsi="宋体" w:cs="仿宋"/>
                <w:color w:val="auto"/>
                <w:sz w:val="22"/>
                <w:szCs w:val="22"/>
                <w:highlight w:val="none"/>
                <w:lang w:val="en-US" w:eastAsia="zh-CN"/>
              </w:rPr>
              <w:t>根据人员岗位</w:t>
            </w:r>
            <w:r>
              <w:rPr>
                <w:rFonts w:hint="eastAsia" w:ascii="宋体" w:hAnsi="宋体" w:cs="仿宋"/>
                <w:color w:val="auto"/>
                <w:sz w:val="22"/>
                <w:szCs w:val="22"/>
                <w:highlight w:val="none"/>
              </w:rPr>
              <w:t>分别详细列出</w:t>
            </w:r>
          </w:p>
        </w:tc>
      </w:tr>
      <w:tr w14:paraId="7FCE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5" w:type="dxa"/>
            <w:vMerge w:val="continue"/>
            <w:noWrap w:val="0"/>
            <w:vAlign w:val="center"/>
          </w:tcPr>
          <w:p w14:paraId="54E22D86">
            <w:pPr>
              <w:tabs>
                <w:tab w:val="left" w:pos="1620"/>
              </w:tabs>
              <w:spacing w:line="360" w:lineRule="exact"/>
              <w:jc w:val="center"/>
              <w:rPr>
                <w:rFonts w:hint="eastAsia" w:ascii="宋体" w:hAnsi="宋体" w:cs="仿宋"/>
                <w:color w:val="auto"/>
                <w:sz w:val="22"/>
                <w:szCs w:val="22"/>
                <w:highlight w:val="none"/>
              </w:rPr>
            </w:pPr>
          </w:p>
        </w:tc>
        <w:tc>
          <w:tcPr>
            <w:tcW w:w="1073" w:type="dxa"/>
            <w:vMerge w:val="continue"/>
            <w:noWrap w:val="0"/>
            <w:vAlign w:val="center"/>
          </w:tcPr>
          <w:p w14:paraId="52EB9A20">
            <w:pPr>
              <w:tabs>
                <w:tab w:val="left" w:pos="1050"/>
                <w:tab w:val="left" w:pos="1260"/>
                <w:tab w:val="left" w:pos="1620"/>
              </w:tabs>
              <w:spacing w:line="360" w:lineRule="exact"/>
              <w:ind w:right="-107" w:rightChars="-51"/>
              <w:jc w:val="center"/>
              <w:rPr>
                <w:rFonts w:hint="eastAsia" w:ascii="宋体" w:hAnsi="宋体" w:cs="仿宋"/>
                <w:color w:val="auto"/>
                <w:sz w:val="22"/>
                <w:szCs w:val="22"/>
                <w:highlight w:val="none"/>
              </w:rPr>
            </w:pPr>
          </w:p>
        </w:tc>
        <w:tc>
          <w:tcPr>
            <w:tcW w:w="2224" w:type="dxa"/>
            <w:noWrap w:val="0"/>
            <w:vAlign w:val="center"/>
          </w:tcPr>
          <w:p w14:paraId="5DAD8979">
            <w:pPr>
              <w:tabs>
                <w:tab w:val="left" w:pos="1050"/>
                <w:tab w:val="left" w:pos="1260"/>
                <w:tab w:val="left" w:pos="1620"/>
              </w:tabs>
              <w:spacing w:line="360" w:lineRule="exact"/>
              <w:ind w:left="-107" w:leftChars="-51" w:right="-107" w:rightChars="-51"/>
              <w:jc w:val="center"/>
              <w:rPr>
                <w:rFonts w:hint="eastAsia" w:ascii="宋体" w:hAnsi="宋体" w:cs="仿宋"/>
                <w:color w:val="auto"/>
                <w:sz w:val="22"/>
                <w:szCs w:val="22"/>
                <w:highlight w:val="none"/>
              </w:rPr>
            </w:pPr>
            <w:r>
              <w:rPr>
                <w:rFonts w:hint="eastAsia" w:ascii="宋体" w:hAnsi="宋体" w:cs="仿宋"/>
                <w:color w:val="auto"/>
                <w:sz w:val="22"/>
                <w:szCs w:val="22"/>
                <w:highlight w:val="none"/>
              </w:rPr>
              <w:t>员工福利费</w:t>
            </w:r>
          </w:p>
        </w:tc>
        <w:tc>
          <w:tcPr>
            <w:tcW w:w="1359" w:type="dxa"/>
            <w:noWrap w:val="0"/>
            <w:vAlign w:val="center"/>
          </w:tcPr>
          <w:p w14:paraId="2508CFA3">
            <w:pPr>
              <w:tabs>
                <w:tab w:val="left" w:pos="1620"/>
              </w:tabs>
              <w:spacing w:line="360" w:lineRule="exact"/>
              <w:jc w:val="center"/>
              <w:rPr>
                <w:rFonts w:hint="eastAsia" w:ascii="宋体" w:hAnsi="宋体" w:cs="仿宋"/>
                <w:color w:val="auto"/>
                <w:sz w:val="22"/>
                <w:szCs w:val="22"/>
                <w:highlight w:val="none"/>
              </w:rPr>
            </w:pPr>
          </w:p>
        </w:tc>
        <w:tc>
          <w:tcPr>
            <w:tcW w:w="1281" w:type="dxa"/>
            <w:noWrap w:val="0"/>
            <w:vAlign w:val="center"/>
          </w:tcPr>
          <w:p w14:paraId="41B1EED9">
            <w:pPr>
              <w:tabs>
                <w:tab w:val="left" w:pos="1620"/>
              </w:tabs>
              <w:spacing w:line="360" w:lineRule="exact"/>
              <w:jc w:val="center"/>
              <w:rPr>
                <w:rFonts w:hint="eastAsia" w:ascii="宋体" w:hAnsi="宋体" w:cs="仿宋"/>
                <w:color w:val="auto"/>
                <w:sz w:val="22"/>
                <w:szCs w:val="22"/>
                <w:highlight w:val="none"/>
              </w:rPr>
            </w:pPr>
          </w:p>
        </w:tc>
        <w:tc>
          <w:tcPr>
            <w:tcW w:w="1335" w:type="dxa"/>
            <w:noWrap w:val="0"/>
            <w:vAlign w:val="center"/>
          </w:tcPr>
          <w:p w14:paraId="23BD2EF1">
            <w:pPr>
              <w:tabs>
                <w:tab w:val="left" w:pos="1620"/>
              </w:tabs>
              <w:spacing w:line="360" w:lineRule="exact"/>
              <w:jc w:val="center"/>
              <w:rPr>
                <w:rFonts w:hint="eastAsia" w:ascii="宋体" w:hAnsi="宋体" w:cs="仿宋"/>
                <w:color w:val="auto"/>
                <w:sz w:val="22"/>
                <w:szCs w:val="22"/>
                <w:highlight w:val="none"/>
              </w:rPr>
            </w:pPr>
          </w:p>
        </w:tc>
        <w:tc>
          <w:tcPr>
            <w:tcW w:w="1314" w:type="dxa"/>
            <w:vMerge w:val="continue"/>
            <w:noWrap w:val="0"/>
            <w:vAlign w:val="center"/>
          </w:tcPr>
          <w:p w14:paraId="4E97DC7A">
            <w:pPr>
              <w:tabs>
                <w:tab w:val="left" w:pos="1620"/>
              </w:tabs>
              <w:spacing w:line="360" w:lineRule="exact"/>
              <w:rPr>
                <w:rFonts w:hint="eastAsia" w:ascii="宋体" w:hAnsi="宋体" w:cs="仿宋"/>
                <w:color w:val="auto"/>
                <w:sz w:val="22"/>
                <w:szCs w:val="22"/>
                <w:highlight w:val="none"/>
              </w:rPr>
            </w:pPr>
          </w:p>
        </w:tc>
      </w:tr>
      <w:tr w14:paraId="0AA2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5" w:type="dxa"/>
            <w:vMerge w:val="continue"/>
            <w:noWrap w:val="0"/>
            <w:vAlign w:val="center"/>
          </w:tcPr>
          <w:p w14:paraId="51767D54">
            <w:pPr>
              <w:tabs>
                <w:tab w:val="left" w:pos="1620"/>
              </w:tabs>
              <w:spacing w:line="360" w:lineRule="exact"/>
              <w:jc w:val="center"/>
              <w:rPr>
                <w:rFonts w:hint="eastAsia" w:ascii="宋体" w:hAnsi="宋体" w:cs="仿宋"/>
                <w:color w:val="auto"/>
                <w:sz w:val="22"/>
                <w:szCs w:val="22"/>
                <w:highlight w:val="none"/>
              </w:rPr>
            </w:pPr>
          </w:p>
        </w:tc>
        <w:tc>
          <w:tcPr>
            <w:tcW w:w="1073" w:type="dxa"/>
            <w:vMerge w:val="continue"/>
            <w:noWrap w:val="0"/>
            <w:vAlign w:val="center"/>
          </w:tcPr>
          <w:p w14:paraId="6A3DFFF4">
            <w:pPr>
              <w:tabs>
                <w:tab w:val="left" w:pos="1050"/>
                <w:tab w:val="left" w:pos="1260"/>
                <w:tab w:val="left" w:pos="1620"/>
              </w:tabs>
              <w:spacing w:line="360" w:lineRule="exact"/>
              <w:ind w:right="-107" w:rightChars="-51"/>
              <w:jc w:val="center"/>
              <w:rPr>
                <w:rFonts w:hint="eastAsia" w:ascii="宋体" w:hAnsi="宋体" w:cs="仿宋"/>
                <w:color w:val="auto"/>
                <w:sz w:val="22"/>
                <w:szCs w:val="22"/>
                <w:highlight w:val="none"/>
              </w:rPr>
            </w:pPr>
          </w:p>
        </w:tc>
        <w:tc>
          <w:tcPr>
            <w:tcW w:w="2224" w:type="dxa"/>
            <w:noWrap w:val="0"/>
            <w:vAlign w:val="center"/>
          </w:tcPr>
          <w:p w14:paraId="6E79CDBC">
            <w:pPr>
              <w:tabs>
                <w:tab w:val="left" w:pos="1050"/>
                <w:tab w:val="left" w:pos="1260"/>
                <w:tab w:val="left" w:pos="1620"/>
              </w:tabs>
              <w:spacing w:line="360" w:lineRule="exact"/>
              <w:ind w:left="-107" w:leftChars="-51" w:right="-107" w:rightChars="-51"/>
              <w:jc w:val="center"/>
              <w:rPr>
                <w:rFonts w:hint="eastAsia" w:ascii="宋体" w:hAnsi="宋体" w:cs="仿宋"/>
                <w:color w:val="auto"/>
                <w:sz w:val="22"/>
                <w:szCs w:val="22"/>
                <w:highlight w:val="none"/>
              </w:rPr>
            </w:pPr>
            <w:r>
              <w:rPr>
                <w:rFonts w:hint="eastAsia" w:ascii="宋体" w:hAnsi="宋体" w:cs="仿宋"/>
                <w:color w:val="auto"/>
                <w:sz w:val="22"/>
                <w:szCs w:val="22"/>
                <w:highlight w:val="none"/>
              </w:rPr>
              <w:t>五险一金</w:t>
            </w:r>
          </w:p>
        </w:tc>
        <w:tc>
          <w:tcPr>
            <w:tcW w:w="1359" w:type="dxa"/>
            <w:noWrap w:val="0"/>
            <w:vAlign w:val="center"/>
          </w:tcPr>
          <w:p w14:paraId="59D92E36">
            <w:pPr>
              <w:tabs>
                <w:tab w:val="left" w:pos="1620"/>
              </w:tabs>
              <w:spacing w:line="360" w:lineRule="exact"/>
              <w:jc w:val="center"/>
              <w:rPr>
                <w:rFonts w:hint="eastAsia" w:ascii="宋体" w:hAnsi="宋体" w:cs="仿宋"/>
                <w:color w:val="auto"/>
                <w:sz w:val="22"/>
                <w:szCs w:val="22"/>
                <w:highlight w:val="none"/>
              </w:rPr>
            </w:pPr>
          </w:p>
        </w:tc>
        <w:tc>
          <w:tcPr>
            <w:tcW w:w="1281" w:type="dxa"/>
            <w:noWrap w:val="0"/>
            <w:vAlign w:val="center"/>
          </w:tcPr>
          <w:p w14:paraId="380BD0E4">
            <w:pPr>
              <w:tabs>
                <w:tab w:val="left" w:pos="1620"/>
              </w:tabs>
              <w:spacing w:line="360" w:lineRule="exact"/>
              <w:jc w:val="center"/>
              <w:rPr>
                <w:rFonts w:hint="eastAsia" w:ascii="宋体" w:hAnsi="宋体" w:cs="仿宋"/>
                <w:color w:val="auto"/>
                <w:sz w:val="22"/>
                <w:szCs w:val="22"/>
                <w:highlight w:val="none"/>
              </w:rPr>
            </w:pPr>
          </w:p>
        </w:tc>
        <w:tc>
          <w:tcPr>
            <w:tcW w:w="1335" w:type="dxa"/>
            <w:noWrap w:val="0"/>
            <w:vAlign w:val="center"/>
          </w:tcPr>
          <w:p w14:paraId="346317CD">
            <w:pPr>
              <w:tabs>
                <w:tab w:val="left" w:pos="1620"/>
              </w:tabs>
              <w:spacing w:line="360" w:lineRule="exact"/>
              <w:jc w:val="center"/>
              <w:rPr>
                <w:rFonts w:hint="eastAsia" w:ascii="宋体" w:hAnsi="宋体" w:cs="仿宋"/>
                <w:color w:val="auto"/>
                <w:sz w:val="22"/>
                <w:szCs w:val="22"/>
                <w:highlight w:val="none"/>
              </w:rPr>
            </w:pPr>
          </w:p>
        </w:tc>
        <w:tc>
          <w:tcPr>
            <w:tcW w:w="1314" w:type="dxa"/>
            <w:vMerge w:val="continue"/>
            <w:noWrap w:val="0"/>
            <w:vAlign w:val="center"/>
          </w:tcPr>
          <w:p w14:paraId="5EC0C510">
            <w:pPr>
              <w:tabs>
                <w:tab w:val="left" w:pos="1620"/>
              </w:tabs>
              <w:spacing w:line="360" w:lineRule="exact"/>
              <w:rPr>
                <w:rFonts w:hint="eastAsia" w:ascii="宋体" w:hAnsi="宋体" w:cs="仿宋"/>
                <w:color w:val="auto"/>
                <w:sz w:val="22"/>
                <w:szCs w:val="22"/>
                <w:highlight w:val="none"/>
              </w:rPr>
            </w:pPr>
          </w:p>
        </w:tc>
      </w:tr>
      <w:tr w14:paraId="3CD6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15" w:type="dxa"/>
            <w:vMerge w:val="continue"/>
            <w:noWrap w:val="0"/>
            <w:vAlign w:val="center"/>
          </w:tcPr>
          <w:p w14:paraId="1B03DDF9">
            <w:pPr>
              <w:tabs>
                <w:tab w:val="left" w:pos="1620"/>
              </w:tabs>
              <w:spacing w:line="360" w:lineRule="exact"/>
              <w:jc w:val="center"/>
              <w:rPr>
                <w:rFonts w:hint="eastAsia" w:ascii="宋体" w:hAnsi="宋体" w:cs="仿宋"/>
                <w:color w:val="auto"/>
                <w:sz w:val="22"/>
                <w:szCs w:val="22"/>
                <w:highlight w:val="none"/>
              </w:rPr>
            </w:pPr>
          </w:p>
        </w:tc>
        <w:tc>
          <w:tcPr>
            <w:tcW w:w="1073" w:type="dxa"/>
            <w:vMerge w:val="continue"/>
            <w:noWrap w:val="0"/>
            <w:vAlign w:val="center"/>
          </w:tcPr>
          <w:p w14:paraId="4803A6E6">
            <w:pPr>
              <w:tabs>
                <w:tab w:val="left" w:pos="1050"/>
                <w:tab w:val="left" w:pos="1260"/>
                <w:tab w:val="left" w:pos="1620"/>
              </w:tabs>
              <w:spacing w:line="360" w:lineRule="exact"/>
              <w:ind w:right="-107" w:rightChars="-51"/>
              <w:jc w:val="center"/>
              <w:rPr>
                <w:rFonts w:hint="eastAsia" w:ascii="宋体" w:hAnsi="宋体" w:cs="仿宋"/>
                <w:color w:val="auto"/>
                <w:sz w:val="22"/>
                <w:szCs w:val="22"/>
                <w:highlight w:val="none"/>
              </w:rPr>
            </w:pPr>
          </w:p>
        </w:tc>
        <w:tc>
          <w:tcPr>
            <w:tcW w:w="2224" w:type="dxa"/>
            <w:noWrap w:val="0"/>
            <w:vAlign w:val="center"/>
          </w:tcPr>
          <w:p w14:paraId="28C777DF">
            <w:pPr>
              <w:tabs>
                <w:tab w:val="left" w:pos="1050"/>
                <w:tab w:val="left" w:pos="1260"/>
                <w:tab w:val="left" w:pos="1620"/>
              </w:tabs>
              <w:spacing w:line="360" w:lineRule="exact"/>
              <w:ind w:left="-107" w:leftChars="-51" w:right="-107" w:rightChars="-51"/>
              <w:jc w:val="center"/>
              <w:rPr>
                <w:rFonts w:hint="eastAsia" w:ascii="宋体" w:hAnsi="宋体" w:cs="仿宋"/>
                <w:color w:val="auto"/>
                <w:sz w:val="22"/>
                <w:szCs w:val="22"/>
                <w:highlight w:val="none"/>
              </w:rPr>
            </w:pPr>
            <w:r>
              <w:rPr>
                <w:rFonts w:ascii="宋体" w:hAnsi="宋体" w:cs="仿宋"/>
                <w:color w:val="auto"/>
                <w:sz w:val="22"/>
                <w:szCs w:val="22"/>
                <w:highlight w:val="none"/>
              </w:rPr>
              <w:t>……</w:t>
            </w:r>
          </w:p>
        </w:tc>
        <w:tc>
          <w:tcPr>
            <w:tcW w:w="1359" w:type="dxa"/>
            <w:noWrap w:val="0"/>
            <w:vAlign w:val="center"/>
          </w:tcPr>
          <w:p w14:paraId="773E17D9">
            <w:pPr>
              <w:tabs>
                <w:tab w:val="left" w:pos="1620"/>
              </w:tabs>
              <w:spacing w:line="360" w:lineRule="exact"/>
              <w:jc w:val="center"/>
              <w:rPr>
                <w:rFonts w:hint="eastAsia" w:ascii="宋体" w:hAnsi="宋体" w:cs="仿宋"/>
                <w:color w:val="auto"/>
                <w:sz w:val="22"/>
                <w:szCs w:val="22"/>
                <w:highlight w:val="none"/>
              </w:rPr>
            </w:pPr>
          </w:p>
        </w:tc>
        <w:tc>
          <w:tcPr>
            <w:tcW w:w="1281" w:type="dxa"/>
            <w:noWrap w:val="0"/>
            <w:vAlign w:val="center"/>
          </w:tcPr>
          <w:p w14:paraId="052B9F1D">
            <w:pPr>
              <w:tabs>
                <w:tab w:val="left" w:pos="1620"/>
              </w:tabs>
              <w:spacing w:line="360" w:lineRule="exact"/>
              <w:jc w:val="center"/>
              <w:rPr>
                <w:rFonts w:hint="eastAsia" w:ascii="宋体" w:hAnsi="宋体" w:cs="仿宋"/>
                <w:color w:val="auto"/>
                <w:sz w:val="22"/>
                <w:szCs w:val="22"/>
                <w:highlight w:val="none"/>
              </w:rPr>
            </w:pPr>
          </w:p>
        </w:tc>
        <w:tc>
          <w:tcPr>
            <w:tcW w:w="1335" w:type="dxa"/>
            <w:noWrap w:val="0"/>
            <w:vAlign w:val="center"/>
          </w:tcPr>
          <w:p w14:paraId="27B15114">
            <w:pPr>
              <w:tabs>
                <w:tab w:val="left" w:pos="1620"/>
              </w:tabs>
              <w:spacing w:line="360" w:lineRule="exact"/>
              <w:jc w:val="center"/>
              <w:rPr>
                <w:rFonts w:hint="eastAsia" w:ascii="宋体" w:hAnsi="宋体" w:cs="仿宋"/>
                <w:color w:val="auto"/>
                <w:sz w:val="22"/>
                <w:szCs w:val="22"/>
                <w:highlight w:val="none"/>
              </w:rPr>
            </w:pPr>
          </w:p>
        </w:tc>
        <w:tc>
          <w:tcPr>
            <w:tcW w:w="1314" w:type="dxa"/>
            <w:vMerge w:val="continue"/>
            <w:noWrap w:val="0"/>
            <w:vAlign w:val="center"/>
          </w:tcPr>
          <w:p w14:paraId="2949B4EB">
            <w:pPr>
              <w:tabs>
                <w:tab w:val="left" w:pos="1620"/>
              </w:tabs>
              <w:spacing w:line="360" w:lineRule="exact"/>
              <w:rPr>
                <w:rFonts w:hint="eastAsia" w:ascii="宋体" w:hAnsi="宋体" w:cs="仿宋"/>
                <w:color w:val="auto"/>
                <w:sz w:val="22"/>
                <w:szCs w:val="22"/>
                <w:highlight w:val="none"/>
              </w:rPr>
            </w:pPr>
          </w:p>
        </w:tc>
      </w:tr>
      <w:tr w14:paraId="2AA3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15" w:type="dxa"/>
            <w:noWrap w:val="0"/>
            <w:vAlign w:val="center"/>
          </w:tcPr>
          <w:p w14:paraId="67BD583B">
            <w:pPr>
              <w:tabs>
                <w:tab w:val="left" w:pos="1620"/>
              </w:tabs>
              <w:spacing w:line="360" w:lineRule="exact"/>
              <w:jc w:val="center"/>
              <w:rPr>
                <w:rFonts w:hint="eastAsia" w:ascii="宋体" w:hAnsi="宋体" w:cs="仿宋"/>
                <w:color w:val="auto"/>
                <w:sz w:val="22"/>
                <w:szCs w:val="22"/>
                <w:highlight w:val="none"/>
              </w:rPr>
            </w:pPr>
            <w:r>
              <w:rPr>
                <w:rFonts w:hint="eastAsia" w:ascii="宋体" w:hAnsi="宋体" w:cs="仿宋"/>
                <w:color w:val="auto"/>
                <w:sz w:val="22"/>
                <w:szCs w:val="22"/>
                <w:highlight w:val="none"/>
              </w:rPr>
              <w:t>2</w:t>
            </w:r>
          </w:p>
        </w:tc>
        <w:tc>
          <w:tcPr>
            <w:tcW w:w="3297" w:type="dxa"/>
            <w:gridSpan w:val="2"/>
            <w:noWrap w:val="0"/>
            <w:vAlign w:val="center"/>
          </w:tcPr>
          <w:p w14:paraId="764E529A">
            <w:pPr>
              <w:tabs>
                <w:tab w:val="left" w:pos="1620"/>
              </w:tabs>
              <w:spacing w:line="360" w:lineRule="exact"/>
              <w:jc w:val="center"/>
              <w:rPr>
                <w:rFonts w:hint="eastAsia" w:ascii="宋体" w:hAnsi="宋体" w:cs="仿宋"/>
                <w:color w:val="auto"/>
                <w:sz w:val="22"/>
                <w:szCs w:val="22"/>
                <w:highlight w:val="none"/>
              </w:rPr>
            </w:pPr>
            <w:r>
              <w:rPr>
                <w:rFonts w:hint="eastAsia" w:ascii="宋体" w:hAnsi="宋体" w:cs="仿宋"/>
                <w:color w:val="auto"/>
                <w:sz w:val="22"/>
                <w:szCs w:val="22"/>
                <w:highlight w:val="none"/>
              </w:rPr>
              <w:t>企业经营管理费</w:t>
            </w:r>
          </w:p>
        </w:tc>
        <w:tc>
          <w:tcPr>
            <w:tcW w:w="3975" w:type="dxa"/>
            <w:gridSpan w:val="3"/>
            <w:noWrap w:val="0"/>
            <w:vAlign w:val="center"/>
          </w:tcPr>
          <w:p w14:paraId="485064E5">
            <w:pPr>
              <w:tabs>
                <w:tab w:val="left" w:pos="1620"/>
              </w:tabs>
              <w:spacing w:line="360" w:lineRule="exact"/>
              <w:jc w:val="center"/>
              <w:rPr>
                <w:rFonts w:hint="eastAsia" w:ascii="宋体" w:hAnsi="宋体" w:cs="仿宋"/>
                <w:color w:val="auto"/>
                <w:sz w:val="22"/>
                <w:szCs w:val="22"/>
                <w:highlight w:val="none"/>
              </w:rPr>
            </w:pPr>
            <w:r>
              <w:rPr>
                <w:rFonts w:hint="eastAsia" w:ascii="宋体" w:hAnsi="宋体" w:cs="仿宋"/>
                <w:color w:val="auto"/>
                <w:sz w:val="22"/>
                <w:szCs w:val="22"/>
                <w:highlight w:val="none"/>
              </w:rPr>
              <w:t>含</w:t>
            </w:r>
          </w:p>
        </w:tc>
        <w:tc>
          <w:tcPr>
            <w:tcW w:w="1314" w:type="dxa"/>
            <w:noWrap w:val="0"/>
            <w:vAlign w:val="center"/>
          </w:tcPr>
          <w:p w14:paraId="5D376C11">
            <w:pPr>
              <w:tabs>
                <w:tab w:val="left" w:pos="1620"/>
              </w:tabs>
              <w:spacing w:line="360" w:lineRule="exact"/>
              <w:jc w:val="center"/>
              <w:rPr>
                <w:rFonts w:hint="eastAsia" w:ascii="宋体" w:hAnsi="宋体" w:cs="仿宋"/>
                <w:color w:val="auto"/>
                <w:sz w:val="22"/>
                <w:szCs w:val="22"/>
                <w:highlight w:val="none"/>
              </w:rPr>
            </w:pPr>
          </w:p>
        </w:tc>
      </w:tr>
      <w:tr w14:paraId="135D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15" w:type="dxa"/>
            <w:noWrap w:val="0"/>
            <w:vAlign w:val="center"/>
          </w:tcPr>
          <w:p w14:paraId="640D6B1B">
            <w:pPr>
              <w:tabs>
                <w:tab w:val="left" w:pos="1620"/>
              </w:tabs>
              <w:spacing w:line="360" w:lineRule="exact"/>
              <w:jc w:val="center"/>
              <w:rPr>
                <w:rFonts w:hint="eastAsia" w:ascii="宋体" w:hAnsi="宋体" w:cs="仿宋"/>
                <w:color w:val="auto"/>
                <w:sz w:val="22"/>
                <w:szCs w:val="22"/>
                <w:highlight w:val="none"/>
              </w:rPr>
            </w:pPr>
            <w:r>
              <w:rPr>
                <w:rFonts w:hint="eastAsia" w:ascii="宋体" w:hAnsi="宋体" w:cs="仿宋"/>
                <w:color w:val="auto"/>
                <w:sz w:val="22"/>
                <w:szCs w:val="22"/>
                <w:highlight w:val="none"/>
              </w:rPr>
              <w:t>3</w:t>
            </w:r>
          </w:p>
        </w:tc>
        <w:tc>
          <w:tcPr>
            <w:tcW w:w="3297" w:type="dxa"/>
            <w:gridSpan w:val="2"/>
            <w:noWrap w:val="0"/>
            <w:vAlign w:val="center"/>
          </w:tcPr>
          <w:p w14:paraId="6F2D15E4">
            <w:pPr>
              <w:tabs>
                <w:tab w:val="left" w:pos="1620"/>
              </w:tabs>
              <w:spacing w:line="360" w:lineRule="exact"/>
              <w:jc w:val="center"/>
              <w:rPr>
                <w:rFonts w:hint="eastAsia" w:ascii="宋体" w:hAnsi="宋体" w:cs="仿宋"/>
                <w:color w:val="auto"/>
                <w:sz w:val="22"/>
                <w:szCs w:val="22"/>
                <w:highlight w:val="none"/>
              </w:rPr>
            </w:pPr>
            <w:r>
              <w:rPr>
                <w:rFonts w:hint="eastAsia" w:ascii="宋体" w:hAnsi="宋体" w:cs="仿宋"/>
                <w:color w:val="auto"/>
                <w:sz w:val="22"/>
                <w:szCs w:val="22"/>
                <w:highlight w:val="none"/>
              </w:rPr>
              <w:t>税    金</w:t>
            </w:r>
          </w:p>
        </w:tc>
        <w:tc>
          <w:tcPr>
            <w:tcW w:w="3975" w:type="dxa"/>
            <w:gridSpan w:val="3"/>
            <w:noWrap w:val="0"/>
            <w:vAlign w:val="center"/>
          </w:tcPr>
          <w:p w14:paraId="06DF4293">
            <w:pPr>
              <w:tabs>
                <w:tab w:val="left" w:pos="1620"/>
              </w:tabs>
              <w:spacing w:line="360" w:lineRule="exact"/>
              <w:jc w:val="center"/>
              <w:rPr>
                <w:rFonts w:hint="eastAsia" w:ascii="宋体" w:hAnsi="宋体" w:cs="仿宋"/>
                <w:color w:val="auto"/>
                <w:sz w:val="22"/>
                <w:szCs w:val="22"/>
                <w:highlight w:val="none"/>
              </w:rPr>
            </w:pPr>
            <w:r>
              <w:rPr>
                <w:rFonts w:hint="eastAsia" w:ascii="宋体" w:hAnsi="宋体" w:cs="仿宋"/>
                <w:color w:val="auto"/>
                <w:sz w:val="22"/>
                <w:szCs w:val="22"/>
                <w:highlight w:val="none"/>
              </w:rPr>
              <w:t>含</w:t>
            </w:r>
          </w:p>
        </w:tc>
        <w:tc>
          <w:tcPr>
            <w:tcW w:w="1314" w:type="dxa"/>
            <w:noWrap w:val="0"/>
            <w:vAlign w:val="center"/>
          </w:tcPr>
          <w:p w14:paraId="3085732D">
            <w:pPr>
              <w:tabs>
                <w:tab w:val="left" w:pos="1620"/>
              </w:tabs>
              <w:spacing w:line="360" w:lineRule="exact"/>
              <w:jc w:val="center"/>
              <w:rPr>
                <w:rFonts w:hint="eastAsia" w:ascii="宋体" w:hAnsi="宋体" w:cs="仿宋"/>
                <w:color w:val="auto"/>
                <w:sz w:val="22"/>
                <w:szCs w:val="22"/>
                <w:highlight w:val="none"/>
              </w:rPr>
            </w:pPr>
          </w:p>
        </w:tc>
      </w:tr>
      <w:tr w14:paraId="1292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15" w:type="dxa"/>
            <w:noWrap w:val="0"/>
            <w:vAlign w:val="center"/>
          </w:tcPr>
          <w:p w14:paraId="6B9B2D5F">
            <w:pPr>
              <w:tabs>
                <w:tab w:val="left" w:pos="1620"/>
              </w:tabs>
              <w:spacing w:line="360" w:lineRule="exact"/>
              <w:jc w:val="center"/>
              <w:rPr>
                <w:rFonts w:hint="eastAsia" w:ascii="宋体" w:hAnsi="宋体" w:cs="仿宋"/>
                <w:color w:val="auto"/>
                <w:sz w:val="22"/>
                <w:szCs w:val="22"/>
                <w:highlight w:val="none"/>
              </w:rPr>
            </w:pPr>
            <w:r>
              <w:rPr>
                <w:rFonts w:hint="eastAsia" w:ascii="宋体" w:hAnsi="宋体" w:cs="仿宋"/>
                <w:color w:val="auto"/>
                <w:sz w:val="22"/>
                <w:szCs w:val="22"/>
                <w:highlight w:val="none"/>
              </w:rPr>
              <w:t>4</w:t>
            </w:r>
          </w:p>
        </w:tc>
        <w:tc>
          <w:tcPr>
            <w:tcW w:w="3297" w:type="dxa"/>
            <w:gridSpan w:val="2"/>
            <w:noWrap w:val="0"/>
            <w:vAlign w:val="center"/>
          </w:tcPr>
          <w:p w14:paraId="3BEDD64D">
            <w:pPr>
              <w:tabs>
                <w:tab w:val="left" w:pos="1620"/>
              </w:tabs>
              <w:spacing w:line="360" w:lineRule="exact"/>
              <w:ind w:left="-107" w:leftChars="-51" w:right="-107" w:rightChars="-51"/>
              <w:jc w:val="center"/>
              <w:rPr>
                <w:rFonts w:hint="eastAsia" w:ascii="宋体" w:hAnsi="宋体" w:cs="仿宋"/>
                <w:color w:val="auto"/>
                <w:sz w:val="22"/>
                <w:szCs w:val="22"/>
                <w:highlight w:val="none"/>
              </w:rPr>
            </w:pPr>
            <w:r>
              <w:rPr>
                <w:rFonts w:hint="eastAsia" w:ascii="宋体" w:hAnsi="宋体" w:cs="仿宋"/>
                <w:color w:val="auto"/>
                <w:sz w:val="22"/>
                <w:szCs w:val="22"/>
                <w:highlight w:val="none"/>
              </w:rPr>
              <w:t>采购代理服务费</w:t>
            </w:r>
          </w:p>
        </w:tc>
        <w:tc>
          <w:tcPr>
            <w:tcW w:w="3975" w:type="dxa"/>
            <w:gridSpan w:val="3"/>
            <w:noWrap w:val="0"/>
            <w:vAlign w:val="center"/>
          </w:tcPr>
          <w:p w14:paraId="72CD8A0F">
            <w:pPr>
              <w:tabs>
                <w:tab w:val="left" w:pos="1620"/>
              </w:tabs>
              <w:spacing w:line="360" w:lineRule="exact"/>
              <w:jc w:val="center"/>
              <w:rPr>
                <w:rFonts w:hint="eastAsia" w:ascii="宋体" w:hAnsi="宋体" w:cs="仿宋"/>
                <w:color w:val="auto"/>
                <w:sz w:val="22"/>
                <w:szCs w:val="22"/>
                <w:highlight w:val="none"/>
              </w:rPr>
            </w:pPr>
            <w:r>
              <w:rPr>
                <w:rFonts w:hint="eastAsia" w:ascii="宋体" w:hAnsi="宋体" w:cs="仿宋"/>
                <w:color w:val="auto"/>
                <w:sz w:val="22"/>
                <w:szCs w:val="22"/>
                <w:highlight w:val="none"/>
              </w:rPr>
              <w:t>含</w:t>
            </w:r>
          </w:p>
        </w:tc>
        <w:tc>
          <w:tcPr>
            <w:tcW w:w="1314" w:type="dxa"/>
            <w:noWrap w:val="0"/>
            <w:vAlign w:val="center"/>
          </w:tcPr>
          <w:p w14:paraId="44371E8E">
            <w:pPr>
              <w:tabs>
                <w:tab w:val="left" w:pos="1620"/>
              </w:tabs>
              <w:spacing w:line="360" w:lineRule="exact"/>
              <w:jc w:val="center"/>
              <w:rPr>
                <w:rFonts w:hint="eastAsia" w:ascii="宋体" w:hAnsi="宋体" w:cs="仿宋"/>
                <w:color w:val="auto"/>
                <w:sz w:val="22"/>
                <w:szCs w:val="22"/>
                <w:highlight w:val="none"/>
              </w:rPr>
            </w:pPr>
          </w:p>
        </w:tc>
      </w:tr>
      <w:tr w14:paraId="1BB9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15" w:type="dxa"/>
            <w:noWrap w:val="0"/>
            <w:vAlign w:val="center"/>
          </w:tcPr>
          <w:p w14:paraId="668A7C49">
            <w:pPr>
              <w:tabs>
                <w:tab w:val="left" w:pos="1620"/>
              </w:tabs>
              <w:spacing w:line="360" w:lineRule="exact"/>
              <w:jc w:val="center"/>
              <w:rPr>
                <w:rFonts w:hint="eastAsia" w:ascii="宋体" w:hAnsi="宋体" w:cs="仿宋"/>
                <w:color w:val="auto"/>
                <w:sz w:val="22"/>
                <w:szCs w:val="22"/>
                <w:highlight w:val="none"/>
              </w:rPr>
            </w:pPr>
            <w:r>
              <w:rPr>
                <w:rFonts w:hint="eastAsia" w:ascii="宋体" w:hAnsi="宋体" w:cs="仿宋"/>
                <w:color w:val="auto"/>
                <w:sz w:val="22"/>
                <w:szCs w:val="22"/>
                <w:highlight w:val="none"/>
              </w:rPr>
              <w:t>5</w:t>
            </w:r>
          </w:p>
        </w:tc>
        <w:tc>
          <w:tcPr>
            <w:tcW w:w="3297" w:type="dxa"/>
            <w:gridSpan w:val="2"/>
            <w:noWrap w:val="0"/>
            <w:vAlign w:val="center"/>
          </w:tcPr>
          <w:p w14:paraId="07B15D7B">
            <w:pPr>
              <w:tabs>
                <w:tab w:val="left" w:pos="1620"/>
              </w:tabs>
              <w:spacing w:line="360" w:lineRule="exact"/>
              <w:ind w:left="-107" w:leftChars="-51" w:right="-107" w:rightChars="-51"/>
              <w:jc w:val="center"/>
              <w:rPr>
                <w:rFonts w:hint="eastAsia" w:ascii="宋体" w:hAnsi="宋体" w:cs="仿宋"/>
                <w:color w:val="auto"/>
                <w:sz w:val="22"/>
                <w:szCs w:val="22"/>
                <w:highlight w:val="none"/>
              </w:rPr>
            </w:pPr>
            <w:r>
              <w:rPr>
                <w:rFonts w:hint="eastAsia" w:ascii="宋体" w:hAnsi="宋体" w:cs="仿宋"/>
                <w:color w:val="auto"/>
                <w:sz w:val="22"/>
                <w:szCs w:val="22"/>
                <w:highlight w:val="none"/>
              </w:rPr>
              <w:t>其     他</w:t>
            </w:r>
          </w:p>
        </w:tc>
        <w:tc>
          <w:tcPr>
            <w:tcW w:w="3975" w:type="dxa"/>
            <w:gridSpan w:val="3"/>
            <w:noWrap w:val="0"/>
            <w:vAlign w:val="center"/>
          </w:tcPr>
          <w:p w14:paraId="13996ECD">
            <w:pPr>
              <w:tabs>
                <w:tab w:val="left" w:pos="1620"/>
              </w:tabs>
              <w:spacing w:line="360" w:lineRule="exact"/>
              <w:jc w:val="center"/>
              <w:rPr>
                <w:rFonts w:hint="eastAsia" w:ascii="宋体" w:hAnsi="宋体" w:cs="仿宋"/>
                <w:color w:val="auto"/>
                <w:sz w:val="22"/>
                <w:szCs w:val="22"/>
                <w:highlight w:val="none"/>
              </w:rPr>
            </w:pPr>
            <w:r>
              <w:rPr>
                <w:rFonts w:hint="eastAsia" w:ascii="宋体" w:hAnsi="宋体" w:cs="仿宋"/>
                <w:color w:val="auto"/>
                <w:sz w:val="22"/>
                <w:szCs w:val="22"/>
                <w:highlight w:val="none"/>
              </w:rPr>
              <w:t>含</w:t>
            </w:r>
          </w:p>
        </w:tc>
        <w:tc>
          <w:tcPr>
            <w:tcW w:w="1314" w:type="dxa"/>
            <w:noWrap w:val="0"/>
            <w:vAlign w:val="center"/>
          </w:tcPr>
          <w:p w14:paraId="0901B03E">
            <w:pPr>
              <w:tabs>
                <w:tab w:val="left" w:pos="1620"/>
              </w:tabs>
              <w:spacing w:line="360" w:lineRule="exact"/>
              <w:jc w:val="center"/>
              <w:rPr>
                <w:rFonts w:hint="eastAsia" w:ascii="宋体" w:hAnsi="宋体" w:cs="仿宋"/>
                <w:color w:val="auto"/>
                <w:sz w:val="22"/>
                <w:szCs w:val="22"/>
                <w:highlight w:val="none"/>
              </w:rPr>
            </w:pPr>
          </w:p>
        </w:tc>
      </w:tr>
      <w:tr w14:paraId="48F1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012" w:type="dxa"/>
            <w:gridSpan w:val="3"/>
            <w:noWrap w:val="0"/>
            <w:vAlign w:val="center"/>
          </w:tcPr>
          <w:p w14:paraId="5929E979">
            <w:pPr>
              <w:tabs>
                <w:tab w:val="left" w:pos="1620"/>
              </w:tabs>
              <w:spacing w:line="360" w:lineRule="exact"/>
              <w:ind w:left="-107" w:leftChars="-51" w:right="-107" w:rightChars="-51"/>
              <w:jc w:val="center"/>
              <w:rPr>
                <w:rFonts w:hint="eastAsia" w:ascii="宋体" w:hAnsi="宋体" w:cs="仿宋"/>
                <w:color w:val="auto"/>
                <w:sz w:val="22"/>
                <w:szCs w:val="22"/>
                <w:highlight w:val="none"/>
              </w:rPr>
            </w:pPr>
            <w:r>
              <w:rPr>
                <w:rFonts w:hint="eastAsia" w:ascii="宋体" w:hAnsi="宋体" w:cs="仿宋"/>
                <w:b/>
                <w:color w:val="auto"/>
                <w:sz w:val="22"/>
                <w:szCs w:val="22"/>
                <w:highlight w:val="none"/>
              </w:rPr>
              <w:t>总计价（1+2+3+4+5）</w:t>
            </w:r>
          </w:p>
        </w:tc>
        <w:tc>
          <w:tcPr>
            <w:tcW w:w="5289" w:type="dxa"/>
            <w:gridSpan w:val="4"/>
            <w:noWrap w:val="0"/>
            <w:vAlign w:val="center"/>
          </w:tcPr>
          <w:p w14:paraId="685426D3">
            <w:pPr>
              <w:tabs>
                <w:tab w:val="left" w:pos="1620"/>
              </w:tabs>
              <w:spacing w:line="360" w:lineRule="exact"/>
              <w:jc w:val="center"/>
              <w:rPr>
                <w:rFonts w:hint="eastAsia" w:ascii="宋体" w:hAnsi="宋体" w:cs="仿宋"/>
                <w:color w:val="auto"/>
                <w:sz w:val="22"/>
                <w:szCs w:val="22"/>
                <w:highlight w:val="none"/>
              </w:rPr>
            </w:pPr>
          </w:p>
        </w:tc>
      </w:tr>
    </w:tbl>
    <w:p w14:paraId="1AFC28ED">
      <w:pPr>
        <w:spacing w:line="380" w:lineRule="exact"/>
        <w:rPr>
          <w:rFonts w:hint="eastAsia"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说明：</w:t>
      </w:r>
    </w:p>
    <w:p w14:paraId="28EEE5B5">
      <w:pPr>
        <w:numPr>
          <w:ilvl w:val="0"/>
          <w:numId w:val="26"/>
        </w:numPr>
        <w:spacing w:line="380" w:lineRule="exact"/>
        <w:rPr>
          <w:rFonts w:hint="eastAsia"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投标分项报价表内总计价应与附件二中“开标一览表”投标总价相一致。</w:t>
      </w:r>
    </w:p>
    <w:p w14:paraId="4802913D">
      <w:pPr>
        <w:numPr>
          <w:ilvl w:val="0"/>
          <w:numId w:val="26"/>
        </w:numPr>
        <w:spacing w:line="380" w:lineRule="exact"/>
        <w:rPr>
          <w:color w:val="auto"/>
          <w:highlight w:val="none"/>
        </w:rPr>
      </w:pPr>
      <w:r>
        <w:rPr>
          <w:rFonts w:hint="eastAsia" w:ascii="新宋体" w:hAnsi="新宋体" w:eastAsia="新宋体" w:cs="宋体"/>
          <w:color w:val="auto"/>
          <w:sz w:val="22"/>
          <w:szCs w:val="22"/>
          <w:highlight w:val="none"/>
        </w:rPr>
        <w:t>不提供此表的报价，视为没有实质性响应采购文件要求。</w:t>
      </w:r>
    </w:p>
    <w:p w14:paraId="25B8E278">
      <w:pPr>
        <w:numPr>
          <w:ilvl w:val="0"/>
          <w:numId w:val="26"/>
        </w:numPr>
        <w:spacing w:line="380" w:lineRule="exact"/>
        <w:rPr>
          <w:color w:val="auto"/>
          <w:highlight w:val="none"/>
        </w:rPr>
      </w:pPr>
      <w:r>
        <w:rPr>
          <w:rFonts w:hint="eastAsia" w:ascii="新宋体" w:hAnsi="新宋体" w:eastAsia="新宋体" w:cs="新宋体"/>
          <w:color w:val="auto"/>
          <w:sz w:val="22"/>
          <w:szCs w:val="22"/>
          <w:highlight w:val="none"/>
        </w:rPr>
        <w:t>本表可在不改变格式的情况下根据具体需要自行增减</w:t>
      </w:r>
      <w:r>
        <w:rPr>
          <w:rFonts w:hint="eastAsia" w:ascii="新宋体" w:hAnsi="新宋体" w:eastAsia="新宋体" w:cs="宋体"/>
          <w:color w:val="auto"/>
          <w:sz w:val="22"/>
          <w:szCs w:val="22"/>
          <w:highlight w:val="none"/>
        </w:rPr>
        <w:t>。</w:t>
      </w:r>
    </w:p>
    <w:p w14:paraId="4F3D2D8F">
      <w:pPr>
        <w:spacing w:line="380" w:lineRule="exact"/>
        <w:ind w:firstLine="4400" w:firstLineChars="2000"/>
        <w:rPr>
          <w:rFonts w:hint="eastAsia" w:ascii="宋体" w:hAnsi="宋体" w:cs="宋体"/>
          <w:color w:val="auto"/>
          <w:sz w:val="22"/>
          <w:highlight w:val="none"/>
        </w:rPr>
      </w:pPr>
    </w:p>
    <w:p w14:paraId="29FB4BE3">
      <w:pPr>
        <w:spacing w:line="380" w:lineRule="exact"/>
        <w:ind w:firstLine="4400" w:firstLineChars="2000"/>
        <w:rPr>
          <w:rFonts w:hint="eastAsia" w:ascii="宋体" w:hAnsi="宋体" w:cs="宋体"/>
          <w:color w:val="auto"/>
          <w:sz w:val="22"/>
          <w:highlight w:val="none"/>
        </w:rPr>
      </w:pPr>
      <w:r>
        <w:rPr>
          <w:rFonts w:hint="eastAsia" w:ascii="宋体" w:hAnsi="宋体" w:cs="宋体"/>
          <w:color w:val="auto"/>
          <w:sz w:val="22"/>
          <w:highlight w:val="none"/>
        </w:rPr>
        <w:t>供应商全称（盖章）：</w:t>
      </w:r>
    </w:p>
    <w:p w14:paraId="5D42F8CA">
      <w:pPr>
        <w:spacing w:line="380" w:lineRule="exact"/>
        <w:ind w:firstLine="4400" w:firstLineChars="2000"/>
        <w:rPr>
          <w:rFonts w:hint="eastAsia" w:ascii="宋体" w:hAnsi="宋体" w:cs="宋体"/>
          <w:color w:val="auto"/>
          <w:sz w:val="22"/>
          <w:highlight w:val="none"/>
        </w:rPr>
      </w:pPr>
      <w:r>
        <w:rPr>
          <w:rFonts w:hint="eastAsia" w:ascii="宋体" w:hAnsi="宋体" w:cs="宋体"/>
          <w:color w:val="auto"/>
          <w:sz w:val="22"/>
          <w:highlight w:val="none"/>
        </w:rPr>
        <w:t>供应商代表（签名）：</w:t>
      </w:r>
    </w:p>
    <w:p w14:paraId="282EDB05">
      <w:pPr>
        <w:spacing w:line="380" w:lineRule="exact"/>
        <w:ind w:firstLine="4400" w:firstLineChars="2000"/>
        <w:rPr>
          <w:rFonts w:hint="eastAsia" w:ascii="宋体" w:hAnsi="宋体" w:cs="宋体"/>
          <w:color w:val="auto"/>
          <w:sz w:val="22"/>
          <w:highlight w:val="none"/>
        </w:rPr>
      </w:pPr>
      <w:r>
        <w:rPr>
          <w:rFonts w:hint="eastAsia" w:ascii="宋体" w:hAnsi="宋体" w:cs="宋体"/>
          <w:color w:val="auto"/>
          <w:sz w:val="22"/>
          <w:highlight w:val="none"/>
        </w:rPr>
        <w:t>日 期：  年  月  日</w:t>
      </w:r>
    </w:p>
    <w:p w14:paraId="6554EE59">
      <w:pPr>
        <w:pStyle w:val="3"/>
        <w:rPr>
          <w:rFonts w:hint="eastAsia" w:ascii="宋体" w:hAnsi="宋体" w:cs="宋体"/>
          <w:color w:val="auto"/>
          <w:sz w:val="22"/>
          <w:szCs w:val="22"/>
          <w:highlight w:val="none"/>
        </w:rPr>
      </w:pPr>
      <w:r>
        <w:rPr>
          <w:rFonts w:hint="eastAsia" w:ascii="宋体" w:hAnsi="宋体" w:eastAsia="宋体" w:cs="宋体"/>
          <w:b w:val="0"/>
          <w:bCs w:val="0"/>
          <w:color w:val="auto"/>
          <w:sz w:val="22"/>
          <w:szCs w:val="22"/>
          <w:highlight w:val="none"/>
        </w:rPr>
        <w:br w:type="page"/>
      </w:r>
      <w:bookmarkStart w:id="131" w:name="_Toc58832092"/>
      <w:r>
        <w:rPr>
          <w:rFonts w:hint="eastAsia" w:ascii="宋体" w:hAnsi="宋体" w:eastAsia="宋体" w:cs="宋体"/>
          <w:bCs w:val="0"/>
          <w:color w:val="auto"/>
          <w:sz w:val="36"/>
          <w:szCs w:val="36"/>
          <w:highlight w:val="none"/>
        </w:rPr>
        <w:t>第五部分   采购内容及要求</w:t>
      </w:r>
      <w:bookmarkEnd w:id="131"/>
    </w:p>
    <w:bookmarkEnd w:id="1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14:paraId="1D80E875">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sz w:val="22"/>
          <w:szCs w:val="22"/>
        </w:rPr>
      </w:pPr>
      <w:bookmarkStart w:id="132" w:name="_Toc58832093"/>
      <w:r>
        <w:rPr>
          <w:rFonts w:hint="eastAsia" w:ascii="宋体" w:hAnsi="宋体" w:eastAsia="宋体" w:cs="宋体"/>
          <w:b/>
          <w:sz w:val="22"/>
          <w:szCs w:val="22"/>
        </w:rPr>
        <w:t>一、项目概况</w:t>
      </w:r>
    </w:p>
    <w:p w14:paraId="79C14D27">
      <w:pPr>
        <w:keepNext w:val="0"/>
        <w:keepLines w:val="0"/>
        <w:pageBreakBefore w:val="0"/>
        <w:widowControl w:val="0"/>
        <w:kinsoku/>
        <w:wordWrap/>
        <w:overflowPunct/>
        <w:topLinePunct w:val="0"/>
        <w:bidi w:val="0"/>
        <w:snapToGrid/>
        <w:spacing w:line="360" w:lineRule="auto"/>
        <w:ind w:firstLine="440" w:firstLineChars="200"/>
        <w:textAlignment w:val="auto"/>
        <w:rPr>
          <w:rFonts w:hint="eastAsia" w:ascii="宋体" w:hAnsi="宋体" w:eastAsia="宋体" w:cs="宋体"/>
          <w:bCs/>
          <w:sz w:val="22"/>
          <w:szCs w:val="22"/>
        </w:rPr>
      </w:pPr>
      <w:r>
        <w:rPr>
          <w:rFonts w:hint="eastAsia" w:ascii="宋体" w:hAnsi="宋体" w:eastAsia="宋体" w:cs="宋体"/>
          <w:bCs/>
          <w:sz w:val="22"/>
          <w:szCs w:val="22"/>
        </w:rPr>
        <w:t>温州市鹿城区</w:t>
      </w:r>
      <w:r>
        <w:rPr>
          <w:rFonts w:hint="eastAsia" w:ascii="宋体" w:hAnsi="宋体" w:eastAsia="宋体" w:cs="宋体"/>
          <w:bCs/>
          <w:sz w:val="22"/>
          <w:szCs w:val="22"/>
          <w:lang w:val="en-US" w:eastAsia="zh-CN"/>
        </w:rPr>
        <w:t>政务服务中心</w:t>
      </w:r>
      <w:r>
        <w:rPr>
          <w:rFonts w:hint="eastAsia" w:ascii="宋体" w:hAnsi="宋体" w:eastAsia="宋体" w:cs="宋体"/>
          <w:bCs/>
          <w:sz w:val="22"/>
          <w:szCs w:val="22"/>
        </w:rPr>
        <w:t>安保服务</w:t>
      </w: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地址宽带路18号，面积约3200平方米</w:t>
      </w:r>
      <w:r>
        <w:rPr>
          <w:rFonts w:hint="eastAsia" w:ascii="宋体" w:hAnsi="宋体" w:eastAsia="宋体" w:cs="宋体"/>
          <w:bCs/>
          <w:sz w:val="22"/>
          <w:szCs w:val="22"/>
        </w:rPr>
        <w:t>。</w:t>
      </w:r>
    </w:p>
    <w:p w14:paraId="5E9BF511">
      <w:pPr>
        <w:keepNext w:val="0"/>
        <w:keepLines w:val="0"/>
        <w:pageBreakBefore w:val="0"/>
        <w:widowControl w:val="0"/>
        <w:numPr>
          <w:ilvl w:val="0"/>
          <w:numId w:val="27"/>
        </w:numPr>
        <w:kinsoku/>
        <w:wordWrap/>
        <w:overflowPunct/>
        <w:topLinePunct w:val="0"/>
        <w:bidi w:val="0"/>
        <w:snapToGrid/>
        <w:spacing w:line="360" w:lineRule="auto"/>
        <w:textAlignment w:val="auto"/>
        <w:outlineLvl w:val="1"/>
        <w:rPr>
          <w:rFonts w:hint="eastAsia" w:ascii="宋体" w:hAnsi="宋体" w:eastAsia="宋体" w:cs="宋体"/>
          <w:b/>
          <w:sz w:val="22"/>
          <w:szCs w:val="22"/>
        </w:rPr>
      </w:pPr>
      <w:r>
        <w:rPr>
          <w:rFonts w:hint="eastAsia" w:ascii="宋体" w:hAnsi="宋体" w:eastAsia="宋体" w:cs="宋体"/>
          <w:b/>
          <w:sz w:val="22"/>
          <w:szCs w:val="22"/>
        </w:rPr>
        <w:t>服务目标</w:t>
      </w:r>
    </w:p>
    <w:p w14:paraId="4503809F">
      <w:pPr>
        <w:keepNext w:val="0"/>
        <w:keepLines w:val="0"/>
        <w:pageBreakBefore w:val="0"/>
        <w:widowControl w:val="0"/>
        <w:kinsoku/>
        <w:wordWrap/>
        <w:overflowPunct/>
        <w:topLinePunct w:val="0"/>
        <w:bidi w:val="0"/>
        <w:snapToGrid/>
        <w:spacing w:line="360" w:lineRule="auto"/>
        <w:ind w:firstLine="440" w:firstLineChars="200"/>
        <w:textAlignment w:val="auto"/>
        <w:rPr>
          <w:rFonts w:hint="eastAsia" w:ascii="宋体" w:hAnsi="宋体" w:eastAsia="宋体" w:cs="宋体"/>
          <w:bCs/>
          <w:sz w:val="22"/>
          <w:szCs w:val="22"/>
        </w:rPr>
      </w:pPr>
      <w:r>
        <w:rPr>
          <w:rFonts w:hint="eastAsia" w:ascii="宋体" w:hAnsi="宋体" w:eastAsia="宋体" w:cs="宋体"/>
          <w:bCs/>
          <w:sz w:val="22"/>
          <w:szCs w:val="22"/>
        </w:rPr>
        <w:t>为鹿城区</w:t>
      </w:r>
      <w:r>
        <w:rPr>
          <w:rFonts w:hint="eastAsia" w:ascii="宋体" w:hAnsi="宋体" w:eastAsia="宋体" w:cs="宋体"/>
          <w:bCs/>
          <w:sz w:val="22"/>
          <w:szCs w:val="22"/>
          <w:lang w:val="en-US" w:eastAsia="zh-CN"/>
        </w:rPr>
        <w:t>政务</w:t>
      </w:r>
      <w:r>
        <w:rPr>
          <w:rFonts w:hint="eastAsia" w:ascii="宋体" w:hAnsi="宋体" w:eastAsia="宋体" w:cs="宋体"/>
          <w:bCs/>
          <w:sz w:val="22"/>
          <w:szCs w:val="22"/>
        </w:rPr>
        <w:t>中心提供优质的安保服务保障，营造文明、优美、和谐、温馨、高效、安全运行的办公环境。创建领导满意、服务对象满意、群众满意的省内领先的，国内一流的节约型文明机关。</w:t>
      </w:r>
    </w:p>
    <w:p w14:paraId="5B45349B">
      <w:pPr>
        <w:keepNext w:val="0"/>
        <w:keepLines w:val="0"/>
        <w:pageBreakBefore w:val="0"/>
        <w:widowControl w:val="0"/>
        <w:kinsoku/>
        <w:wordWrap/>
        <w:overflowPunct/>
        <w:topLinePunct w:val="0"/>
        <w:bidi w:val="0"/>
        <w:snapToGrid/>
        <w:spacing w:line="360" w:lineRule="auto"/>
        <w:textAlignment w:val="auto"/>
        <w:outlineLvl w:val="1"/>
        <w:rPr>
          <w:rFonts w:hint="eastAsia" w:ascii="宋体" w:hAnsi="宋体" w:eastAsia="宋体" w:cs="宋体"/>
          <w:b/>
          <w:sz w:val="22"/>
          <w:szCs w:val="22"/>
        </w:rPr>
      </w:pPr>
      <w:r>
        <w:rPr>
          <w:rFonts w:hint="eastAsia" w:ascii="宋体" w:hAnsi="宋体" w:eastAsia="宋体" w:cs="宋体"/>
          <w:b/>
          <w:sz w:val="22"/>
          <w:szCs w:val="22"/>
        </w:rPr>
        <w:t>三、服务期限</w:t>
      </w:r>
    </w:p>
    <w:p w14:paraId="40343D98">
      <w:pPr>
        <w:keepNext w:val="0"/>
        <w:keepLines w:val="0"/>
        <w:pageBreakBefore w:val="0"/>
        <w:widowControl w:val="0"/>
        <w:kinsoku/>
        <w:wordWrap/>
        <w:overflowPunct/>
        <w:topLinePunct w:val="0"/>
        <w:bidi w:val="0"/>
        <w:snapToGrid/>
        <w:spacing w:line="360" w:lineRule="auto"/>
        <w:ind w:firstLine="440" w:firstLineChars="200"/>
        <w:textAlignment w:val="auto"/>
        <w:rPr>
          <w:rFonts w:hint="eastAsia" w:ascii="宋体" w:hAnsi="宋体" w:eastAsia="宋体" w:cs="宋体"/>
          <w:bCs/>
          <w:sz w:val="22"/>
          <w:szCs w:val="22"/>
        </w:rPr>
      </w:pPr>
      <w:r>
        <w:rPr>
          <w:rFonts w:hint="eastAsia" w:ascii="宋体" w:hAnsi="宋体" w:eastAsia="宋体" w:cs="宋体"/>
          <w:bCs/>
          <w:sz w:val="22"/>
          <w:szCs w:val="22"/>
        </w:rPr>
        <w:t>服务期限为</w:t>
      </w:r>
      <w:r>
        <w:rPr>
          <w:rFonts w:hint="eastAsia" w:ascii="宋体" w:hAnsi="宋体" w:eastAsia="宋体" w:cs="宋体"/>
          <w:bCs/>
          <w:sz w:val="22"/>
          <w:szCs w:val="22"/>
          <w:lang w:val="en-US" w:eastAsia="zh-CN"/>
        </w:rPr>
        <w:t>9</w:t>
      </w:r>
      <w:r>
        <w:rPr>
          <w:rFonts w:hint="eastAsia" w:ascii="宋体" w:hAnsi="宋体" w:eastAsia="宋体" w:cs="宋体"/>
          <w:bCs/>
          <w:sz w:val="22"/>
          <w:szCs w:val="22"/>
        </w:rPr>
        <w:t xml:space="preserve"> </w:t>
      </w:r>
      <w:r>
        <w:rPr>
          <w:rFonts w:hint="eastAsia" w:ascii="宋体" w:hAnsi="宋体" w:eastAsia="宋体" w:cs="宋体"/>
          <w:bCs/>
          <w:sz w:val="22"/>
          <w:szCs w:val="22"/>
          <w:lang w:val="en-US" w:eastAsia="zh-CN"/>
        </w:rPr>
        <w:t>个月</w:t>
      </w:r>
      <w:r>
        <w:rPr>
          <w:rFonts w:hint="eastAsia" w:ascii="宋体" w:hAnsi="宋体" w:eastAsia="宋体" w:cs="宋体"/>
          <w:bCs/>
          <w:sz w:val="22"/>
          <w:szCs w:val="22"/>
        </w:rPr>
        <w:t>。</w:t>
      </w:r>
    </w:p>
    <w:p w14:paraId="2F74CA04">
      <w:pPr>
        <w:keepNext w:val="0"/>
        <w:keepLines w:val="0"/>
        <w:pageBreakBefore w:val="0"/>
        <w:widowControl w:val="0"/>
        <w:kinsoku/>
        <w:wordWrap/>
        <w:overflowPunct/>
        <w:topLinePunct w:val="0"/>
        <w:bidi w:val="0"/>
        <w:snapToGrid/>
        <w:spacing w:line="360" w:lineRule="auto"/>
        <w:textAlignment w:val="auto"/>
        <w:outlineLvl w:val="1"/>
        <w:rPr>
          <w:rFonts w:hint="eastAsia" w:ascii="宋体" w:hAnsi="宋体" w:eastAsia="宋体" w:cs="宋体"/>
          <w:b/>
          <w:sz w:val="22"/>
          <w:szCs w:val="22"/>
        </w:rPr>
      </w:pPr>
      <w:r>
        <w:rPr>
          <w:rFonts w:hint="eastAsia" w:ascii="宋体" w:hAnsi="宋体" w:eastAsia="宋体" w:cs="宋体"/>
          <w:b/>
          <w:sz w:val="22"/>
          <w:szCs w:val="22"/>
          <w:lang w:val="en-US" w:eastAsia="zh-CN"/>
        </w:rPr>
        <w:t>四、</w:t>
      </w:r>
      <w:r>
        <w:rPr>
          <w:rFonts w:hint="eastAsia" w:ascii="宋体" w:hAnsi="宋体" w:eastAsia="宋体" w:cs="宋体"/>
          <w:b/>
          <w:sz w:val="22"/>
          <w:szCs w:val="22"/>
        </w:rPr>
        <w:t xml:space="preserve"> 服务具体内容：</w:t>
      </w:r>
    </w:p>
    <w:p w14:paraId="155F3C24">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一</w:t>
      </w:r>
      <w:r>
        <w:rPr>
          <w:rFonts w:hint="eastAsia" w:ascii="宋体" w:hAnsi="宋体" w:eastAsia="宋体" w:cs="宋体"/>
          <w:sz w:val="22"/>
          <w:szCs w:val="22"/>
          <w:lang w:eastAsia="zh-CN"/>
        </w:rPr>
        <w:t>）</w:t>
      </w:r>
      <w:r>
        <w:rPr>
          <w:rFonts w:hint="eastAsia" w:ascii="宋体" w:hAnsi="宋体" w:eastAsia="宋体" w:cs="宋体"/>
          <w:sz w:val="22"/>
          <w:szCs w:val="22"/>
        </w:rPr>
        <w:t>服务内容：门卫、安全、停车、监控、巡查、巡逻等。</w:t>
      </w:r>
    </w:p>
    <w:p w14:paraId="321E7223">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二</w:t>
      </w:r>
      <w:r>
        <w:rPr>
          <w:rFonts w:hint="eastAsia" w:ascii="宋体" w:hAnsi="宋体" w:eastAsia="宋体" w:cs="宋体"/>
          <w:sz w:val="22"/>
          <w:szCs w:val="22"/>
          <w:lang w:eastAsia="zh-CN"/>
        </w:rPr>
        <w:t>）</w:t>
      </w:r>
      <w:r>
        <w:rPr>
          <w:rFonts w:hint="eastAsia" w:ascii="宋体" w:hAnsi="宋体" w:eastAsia="宋体" w:cs="宋体"/>
          <w:sz w:val="22"/>
          <w:szCs w:val="22"/>
        </w:rPr>
        <w:t>人员配置及岗位配置要求</w:t>
      </w:r>
    </w:p>
    <w:tbl>
      <w:tblPr>
        <w:tblStyle w:val="54"/>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65"/>
        <w:gridCol w:w="1829"/>
        <w:gridCol w:w="2606"/>
        <w:gridCol w:w="1052"/>
        <w:gridCol w:w="1831"/>
      </w:tblGrid>
      <w:tr w14:paraId="6890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46" w:type="dxa"/>
            <w:tcBorders>
              <w:bottom w:val="single" w:color="auto" w:sz="2" w:space="0"/>
              <w:tl2br w:val="nil"/>
              <w:tr2bl w:val="nil"/>
            </w:tcBorders>
            <w:shd w:val="clear" w:color="auto" w:fill="F79646"/>
            <w:vAlign w:val="center"/>
          </w:tcPr>
          <w:p w14:paraId="2F250A8F">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序号</w:t>
            </w:r>
          </w:p>
        </w:tc>
        <w:tc>
          <w:tcPr>
            <w:tcW w:w="1665" w:type="dxa"/>
            <w:tcBorders>
              <w:bottom w:val="single" w:color="auto" w:sz="2" w:space="0"/>
              <w:tl2br w:val="nil"/>
              <w:tr2bl w:val="nil"/>
            </w:tcBorders>
            <w:shd w:val="clear" w:color="auto" w:fill="F79646"/>
            <w:vAlign w:val="center"/>
          </w:tcPr>
          <w:p w14:paraId="58A6C4BA">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区域</w:t>
            </w:r>
          </w:p>
        </w:tc>
        <w:tc>
          <w:tcPr>
            <w:tcW w:w="1829" w:type="dxa"/>
            <w:tcBorders>
              <w:bottom w:val="single" w:color="auto" w:sz="2" w:space="0"/>
              <w:tl2br w:val="nil"/>
              <w:tr2bl w:val="nil"/>
            </w:tcBorders>
            <w:shd w:val="clear" w:color="auto" w:fill="F79646"/>
            <w:vAlign w:val="center"/>
          </w:tcPr>
          <w:p w14:paraId="5D603604">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职责要求</w:t>
            </w:r>
          </w:p>
        </w:tc>
        <w:tc>
          <w:tcPr>
            <w:tcW w:w="2606" w:type="dxa"/>
            <w:tcBorders>
              <w:bottom w:val="single" w:color="auto" w:sz="2" w:space="0"/>
              <w:tl2br w:val="nil"/>
              <w:tr2bl w:val="nil"/>
            </w:tcBorders>
            <w:shd w:val="clear" w:color="auto" w:fill="F79646"/>
            <w:vAlign w:val="center"/>
          </w:tcPr>
          <w:p w14:paraId="168BA2CD">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工作时间</w:t>
            </w:r>
          </w:p>
        </w:tc>
        <w:tc>
          <w:tcPr>
            <w:tcW w:w="1052" w:type="dxa"/>
            <w:tcBorders>
              <w:bottom w:val="single" w:color="auto" w:sz="2" w:space="0"/>
              <w:tl2br w:val="nil"/>
              <w:tr2bl w:val="nil"/>
            </w:tcBorders>
            <w:shd w:val="clear" w:color="auto" w:fill="F79646"/>
            <w:vAlign w:val="center"/>
          </w:tcPr>
          <w:p w14:paraId="79789226">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人数</w:t>
            </w:r>
          </w:p>
        </w:tc>
        <w:tc>
          <w:tcPr>
            <w:tcW w:w="1831" w:type="dxa"/>
            <w:tcBorders>
              <w:bottom w:val="single" w:color="auto" w:sz="2" w:space="0"/>
              <w:tl2br w:val="nil"/>
              <w:tr2bl w:val="nil"/>
            </w:tcBorders>
            <w:shd w:val="clear" w:color="auto" w:fill="F79646"/>
            <w:vAlign w:val="center"/>
          </w:tcPr>
          <w:p w14:paraId="1DB583B3">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工作总时间</w:t>
            </w:r>
          </w:p>
        </w:tc>
      </w:tr>
      <w:tr w14:paraId="2C09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46" w:type="dxa"/>
            <w:vMerge w:val="restart"/>
            <w:tcBorders>
              <w:top w:val="single" w:color="auto" w:sz="2" w:space="0"/>
              <w:tl2br w:val="nil"/>
              <w:tr2bl w:val="nil"/>
            </w:tcBorders>
            <w:vAlign w:val="center"/>
          </w:tcPr>
          <w:p w14:paraId="54943969">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p>
          <w:p w14:paraId="70F970B5">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p>
        </w:tc>
        <w:tc>
          <w:tcPr>
            <w:tcW w:w="1665" w:type="dxa"/>
            <w:vMerge w:val="restart"/>
            <w:tcBorders>
              <w:top w:val="single" w:color="auto" w:sz="2" w:space="0"/>
              <w:tl2br w:val="nil"/>
              <w:tr2bl w:val="nil"/>
            </w:tcBorders>
            <w:vAlign w:val="center"/>
          </w:tcPr>
          <w:p w14:paraId="72BFD34C">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p>
          <w:p w14:paraId="6D4C1E67">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温州市鹿城区政务服务中心</w:t>
            </w:r>
          </w:p>
        </w:tc>
        <w:tc>
          <w:tcPr>
            <w:tcW w:w="1829" w:type="dxa"/>
            <w:tcBorders>
              <w:top w:val="single" w:color="auto" w:sz="2" w:space="0"/>
              <w:tl2br w:val="nil"/>
              <w:tr2bl w:val="nil"/>
            </w:tcBorders>
            <w:vAlign w:val="center"/>
          </w:tcPr>
          <w:p w14:paraId="3D17EE75">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三楼评标室管理</w:t>
            </w:r>
          </w:p>
        </w:tc>
        <w:tc>
          <w:tcPr>
            <w:tcW w:w="2606" w:type="dxa"/>
            <w:tcBorders>
              <w:top w:val="single" w:color="auto" w:sz="2" w:space="0"/>
              <w:tl2br w:val="nil"/>
              <w:tr2bl w:val="nil"/>
            </w:tcBorders>
            <w:vAlign w:val="center"/>
          </w:tcPr>
          <w:p w14:paraId="4B158B2A">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09：00-17：00</w:t>
            </w:r>
          </w:p>
        </w:tc>
        <w:tc>
          <w:tcPr>
            <w:tcW w:w="1052" w:type="dxa"/>
            <w:tcBorders>
              <w:top w:val="single" w:color="auto" w:sz="2" w:space="0"/>
              <w:tl2br w:val="nil"/>
              <w:tr2bl w:val="nil"/>
            </w:tcBorders>
            <w:vAlign w:val="center"/>
          </w:tcPr>
          <w:p w14:paraId="4D06D07A">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1831" w:type="dxa"/>
            <w:tcBorders>
              <w:top w:val="single" w:color="auto" w:sz="2" w:space="0"/>
              <w:tl2br w:val="nil"/>
              <w:tr2bl w:val="nil"/>
            </w:tcBorders>
            <w:vAlign w:val="center"/>
          </w:tcPr>
          <w:p w14:paraId="62D9F3E4">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8小时</w:t>
            </w:r>
          </w:p>
        </w:tc>
      </w:tr>
      <w:tr w14:paraId="77B3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l2br w:val="nil"/>
              <w:tr2bl w:val="nil"/>
            </w:tcBorders>
            <w:vAlign w:val="center"/>
          </w:tcPr>
          <w:p w14:paraId="40E88FEC">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p>
        </w:tc>
        <w:tc>
          <w:tcPr>
            <w:tcW w:w="1665" w:type="dxa"/>
            <w:vMerge w:val="continue"/>
            <w:tcBorders>
              <w:tl2br w:val="nil"/>
              <w:tr2bl w:val="nil"/>
            </w:tcBorders>
            <w:vAlign w:val="center"/>
          </w:tcPr>
          <w:p w14:paraId="32D8A521">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p>
        </w:tc>
        <w:tc>
          <w:tcPr>
            <w:tcW w:w="1829" w:type="dxa"/>
            <w:vMerge w:val="restart"/>
            <w:tcBorders>
              <w:tl2br w:val="nil"/>
              <w:tr2bl w:val="nil"/>
            </w:tcBorders>
            <w:vAlign w:val="center"/>
          </w:tcPr>
          <w:p w14:paraId="5DA0D33B">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政务中心大门管理</w:t>
            </w:r>
          </w:p>
        </w:tc>
        <w:tc>
          <w:tcPr>
            <w:tcW w:w="2606" w:type="dxa"/>
            <w:tcBorders>
              <w:tl2br w:val="nil"/>
              <w:tr2bl w:val="nil"/>
            </w:tcBorders>
            <w:vAlign w:val="center"/>
          </w:tcPr>
          <w:p w14:paraId="1E96CFEE">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07：30-1</w:t>
            </w:r>
            <w:r>
              <w:rPr>
                <w:rFonts w:hint="eastAsia" w:ascii="宋体" w:hAnsi="宋体" w:eastAsia="宋体" w:cs="宋体"/>
                <w:sz w:val="22"/>
                <w:szCs w:val="22"/>
                <w:lang w:val="en-US" w:eastAsia="zh-CN"/>
              </w:rPr>
              <w:t>5</w:t>
            </w:r>
            <w:r>
              <w:rPr>
                <w:rFonts w:hint="eastAsia" w:ascii="宋体" w:hAnsi="宋体" w:eastAsia="宋体" w:cs="宋体"/>
                <w:sz w:val="22"/>
                <w:szCs w:val="22"/>
              </w:rPr>
              <w:t>：30</w:t>
            </w:r>
          </w:p>
        </w:tc>
        <w:tc>
          <w:tcPr>
            <w:tcW w:w="1052" w:type="dxa"/>
            <w:tcBorders>
              <w:tl2br w:val="nil"/>
              <w:tr2bl w:val="nil"/>
            </w:tcBorders>
            <w:vAlign w:val="center"/>
          </w:tcPr>
          <w:p w14:paraId="15769702">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p>
        </w:tc>
        <w:tc>
          <w:tcPr>
            <w:tcW w:w="1831" w:type="dxa"/>
            <w:tcBorders>
              <w:tl2br w:val="nil"/>
              <w:tr2bl w:val="nil"/>
            </w:tcBorders>
            <w:vAlign w:val="center"/>
          </w:tcPr>
          <w:p w14:paraId="491ED05B">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8</w:t>
            </w:r>
            <w:r>
              <w:rPr>
                <w:rFonts w:hint="eastAsia" w:ascii="宋体" w:hAnsi="宋体" w:eastAsia="宋体" w:cs="宋体"/>
                <w:sz w:val="22"/>
                <w:szCs w:val="22"/>
              </w:rPr>
              <w:t>小时</w:t>
            </w:r>
          </w:p>
        </w:tc>
      </w:tr>
      <w:tr w14:paraId="1F2C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46" w:type="dxa"/>
            <w:vMerge w:val="continue"/>
            <w:tcBorders>
              <w:tl2br w:val="nil"/>
              <w:tr2bl w:val="nil"/>
            </w:tcBorders>
            <w:vAlign w:val="center"/>
          </w:tcPr>
          <w:p w14:paraId="1D36A21A">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p>
        </w:tc>
        <w:tc>
          <w:tcPr>
            <w:tcW w:w="1665" w:type="dxa"/>
            <w:vMerge w:val="continue"/>
            <w:tcBorders>
              <w:tl2br w:val="nil"/>
              <w:tr2bl w:val="nil"/>
            </w:tcBorders>
            <w:vAlign w:val="center"/>
          </w:tcPr>
          <w:p w14:paraId="1A114A14">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p>
        </w:tc>
        <w:tc>
          <w:tcPr>
            <w:tcW w:w="1829" w:type="dxa"/>
            <w:vMerge w:val="continue"/>
            <w:tcBorders>
              <w:tl2br w:val="nil"/>
              <w:tr2bl w:val="nil"/>
            </w:tcBorders>
            <w:vAlign w:val="center"/>
          </w:tcPr>
          <w:p w14:paraId="2A200029">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p>
        </w:tc>
        <w:tc>
          <w:tcPr>
            <w:tcW w:w="2606" w:type="dxa"/>
            <w:tcBorders>
              <w:tl2br w:val="nil"/>
              <w:tr2bl w:val="nil"/>
            </w:tcBorders>
            <w:vAlign w:val="center"/>
          </w:tcPr>
          <w:p w14:paraId="2CD554FC">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15</w:t>
            </w:r>
            <w:r>
              <w:rPr>
                <w:rFonts w:hint="eastAsia" w:ascii="宋体" w:hAnsi="宋体" w:eastAsia="宋体" w:cs="宋体"/>
                <w:sz w:val="22"/>
                <w:szCs w:val="22"/>
              </w:rPr>
              <w:t>：30-</w:t>
            </w:r>
            <w:r>
              <w:rPr>
                <w:rFonts w:hint="eastAsia" w:ascii="宋体" w:hAnsi="宋体" w:eastAsia="宋体" w:cs="宋体"/>
                <w:sz w:val="22"/>
                <w:szCs w:val="22"/>
                <w:lang w:val="en-US" w:eastAsia="zh-CN"/>
              </w:rPr>
              <w:t>23</w:t>
            </w:r>
            <w:r>
              <w:rPr>
                <w:rFonts w:hint="eastAsia" w:ascii="宋体" w:hAnsi="宋体" w:eastAsia="宋体" w:cs="宋体"/>
                <w:sz w:val="22"/>
                <w:szCs w:val="22"/>
              </w:rPr>
              <w:t>：30</w:t>
            </w:r>
          </w:p>
        </w:tc>
        <w:tc>
          <w:tcPr>
            <w:tcW w:w="1052" w:type="dxa"/>
            <w:tcBorders>
              <w:tl2br w:val="nil"/>
              <w:tr2bl w:val="nil"/>
            </w:tcBorders>
            <w:vAlign w:val="center"/>
          </w:tcPr>
          <w:p w14:paraId="70A1BC5E">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831" w:type="dxa"/>
            <w:tcBorders>
              <w:tl2br w:val="nil"/>
              <w:tr2bl w:val="nil"/>
            </w:tcBorders>
            <w:vAlign w:val="center"/>
          </w:tcPr>
          <w:p w14:paraId="6D73DF73">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8</w:t>
            </w:r>
            <w:r>
              <w:rPr>
                <w:rFonts w:hint="eastAsia" w:ascii="宋体" w:hAnsi="宋体" w:eastAsia="宋体" w:cs="宋体"/>
                <w:sz w:val="22"/>
                <w:szCs w:val="22"/>
              </w:rPr>
              <w:t>小时</w:t>
            </w:r>
          </w:p>
        </w:tc>
      </w:tr>
      <w:tr w14:paraId="6CAA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46" w:type="dxa"/>
            <w:vMerge w:val="continue"/>
            <w:tcBorders>
              <w:tl2br w:val="nil"/>
              <w:tr2bl w:val="nil"/>
            </w:tcBorders>
            <w:vAlign w:val="center"/>
          </w:tcPr>
          <w:p w14:paraId="2A52D101">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p>
        </w:tc>
        <w:tc>
          <w:tcPr>
            <w:tcW w:w="1665" w:type="dxa"/>
            <w:vMerge w:val="continue"/>
            <w:tcBorders>
              <w:tl2br w:val="nil"/>
              <w:tr2bl w:val="nil"/>
            </w:tcBorders>
            <w:vAlign w:val="center"/>
          </w:tcPr>
          <w:p w14:paraId="77EAD3FD">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p>
        </w:tc>
        <w:tc>
          <w:tcPr>
            <w:tcW w:w="1829" w:type="dxa"/>
            <w:vMerge w:val="continue"/>
            <w:tcBorders>
              <w:tl2br w:val="nil"/>
              <w:tr2bl w:val="nil"/>
            </w:tcBorders>
            <w:vAlign w:val="center"/>
          </w:tcPr>
          <w:p w14:paraId="0BF9CED1">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p>
        </w:tc>
        <w:tc>
          <w:tcPr>
            <w:tcW w:w="2606" w:type="dxa"/>
            <w:tcBorders>
              <w:tl2br w:val="nil"/>
              <w:tr2bl w:val="nil"/>
            </w:tcBorders>
            <w:vAlign w:val="center"/>
          </w:tcPr>
          <w:p w14:paraId="72501DED">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23</w:t>
            </w:r>
            <w:r>
              <w:rPr>
                <w:rFonts w:hint="eastAsia" w:ascii="宋体" w:hAnsi="宋体" w:eastAsia="宋体" w:cs="宋体"/>
                <w:sz w:val="22"/>
                <w:szCs w:val="22"/>
              </w:rPr>
              <w:t>：30-</w:t>
            </w:r>
            <w:r>
              <w:rPr>
                <w:rFonts w:hint="eastAsia" w:ascii="宋体" w:hAnsi="宋体" w:eastAsia="宋体" w:cs="宋体"/>
                <w:sz w:val="22"/>
                <w:szCs w:val="22"/>
                <w:lang w:val="en-US" w:eastAsia="zh-CN"/>
              </w:rPr>
              <w:t>07</w:t>
            </w:r>
            <w:r>
              <w:rPr>
                <w:rFonts w:hint="eastAsia" w:ascii="宋体" w:hAnsi="宋体" w:eastAsia="宋体" w:cs="宋体"/>
                <w:sz w:val="22"/>
                <w:szCs w:val="22"/>
              </w:rPr>
              <w:t>：30</w:t>
            </w:r>
          </w:p>
        </w:tc>
        <w:tc>
          <w:tcPr>
            <w:tcW w:w="1052" w:type="dxa"/>
            <w:tcBorders>
              <w:tl2br w:val="nil"/>
              <w:tr2bl w:val="nil"/>
            </w:tcBorders>
            <w:vAlign w:val="center"/>
          </w:tcPr>
          <w:p w14:paraId="4CE3E325">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831" w:type="dxa"/>
            <w:tcBorders>
              <w:tl2br w:val="nil"/>
              <w:tr2bl w:val="nil"/>
            </w:tcBorders>
            <w:vAlign w:val="center"/>
          </w:tcPr>
          <w:p w14:paraId="32991D6C">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8</w:t>
            </w:r>
            <w:r>
              <w:rPr>
                <w:rFonts w:hint="eastAsia" w:ascii="宋体" w:hAnsi="宋体" w:eastAsia="宋体" w:cs="宋体"/>
                <w:sz w:val="22"/>
                <w:szCs w:val="22"/>
              </w:rPr>
              <w:t>小时</w:t>
            </w:r>
          </w:p>
        </w:tc>
      </w:tr>
      <w:tr w14:paraId="2BE4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46" w:type="dxa"/>
            <w:vMerge w:val="continue"/>
            <w:tcBorders>
              <w:tl2br w:val="nil"/>
              <w:tr2bl w:val="nil"/>
            </w:tcBorders>
            <w:vAlign w:val="center"/>
          </w:tcPr>
          <w:p w14:paraId="31186DF1">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p>
        </w:tc>
        <w:tc>
          <w:tcPr>
            <w:tcW w:w="1665" w:type="dxa"/>
            <w:vMerge w:val="continue"/>
            <w:tcBorders>
              <w:tl2br w:val="nil"/>
              <w:tr2bl w:val="nil"/>
            </w:tcBorders>
            <w:vAlign w:val="center"/>
          </w:tcPr>
          <w:p w14:paraId="2819120E">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p>
        </w:tc>
        <w:tc>
          <w:tcPr>
            <w:tcW w:w="1829" w:type="dxa"/>
            <w:vMerge w:val="restart"/>
            <w:tcBorders>
              <w:tl2br w:val="nil"/>
              <w:tr2bl w:val="nil"/>
            </w:tcBorders>
            <w:vAlign w:val="center"/>
          </w:tcPr>
          <w:p w14:paraId="0A7F25CC">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监控室</w:t>
            </w:r>
          </w:p>
        </w:tc>
        <w:tc>
          <w:tcPr>
            <w:tcW w:w="2606" w:type="dxa"/>
            <w:tcBorders>
              <w:tl2br w:val="nil"/>
              <w:tr2bl w:val="nil"/>
            </w:tcBorders>
            <w:vAlign w:val="center"/>
          </w:tcPr>
          <w:p w14:paraId="4A25221E">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07</w:t>
            </w:r>
            <w:r>
              <w:rPr>
                <w:rFonts w:hint="eastAsia" w:ascii="宋体" w:hAnsi="宋体" w:eastAsia="宋体" w:cs="宋体"/>
                <w:sz w:val="22"/>
                <w:szCs w:val="22"/>
              </w:rPr>
              <w:t>：30-</w:t>
            </w:r>
            <w:r>
              <w:rPr>
                <w:rFonts w:hint="eastAsia" w:ascii="宋体" w:hAnsi="宋体" w:eastAsia="宋体" w:cs="宋体"/>
                <w:sz w:val="22"/>
                <w:szCs w:val="22"/>
                <w:lang w:val="en-US" w:eastAsia="zh-CN"/>
              </w:rPr>
              <w:t>15</w:t>
            </w:r>
            <w:r>
              <w:rPr>
                <w:rFonts w:hint="eastAsia" w:ascii="宋体" w:hAnsi="宋体" w:eastAsia="宋体" w:cs="宋体"/>
                <w:sz w:val="22"/>
                <w:szCs w:val="22"/>
              </w:rPr>
              <w:t>：30</w:t>
            </w:r>
          </w:p>
        </w:tc>
        <w:tc>
          <w:tcPr>
            <w:tcW w:w="1052" w:type="dxa"/>
            <w:tcBorders>
              <w:tl2br w:val="nil"/>
              <w:tr2bl w:val="nil"/>
            </w:tcBorders>
            <w:vAlign w:val="center"/>
          </w:tcPr>
          <w:p w14:paraId="34E53E55">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p>
        </w:tc>
        <w:tc>
          <w:tcPr>
            <w:tcW w:w="1831" w:type="dxa"/>
            <w:tcBorders>
              <w:tl2br w:val="nil"/>
              <w:tr2bl w:val="nil"/>
            </w:tcBorders>
            <w:vAlign w:val="center"/>
          </w:tcPr>
          <w:p w14:paraId="6B34E2D9">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8小时</w:t>
            </w:r>
          </w:p>
        </w:tc>
      </w:tr>
      <w:tr w14:paraId="30DA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46" w:type="dxa"/>
            <w:vMerge w:val="continue"/>
            <w:tcBorders>
              <w:tl2br w:val="nil"/>
              <w:tr2bl w:val="nil"/>
            </w:tcBorders>
            <w:vAlign w:val="center"/>
          </w:tcPr>
          <w:p w14:paraId="4A591D9F">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p>
        </w:tc>
        <w:tc>
          <w:tcPr>
            <w:tcW w:w="1665" w:type="dxa"/>
            <w:vMerge w:val="continue"/>
            <w:tcBorders>
              <w:tl2br w:val="nil"/>
              <w:tr2bl w:val="nil"/>
            </w:tcBorders>
            <w:vAlign w:val="center"/>
          </w:tcPr>
          <w:p w14:paraId="224BAD34">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p>
        </w:tc>
        <w:tc>
          <w:tcPr>
            <w:tcW w:w="1829" w:type="dxa"/>
            <w:vMerge w:val="continue"/>
            <w:tcBorders>
              <w:tl2br w:val="nil"/>
              <w:tr2bl w:val="nil"/>
            </w:tcBorders>
            <w:vAlign w:val="center"/>
          </w:tcPr>
          <w:p w14:paraId="29D8CB89">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p>
        </w:tc>
        <w:tc>
          <w:tcPr>
            <w:tcW w:w="2606" w:type="dxa"/>
            <w:tcBorders>
              <w:tl2br w:val="nil"/>
              <w:tr2bl w:val="nil"/>
            </w:tcBorders>
            <w:vAlign w:val="center"/>
          </w:tcPr>
          <w:p w14:paraId="6B40C4F2">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15</w:t>
            </w:r>
            <w:r>
              <w:rPr>
                <w:rFonts w:hint="eastAsia" w:ascii="宋体" w:hAnsi="宋体" w:eastAsia="宋体" w:cs="宋体"/>
                <w:sz w:val="22"/>
                <w:szCs w:val="22"/>
              </w:rPr>
              <w:t>：30-23：30</w:t>
            </w:r>
          </w:p>
        </w:tc>
        <w:tc>
          <w:tcPr>
            <w:tcW w:w="1052" w:type="dxa"/>
            <w:tcBorders>
              <w:tl2br w:val="nil"/>
              <w:tr2bl w:val="nil"/>
            </w:tcBorders>
            <w:vAlign w:val="center"/>
          </w:tcPr>
          <w:p w14:paraId="65C1574D">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p>
        </w:tc>
        <w:tc>
          <w:tcPr>
            <w:tcW w:w="1831" w:type="dxa"/>
            <w:tcBorders>
              <w:tl2br w:val="nil"/>
              <w:tr2bl w:val="nil"/>
            </w:tcBorders>
            <w:vAlign w:val="center"/>
          </w:tcPr>
          <w:p w14:paraId="168341CA">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8小时</w:t>
            </w:r>
          </w:p>
        </w:tc>
      </w:tr>
      <w:tr w14:paraId="1CB9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46" w:type="dxa"/>
            <w:vMerge w:val="continue"/>
            <w:tcBorders>
              <w:tl2br w:val="nil"/>
              <w:tr2bl w:val="nil"/>
            </w:tcBorders>
            <w:vAlign w:val="center"/>
          </w:tcPr>
          <w:p w14:paraId="645A3CFE">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p>
        </w:tc>
        <w:tc>
          <w:tcPr>
            <w:tcW w:w="1665" w:type="dxa"/>
            <w:vMerge w:val="continue"/>
            <w:tcBorders>
              <w:tl2br w:val="nil"/>
              <w:tr2bl w:val="nil"/>
            </w:tcBorders>
            <w:vAlign w:val="center"/>
          </w:tcPr>
          <w:p w14:paraId="5FD79AE7">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p>
        </w:tc>
        <w:tc>
          <w:tcPr>
            <w:tcW w:w="1829" w:type="dxa"/>
            <w:vMerge w:val="continue"/>
            <w:tcBorders>
              <w:tl2br w:val="nil"/>
              <w:tr2bl w:val="nil"/>
            </w:tcBorders>
            <w:vAlign w:val="center"/>
          </w:tcPr>
          <w:p w14:paraId="5B8DC9ED">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p>
        </w:tc>
        <w:tc>
          <w:tcPr>
            <w:tcW w:w="2606" w:type="dxa"/>
            <w:tcBorders>
              <w:tl2br w:val="nil"/>
              <w:tr2bl w:val="nil"/>
            </w:tcBorders>
            <w:vAlign w:val="center"/>
          </w:tcPr>
          <w:p w14:paraId="3150D28D">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23</w:t>
            </w:r>
            <w:r>
              <w:rPr>
                <w:rFonts w:hint="eastAsia" w:ascii="宋体" w:hAnsi="宋体" w:eastAsia="宋体" w:cs="宋体"/>
                <w:sz w:val="22"/>
                <w:szCs w:val="22"/>
              </w:rPr>
              <w:t>：30-</w:t>
            </w:r>
            <w:r>
              <w:rPr>
                <w:rFonts w:hint="eastAsia" w:ascii="宋体" w:hAnsi="宋体" w:eastAsia="宋体" w:cs="宋体"/>
                <w:sz w:val="22"/>
                <w:szCs w:val="22"/>
                <w:lang w:val="en-US" w:eastAsia="zh-CN"/>
              </w:rPr>
              <w:t>07</w:t>
            </w:r>
            <w:r>
              <w:rPr>
                <w:rFonts w:hint="eastAsia" w:ascii="宋体" w:hAnsi="宋体" w:eastAsia="宋体" w:cs="宋体"/>
                <w:sz w:val="22"/>
                <w:szCs w:val="22"/>
              </w:rPr>
              <w:t>：30</w:t>
            </w:r>
          </w:p>
        </w:tc>
        <w:tc>
          <w:tcPr>
            <w:tcW w:w="1052" w:type="dxa"/>
            <w:tcBorders>
              <w:tl2br w:val="nil"/>
              <w:tr2bl w:val="nil"/>
            </w:tcBorders>
            <w:vAlign w:val="center"/>
          </w:tcPr>
          <w:p w14:paraId="50C54E2E">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1831" w:type="dxa"/>
            <w:tcBorders>
              <w:tl2br w:val="nil"/>
              <w:tr2bl w:val="nil"/>
            </w:tcBorders>
            <w:vAlign w:val="center"/>
          </w:tcPr>
          <w:p w14:paraId="4CDAC3B2">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8小时</w:t>
            </w:r>
          </w:p>
        </w:tc>
      </w:tr>
      <w:tr w14:paraId="5545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46" w:type="dxa"/>
            <w:vMerge w:val="continue"/>
            <w:tcBorders>
              <w:tl2br w:val="nil"/>
              <w:tr2bl w:val="nil"/>
            </w:tcBorders>
            <w:vAlign w:val="center"/>
          </w:tcPr>
          <w:p w14:paraId="67AB4022">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p>
        </w:tc>
        <w:tc>
          <w:tcPr>
            <w:tcW w:w="1665" w:type="dxa"/>
            <w:vMerge w:val="continue"/>
            <w:tcBorders>
              <w:tl2br w:val="nil"/>
              <w:tr2bl w:val="nil"/>
            </w:tcBorders>
            <w:vAlign w:val="center"/>
          </w:tcPr>
          <w:p w14:paraId="37831B71">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p>
        </w:tc>
        <w:tc>
          <w:tcPr>
            <w:tcW w:w="1829" w:type="dxa"/>
            <w:tcBorders>
              <w:tl2br w:val="nil"/>
              <w:tr2bl w:val="nil"/>
            </w:tcBorders>
            <w:vAlign w:val="center"/>
          </w:tcPr>
          <w:p w14:paraId="754C292D">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保安管理</w:t>
            </w:r>
          </w:p>
        </w:tc>
        <w:tc>
          <w:tcPr>
            <w:tcW w:w="2606" w:type="dxa"/>
            <w:tcBorders>
              <w:tl2br w:val="nil"/>
              <w:tr2bl w:val="nil"/>
            </w:tcBorders>
            <w:vAlign w:val="center"/>
          </w:tcPr>
          <w:p w14:paraId="4C3C5021">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07</w:t>
            </w:r>
            <w:r>
              <w:rPr>
                <w:rFonts w:hint="eastAsia" w:ascii="宋体" w:hAnsi="宋体" w:eastAsia="宋体" w:cs="宋体"/>
                <w:sz w:val="22"/>
                <w:szCs w:val="22"/>
              </w:rPr>
              <w:t>：30-</w:t>
            </w:r>
            <w:r>
              <w:rPr>
                <w:rFonts w:hint="eastAsia" w:ascii="宋体" w:hAnsi="宋体" w:eastAsia="宋体" w:cs="宋体"/>
                <w:sz w:val="22"/>
                <w:szCs w:val="22"/>
                <w:lang w:val="en-US" w:eastAsia="zh-CN"/>
              </w:rPr>
              <w:t>17</w:t>
            </w:r>
            <w:r>
              <w:rPr>
                <w:rFonts w:hint="eastAsia" w:ascii="宋体" w:hAnsi="宋体" w:eastAsia="宋体" w:cs="宋体"/>
                <w:sz w:val="22"/>
                <w:szCs w:val="22"/>
              </w:rPr>
              <w:t>：30</w:t>
            </w:r>
          </w:p>
        </w:tc>
        <w:tc>
          <w:tcPr>
            <w:tcW w:w="1052" w:type="dxa"/>
            <w:tcBorders>
              <w:tl2br w:val="nil"/>
              <w:tr2bl w:val="nil"/>
            </w:tcBorders>
            <w:vAlign w:val="center"/>
          </w:tcPr>
          <w:p w14:paraId="54D9AAE2">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p>
        </w:tc>
        <w:tc>
          <w:tcPr>
            <w:tcW w:w="1831" w:type="dxa"/>
            <w:tcBorders>
              <w:tl2br w:val="nil"/>
              <w:tr2bl w:val="nil"/>
            </w:tcBorders>
            <w:vAlign w:val="center"/>
          </w:tcPr>
          <w:p w14:paraId="4C393F24">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10小时</w:t>
            </w:r>
          </w:p>
        </w:tc>
      </w:tr>
      <w:tr w14:paraId="57BE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846" w:type="dxa"/>
            <w:tcBorders>
              <w:tl2br w:val="nil"/>
              <w:tr2bl w:val="nil"/>
            </w:tcBorders>
            <w:vAlign w:val="center"/>
          </w:tcPr>
          <w:p w14:paraId="7E54AAA1">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p>
        </w:tc>
        <w:tc>
          <w:tcPr>
            <w:tcW w:w="3494" w:type="dxa"/>
            <w:gridSpan w:val="2"/>
            <w:tcBorders>
              <w:tl2br w:val="nil"/>
              <w:tr2bl w:val="nil"/>
            </w:tcBorders>
            <w:vAlign w:val="center"/>
          </w:tcPr>
          <w:p w14:paraId="37C62513">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合计</w:t>
            </w:r>
          </w:p>
        </w:tc>
        <w:tc>
          <w:tcPr>
            <w:tcW w:w="2606" w:type="dxa"/>
            <w:tcBorders>
              <w:tl2br w:val="nil"/>
              <w:tr2bl w:val="nil"/>
            </w:tcBorders>
            <w:vAlign w:val="center"/>
          </w:tcPr>
          <w:p w14:paraId="7795AB57">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p>
        </w:tc>
        <w:tc>
          <w:tcPr>
            <w:tcW w:w="1052" w:type="dxa"/>
            <w:tcBorders>
              <w:tl2br w:val="nil"/>
              <w:tr2bl w:val="nil"/>
            </w:tcBorders>
            <w:vAlign w:val="center"/>
          </w:tcPr>
          <w:p w14:paraId="25FE5C0F">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w:t>
            </w:r>
          </w:p>
        </w:tc>
        <w:tc>
          <w:tcPr>
            <w:tcW w:w="1831" w:type="dxa"/>
            <w:tcBorders>
              <w:tl2br w:val="nil"/>
              <w:tr2bl w:val="nil"/>
            </w:tcBorders>
            <w:vAlign w:val="center"/>
          </w:tcPr>
          <w:p w14:paraId="2AE7F7B7">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p>
        </w:tc>
      </w:tr>
    </w:tbl>
    <w:p w14:paraId="68AE16E1">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注1：本次采购实际使用人员数量可能会低于采购文件中人员配置要求，具体所需人员数量以采购人按实际所需为准。不足人员服务费用按照比例从总价中扣回，扣回的金额使用具体相关事宜由采购人决定为准。</w:t>
      </w:r>
    </w:p>
    <w:p w14:paraId="72835D2B">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三</w:t>
      </w:r>
      <w:r>
        <w:rPr>
          <w:rFonts w:hint="eastAsia" w:ascii="宋体" w:hAnsi="宋体" w:eastAsia="宋体" w:cs="宋体"/>
          <w:sz w:val="22"/>
          <w:szCs w:val="22"/>
          <w:lang w:eastAsia="zh-CN"/>
        </w:rPr>
        <w:t>）</w:t>
      </w:r>
      <w:r>
        <w:rPr>
          <w:rFonts w:hint="eastAsia" w:ascii="宋体" w:hAnsi="宋体" w:eastAsia="宋体" w:cs="宋体"/>
          <w:sz w:val="22"/>
          <w:szCs w:val="22"/>
        </w:rPr>
        <w:t>服务时间</w:t>
      </w:r>
    </w:p>
    <w:p w14:paraId="7308D8F9">
      <w:pPr>
        <w:pStyle w:val="72"/>
        <w:keepNext w:val="0"/>
        <w:keepLines w:val="0"/>
        <w:pageBreakBefore w:val="0"/>
        <w:widowControl w:val="0"/>
        <w:kinsoku/>
        <w:wordWrap/>
        <w:overflowPunct/>
        <w:topLinePunct w:val="0"/>
        <w:bidi w:val="0"/>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服务时间为每周七天，服务响应时间为7*24小时，普通岗位每天服务时间8小时</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超时按加班时间计算。</w:t>
      </w:r>
    </w:p>
    <w:p w14:paraId="7486A7A3">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四</w:t>
      </w:r>
      <w:r>
        <w:rPr>
          <w:rFonts w:hint="eastAsia" w:ascii="宋体" w:hAnsi="宋体" w:eastAsia="宋体" w:cs="宋体"/>
          <w:sz w:val="22"/>
          <w:szCs w:val="22"/>
          <w:lang w:eastAsia="zh-CN"/>
        </w:rPr>
        <w:t>）</w:t>
      </w:r>
      <w:r>
        <w:rPr>
          <w:rFonts w:hint="eastAsia" w:ascii="宋体" w:hAnsi="宋体" w:eastAsia="宋体" w:cs="宋体"/>
          <w:sz w:val="22"/>
          <w:szCs w:val="22"/>
        </w:rPr>
        <w:t>保安人员的主要工作任务：</w:t>
      </w:r>
    </w:p>
    <w:p w14:paraId="42F67FAA">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w:t>
      </w:r>
      <w:r>
        <w:rPr>
          <w:rFonts w:hint="eastAsia" w:ascii="宋体" w:hAnsi="宋体" w:eastAsia="宋体" w:cs="宋体"/>
          <w:sz w:val="22"/>
          <w:szCs w:val="22"/>
        </w:rPr>
        <w:t xml:space="preserve">负责鹿城区政务服务中心的安全管理工作，对进出人员车辆、物资进行验证、检查、登记、劝阻无关人员出入，防止内部财物流失等案件和疫情发生。 </w:t>
      </w:r>
    </w:p>
    <w:p w14:paraId="56A87F62">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w:t>
      </w:r>
      <w:r>
        <w:rPr>
          <w:rFonts w:hint="eastAsia" w:ascii="宋体" w:hAnsi="宋体" w:eastAsia="宋体" w:cs="宋体"/>
          <w:sz w:val="22"/>
          <w:szCs w:val="22"/>
        </w:rPr>
        <w:t>负责范围内巡逻检查，及时发现隐患，堵塞各种安全防范方面的漏洞。</w:t>
      </w:r>
    </w:p>
    <w:p w14:paraId="1144D6CC">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w:t>
      </w:r>
      <w:r>
        <w:rPr>
          <w:rFonts w:hint="eastAsia" w:ascii="宋体" w:hAnsi="宋体" w:eastAsia="宋体" w:cs="宋体"/>
          <w:sz w:val="22"/>
          <w:szCs w:val="22"/>
        </w:rPr>
        <w:t>检查管理消防设施、保持良好状态，保持消防通道畅通。</w:t>
      </w:r>
    </w:p>
    <w:p w14:paraId="2B170333">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w:t>
      </w:r>
      <w:r>
        <w:rPr>
          <w:rFonts w:hint="eastAsia" w:ascii="宋体" w:hAnsi="宋体" w:eastAsia="宋体" w:cs="宋体"/>
          <w:sz w:val="22"/>
          <w:szCs w:val="22"/>
        </w:rPr>
        <w:t>发现执勤范围内或周边发生纠纷（打架斗殴），尽力进行劝解，并向</w:t>
      </w:r>
      <w:r>
        <w:rPr>
          <w:rFonts w:hint="eastAsia" w:ascii="宋体" w:hAnsi="宋体" w:eastAsia="宋体" w:cs="宋体"/>
          <w:sz w:val="22"/>
          <w:szCs w:val="22"/>
          <w:lang w:val="en-US" w:eastAsia="zh-CN"/>
        </w:rPr>
        <w:t>采购人</w:t>
      </w:r>
      <w:r>
        <w:rPr>
          <w:rFonts w:hint="eastAsia" w:ascii="宋体" w:hAnsi="宋体" w:eastAsia="宋体" w:cs="宋体"/>
          <w:sz w:val="22"/>
          <w:szCs w:val="22"/>
        </w:rPr>
        <w:t>有关领导报告。</w:t>
      </w:r>
    </w:p>
    <w:p w14:paraId="4E7F0B3C">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w:t>
      </w:r>
      <w:r>
        <w:rPr>
          <w:rFonts w:hint="eastAsia" w:ascii="宋体" w:hAnsi="宋体" w:eastAsia="宋体" w:cs="宋体"/>
          <w:sz w:val="22"/>
          <w:szCs w:val="22"/>
        </w:rPr>
        <w:t>如果管区内发生案件（灾害、事故）要保护现场，并及时向</w:t>
      </w:r>
      <w:r>
        <w:rPr>
          <w:rFonts w:hint="eastAsia" w:ascii="宋体" w:hAnsi="宋体" w:eastAsia="宋体" w:cs="宋体"/>
          <w:sz w:val="22"/>
          <w:szCs w:val="22"/>
          <w:lang w:val="en-US" w:eastAsia="zh-CN"/>
        </w:rPr>
        <w:t>采购人</w:t>
      </w:r>
      <w:r>
        <w:rPr>
          <w:rFonts w:hint="eastAsia" w:ascii="宋体" w:hAnsi="宋体" w:eastAsia="宋体" w:cs="宋体"/>
          <w:sz w:val="22"/>
          <w:szCs w:val="22"/>
        </w:rPr>
        <w:t>有关领导或公安机关报告。</w:t>
      </w:r>
    </w:p>
    <w:p w14:paraId="033AB7A8">
      <w:pPr>
        <w:pStyle w:val="7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6</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采购人</w:t>
      </w:r>
      <w:r>
        <w:rPr>
          <w:rFonts w:hint="eastAsia" w:ascii="宋体" w:hAnsi="宋体" w:eastAsia="宋体" w:cs="宋体"/>
          <w:sz w:val="22"/>
          <w:szCs w:val="22"/>
        </w:rPr>
        <w:t>交办的与安全防范有关的其他工作任务。</w:t>
      </w:r>
    </w:p>
    <w:p w14:paraId="66ECBB8E">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五、</w:t>
      </w:r>
      <w:r>
        <w:rPr>
          <w:rFonts w:hint="eastAsia" w:ascii="宋体" w:hAnsi="宋体" w:eastAsia="宋体" w:cs="宋体"/>
          <w:b/>
          <w:bCs/>
          <w:sz w:val="22"/>
          <w:szCs w:val="22"/>
        </w:rPr>
        <w:t>人员要求</w:t>
      </w:r>
    </w:p>
    <w:p w14:paraId="6787E7A1">
      <w:pPr>
        <w:keepNext w:val="0"/>
        <w:keepLines w:val="0"/>
        <w:pageBreakBefore w:val="0"/>
        <w:widowControl w:val="0"/>
        <w:kinsoku/>
        <w:wordWrap/>
        <w:overflowPunct/>
        <w:topLinePunct w:val="0"/>
        <w:bidi w:val="0"/>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1、保安人员要求</w:t>
      </w:r>
    </w:p>
    <w:p w14:paraId="6213EF56">
      <w:pPr>
        <w:keepNext w:val="0"/>
        <w:keepLines w:val="0"/>
        <w:pageBreakBefore w:val="0"/>
        <w:widowControl w:val="0"/>
        <w:kinsoku/>
        <w:wordWrap/>
        <w:overflowPunct/>
        <w:topLinePunct w:val="0"/>
        <w:bidi w:val="0"/>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1.1、保安队长、指导员</w:t>
      </w:r>
    </w:p>
    <w:p w14:paraId="677A661C">
      <w:pPr>
        <w:keepNext w:val="0"/>
        <w:keepLines w:val="0"/>
        <w:pageBreakBefore w:val="0"/>
        <w:widowControl w:val="0"/>
        <w:kinsoku/>
        <w:wordWrap/>
        <w:overflowPunct/>
        <w:topLinePunct w:val="0"/>
        <w:bidi w:val="0"/>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男性，年龄20至 55 周岁，身体素质好，业务素质高，品德优良，思想作风过硬，熟悉秩序维护管理工作，具备较强的安保和消防知识，具备较强的协调和组织能力，具备较强的应对突发事件的能力。</w:t>
      </w:r>
    </w:p>
    <w:p w14:paraId="215A2E35">
      <w:pPr>
        <w:keepNext w:val="0"/>
        <w:keepLines w:val="0"/>
        <w:pageBreakBefore w:val="0"/>
        <w:widowControl w:val="0"/>
        <w:kinsoku/>
        <w:wordWrap/>
        <w:overflowPunct/>
        <w:topLinePunct w:val="0"/>
        <w:bidi w:val="0"/>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1.2、保安人员</w:t>
      </w:r>
    </w:p>
    <w:p w14:paraId="7A2E8850">
      <w:pPr>
        <w:keepNext w:val="0"/>
        <w:keepLines w:val="0"/>
        <w:pageBreakBefore w:val="0"/>
        <w:widowControl w:val="0"/>
        <w:kinsoku/>
        <w:wordWrap/>
        <w:overflowPunct/>
        <w:topLinePunct w:val="0"/>
        <w:bidi w:val="0"/>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1.2.1、男性，初中毕业以上文化程度，年龄 20 至 50 周岁，健康，体貌端正、无残疾、无明显疤痕或标志、会普通话、智力良好、行动灵便。具有较强的安保和消防知识，应变能力强、能吃苦耐劳。</w:t>
      </w:r>
    </w:p>
    <w:p w14:paraId="359E3A7C">
      <w:pPr>
        <w:keepNext w:val="0"/>
        <w:keepLines w:val="0"/>
        <w:pageBreakBefore w:val="0"/>
        <w:widowControl w:val="0"/>
        <w:kinsoku/>
        <w:wordWrap/>
        <w:overflowPunct/>
        <w:topLinePunct w:val="0"/>
        <w:bidi w:val="0"/>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1.2.2、遵纪守法、品行良好，无违法犯罪记录。</w:t>
      </w:r>
    </w:p>
    <w:p w14:paraId="01493497">
      <w:pPr>
        <w:keepNext w:val="0"/>
        <w:keepLines w:val="0"/>
        <w:pageBreakBefore w:val="0"/>
        <w:widowControl w:val="0"/>
        <w:kinsoku/>
        <w:wordWrap/>
        <w:overflowPunct/>
        <w:topLinePunct w:val="0"/>
        <w:bidi w:val="0"/>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1.2.3、经公安机关批准设立的培训机构培训合格，取得由县级以上公安机关核发的《浙江省保安从业人员资格证》和保安专业《上岗证》。</w:t>
      </w:r>
    </w:p>
    <w:p w14:paraId="4F7786C3">
      <w:pPr>
        <w:keepNext w:val="0"/>
        <w:keepLines w:val="0"/>
        <w:pageBreakBefore w:val="0"/>
        <w:widowControl w:val="0"/>
        <w:kinsoku/>
        <w:wordWrap/>
        <w:overflowPunct/>
        <w:topLinePunct w:val="0"/>
        <w:bidi w:val="0"/>
        <w:snapToGrid/>
        <w:spacing w:line="360" w:lineRule="auto"/>
        <w:ind w:firstLine="440" w:firstLineChars="200"/>
        <w:textAlignment w:val="auto"/>
        <w:rPr>
          <w:rFonts w:hint="eastAsia" w:ascii="宋体" w:hAnsi="宋体" w:eastAsia="宋体" w:cs="宋体"/>
          <w:sz w:val="22"/>
          <w:szCs w:val="22"/>
        </w:rPr>
      </w:pPr>
    </w:p>
    <w:p w14:paraId="63AF5A6A">
      <w:pPr>
        <w:keepNext w:val="0"/>
        <w:keepLines w:val="0"/>
        <w:pageBreakBefore w:val="0"/>
        <w:widowControl w:val="0"/>
        <w:kinsoku/>
        <w:wordWrap/>
        <w:overflowPunct/>
        <w:topLinePunct w:val="0"/>
        <w:bidi w:val="0"/>
        <w:snapToGrid/>
        <w:spacing w:line="360" w:lineRule="auto"/>
        <w:textAlignment w:val="auto"/>
        <w:outlineLvl w:val="1"/>
        <w:rPr>
          <w:rFonts w:hint="eastAsia" w:ascii="宋体" w:hAnsi="宋体" w:eastAsia="宋体" w:cs="宋体"/>
          <w:b/>
          <w:sz w:val="22"/>
          <w:szCs w:val="22"/>
        </w:rPr>
      </w:pPr>
      <w:r>
        <w:rPr>
          <w:rFonts w:hint="eastAsia" w:ascii="宋体" w:hAnsi="宋体" w:eastAsia="宋体" w:cs="宋体"/>
          <w:b/>
          <w:sz w:val="22"/>
          <w:szCs w:val="22"/>
          <w:lang w:val="en-US" w:eastAsia="zh-CN"/>
        </w:rPr>
        <w:t>六</w:t>
      </w:r>
      <w:r>
        <w:rPr>
          <w:rFonts w:hint="eastAsia" w:ascii="宋体" w:hAnsi="宋体" w:eastAsia="宋体" w:cs="宋体"/>
          <w:b/>
          <w:sz w:val="22"/>
          <w:szCs w:val="22"/>
        </w:rPr>
        <w:t>、监督考核</w:t>
      </w:r>
    </w:p>
    <w:p w14:paraId="1E4E288F">
      <w:pPr>
        <w:keepNext w:val="0"/>
        <w:keepLines w:val="0"/>
        <w:pageBreakBefore w:val="0"/>
        <w:widowControl w:val="0"/>
        <w:kinsoku/>
        <w:wordWrap/>
        <w:overflowPunct/>
        <w:topLinePunct w:val="0"/>
        <w:bidi w:val="0"/>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1、投标人须严格遵守采购人的各种管理制度、规定，严格履行合同要求，每月接受采购人的考核，根据考核意见及时改进工作。</w:t>
      </w:r>
    </w:p>
    <w:p w14:paraId="0C553F17">
      <w:pPr>
        <w:keepNext w:val="0"/>
        <w:keepLines w:val="0"/>
        <w:pageBreakBefore w:val="0"/>
        <w:widowControl w:val="0"/>
        <w:kinsoku/>
        <w:wordWrap/>
        <w:overflowPunct/>
        <w:topLinePunct w:val="0"/>
        <w:bidi w:val="0"/>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2、采购人按照《鹿城区</w:t>
      </w:r>
      <w:r>
        <w:rPr>
          <w:rFonts w:hint="eastAsia" w:ascii="宋体" w:hAnsi="宋体" w:eastAsia="宋体" w:cs="宋体"/>
          <w:sz w:val="22"/>
          <w:szCs w:val="22"/>
          <w:lang w:val="en-US" w:eastAsia="zh-CN"/>
        </w:rPr>
        <w:t>政务服务中心</w:t>
      </w:r>
      <w:r>
        <w:rPr>
          <w:rFonts w:hint="eastAsia" w:ascii="宋体" w:hAnsi="宋体" w:eastAsia="宋体" w:cs="宋体"/>
          <w:sz w:val="22"/>
          <w:szCs w:val="22"/>
        </w:rPr>
        <w:t>安保服务内部考核办法及细则》进行考核，根据考核结果进行综合评分，并严格执行《鹿鹿城区</w:t>
      </w:r>
      <w:r>
        <w:rPr>
          <w:rFonts w:hint="eastAsia" w:ascii="宋体" w:hAnsi="宋体" w:eastAsia="宋体" w:cs="宋体"/>
          <w:sz w:val="22"/>
          <w:szCs w:val="22"/>
          <w:lang w:val="en-US" w:eastAsia="zh-CN"/>
        </w:rPr>
        <w:t>政务服务中心</w:t>
      </w:r>
      <w:r>
        <w:rPr>
          <w:rFonts w:hint="eastAsia" w:ascii="宋体" w:hAnsi="宋体" w:eastAsia="宋体" w:cs="宋体"/>
          <w:sz w:val="22"/>
          <w:szCs w:val="22"/>
        </w:rPr>
        <w:t>安保服务内部考核办法及细则》相关奖惩规定(具体按照考核文件，以电子版形式，作为</w:t>
      </w:r>
      <w:r>
        <w:rPr>
          <w:rFonts w:hint="eastAsia" w:ascii="宋体" w:hAnsi="宋体" w:eastAsia="宋体" w:cs="宋体"/>
          <w:sz w:val="22"/>
          <w:szCs w:val="22"/>
          <w:lang w:val="en-US" w:eastAsia="zh-CN"/>
        </w:rPr>
        <w:t>采购</w:t>
      </w:r>
      <w:r>
        <w:rPr>
          <w:rFonts w:hint="eastAsia" w:ascii="宋体" w:hAnsi="宋体" w:eastAsia="宋体" w:cs="宋体"/>
          <w:sz w:val="22"/>
          <w:szCs w:val="22"/>
        </w:rPr>
        <w:t>文件附件)。</w:t>
      </w:r>
      <w:r>
        <w:rPr>
          <w:rFonts w:hint="eastAsia" w:ascii="宋体" w:hAnsi="宋体" w:eastAsia="宋体" w:cs="宋体"/>
          <w:sz w:val="22"/>
          <w:szCs w:val="22"/>
          <w:lang w:val="en-US" w:eastAsia="zh-CN"/>
        </w:rPr>
        <w:t>采购</w:t>
      </w:r>
      <w:r>
        <w:rPr>
          <w:rFonts w:hint="eastAsia" w:ascii="宋体" w:hAnsi="宋体" w:eastAsia="宋体" w:cs="宋体"/>
          <w:sz w:val="22"/>
          <w:szCs w:val="22"/>
        </w:rPr>
        <w:t>文件中相关约定、提法和措施也作为考核依据。采购人在项目运行过程中可不断完善考核办法及细则，中标人必须无条件服从该项规定。</w:t>
      </w:r>
    </w:p>
    <w:p w14:paraId="5C581B4D">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sz w:val="22"/>
          <w:szCs w:val="22"/>
        </w:rPr>
      </w:pPr>
    </w:p>
    <w:p w14:paraId="4FB4E27B">
      <w:pPr>
        <w:keepNext w:val="0"/>
        <w:keepLines w:val="0"/>
        <w:pageBreakBefore w:val="0"/>
        <w:widowControl w:val="0"/>
        <w:kinsoku/>
        <w:wordWrap/>
        <w:overflowPunct/>
        <w:topLinePunct w:val="0"/>
        <w:bidi w:val="0"/>
        <w:snapToGrid/>
        <w:spacing w:line="360" w:lineRule="auto"/>
        <w:textAlignment w:val="auto"/>
        <w:outlineLvl w:val="1"/>
        <w:rPr>
          <w:rFonts w:hint="eastAsia" w:ascii="宋体" w:hAnsi="宋体" w:eastAsia="宋体" w:cs="宋体"/>
          <w:b/>
          <w:sz w:val="22"/>
          <w:szCs w:val="22"/>
        </w:rPr>
      </w:pPr>
      <w:r>
        <w:rPr>
          <w:rFonts w:hint="eastAsia" w:ascii="宋体" w:hAnsi="宋体" w:eastAsia="宋体" w:cs="宋体"/>
          <w:b/>
          <w:sz w:val="22"/>
          <w:szCs w:val="22"/>
          <w:lang w:val="en-US" w:eastAsia="zh-CN"/>
        </w:rPr>
        <w:t>七</w:t>
      </w:r>
      <w:r>
        <w:rPr>
          <w:rFonts w:hint="eastAsia" w:ascii="宋体" w:hAnsi="宋体" w:eastAsia="宋体" w:cs="宋体"/>
          <w:b/>
          <w:sz w:val="22"/>
          <w:szCs w:val="22"/>
        </w:rPr>
        <w:t>、其他说明及要求</w:t>
      </w:r>
    </w:p>
    <w:p w14:paraId="183C4080">
      <w:pPr>
        <w:keepNext w:val="0"/>
        <w:keepLines w:val="0"/>
        <w:pageBreakBefore w:val="0"/>
        <w:widowControl w:val="0"/>
        <w:kinsoku/>
        <w:wordWrap/>
        <w:overflowPunct/>
        <w:topLinePunct w:val="0"/>
        <w:bidi w:val="0"/>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1、采购人可根据工作特性与需要，将相关同类工作人员可整合，中标人须无条件支持配合；整合人员可直接由采购人管理。</w:t>
      </w:r>
    </w:p>
    <w:p w14:paraId="40F28548">
      <w:pPr>
        <w:keepNext w:val="0"/>
        <w:keepLines w:val="0"/>
        <w:pageBreakBefore w:val="0"/>
        <w:widowControl w:val="0"/>
        <w:kinsoku/>
        <w:wordWrap/>
        <w:overflowPunct/>
        <w:topLinePunct w:val="0"/>
        <w:bidi w:val="0"/>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2、因工作需要，如重大活动等，采购人可在中标人之间调配人员，中标人须无条件支持配合。</w:t>
      </w:r>
    </w:p>
    <w:p w14:paraId="1681C0A7">
      <w:pPr>
        <w:keepNext w:val="0"/>
        <w:keepLines w:val="0"/>
        <w:pageBreakBefore w:val="0"/>
        <w:widowControl w:val="0"/>
        <w:kinsoku/>
        <w:wordWrap/>
        <w:overflowPunct/>
        <w:topLinePunct w:val="0"/>
        <w:bidi w:val="0"/>
        <w:snapToGrid/>
        <w:spacing w:line="360" w:lineRule="auto"/>
        <w:ind w:firstLine="440" w:firstLineChars="200"/>
        <w:textAlignment w:val="auto"/>
        <w:rPr>
          <w:rFonts w:hint="eastAsia" w:ascii="宋体" w:hAnsi="宋体" w:eastAsia="宋体" w:cs="宋体"/>
          <w:sz w:val="22"/>
          <w:szCs w:val="22"/>
          <w:u w:val="single"/>
        </w:rPr>
      </w:pPr>
      <w:r>
        <w:rPr>
          <w:rFonts w:hint="eastAsia" w:ascii="宋体" w:hAnsi="宋体" w:eastAsia="宋体" w:cs="宋体"/>
          <w:sz w:val="22"/>
          <w:szCs w:val="22"/>
          <w:u w:val="single"/>
        </w:rPr>
        <w:t>▲3、投标人拟派参与本项目的人数多于招标文件要求的人数时，须按拟派人员数量报价。</w:t>
      </w:r>
    </w:p>
    <w:p w14:paraId="5F2CFBC3">
      <w:pPr>
        <w:pStyle w:val="72"/>
      </w:pPr>
    </w:p>
    <w:p w14:paraId="67E15A29">
      <w:pPr>
        <w:pStyle w:val="3"/>
        <w:rPr>
          <w:rFonts w:hint="eastAsia" w:ascii="宋体" w:hAnsi="宋体" w:eastAsia="宋体" w:cs="宋体"/>
          <w:bCs w:val="0"/>
          <w:color w:val="auto"/>
          <w:sz w:val="36"/>
          <w:szCs w:val="36"/>
          <w:highlight w:val="none"/>
        </w:rPr>
      </w:pPr>
    </w:p>
    <w:p w14:paraId="7674811E">
      <w:pPr>
        <w:pStyle w:val="3"/>
        <w:rPr>
          <w:rFonts w:hint="eastAsia" w:ascii="宋体" w:hAnsi="宋体" w:eastAsia="宋体" w:cs="宋体"/>
          <w:bCs w:val="0"/>
          <w:color w:val="auto"/>
          <w:sz w:val="36"/>
          <w:szCs w:val="36"/>
          <w:highlight w:val="none"/>
        </w:rPr>
      </w:pPr>
      <w:r>
        <w:rPr>
          <w:rFonts w:hint="eastAsia" w:ascii="宋体" w:hAnsi="宋体" w:eastAsia="宋体" w:cs="宋体"/>
          <w:bCs w:val="0"/>
          <w:color w:val="auto"/>
          <w:sz w:val="36"/>
          <w:szCs w:val="36"/>
          <w:highlight w:val="none"/>
        </w:rPr>
        <w:t>第六部分   磋商原则及方法</w:t>
      </w:r>
      <w:bookmarkEnd w:id="132"/>
    </w:p>
    <w:p w14:paraId="6023AC50">
      <w:pPr>
        <w:tabs>
          <w:tab w:val="left" w:pos="6358"/>
        </w:tabs>
        <w:snapToGrid w:val="0"/>
        <w:spacing w:line="400" w:lineRule="exact"/>
        <w:jc w:val="left"/>
        <w:rPr>
          <w:rFonts w:hint="eastAsia" w:ascii="宋体" w:hAnsi="宋体" w:cs="宋体"/>
          <w:b/>
          <w:bCs/>
          <w:color w:val="auto"/>
          <w:sz w:val="22"/>
          <w:szCs w:val="22"/>
          <w:highlight w:val="none"/>
        </w:rPr>
      </w:pPr>
      <w:bookmarkStart w:id="133" w:name="_Toc221356898"/>
      <w:bookmarkStart w:id="134" w:name="_Toc221356961"/>
      <w:r>
        <w:rPr>
          <w:rFonts w:hint="eastAsia" w:ascii="宋体" w:hAnsi="宋体" w:cs="宋体"/>
          <w:b/>
          <w:bCs/>
          <w:color w:val="auto"/>
          <w:sz w:val="22"/>
          <w:szCs w:val="22"/>
          <w:highlight w:val="none"/>
        </w:rPr>
        <w:t>一、总则</w:t>
      </w:r>
    </w:p>
    <w:p w14:paraId="4748C448">
      <w:pPr>
        <w:spacing w:line="420" w:lineRule="exact"/>
        <w:ind w:firstLine="440" w:firstLineChars="200"/>
        <w:rPr>
          <w:rFonts w:hint="eastAsia" w:ascii="宋体" w:hAnsi="宋体" w:cs="宋体"/>
          <w:color w:val="auto"/>
          <w:sz w:val="22"/>
          <w:szCs w:val="22"/>
          <w:highlight w:val="none"/>
        </w:rPr>
      </w:pPr>
      <w:bookmarkStart w:id="135" w:name="_Toc413771022"/>
      <w:bookmarkStart w:id="136" w:name="_Toc416695955"/>
      <w:r>
        <w:rPr>
          <w:rFonts w:hint="eastAsia" w:ascii="宋体" w:hAnsi="宋体" w:cs="宋体"/>
          <w:color w:val="auto"/>
          <w:sz w:val="22"/>
          <w:szCs w:val="22"/>
          <w:highlight w:val="none"/>
        </w:rPr>
        <w:t>评审工作遵循“公平、公正、科学、择优”原则和“诚实、信誉、效率”的服务原则。最大限度地保护采购人权益，严格按照磋商文件的要求，对磋商响应文件进行综合评审。磋商供应商不得以任何方式干扰采购工作的进行，一经发现其磋商响应文件将被拒绝。</w:t>
      </w:r>
    </w:p>
    <w:p w14:paraId="2047FFC4">
      <w:pPr>
        <w:tabs>
          <w:tab w:val="left" w:pos="6358"/>
        </w:tabs>
        <w:snapToGrid w:val="0"/>
        <w:spacing w:line="400" w:lineRule="exact"/>
        <w:ind w:left="773" w:hanging="773" w:hangingChars="3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二、</w:t>
      </w:r>
      <w:bookmarkEnd w:id="135"/>
      <w:bookmarkEnd w:id="136"/>
      <w:r>
        <w:rPr>
          <w:rFonts w:hint="eastAsia" w:ascii="宋体" w:hAnsi="宋体" w:cs="宋体"/>
          <w:b/>
          <w:bCs/>
          <w:color w:val="auto"/>
          <w:sz w:val="22"/>
          <w:szCs w:val="22"/>
          <w:highlight w:val="none"/>
        </w:rPr>
        <w:t>评审组织</w:t>
      </w:r>
    </w:p>
    <w:p w14:paraId="64641782">
      <w:pPr>
        <w:tabs>
          <w:tab w:val="left" w:pos="6358"/>
        </w:tabs>
        <w:snapToGrid w:val="0"/>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评审及磋商工作由采购人依法组建的磋商小组负责，评审及磋商全过程由有关部门指导监督。</w:t>
      </w:r>
    </w:p>
    <w:p w14:paraId="43EF8CFF">
      <w:pPr>
        <w:tabs>
          <w:tab w:val="left" w:pos="6358"/>
        </w:tabs>
        <w:snapToGrid w:val="0"/>
        <w:spacing w:line="400" w:lineRule="exact"/>
        <w:ind w:left="773" w:hanging="773" w:hangingChars="350"/>
        <w:rPr>
          <w:rFonts w:hint="eastAsia" w:ascii="宋体" w:hAnsi="宋体" w:cs="宋体"/>
          <w:b/>
          <w:bCs/>
          <w:color w:val="auto"/>
          <w:sz w:val="22"/>
          <w:szCs w:val="22"/>
          <w:highlight w:val="none"/>
        </w:rPr>
      </w:pPr>
      <w:bookmarkStart w:id="137" w:name="_Toc413771024"/>
      <w:bookmarkStart w:id="138" w:name="_Toc416695957"/>
      <w:r>
        <w:rPr>
          <w:rFonts w:hint="eastAsia" w:ascii="宋体" w:hAnsi="宋体" w:cs="宋体"/>
          <w:b/>
          <w:bCs/>
          <w:color w:val="auto"/>
          <w:sz w:val="22"/>
          <w:szCs w:val="22"/>
          <w:highlight w:val="none"/>
        </w:rPr>
        <w:t>三、评审及磋商的程序</w:t>
      </w:r>
      <w:bookmarkEnd w:id="137"/>
      <w:bookmarkEnd w:id="138"/>
    </w:p>
    <w:p w14:paraId="63AE6E8B">
      <w:pPr>
        <w:numPr>
          <w:ilvl w:val="0"/>
          <w:numId w:val="28"/>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熟悉竞争性磋商文件和评审磋商办法；</w:t>
      </w:r>
    </w:p>
    <w:p w14:paraId="6D05409F">
      <w:pPr>
        <w:numPr>
          <w:ilvl w:val="0"/>
          <w:numId w:val="28"/>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开启磋商响应文件（第一次报价不公布）；</w:t>
      </w:r>
    </w:p>
    <w:p w14:paraId="40F3C34B">
      <w:pPr>
        <w:numPr>
          <w:ilvl w:val="0"/>
          <w:numId w:val="28"/>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资格审查；</w:t>
      </w:r>
    </w:p>
    <w:p w14:paraId="75261699">
      <w:pPr>
        <w:numPr>
          <w:ilvl w:val="0"/>
          <w:numId w:val="28"/>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磋商、询标（需要时）；</w:t>
      </w:r>
    </w:p>
    <w:p w14:paraId="21C25F7A">
      <w:pPr>
        <w:numPr>
          <w:ilvl w:val="0"/>
          <w:numId w:val="28"/>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磋商响应文件商务技术标评分；</w:t>
      </w:r>
    </w:p>
    <w:p w14:paraId="78C57690">
      <w:pPr>
        <w:numPr>
          <w:ilvl w:val="0"/>
          <w:numId w:val="28"/>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磋商二次报价或最终报价；</w:t>
      </w:r>
    </w:p>
    <w:p w14:paraId="3283DD2E">
      <w:pPr>
        <w:numPr>
          <w:ilvl w:val="0"/>
          <w:numId w:val="28"/>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磋商小组根据评审结果，提交评审报告。</w:t>
      </w:r>
    </w:p>
    <w:p w14:paraId="031DF621">
      <w:pPr>
        <w:tabs>
          <w:tab w:val="left" w:pos="6358"/>
        </w:tabs>
        <w:snapToGrid w:val="0"/>
        <w:spacing w:line="400" w:lineRule="exact"/>
        <w:ind w:left="773" w:hanging="773" w:hangingChars="3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四、评审细则</w:t>
      </w:r>
    </w:p>
    <w:p w14:paraId="21862988">
      <w:pPr>
        <w:numPr>
          <w:ilvl w:val="0"/>
          <w:numId w:val="29"/>
        </w:numPr>
        <w:tabs>
          <w:tab w:val="left" w:pos="6358"/>
        </w:tabs>
        <w:snapToGrid w:val="0"/>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磋商响应文件的商务技术评分（</w:t>
      </w:r>
      <w:r>
        <w:rPr>
          <w:rFonts w:hint="eastAsia" w:ascii="宋体" w:hAnsi="宋体" w:cs="宋体"/>
          <w:b/>
          <w:bCs/>
          <w:color w:val="auto"/>
          <w:sz w:val="22"/>
          <w:szCs w:val="22"/>
          <w:highlight w:val="none"/>
          <w:lang w:val="en-US" w:eastAsia="zh-CN"/>
        </w:rPr>
        <w:t>90</w:t>
      </w:r>
      <w:r>
        <w:rPr>
          <w:rFonts w:hint="eastAsia" w:ascii="宋体" w:hAnsi="宋体" w:cs="宋体"/>
          <w:b/>
          <w:bCs/>
          <w:color w:val="auto"/>
          <w:sz w:val="22"/>
          <w:szCs w:val="22"/>
          <w:highlight w:val="none"/>
        </w:rPr>
        <w:t>分）</w:t>
      </w:r>
    </w:p>
    <w:p w14:paraId="45BB2862">
      <w:pPr>
        <w:numPr>
          <w:ilvl w:val="0"/>
          <w:numId w:val="0"/>
        </w:numPr>
        <w:tabs>
          <w:tab w:val="left" w:pos="6358"/>
        </w:tabs>
        <w:snapToGrid w:val="0"/>
        <w:spacing w:line="460" w:lineRule="exact"/>
        <w:ind w:left="400" w:leftChars="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各磋商小组成员按下列评分项目进行评定，每人一张评分计算表，由磋商小组成员各自评定打分并记实名。如任何一张表的一项评分内容分值超过规定的范围，则该张表无效。各磋商小组成员对各供应商的各项评分内容进行评审、独立打分，所有磋商小组成员的评分的算术平均值为该供应商商务技术部分的最终得分（四舍五入，保留小数点后二位）。</w:t>
      </w:r>
    </w:p>
    <w:tbl>
      <w:tblPr>
        <w:tblStyle w:val="54"/>
        <w:tblW w:w="9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339"/>
        <w:gridCol w:w="870"/>
        <w:gridCol w:w="6903"/>
      </w:tblGrid>
      <w:tr w14:paraId="56E3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trPr>
        <w:tc>
          <w:tcPr>
            <w:tcW w:w="751" w:type="dxa"/>
            <w:tcBorders>
              <w:top w:val="single" w:color="auto" w:sz="4" w:space="0"/>
              <w:left w:val="single" w:color="auto" w:sz="4" w:space="0"/>
              <w:bottom w:val="single" w:color="auto" w:sz="4" w:space="0"/>
              <w:right w:val="single" w:color="auto" w:sz="4" w:space="0"/>
            </w:tcBorders>
            <w:noWrap w:val="0"/>
            <w:vAlign w:val="center"/>
          </w:tcPr>
          <w:p w14:paraId="6AEF37B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D394E6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评审内容</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4559F9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分值</w:t>
            </w:r>
          </w:p>
        </w:tc>
        <w:tc>
          <w:tcPr>
            <w:tcW w:w="6903" w:type="dxa"/>
            <w:tcBorders>
              <w:top w:val="single" w:color="auto" w:sz="4" w:space="0"/>
              <w:left w:val="single" w:color="auto" w:sz="4" w:space="0"/>
              <w:bottom w:val="single" w:color="auto" w:sz="4" w:space="0"/>
              <w:right w:val="single" w:color="auto" w:sz="4" w:space="0"/>
            </w:tcBorders>
            <w:noWrap w:val="0"/>
            <w:vAlign w:val="center"/>
          </w:tcPr>
          <w:p w14:paraId="4AD3C56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评审标准</w:t>
            </w:r>
          </w:p>
        </w:tc>
      </w:tr>
      <w:tr w14:paraId="5AFC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14:paraId="2577322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4D6E621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供应商综合实力</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08CCAD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w:t>
            </w:r>
          </w:p>
        </w:tc>
        <w:tc>
          <w:tcPr>
            <w:tcW w:w="6903" w:type="dxa"/>
            <w:tcBorders>
              <w:top w:val="single" w:color="auto" w:sz="4" w:space="0"/>
              <w:left w:val="single" w:color="auto" w:sz="4" w:space="0"/>
              <w:bottom w:val="single" w:color="auto" w:sz="4" w:space="0"/>
              <w:right w:val="single" w:color="auto" w:sz="4" w:space="0"/>
            </w:tcBorders>
            <w:noWrap w:val="0"/>
            <w:vAlign w:val="center"/>
          </w:tcPr>
          <w:p w14:paraId="38C999F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）供应商</w:t>
            </w:r>
            <w:r>
              <w:rPr>
                <w:rFonts w:hint="eastAsia" w:ascii="宋体" w:hAnsi="宋体" w:eastAsia="宋体" w:cs="宋体"/>
                <w:sz w:val="22"/>
                <w:szCs w:val="22"/>
                <w:highlight w:val="none"/>
              </w:rPr>
              <w:t>具有有效期内质量</w:t>
            </w:r>
            <w:r>
              <w:rPr>
                <w:rFonts w:hint="eastAsia" w:ascii="宋体" w:hAnsi="宋体" w:eastAsia="宋体" w:cs="宋体"/>
                <w:sz w:val="22"/>
                <w:szCs w:val="22"/>
                <w:highlight w:val="none"/>
                <w:lang w:val="en-US" w:eastAsia="zh-CN"/>
              </w:rPr>
              <w:t>管理</w:t>
            </w:r>
            <w:r>
              <w:rPr>
                <w:rFonts w:hint="eastAsia" w:ascii="宋体" w:hAnsi="宋体" w:eastAsia="宋体" w:cs="宋体"/>
                <w:sz w:val="22"/>
                <w:szCs w:val="22"/>
                <w:highlight w:val="none"/>
              </w:rPr>
              <w:t>体系认证证书的得</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分；</w:t>
            </w:r>
          </w:p>
          <w:p w14:paraId="4348DEF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供应商</w:t>
            </w:r>
            <w:r>
              <w:rPr>
                <w:rFonts w:hint="eastAsia" w:ascii="宋体" w:hAnsi="宋体" w:eastAsia="宋体" w:cs="宋体"/>
                <w:sz w:val="22"/>
                <w:szCs w:val="22"/>
                <w:highlight w:val="none"/>
              </w:rPr>
              <w:t>具有有效期内环境</w:t>
            </w:r>
            <w:r>
              <w:rPr>
                <w:rFonts w:hint="eastAsia" w:ascii="宋体" w:hAnsi="宋体" w:eastAsia="宋体" w:cs="宋体"/>
                <w:sz w:val="22"/>
                <w:szCs w:val="22"/>
                <w:highlight w:val="none"/>
                <w:lang w:val="en-US" w:eastAsia="zh-CN"/>
              </w:rPr>
              <w:t>管理</w:t>
            </w:r>
            <w:r>
              <w:rPr>
                <w:rFonts w:hint="eastAsia" w:ascii="宋体" w:hAnsi="宋体" w:eastAsia="宋体" w:cs="宋体"/>
                <w:sz w:val="22"/>
                <w:szCs w:val="22"/>
                <w:highlight w:val="none"/>
              </w:rPr>
              <w:t>体系认证</w:t>
            </w:r>
            <w:r>
              <w:rPr>
                <w:rFonts w:hint="eastAsia" w:ascii="宋体" w:hAnsi="宋体" w:eastAsia="宋体" w:cs="宋体"/>
                <w:sz w:val="22"/>
                <w:szCs w:val="22"/>
                <w:highlight w:val="none"/>
                <w:lang w:val="en-US" w:eastAsia="zh-CN"/>
              </w:rPr>
              <w:t>证书</w:t>
            </w:r>
            <w:r>
              <w:rPr>
                <w:rFonts w:hint="eastAsia" w:ascii="宋体" w:hAnsi="宋体" w:eastAsia="宋体" w:cs="宋体"/>
                <w:sz w:val="22"/>
                <w:szCs w:val="22"/>
                <w:highlight w:val="none"/>
              </w:rPr>
              <w:t>的得</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分；</w:t>
            </w:r>
          </w:p>
          <w:p w14:paraId="4D5E0CB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）供应商</w:t>
            </w:r>
            <w:r>
              <w:rPr>
                <w:rFonts w:hint="eastAsia" w:ascii="宋体" w:hAnsi="宋体" w:eastAsia="宋体" w:cs="宋体"/>
                <w:sz w:val="22"/>
                <w:szCs w:val="22"/>
                <w:highlight w:val="none"/>
              </w:rPr>
              <w:t>具有有效期内职业健康安全管理体系认证证书的得</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分；</w:t>
            </w:r>
          </w:p>
          <w:p w14:paraId="56C8CFC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2"/>
                <w:szCs w:val="22"/>
                <w:highlight w:val="none"/>
                <w:lang w:val="en-US"/>
              </w:rPr>
            </w:pPr>
            <w:r>
              <w:rPr>
                <w:rFonts w:hint="eastAsia" w:ascii="宋体" w:hAnsi="宋体" w:eastAsia="宋体" w:cs="宋体"/>
                <w:sz w:val="22"/>
                <w:szCs w:val="22"/>
                <w:highlight w:val="none"/>
              </w:rPr>
              <w:t>注：提供</w:t>
            </w:r>
            <w:r>
              <w:rPr>
                <w:rFonts w:hint="eastAsia" w:ascii="宋体" w:hAnsi="宋体" w:eastAsia="宋体" w:cs="宋体"/>
                <w:sz w:val="22"/>
                <w:szCs w:val="22"/>
                <w:highlight w:val="none"/>
                <w:lang w:val="en-US" w:eastAsia="zh-CN"/>
              </w:rPr>
              <w:t>有效证书扫描件加盖公章</w:t>
            </w:r>
            <w:r>
              <w:rPr>
                <w:rFonts w:hint="eastAsia" w:ascii="宋体" w:hAnsi="宋体" w:eastAsia="宋体" w:cs="宋体"/>
                <w:sz w:val="22"/>
                <w:szCs w:val="22"/>
                <w:highlight w:val="none"/>
              </w:rPr>
              <w:t>，否则不得分。</w:t>
            </w:r>
          </w:p>
        </w:tc>
      </w:tr>
      <w:tr w14:paraId="0E2D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14:paraId="7B050A9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FF1A01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同类项目业绩</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11D5C1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p>
        </w:tc>
        <w:tc>
          <w:tcPr>
            <w:tcW w:w="6903" w:type="dxa"/>
            <w:tcBorders>
              <w:top w:val="single" w:color="auto" w:sz="4" w:space="0"/>
              <w:left w:val="single" w:color="auto" w:sz="4" w:space="0"/>
              <w:bottom w:val="single" w:color="auto" w:sz="4" w:space="0"/>
              <w:right w:val="single" w:color="auto" w:sz="4" w:space="0"/>
            </w:tcBorders>
            <w:noWrap w:val="0"/>
            <w:vAlign w:val="center"/>
          </w:tcPr>
          <w:p w14:paraId="3A6F4A0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sz w:val="22"/>
                <w:szCs w:val="22"/>
                <w:highlight w:val="none"/>
                <w:lang w:val="en-US" w:eastAsia="zh-CN"/>
              </w:rPr>
              <w:t>供应商自</w:t>
            </w:r>
            <w:r>
              <w:rPr>
                <w:rFonts w:hint="eastAsia" w:ascii="宋体" w:hAnsi="宋体" w:eastAsia="宋体" w:cs="宋体"/>
                <w:sz w:val="22"/>
                <w:szCs w:val="22"/>
                <w:highlight w:val="none"/>
              </w:rPr>
              <w:t>2021年1月1日以来政府部门、机关事业单位安保服务项目业绩，每个有效业绩得</w:t>
            </w:r>
            <w:r>
              <w:rPr>
                <w:rFonts w:hint="eastAsia" w:ascii="宋体" w:hAnsi="宋体" w:cs="宋体"/>
                <w:sz w:val="22"/>
                <w:szCs w:val="22"/>
                <w:highlight w:val="none"/>
                <w:lang w:val="en-US" w:eastAsia="zh-CN"/>
              </w:rPr>
              <w:t>0.5</w:t>
            </w:r>
            <w:r>
              <w:rPr>
                <w:rFonts w:hint="eastAsia" w:ascii="宋体" w:hAnsi="宋体" w:eastAsia="宋体" w:cs="宋体"/>
                <w:sz w:val="22"/>
                <w:szCs w:val="22"/>
                <w:highlight w:val="none"/>
              </w:rPr>
              <w:t>分，满分</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分。业绩有效认定：提供中标（成交）通知书、完整合同(两者缺一不可)</w:t>
            </w:r>
            <w:r>
              <w:rPr>
                <w:rFonts w:hint="eastAsia" w:ascii="宋体" w:hAnsi="宋体" w:eastAsia="宋体" w:cs="宋体"/>
                <w:sz w:val="22"/>
                <w:szCs w:val="22"/>
                <w:highlight w:val="none"/>
                <w:lang w:val="en-US" w:eastAsia="zh-CN"/>
              </w:rPr>
              <w:t>扫描件加盖公章</w:t>
            </w:r>
            <w:r>
              <w:rPr>
                <w:rFonts w:hint="eastAsia" w:ascii="宋体" w:hAnsi="宋体" w:eastAsia="宋体" w:cs="宋体"/>
                <w:sz w:val="22"/>
                <w:szCs w:val="22"/>
                <w:highlight w:val="none"/>
              </w:rPr>
              <w:t>，否则不得分。</w:t>
            </w:r>
          </w:p>
        </w:tc>
      </w:tr>
      <w:tr w14:paraId="6291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14:paraId="02597C0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F73709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拟派项目负责人</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BA7386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12分</w:t>
            </w:r>
          </w:p>
        </w:tc>
        <w:tc>
          <w:tcPr>
            <w:tcW w:w="6903" w:type="dxa"/>
            <w:tcBorders>
              <w:top w:val="single" w:color="auto" w:sz="4" w:space="0"/>
              <w:left w:val="single" w:color="auto" w:sz="4" w:space="0"/>
              <w:bottom w:val="single" w:color="auto" w:sz="4" w:space="0"/>
              <w:right w:val="single" w:color="auto" w:sz="4" w:space="0"/>
            </w:tcBorders>
            <w:noWrap w:val="0"/>
            <w:vAlign w:val="center"/>
          </w:tcPr>
          <w:p w14:paraId="186CB74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（1）项目负责人具有保安员三级职业资格的得1分，具有保安员二级职业资格的得2分，具有保安员一级及以上职业资格的得3分；本项按最高项计分，不重复计分。</w:t>
            </w:r>
          </w:p>
          <w:p w14:paraId="0E1FDA2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（2）获得政府类省级及以上荣誉的得2分，市级荣誉的得1分，区（县）级每个的得0.5 分，最高得2分。</w:t>
            </w:r>
          </w:p>
          <w:p w14:paraId="2C8B1D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（3）项目负责人大专及以上学历得2分，高中及以下得1分。本项按最高项计分，不重复计分。</w:t>
            </w:r>
          </w:p>
          <w:p w14:paraId="20E6F6D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（4）管理经验：安保服务管理经验5年以上的3分，管理经验4-5年(含5年)的得2，管理经验3-4年(含4年)的得1分，管理经验少于3年(含3年)的不得分。出具业主方实际工作证明，否则该项不得分。</w:t>
            </w:r>
          </w:p>
          <w:p w14:paraId="08E7C37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（5）项目负责人具有退伍军人证书的得2分。</w:t>
            </w:r>
          </w:p>
          <w:p w14:paraId="4F382B2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本项按最高项计分，不重复计分。</w:t>
            </w:r>
          </w:p>
          <w:p w14:paraId="1489CB5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注：需提供项目负责人近6个月（任一月）以上的社保证明、证书、学历材料及工作证明等证明材料，否则不得分。</w:t>
            </w:r>
          </w:p>
        </w:tc>
      </w:tr>
      <w:tr w14:paraId="593A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14:paraId="7A376E6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B217DC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项目组成员</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5EF6A3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12分</w:t>
            </w:r>
          </w:p>
        </w:tc>
        <w:tc>
          <w:tcPr>
            <w:tcW w:w="6903" w:type="dxa"/>
            <w:tcBorders>
              <w:top w:val="single" w:color="auto" w:sz="4" w:space="0"/>
              <w:left w:val="single" w:color="auto" w:sz="4" w:space="0"/>
              <w:bottom w:val="single" w:color="auto" w:sz="4" w:space="0"/>
              <w:right w:val="single" w:color="auto" w:sz="4" w:space="0"/>
            </w:tcBorders>
            <w:noWrap w:val="0"/>
            <w:vAlign w:val="center"/>
          </w:tcPr>
          <w:p w14:paraId="7E16D18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拟派项目组人员（项目负责人除外）情况：项目组人员配置情况的资质、履约等方面符合性、合理性、科学性等情况由评委综合打分（12,9,6,3,0）</w:t>
            </w:r>
          </w:p>
          <w:p w14:paraId="15C0163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注：提供人员清单及其他相关证明材料复印件加盖公章，未提供不得分。</w:t>
            </w:r>
          </w:p>
        </w:tc>
      </w:tr>
      <w:tr w14:paraId="7701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6D473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7D9F6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sz w:val="22"/>
                <w:szCs w:val="22"/>
                <w:highlight w:val="none"/>
              </w:rPr>
              <w:t>岗位员工配置计划</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829AE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val="en-US" w:eastAsia="zh-CN"/>
              </w:rPr>
              <w:t>分</w:t>
            </w:r>
          </w:p>
        </w:tc>
        <w:tc>
          <w:tcPr>
            <w:tcW w:w="69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9EF63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sz w:val="22"/>
                <w:szCs w:val="22"/>
                <w:highlight w:val="none"/>
              </w:rPr>
              <w:t>根据投标人提供的岗位员工配置计划(包括岗位明细、每个岗位的工作总时间、工作安排、每个岗位的总人数、每人每天上班时间、员工 工资及保险金额保障措施等),由评委综合打分</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,0）</w:t>
            </w:r>
          </w:p>
        </w:tc>
      </w:tr>
      <w:tr w14:paraId="5FA8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78FBD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6</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1005D86">
            <w:pPr>
              <w:keepNext w:val="0"/>
              <w:keepLines w:val="0"/>
              <w:pageBreakBefore w:val="0"/>
              <w:widowControl w:val="0"/>
              <w:kinsoku/>
              <w:wordWrap/>
              <w:overflowPunct/>
              <w:topLinePunct w:val="0"/>
              <w:autoSpaceDE/>
              <w:autoSpaceDN/>
              <w:bidi w:val="0"/>
              <w:adjustRightInd/>
              <w:spacing w:line="360" w:lineRule="auto"/>
              <w:ind w:left="21" w:leftChars="10"/>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重难点分析及解决措施</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2E280A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10</w:t>
            </w:r>
            <w:r>
              <w:rPr>
                <w:rFonts w:hint="eastAsia" w:ascii="宋体" w:hAnsi="宋体" w:eastAsia="宋体" w:cs="宋体"/>
                <w:color w:val="auto"/>
                <w:kern w:val="2"/>
                <w:sz w:val="22"/>
                <w:szCs w:val="22"/>
                <w:highlight w:val="none"/>
                <w:lang w:val="en-US" w:eastAsia="zh-CN" w:bidi="ar-SA"/>
              </w:rPr>
              <w:t>分</w:t>
            </w:r>
          </w:p>
        </w:tc>
        <w:tc>
          <w:tcPr>
            <w:tcW w:w="6903" w:type="dxa"/>
            <w:tcBorders>
              <w:top w:val="single" w:color="auto" w:sz="4" w:space="0"/>
              <w:left w:val="single" w:color="auto" w:sz="4" w:space="0"/>
              <w:bottom w:val="single" w:color="auto" w:sz="4" w:space="0"/>
              <w:right w:val="single" w:color="auto" w:sz="4" w:space="0"/>
            </w:tcBorders>
            <w:noWrap w:val="0"/>
            <w:vAlign w:val="center"/>
          </w:tcPr>
          <w:p w14:paraId="29D4A64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sz w:val="22"/>
                <w:szCs w:val="22"/>
                <w:highlight w:val="none"/>
              </w:rPr>
              <w:t>根据投标人对本项目重点和难点(含项目现状、存在的问题和安保服务的难点、要点等问题)的分析情况及解决措施，由评委综合打分</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,0）</w:t>
            </w:r>
          </w:p>
        </w:tc>
      </w:tr>
      <w:tr w14:paraId="77BD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14:paraId="1A1B071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44B07C0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实施服务方案</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DE0CC4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12分</w:t>
            </w:r>
          </w:p>
        </w:tc>
        <w:tc>
          <w:tcPr>
            <w:tcW w:w="6903" w:type="dxa"/>
            <w:tcBorders>
              <w:top w:val="single" w:color="auto" w:sz="4" w:space="0"/>
              <w:left w:val="single" w:color="auto" w:sz="4" w:space="0"/>
              <w:bottom w:val="single" w:color="auto" w:sz="4" w:space="0"/>
              <w:right w:val="single" w:color="auto" w:sz="4" w:space="0"/>
            </w:tcBorders>
            <w:noWrap w:val="0"/>
            <w:vAlign w:val="center"/>
          </w:tcPr>
          <w:p w14:paraId="0C2C560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sz w:val="22"/>
                <w:szCs w:val="22"/>
                <w:highlight w:val="none"/>
              </w:rPr>
              <w:t>需结合本项目实际制定方案，投标的服务方案与采购需求的吻合程度应答是否详尽、明晰，是否满足</w:t>
            </w:r>
            <w:r>
              <w:rPr>
                <w:rFonts w:hint="eastAsia" w:ascii="宋体" w:hAnsi="宋体" w:eastAsia="宋体" w:cs="宋体"/>
                <w:sz w:val="22"/>
                <w:szCs w:val="22"/>
                <w:highlight w:val="none"/>
                <w:lang w:val="en-US" w:eastAsia="zh-CN"/>
              </w:rPr>
              <w:t>采购</w:t>
            </w:r>
            <w:r>
              <w:rPr>
                <w:rFonts w:hint="eastAsia" w:ascii="宋体" w:hAnsi="宋体" w:eastAsia="宋体" w:cs="宋体"/>
                <w:sz w:val="22"/>
                <w:szCs w:val="22"/>
                <w:highlight w:val="none"/>
              </w:rPr>
              <w:t>文件要求；内容是否完整齐全、表述准确、条理清晰，内容无前后矛盾，符合招标文件要求；由评委综合打分</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,0）</w:t>
            </w:r>
          </w:p>
        </w:tc>
      </w:tr>
      <w:tr w14:paraId="7A50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14:paraId="501D5ED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550785D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bidi="ar-SA"/>
              </w:rPr>
              <w:t>各项管理规章制度及考核方法</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F8511F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bidi="ar-SA"/>
              </w:rPr>
              <w:t>9</w:t>
            </w:r>
            <w:r>
              <w:rPr>
                <w:rFonts w:hint="eastAsia" w:ascii="宋体" w:hAnsi="宋体" w:eastAsia="宋体" w:cs="宋体"/>
                <w:color w:val="auto"/>
                <w:sz w:val="22"/>
                <w:szCs w:val="22"/>
                <w:highlight w:val="none"/>
                <w:lang w:bidi="ar-SA"/>
              </w:rPr>
              <w:t>分</w:t>
            </w:r>
          </w:p>
        </w:tc>
        <w:tc>
          <w:tcPr>
            <w:tcW w:w="6903" w:type="dxa"/>
            <w:tcBorders>
              <w:top w:val="single" w:color="auto" w:sz="4" w:space="0"/>
              <w:left w:val="single" w:color="auto" w:sz="4" w:space="0"/>
              <w:bottom w:val="single" w:color="auto" w:sz="4" w:space="0"/>
              <w:right w:val="single" w:color="auto" w:sz="4" w:space="0"/>
            </w:tcBorders>
            <w:noWrap w:val="0"/>
            <w:vAlign w:val="center"/>
          </w:tcPr>
          <w:p w14:paraId="3E714CA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z w:val="22"/>
                <w:szCs w:val="22"/>
                <w:highlight w:val="none"/>
              </w:rPr>
              <w:t>根据投标人提供安全保卫管理制度、岗位责任制度、人员管理与考勤制度、日常巡查制度、专业技能竞赛与考核制度、安全保密管理制度、设施与设备管理制度、文件资料与档案管理制度、教育训练计划、装备物资管理制度，由评委综合打分</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,0）</w:t>
            </w:r>
          </w:p>
        </w:tc>
      </w:tr>
      <w:tr w14:paraId="633F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751" w:type="dxa"/>
            <w:tcBorders>
              <w:top w:val="single" w:color="auto" w:sz="4" w:space="0"/>
              <w:left w:val="single" w:color="auto" w:sz="4" w:space="0"/>
              <w:right w:val="single" w:color="auto" w:sz="4" w:space="0"/>
            </w:tcBorders>
            <w:noWrap w:val="0"/>
            <w:vAlign w:val="center"/>
          </w:tcPr>
          <w:p w14:paraId="1C48299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w:t>
            </w:r>
          </w:p>
        </w:tc>
        <w:tc>
          <w:tcPr>
            <w:tcW w:w="1339" w:type="dxa"/>
            <w:tcBorders>
              <w:top w:val="single" w:color="auto" w:sz="4" w:space="0"/>
              <w:left w:val="single" w:color="auto" w:sz="4" w:space="0"/>
              <w:right w:val="single" w:color="auto" w:sz="4" w:space="0"/>
            </w:tcBorders>
            <w:noWrap w:val="0"/>
            <w:vAlign w:val="center"/>
          </w:tcPr>
          <w:p w14:paraId="1D188D2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bidi="ar-SA"/>
              </w:rPr>
              <w:t>突发事件应急处理措施</w:t>
            </w:r>
          </w:p>
        </w:tc>
        <w:tc>
          <w:tcPr>
            <w:tcW w:w="870" w:type="dxa"/>
            <w:tcBorders>
              <w:top w:val="single" w:color="auto" w:sz="4" w:space="0"/>
              <w:left w:val="single" w:color="auto" w:sz="4" w:space="0"/>
              <w:right w:val="single" w:color="auto" w:sz="4" w:space="0"/>
            </w:tcBorders>
            <w:noWrap w:val="0"/>
            <w:vAlign w:val="center"/>
          </w:tcPr>
          <w:p w14:paraId="4425A8D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bidi="ar-SA"/>
              </w:rPr>
              <w:t>6</w:t>
            </w:r>
            <w:r>
              <w:rPr>
                <w:rFonts w:hint="eastAsia" w:ascii="宋体" w:hAnsi="宋体" w:eastAsia="宋体" w:cs="宋体"/>
                <w:color w:val="auto"/>
                <w:sz w:val="22"/>
                <w:szCs w:val="22"/>
                <w:highlight w:val="none"/>
                <w:lang w:bidi="ar-SA"/>
              </w:rPr>
              <w:t>分</w:t>
            </w:r>
          </w:p>
        </w:tc>
        <w:tc>
          <w:tcPr>
            <w:tcW w:w="6903" w:type="dxa"/>
            <w:tcBorders>
              <w:top w:val="single" w:color="auto" w:sz="4" w:space="0"/>
              <w:left w:val="single" w:color="auto" w:sz="4" w:space="0"/>
              <w:bottom w:val="single" w:color="auto" w:sz="4" w:space="0"/>
              <w:right w:val="single" w:color="auto" w:sz="4" w:space="0"/>
            </w:tcBorders>
            <w:noWrap w:val="0"/>
            <w:vAlign w:val="center"/>
          </w:tcPr>
          <w:p w14:paraId="11A3345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lang w:bidi="ar-SA"/>
              </w:rPr>
              <w:t>供应商针对本项目制定的突发事件应急处理措施及预案是否具有科学性、可行性等</w:t>
            </w:r>
            <w:r>
              <w:rPr>
                <w:rFonts w:hint="eastAsia" w:ascii="宋体" w:hAnsi="宋体" w:eastAsia="宋体" w:cs="宋体"/>
                <w:color w:val="auto"/>
                <w:sz w:val="22"/>
                <w:szCs w:val="22"/>
                <w:highlight w:val="none"/>
                <w:lang w:val="en-US" w:eastAsia="zh-CN" w:bidi="ar-SA"/>
              </w:rPr>
              <w:t>由评委综合打分</w:t>
            </w:r>
            <w:r>
              <w:rPr>
                <w:rFonts w:hint="eastAsia" w:ascii="宋体" w:hAnsi="宋体" w:eastAsia="宋体" w:cs="宋体"/>
                <w:color w:val="auto"/>
                <w:sz w:val="22"/>
                <w:szCs w:val="22"/>
                <w:highlight w:val="none"/>
                <w:lang w:bidi="ar-SA"/>
              </w:rPr>
              <w:t>。</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,0）</w:t>
            </w:r>
          </w:p>
        </w:tc>
      </w:tr>
      <w:tr w14:paraId="14C6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751" w:type="dxa"/>
            <w:tcBorders>
              <w:top w:val="single" w:color="auto" w:sz="4" w:space="0"/>
              <w:left w:val="single" w:color="auto" w:sz="4" w:space="0"/>
              <w:right w:val="single" w:color="auto" w:sz="4" w:space="0"/>
            </w:tcBorders>
            <w:noWrap w:val="0"/>
            <w:vAlign w:val="center"/>
          </w:tcPr>
          <w:p w14:paraId="4BE7F8D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1339" w:type="dxa"/>
            <w:tcBorders>
              <w:top w:val="single" w:color="auto" w:sz="4" w:space="0"/>
              <w:left w:val="single" w:color="auto" w:sz="4" w:space="0"/>
              <w:right w:val="single" w:color="auto" w:sz="4" w:space="0"/>
            </w:tcBorders>
            <w:noWrap w:val="0"/>
            <w:vAlign w:val="center"/>
          </w:tcPr>
          <w:p w14:paraId="6397A36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lang w:bidi="ar-SA"/>
              </w:rPr>
            </w:pPr>
            <w:r>
              <w:rPr>
                <w:rFonts w:hint="eastAsia"/>
                <w:sz w:val="22"/>
                <w:szCs w:val="22"/>
                <w:highlight w:val="none"/>
              </w:rPr>
              <w:t>突发应急管控能力</w:t>
            </w:r>
          </w:p>
        </w:tc>
        <w:tc>
          <w:tcPr>
            <w:tcW w:w="870" w:type="dxa"/>
            <w:tcBorders>
              <w:top w:val="single" w:color="auto" w:sz="4" w:space="0"/>
              <w:left w:val="single" w:color="auto" w:sz="4" w:space="0"/>
              <w:right w:val="single" w:color="auto" w:sz="4" w:space="0"/>
            </w:tcBorders>
            <w:noWrap w:val="0"/>
            <w:vAlign w:val="center"/>
          </w:tcPr>
          <w:p w14:paraId="2A9B0D60">
            <w:pPr>
              <w:spacing w:line="460" w:lineRule="exact"/>
              <w:jc w:val="center"/>
              <w:rPr>
                <w:rFonts w:hint="default"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lang w:val="en-US" w:eastAsia="zh-CN" w:bidi="ar-SA"/>
              </w:rPr>
              <w:t>6分</w:t>
            </w:r>
          </w:p>
        </w:tc>
        <w:tc>
          <w:tcPr>
            <w:tcW w:w="6903" w:type="dxa"/>
            <w:tcBorders>
              <w:top w:val="single" w:color="auto" w:sz="4" w:space="0"/>
              <w:left w:val="single" w:color="auto" w:sz="4" w:space="0"/>
              <w:bottom w:val="single" w:color="auto" w:sz="4" w:space="0"/>
              <w:right w:val="single" w:color="auto" w:sz="4" w:space="0"/>
            </w:tcBorders>
            <w:noWrap w:val="0"/>
            <w:vAlign w:val="top"/>
          </w:tcPr>
          <w:p w14:paraId="0903443B">
            <w:pPr>
              <w:spacing w:line="460" w:lineRule="exact"/>
              <w:rPr>
                <w:rFonts w:hint="eastAsia" w:ascii="宋体" w:hAnsi="宋体" w:eastAsia="宋体" w:cs="宋体"/>
                <w:color w:val="auto"/>
                <w:sz w:val="22"/>
                <w:szCs w:val="22"/>
                <w:highlight w:val="none"/>
                <w:lang w:bidi="ar-SA"/>
              </w:rPr>
            </w:pPr>
            <w:r>
              <w:rPr>
                <w:rFonts w:hint="eastAsia"/>
                <w:sz w:val="22"/>
                <w:szCs w:val="22"/>
                <w:highlight w:val="none"/>
              </w:rPr>
              <w:t>应对突发应急情况(如传染性疾病、医疗纠纷现场应急处置)具有有效的管控手段，具备信息化的软件实时监控现场的能力，每提供一个应急突发情况处置应用软件平台的得3分，最高得6分。提供软件著作权登记证书及中国版权保护中心(</w:t>
            </w:r>
            <w:r>
              <w:rPr>
                <w:highlight w:val="none"/>
              </w:rPr>
              <w:fldChar w:fldCharType="begin"/>
            </w:r>
            <w:r>
              <w:rPr>
                <w:highlight w:val="none"/>
              </w:rPr>
              <w:instrText xml:space="preserve"> HYPERLINK "http://ww.ccopyright.com.cn" </w:instrText>
            </w:r>
            <w:r>
              <w:rPr>
                <w:highlight w:val="none"/>
              </w:rPr>
              <w:fldChar w:fldCharType="separate"/>
            </w:r>
            <w:r>
              <w:rPr>
                <w:rFonts w:hint="eastAsia"/>
                <w:sz w:val="22"/>
                <w:szCs w:val="22"/>
                <w:highlight w:val="none"/>
              </w:rPr>
              <w:t>http://ww.ccopyright.com.cn</w:t>
            </w:r>
            <w:r>
              <w:rPr>
                <w:rFonts w:hint="eastAsia"/>
                <w:sz w:val="22"/>
                <w:szCs w:val="22"/>
                <w:highlight w:val="none"/>
              </w:rPr>
              <w:fldChar w:fldCharType="end"/>
            </w:r>
            <w:r>
              <w:rPr>
                <w:rFonts w:hint="eastAsia"/>
                <w:sz w:val="22"/>
                <w:szCs w:val="22"/>
                <w:highlight w:val="none"/>
              </w:rPr>
              <w:t xml:space="preserve"> /)登记公示查询结果截图，缺一不得分。</w:t>
            </w:r>
          </w:p>
        </w:tc>
      </w:tr>
      <w:tr w14:paraId="4121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14:paraId="07BBDB5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7AE4185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服务响应及增值</w:t>
            </w:r>
            <w:r>
              <w:rPr>
                <w:rFonts w:hint="eastAsia" w:ascii="宋体" w:hAnsi="宋体" w:eastAsia="宋体" w:cs="宋体"/>
                <w:sz w:val="22"/>
                <w:szCs w:val="22"/>
                <w:highlight w:val="none"/>
              </w:rPr>
              <w:t>服务</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B30F90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6分</w:t>
            </w:r>
          </w:p>
        </w:tc>
        <w:tc>
          <w:tcPr>
            <w:tcW w:w="690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B87059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根据投标人</w:t>
            </w:r>
            <w:r>
              <w:rPr>
                <w:rFonts w:hint="eastAsia" w:ascii="宋体" w:hAnsi="宋体" w:eastAsia="宋体" w:cs="宋体"/>
                <w:sz w:val="22"/>
                <w:szCs w:val="22"/>
                <w:highlight w:val="none"/>
                <w:lang w:val="en-US" w:eastAsia="zh-CN"/>
              </w:rPr>
              <w:t>项目实施过程服务响应及时性及增值服务承诺情况由评委综合打分</w:t>
            </w:r>
            <w:r>
              <w:rPr>
                <w:rFonts w:hint="eastAsia" w:ascii="宋体" w:hAnsi="宋体" w:eastAsia="宋体" w:cs="宋体"/>
                <w:sz w:val="22"/>
                <w:szCs w:val="22"/>
                <w:highlight w:val="none"/>
              </w:rPr>
              <w:t>。</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,0）</w:t>
            </w:r>
          </w:p>
        </w:tc>
      </w:tr>
    </w:tbl>
    <w:p w14:paraId="34A36331">
      <w:pPr>
        <w:numPr>
          <w:ilvl w:val="0"/>
          <w:numId w:val="29"/>
        </w:numPr>
        <w:tabs>
          <w:tab w:val="left" w:pos="6358"/>
        </w:tabs>
        <w:snapToGrid w:val="0"/>
        <w:spacing w:line="4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报价评分（</w:t>
      </w:r>
      <w:r>
        <w:rPr>
          <w:rFonts w:hint="eastAsia" w:ascii="宋体" w:hAnsi="宋体" w:cs="宋体"/>
          <w:b/>
          <w:bCs/>
          <w:color w:val="auto"/>
          <w:sz w:val="22"/>
          <w:szCs w:val="22"/>
          <w:highlight w:val="none"/>
          <w:lang w:val="en-US" w:eastAsia="zh-CN"/>
        </w:rPr>
        <w:t>1</w:t>
      </w:r>
      <w:r>
        <w:rPr>
          <w:rFonts w:hint="eastAsia" w:ascii="宋体" w:hAnsi="宋体" w:cs="宋体"/>
          <w:b/>
          <w:bCs/>
          <w:color w:val="auto"/>
          <w:sz w:val="22"/>
          <w:szCs w:val="22"/>
          <w:highlight w:val="none"/>
        </w:rPr>
        <w:t>0分）：</w:t>
      </w:r>
    </w:p>
    <w:p w14:paraId="57118A7E">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满足竞争性磋商文件要求且最终报价的最低价作为评标基准价</w:t>
      </w:r>
    </w:p>
    <w:p w14:paraId="5E2125BB">
      <w:pPr>
        <w:spacing w:line="440" w:lineRule="exact"/>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1）有效供应商的最终报价等于评标基准价时，其最终报价评分值为满分</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0分；</w:t>
      </w:r>
    </w:p>
    <w:p w14:paraId="208E3E7E">
      <w:pPr>
        <w:spacing w:line="440" w:lineRule="exact"/>
        <w:ind w:left="33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r>
        <w:rPr>
          <w:rFonts w:hint="eastAsia" w:ascii="宋体" w:hAnsi="宋体" w:cs="宋体"/>
          <w:color w:val="auto"/>
          <w:sz w:val="22"/>
          <w:highlight w:val="none"/>
        </w:rPr>
        <w:t>报价得分</w:t>
      </w:r>
      <w:r>
        <w:rPr>
          <w:rFonts w:hint="eastAsia" w:ascii="宋体" w:hAnsi="宋体" w:cs="宋体"/>
          <w:color w:val="auto"/>
          <w:kern w:val="0"/>
          <w:sz w:val="22"/>
          <w:szCs w:val="22"/>
          <w:highlight w:val="none"/>
        </w:rPr>
        <w:t>=（评标基准价/供应商最终报价）×</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0</w:t>
      </w:r>
      <w:r>
        <w:rPr>
          <w:rFonts w:hint="eastAsia" w:ascii="宋体" w:hAnsi="宋体" w:cs="宋体"/>
          <w:color w:val="auto"/>
          <w:sz w:val="22"/>
          <w:szCs w:val="22"/>
          <w:highlight w:val="none"/>
        </w:rPr>
        <w:t>（四舍五入，保留小数点后2位）；</w:t>
      </w:r>
    </w:p>
    <w:p w14:paraId="46C61986">
      <w:pPr>
        <w:spacing w:line="440" w:lineRule="exact"/>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3）如供应商报价超过项目采购预算金额或最高限价的，其磋商响应文件作无效标处理；</w:t>
      </w:r>
    </w:p>
    <w:p w14:paraId="09221438">
      <w:pPr>
        <w:topLinePunct/>
        <w:spacing w:line="440" w:lineRule="exact"/>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4）所有供应商投标报价均超过项目采购预算金额或最高限价的，项目按流（废）标处理，重新组织采购程序。</w:t>
      </w:r>
    </w:p>
    <w:p w14:paraId="239A70E2">
      <w:pPr>
        <w:numPr>
          <w:ilvl w:val="0"/>
          <w:numId w:val="29"/>
        </w:numPr>
        <w:tabs>
          <w:tab w:val="left" w:pos="6358"/>
        </w:tabs>
        <w:snapToGrid w:val="0"/>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政府采购政策说明</w:t>
      </w:r>
    </w:p>
    <w:bookmarkEnd w:id="133"/>
    <w:bookmarkEnd w:id="134"/>
    <w:p w14:paraId="61203345">
      <w:pPr>
        <w:spacing w:line="440" w:lineRule="exact"/>
        <w:rPr>
          <w:rFonts w:ascii="新宋体" w:hAnsi="新宋体" w:eastAsia="新宋体" w:cs="宋体"/>
          <w:color w:val="auto"/>
          <w:sz w:val="22"/>
          <w:szCs w:val="22"/>
        </w:rPr>
      </w:pPr>
      <w:r>
        <w:rPr>
          <w:rFonts w:hint="eastAsia" w:ascii="新宋体" w:hAnsi="新宋体" w:eastAsia="新宋体" w:cs="宋体"/>
          <w:color w:val="auto"/>
          <w:sz w:val="22"/>
          <w:szCs w:val="22"/>
        </w:rPr>
        <w:t>2.2政府采购政策说明</w:t>
      </w:r>
    </w:p>
    <w:p w14:paraId="6B9C0A5C">
      <w:pPr>
        <w:topLinePunct/>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宋体"/>
          <w:bCs/>
          <w:color w:val="auto"/>
          <w:sz w:val="22"/>
          <w:highlight w:val="none"/>
        </w:rPr>
        <w:t>①</w:t>
      </w:r>
      <w:r>
        <w:rPr>
          <w:rFonts w:hint="eastAsia" w:ascii="新宋体" w:hAnsi="新宋体" w:eastAsia="新宋体" w:cs="新宋体"/>
          <w:b/>
          <w:color w:val="auto"/>
          <w:sz w:val="22"/>
          <w:szCs w:val="22"/>
          <w:highlight w:val="none"/>
          <w:u w:val="single"/>
        </w:rPr>
        <w:t>本项目为</w:t>
      </w:r>
      <w:r>
        <w:rPr>
          <w:rFonts w:hint="eastAsia" w:ascii="宋体" w:hAnsi="宋体" w:cs="新宋体"/>
          <w:b/>
          <w:bCs/>
          <w:color w:val="auto"/>
          <w:sz w:val="22"/>
          <w:szCs w:val="22"/>
          <w:highlight w:val="none"/>
          <w:u w:val="single"/>
        </w:rPr>
        <w:t>专门面向中小企业/小微企业采购的项目，不再执行价格评审优惠的扶持政策</w:t>
      </w:r>
      <w:r>
        <w:rPr>
          <w:rFonts w:hint="eastAsia" w:ascii="宋体" w:hAnsi="宋体" w:cs="新宋体"/>
          <w:b/>
          <w:bCs/>
          <w:color w:val="auto"/>
          <w:sz w:val="22"/>
          <w:szCs w:val="22"/>
          <w:highlight w:val="none"/>
        </w:rPr>
        <w:t>。</w:t>
      </w:r>
    </w:p>
    <w:p w14:paraId="7CED3BB7">
      <w:pPr>
        <w:spacing w:line="440" w:lineRule="exact"/>
        <w:ind w:firstLine="440" w:firstLineChars="200"/>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②投标如缺少须提供的一种功能或配置或服务，评标价将在其投标价的基础上加上其他供应商相应分项价格的最高价。如若中标，该缺漏项费用将由中标人自行承担</w:t>
      </w:r>
      <w:r>
        <w:rPr>
          <w:rFonts w:hint="eastAsia" w:ascii="宋体" w:hAnsi="宋体" w:cs="宋体"/>
          <w:bCs/>
          <w:color w:val="auto"/>
          <w:sz w:val="22"/>
          <w:highlight w:val="none"/>
        </w:rPr>
        <w:t>。</w:t>
      </w:r>
    </w:p>
    <w:p w14:paraId="323B7405">
      <w:pPr>
        <w:numPr>
          <w:ilvl w:val="0"/>
          <w:numId w:val="29"/>
        </w:numPr>
        <w:tabs>
          <w:tab w:val="left" w:pos="6358"/>
        </w:tabs>
        <w:snapToGrid w:val="0"/>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本项目采购预算金额为</w:t>
      </w:r>
      <w:r>
        <w:rPr>
          <w:rFonts w:hint="eastAsia" w:ascii="宋体" w:hAnsi="宋体" w:cs="宋体"/>
          <w:b/>
          <w:bCs/>
          <w:color w:val="auto"/>
          <w:sz w:val="22"/>
          <w:szCs w:val="22"/>
          <w:highlight w:val="none"/>
          <w:lang w:val="en-US" w:eastAsia="zh-CN"/>
        </w:rPr>
        <w:t>40.5</w:t>
      </w:r>
      <w:r>
        <w:rPr>
          <w:rFonts w:hint="eastAsia" w:ascii="宋体" w:hAnsi="宋体" w:eastAsia="宋体" w:cs="宋体"/>
          <w:b/>
          <w:bCs/>
          <w:color w:val="auto"/>
          <w:sz w:val="22"/>
          <w:szCs w:val="22"/>
          <w:highlight w:val="none"/>
        </w:rPr>
        <w:t>万元。</w:t>
      </w:r>
    </w:p>
    <w:p w14:paraId="028BA64E">
      <w:pPr>
        <w:topLinePunct/>
        <w:spacing w:line="440" w:lineRule="exact"/>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（1）有效供应商的综合得分为商务技术分和报价分的总和；</w:t>
      </w:r>
    </w:p>
    <w:p w14:paraId="579FE022">
      <w:pPr>
        <w:topLinePunct/>
        <w:spacing w:line="440" w:lineRule="exact"/>
        <w:ind w:firstLine="330" w:firstLineChars="150"/>
        <w:rPr>
          <w:rFonts w:hint="eastAsia" w:ascii="宋体" w:hAnsi="宋体" w:cs="宋体"/>
          <w:color w:val="auto"/>
          <w:sz w:val="22"/>
          <w:szCs w:val="22"/>
          <w:highlight w:val="none"/>
        </w:rPr>
      </w:pPr>
      <w:r>
        <w:rPr>
          <w:rFonts w:hint="eastAsia" w:ascii="新宋体" w:hAnsi="新宋体" w:eastAsia="新宋体" w:cs="新宋体"/>
          <w:color w:val="auto"/>
          <w:sz w:val="22"/>
          <w:szCs w:val="22"/>
          <w:highlight w:val="none"/>
        </w:rPr>
        <w:t>（2）磋商小组按综合得分高低顺序排列，综合得分前两名供应商依次作为成交候选供应商和成交备选供应商向采购人推荐，并提交评审报告。得分相同的，按投标报价由低到高顺序排列</w:t>
      </w:r>
      <w:r>
        <w:rPr>
          <w:rFonts w:hint="eastAsia" w:ascii="宋体" w:hAnsi="宋体" w:cs="宋体"/>
          <w:color w:val="auto"/>
          <w:sz w:val="22"/>
          <w:szCs w:val="22"/>
          <w:highlight w:val="none"/>
        </w:rPr>
        <w:t>。</w:t>
      </w:r>
    </w:p>
    <w:sectPr>
      <w:headerReference r:id="rId10" w:type="first"/>
      <w:footerReference r:id="rId12" w:type="first"/>
      <w:headerReference r:id="rId9" w:type="default"/>
      <w:footerReference r:id="rId11" w:type="default"/>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Helvetica Neue">
    <w:altName w:val="Arial"/>
    <w:panose1 w:val="00000000000000000000"/>
    <w:charset w:val="00"/>
    <w:family w:val="auto"/>
    <w:pitch w:val="default"/>
    <w:sig w:usb0="00000000" w:usb1="00000000" w:usb2="00000010" w:usb3="00000000" w:csb0="00000001" w:csb1="00000000"/>
  </w:font>
  <w:font w:name="ZapfDingbatsNr2EFOP-Regular">
    <w:altName w:val="微软雅黑"/>
    <w:panose1 w:val="00000000000000000000"/>
    <w:charset w:val="00"/>
    <w:family w:val="auto"/>
    <w:pitch w:val="default"/>
    <w:sig w:usb0="00000000" w:usb1="00000000" w:usb2="00000010" w:usb3="00000000" w:csb0="00040001" w:csb1="00000000"/>
  </w:font>
  <w:font w:name="Helvetica">
    <w:panose1 w:val="020B0504020202030204"/>
    <w:charset w:val="00"/>
    <w:family w:val="swiss"/>
    <w:pitch w:val="default"/>
    <w:sig w:usb0="00000007" w:usb1="00000000" w:usb2="00000000" w:usb3="00000000" w:csb0="00000093"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Linotype Univers 330 Light">
    <w:altName w:val="微软雅黑"/>
    <w:panose1 w:val="00000000000000000000"/>
    <w:charset w:val="00"/>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Univers LT Std 47 Cn Lt">
    <w:altName w:val="微软雅黑"/>
    <w:panose1 w:val="00000000000000000000"/>
    <w:charset w:val="00"/>
    <w:family w:val="swiss"/>
    <w:pitch w:val="default"/>
    <w:sig w:usb0="00000000" w:usb1="00000000" w:usb2="00000010" w:usb3="00000000" w:csb0="00040000" w:csb1="00000000"/>
  </w:font>
  <w:font w:name="Univers LT Std 57 Cn">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476AD">
    <w:pPr>
      <w:pStyle w:val="36"/>
      <w:ind w:right="359" w:rightChars="171"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A94A8">
    <w:pPr>
      <w:pStyle w:val="36"/>
      <w:framePr w:wrap="around" w:vAnchor="text" w:hAnchor="margin" w:xAlign="center" w:y="1"/>
      <w:rPr>
        <w:rStyle w:val="58"/>
      </w:rPr>
    </w:pPr>
    <w:r>
      <w:fldChar w:fldCharType="begin"/>
    </w:r>
    <w:r>
      <w:rPr>
        <w:rStyle w:val="58"/>
      </w:rPr>
      <w:instrText xml:space="preserve">PAGE  </w:instrText>
    </w:r>
    <w:r>
      <w:fldChar w:fldCharType="end"/>
    </w:r>
  </w:p>
  <w:p w14:paraId="10D8FB47">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68012">
    <w:pPr>
      <w:pStyle w:val="36"/>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81C1E">
    <w:pPr>
      <w:pStyle w:val="36"/>
      <w:pBdr>
        <w:top w:val="single" w:color="auto" w:sz="4" w:space="1"/>
      </w:pBdr>
      <w:ind w:right="-82" w:rightChars="-39" w:firstLine="4410" w:firstLineChars="2450"/>
      <w:jc w:val="right"/>
      <w:rPr>
        <w:rFonts w:hint="eastAsia" w:ascii="宋体" w:hAnsi="宋体" w:cs="宋体"/>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0340" cy="132080"/>
              <wp:effectExtent l="0" t="0" r="0" b="0"/>
              <wp:wrapNone/>
              <wp:docPr id="4097" name="文本框 6"/>
              <wp:cNvGraphicFramePr/>
              <a:graphic xmlns:a="http://schemas.openxmlformats.org/drawingml/2006/main">
                <a:graphicData uri="http://schemas.microsoft.com/office/word/2010/wordprocessingShape">
                  <wps:wsp>
                    <wps:cNvSpPr/>
                    <wps:spPr>
                      <a:xfrm>
                        <a:off x="0" y="0"/>
                        <a:ext cx="180340" cy="132080"/>
                      </a:xfrm>
                      <a:prstGeom prst="rect">
                        <a:avLst/>
                      </a:prstGeom>
                      <a:ln>
                        <a:noFill/>
                      </a:ln>
                    </wps:spPr>
                    <wps:txbx>
                      <w:txbxContent>
                        <w:p w14:paraId="73A7DE00">
                          <w:pPr>
                            <w:pStyle w:val="36"/>
                            <w:rPr>
                              <w:rStyle w:val="58"/>
                              <w:rFonts w:hint="eastAsia" w:hAnsi="黑体"/>
                              <w:b/>
                            </w:rPr>
                          </w:pPr>
                          <w:r>
                            <w:rPr>
                              <w:rFonts w:ascii="黑体" w:hAnsi="黑体" w:eastAsia="黑体"/>
                              <w:b/>
                            </w:rPr>
                            <w:fldChar w:fldCharType="begin"/>
                          </w:r>
                          <w:r>
                            <w:rPr>
                              <w:rStyle w:val="58"/>
                              <w:rFonts w:hAnsi="黑体"/>
                              <w:b/>
                            </w:rPr>
                            <w:instrText xml:space="preserve">PAGE  </w:instrText>
                          </w:r>
                          <w:r>
                            <w:rPr>
                              <w:rFonts w:ascii="黑体" w:hAnsi="黑体" w:eastAsia="黑体"/>
                              <w:b/>
                            </w:rPr>
                            <w:fldChar w:fldCharType="separate"/>
                          </w:r>
                          <w:r>
                            <w:rPr>
                              <w:rStyle w:val="58"/>
                              <w:rFonts w:hAnsi="黑体"/>
                              <w:b/>
                            </w:rPr>
                            <w:t>61</w:t>
                          </w:r>
                          <w:r>
                            <w:rPr>
                              <w:rFonts w:ascii="黑体" w:hAnsi="黑体" w:eastAsia="黑体"/>
                              <w:b/>
                            </w:rPr>
                            <w:fldChar w:fldCharType="end"/>
                          </w:r>
                        </w:p>
                      </w:txbxContent>
                    </wps:txbx>
                    <wps:bodyPr wrap="square" lIns="0" tIns="0" rIns="0" bIns="0" upright="1"/>
                  </wps:wsp>
                </a:graphicData>
              </a:graphic>
            </wp:anchor>
          </w:drawing>
        </mc:Choice>
        <mc:Fallback>
          <w:pict>
            <v:rect id="文本框 6" o:spid="_x0000_s1026" o:spt="1" style="position:absolute;left:0pt;margin-top:0pt;height:10.4pt;width:14.2pt;mso-position-horizontal:center;mso-position-horizontal-relative:margin;z-index:251659264;mso-width-relative:page;mso-height-relative:page;" filled="f" stroked="f" coordsize="21600,21600" o:gfxdata="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oQEql1QAAAAMBAAAPAAAAAAAAAAEAIAAAACIAAABkcnMvZG93bnJldi54bWxQSwEC&#10;FAAUAAAACACHTuJAZ7X6JL4BAABtAwAADgAAAAAAAAABACAAAAAkAQAAZHJzL2Uyb0RvYy54bWxQ&#10;SwUGAAAAAAYABgBZAQAAVAUAAAAA&#10;">
              <v:fill on="f" focussize="0,0"/>
              <v:stroke on="f"/>
              <v:imagedata o:title=""/>
              <o:lock v:ext="edit" aspectratio="f"/>
              <v:textbox inset="0mm,0mm,0mm,0mm">
                <w:txbxContent>
                  <w:p w14:paraId="73A7DE00">
                    <w:pPr>
                      <w:pStyle w:val="36"/>
                      <w:rPr>
                        <w:rStyle w:val="58"/>
                        <w:rFonts w:hint="eastAsia" w:hAnsi="黑体"/>
                        <w:b/>
                      </w:rPr>
                    </w:pPr>
                    <w:r>
                      <w:rPr>
                        <w:rFonts w:ascii="黑体" w:hAnsi="黑体" w:eastAsia="黑体"/>
                        <w:b/>
                      </w:rPr>
                      <w:fldChar w:fldCharType="begin"/>
                    </w:r>
                    <w:r>
                      <w:rPr>
                        <w:rStyle w:val="58"/>
                        <w:rFonts w:hAnsi="黑体"/>
                        <w:b/>
                      </w:rPr>
                      <w:instrText xml:space="preserve">PAGE  </w:instrText>
                    </w:r>
                    <w:r>
                      <w:rPr>
                        <w:rFonts w:ascii="黑体" w:hAnsi="黑体" w:eastAsia="黑体"/>
                        <w:b/>
                      </w:rPr>
                      <w:fldChar w:fldCharType="separate"/>
                    </w:r>
                    <w:r>
                      <w:rPr>
                        <w:rStyle w:val="58"/>
                        <w:rFonts w:hAnsi="黑体"/>
                        <w:b/>
                      </w:rPr>
                      <w:t>61</w:t>
                    </w:r>
                    <w:r>
                      <w:rPr>
                        <w:rFonts w:ascii="黑体" w:hAnsi="黑体" w:eastAsia="黑体"/>
                        <w:b/>
                      </w:rPr>
                      <w:fldChar w:fldCharType="end"/>
                    </w:r>
                  </w:p>
                </w:txbxContent>
              </v:textbox>
            </v:rect>
          </w:pict>
        </mc:Fallback>
      </mc:AlternateContent>
    </w:r>
    <w:r>
      <w:rPr>
        <w:rFonts w:hint="eastAsia" w:ascii="宋体" w:hAnsi="宋体" w:cs="宋体"/>
      </w:rPr>
      <w:t>温州市智信招标代理有限公司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7F38B">
    <w:pPr>
      <w:pStyle w:val="3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098" name="文本框 9"/>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1E07286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wps:txbx>
                    <wps:bodyPr wrap="none" lIns="0" tIns="0" rIns="0" bIns="0" upright="1">
                      <a:spAutoFit/>
                    </wps:bodyPr>
                  </wps:wsp>
                </a:graphicData>
              </a:graphic>
            </wp:anchor>
          </w:drawing>
        </mc:Choice>
        <mc:Fallback>
          <w:pict>
            <v:rect id="文本框 9"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L/SwtAAAAADAQAADwAAAAAAAAABACAAAAAiAAAAZHJzL2Rvd25yZXYueG1s&#10;UEsBAhQAFAAAAAgAh07iQC5zG5zHAQAAhQMAAA4AAAAAAAAAAQAgAAAAHwEAAGRycy9lMm9Eb2Mu&#10;eG1sUEsFBgAAAAAGAAYAWQEAAFgFAAAAAA==&#10;">
              <v:fill on="f" focussize="0,0"/>
              <v:stroke on="f"/>
              <v:imagedata o:title=""/>
              <o:lock v:ext="edit" aspectratio="f"/>
              <v:textbox inset="0mm,0mm,0mm,0mm" style="mso-fit-shape-to-text:t;">
                <w:txbxContent>
                  <w:p w14:paraId="1E07286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v:textbox>
            </v:rect>
          </w:pict>
        </mc:Fallback>
      </mc:AlternateContent>
    </w: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099" name="文本框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4C3A19CE">
                          <w:pPr>
                            <w:snapToGrid w:val="0"/>
                            <w:rPr>
                              <w:sz w:val="18"/>
                            </w:rPr>
                          </w:pPr>
                        </w:p>
                      </w:txbxContent>
                    </wps:txbx>
                    <wps:bodyPr wrap="none" lIns="0" tIns="0" rIns="0" bIns="0" upright="1">
                      <a:spAutoFit/>
                    </wps:bodyPr>
                  </wps:wsp>
                </a:graphicData>
              </a:graphic>
            </wp:anchor>
          </w:drawing>
        </mc:Choice>
        <mc:Fallback>
          <w:pict>
            <v:rect id="文本框6"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L/SwtAAAAADAQAADwAAAAAAAAABACAAAAAiAAAAZHJzL2Rvd25yZXYueG1s&#10;UEsBAhQAFAAAAAgAh07iQKq8nYzHAQAAhAMAAA4AAAAAAAAAAQAgAAAAHwEAAGRycy9lMm9Eb2Mu&#10;eG1sUEsFBgAAAAAGAAYAWQEAAFgFAAAAAA==&#10;">
              <v:fill on="f" focussize="0,0"/>
              <v:stroke on="f"/>
              <v:imagedata o:title=""/>
              <o:lock v:ext="edit" aspectratio="f"/>
              <v:textbox inset="0mm,0mm,0mm,0mm" style="mso-fit-shape-to-text:t;">
                <w:txbxContent>
                  <w:p w14:paraId="4C3A19CE">
                    <w:pPr>
                      <w:snapToGrid w:val="0"/>
                      <w:rPr>
                        <w:sz w:val="18"/>
                      </w:rPr>
                    </w:pPr>
                  </w:p>
                </w:txbxContent>
              </v:textbox>
            </v:rect>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17FD4">
    <w:pPr>
      <w:pStyle w:val="37"/>
      <w:pBdr>
        <w:bottom w:val="none" w:color="auto" w:sz="0" w:space="1"/>
      </w:pBdr>
      <w:jc w:val="left"/>
    </w:pPr>
    <w:r>
      <w:rPr>
        <w:rFonts w:hint="eastAsia"/>
      </w:rPr>
      <w:t xml:space="preserve">温州市政府采购竞争性磋商文件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684D6">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3D0C6">
    <w:pPr>
      <w:pStyle w:val="37"/>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56ECD">
    <w:pPr>
      <w:pStyle w:val="37"/>
      <w:jc w:val="both"/>
    </w:pPr>
    <w:r>
      <w:rPr>
        <w:rFonts w:hint="eastAsia" w:eastAsia="新宋体"/>
      </w:rPr>
      <w:t>温州市政府分散采购竞争性磋商文件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0B8BC">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B8B8B"/>
    <w:multiLevelType w:val="singleLevel"/>
    <w:tmpl w:val="B5FB8B8B"/>
    <w:lvl w:ilvl="0" w:tentative="0">
      <w:start w:val="1"/>
      <w:numFmt w:val="chineseCounting"/>
      <w:suff w:val="space"/>
      <w:lvlText w:val="第%1条"/>
      <w:lvlJc w:val="left"/>
      <w:rPr>
        <w:rFonts w:hint="eastAsia"/>
        <w:b/>
      </w:rPr>
    </w:lvl>
  </w:abstractNum>
  <w:abstractNum w:abstractNumId="1">
    <w:nsid w:val="DB44868B"/>
    <w:multiLevelType w:val="singleLevel"/>
    <w:tmpl w:val="DB44868B"/>
    <w:lvl w:ilvl="0" w:tentative="0">
      <w:start w:val="1"/>
      <w:numFmt w:val="decimal"/>
      <w:lvlText w:val="(%1)"/>
      <w:lvlJc w:val="left"/>
      <w:pPr>
        <w:ind w:left="567" w:hanging="425"/>
      </w:pPr>
      <w:rPr>
        <w:rFonts w:hint="default"/>
      </w:rPr>
    </w:lvl>
  </w:abstractNum>
  <w:abstractNum w:abstractNumId="2">
    <w:nsid w:val="F1E4E2FC"/>
    <w:multiLevelType w:val="singleLevel"/>
    <w:tmpl w:val="F1E4E2FC"/>
    <w:lvl w:ilvl="0" w:tentative="0">
      <w:start w:val="1"/>
      <w:numFmt w:val="chineseCounting"/>
      <w:suff w:val="nothing"/>
      <w:lvlText w:val="（%1）"/>
      <w:lvlJc w:val="left"/>
      <w:pPr>
        <w:ind w:left="0" w:firstLine="420"/>
      </w:pPr>
      <w:rPr>
        <w:rFonts w:hint="eastAsia"/>
      </w:rPr>
    </w:lvl>
  </w:abstractNum>
  <w:abstractNum w:abstractNumId="3">
    <w:nsid w:val="F2E7C7B6"/>
    <w:multiLevelType w:val="singleLevel"/>
    <w:tmpl w:val="F2E7C7B6"/>
    <w:lvl w:ilvl="0" w:tentative="0">
      <w:start w:val="9"/>
      <w:numFmt w:val="decimal"/>
      <w:suff w:val="nothing"/>
      <w:lvlText w:val="（%1）"/>
      <w:lvlJc w:val="left"/>
    </w:lvl>
  </w:abstractNum>
  <w:abstractNum w:abstractNumId="4">
    <w:nsid w:val="00000001"/>
    <w:multiLevelType w:val="singleLevel"/>
    <w:tmpl w:val="00000001"/>
    <w:lvl w:ilvl="0" w:tentative="0">
      <w:start w:val="1"/>
      <w:numFmt w:val="decimalEnclosedCircleChinese"/>
      <w:suff w:val="nothing"/>
      <w:lvlText w:val="%1　"/>
      <w:lvlJc w:val="left"/>
      <w:pPr>
        <w:ind w:left="0" w:firstLine="400"/>
      </w:pPr>
      <w:rPr>
        <w:rFonts w:hint="eastAsia"/>
      </w:rPr>
    </w:lvl>
  </w:abstractNum>
  <w:abstractNum w:abstractNumId="5">
    <w:nsid w:val="00000002"/>
    <w:multiLevelType w:val="singleLevel"/>
    <w:tmpl w:val="00000002"/>
    <w:lvl w:ilvl="0" w:tentative="0">
      <w:start w:val="1"/>
      <w:numFmt w:val="decimal"/>
      <w:suff w:val="nothing"/>
      <w:lvlText w:val="%1）"/>
      <w:lvlJc w:val="left"/>
    </w:lvl>
  </w:abstractNum>
  <w:abstractNum w:abstractNumId="6">
    <w:nsid w:val="00000003"/>
    <w:multiLevelType w:val="singleLevel"/>
    <w:tmpl w:val="00000003"/>
    <w:lvl w:ilvl="0" w:tentative="0">
      <w:start w:val="1"/>
      <w:numFmt w:val="decimal"/>
      <w:suff w:val="nothing"/>
      <w:lvlText w:val="%1）"/>
      <w:lvlJc w:val="left"/>
    </w:lvl>
  </w:abstractNum>
  <w:abstractNum w:abstractNumId="7">
    <w:nsid w:val="00000004"/>
    <w:multiLevelType w:val="singleLevel"/>
    <w:tmpl w:val="00000004"/>
    <w:lvl w:ilvl="0" w:tentative="0">
      <w:start w:val="1"/>
      <w:numFmt w:val="decimal"/>
      <w:suff w:val="nothing"/>
      <w:lvlText w:val="%1．"/>
      <w:lvlJc w:val="left"/>
      <w:pPr>
        <w:ind w:left="0" w:firstLine="400"/>
      </w:pPr>
      <w:rPr>
        <w:rFonts w:hint="default"/>
      </w:rPr>
    </w:lvl>
  </w:abstractNum>
  <w:abstractNum w:abstractNumId="8">
    <w:nsid w:val="00000005"/>
    <w:multiLevelType w:val="multilevel"/>
    <w:tmpl w:val="00000005"/>
    <w:lvl w:ilvl="0" w:tentative="0">
      <w:start w:val="1"/>
      <w:numFmt w:val="decimal"/>
      <w:pStyle w:val="16"/>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6"/>
    <w:multiLevelType w:val="multilevel"/>
    <w:tmpl w:val="00000006"/>
    <w:lvl w:ilvl="0" w:tentative="0">
      <w:start w:val="5"/>
      <w:numFmt w:val="decimal"/>
      <w:pStyle w:val="263"/>
      <w:lvlText w:val="%1."/>
      <w:lvlJc w:val="left"/>
      <w:pPr>
        <w:tabs>
          <w:tab w:val="left" w:pos="360"/>
        </w:tabs>
        <w:ind w:left="360" w:hanging="360"/>
      </w:pPr>
      <w:rPr>
        <w:rFonts w:hint="default"/>
      </w:rPr>
    </w:lvl>
    <w:lvl w:ilvl="1" w:tentative="0">
      <w:start w:val="0"/>
      <w:numFmt w:val="none"/>
      <w:pStyle w:val="256"/>
      <w:lvlText w:val=""/>
      <w:lvlJc w:val="left"/>
      <w:pPr>
        <w:tabs>
          <w:tab w:val="left" w:pos="360"/>
        </w:tabs>
      </w:pPr>
    </w:lvl>
    <w:lvl w:ilvl="2" w:tentative="0">
      <w:start w:val="0"/>
      <w:numFmt w:val="none"/>
      <w:pStyle w:val="319"/>
      <w:lvlText w:val=""/>
      <w:lvlJc w:val="left"/>
      <w:pPr>
        <w:tabs>
          <w:tab w:val="left" w:pos="360"/>
        </w:tabs>
      </w:pPr>
    </w:lvl>
    <w:lvl w:ilvl="3" w:tentative="0">
      <w:start w:val="0"/>
      <w:numFmt w:val="none"/>
      <w:pStyle w:val="318"/>
      <w:lvlText w:val=""/>
      <w:lvlJc w:val="left"/>
      <w:pPr>
        <w:tabs>
          <w:tab w:val="left" w:pos="360"/>
        </w:tabs>
      </w:pPr>
    </w:lvl>
    <w:lvl w:ilvl="4" w:tentative="0">
      <w:start w:val="0"/>
      <w:numFmt w:val="none"/>
      <w:pStyle w:val="317"/>
      <w:lvlText w:val=""/>
      <w:lvlJc w:val="left"/>
      <w:pPr>
        <w:tabs>
          <w:tab w:val="left" w:pos="360"/>
        </w:tabs>
      </w:pPr>
    </w:lvl>
    <w:lvl w:ilvl="5" w:tentative="0">
      <w:start w:val="0"/>
      <w:numFmt w:val="none"/>
      <w:pStyle w:val="321"/>
      <w:lvlText w:val=""/>
      <w:lvlJc w:val="left"/>
      <w:pPr>
        <w:tabs>
          <w:tab w:val="left" w:pos="360"/>
        </w:tabs>
      </w:pPr>
    </w:lvl>
    <w:lvl w:ilvl="6" w:tentative="0">
      <w:start w:val="0"/>
      <w:numFmt w:val="none"/>
      <w:pStyle w:val="323"/>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0">
    <w:nsid w:val="00000007"/>
    <w:multiLevelType w:val="multilevel"/>
    <w:tmpl w:val="00000007"/>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8"/>
    <w:multiLevelType w:val="multilevel"/>
    <w:tmpl w:val="00000008"/>
    <w:lvl w:ilvl="0" w:tentative="0">
      <w:start w:val="1"/>
      <w:numFmt w:val="chineseCountingThousand"/>
      <w:pStyle w:val="293"/>
      <w:lvlText w:val="%1、"/>
      <w:lvlJc w:val="left"/>
      <w:pPr>
        <w:ind w:left="987" w:hanging="420"/>
      </w:pPr>
      <w:rPr>
        <w:rFonts w:hint="eastAsia"/>
        <w:b/>
        <w:bCs w:val="0"/>
        <w:i w:val="0"/>
        <w:iCs w:val="0"/>
        <w:caps w:val="0"/>
        <w:smallCaps w:val="0"/>
        <w:color w:val="000000"/>
        <w:spacing w:val="0"/>
        <w:position w:val="0"/>
        <w:u w:val="none"/>
      </w:rPr>
    </w:lvl>
    <w:lvl w:ilvl="1" w:tentative="0">
      <w:start w:val="1"/>
      <w:numFmt w:val="decimal"/>
      <w:pStyle w:val="345"/>
      <w:isLgl/>
      <w:lvlText w:val="%1.%2."/>
      <w:lvlJc w:val="left"/>
      <w:pPr>
        <w:tabs>
          <w:tab w:val="left" w:pos="431"/>
        </w:tabs>
        <w:ind w:left="0" w:firstLine="0"/>
      </w:pPr>
      <w:rPr>
        <w:rFonts w:hint="eastAsia"/>
        <w:b/>
        <w:i w:val="0"/>
        <w:sz w:val="28"/>
        <w:szCs w:val="28"/>
      </w:rPr>
    </w:lvl>
    <w:lvl w:ilvl="2" w:tentative="0">
      <w:start w:val="1"/>
      <w:numFmt w:val="decimal"/>
      <w:pStyle w:val="278"/>
      <w:isLgl/>
      <w:lvlText w:val="%1.%2.%3."/>
      <w:lvlJc w:val="left"/>
      <w:pPr>
        <w:tabs>
          <w:tab w:val="left" w:pos="1565"/>
        </w:tabs>
        <w:ind w:left="1134" w:firstLine="0"/>
      </w:pPr>
      <w:rPr>
        <w:rFonts w:hint="eastAsia"/>
        <w:b/>
        <w:i w:val="0"/>
        <w:sz w:val="28"/>
        <w:szCs w:val="28"/>
      </w:rPr>
    </w:lvl>
    <w:lvl w:ilvl="3" w:tentative="0">
      <w:start w:val="1"/>
      <w:numFmt w:val="decimal"/>
      <w:isLgl/>
      <w:lvlText w:val="%1.%2.%3.%4."/>
      <w:lvlJc w:val="left"/>
      <w:pPr>
        <w:tabs>
          <w:tab w:val="left" w:pos="431"/>
        </w:tabs>
        <w:ind w:left="0" w:firstLine="0"/>
      </w:pPr>
      <w:rPr>
        <w:rFonts w:hint="eastAsia"/>
        <w:b/>
        <w:i w:val="0"/>
        <w:sz w:val="28"/>
      </w:rPr>
    </w:lvl>
    <w:lvl w:ilvl="4" w:tentative="0">
      <w:start w:val="1"/>
      <w:numFmt w:val="decimal"/>
      <w:isLgl/>
      <w:lvlText w:val="%1.%2.%3.%4.%5."/>
      <w:lvlJc w:val="left"/>
      <w:pPr>
        <w:tabs>
          <w:tab w:val="left" w:pos="431"/>
        </w:tabs>
        <w:ind w:left="0" w:firstLine="0"/>
      </w:pPr>
      <w:rPr>
        <w:rFonts w:hint="eastAsia"/>
        <w:b/>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2">
    <w:nsid w:val="00000009"/>
    <w:multiLevelType w:val="multilevel"/>
    <w:tmpl w:val="00000009"/>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3">
    <w:nsid w:val="0000000A"/>
    <w:multiLevelType w:val="singleLevel"/>
    <w:tmpl w:val="0000000A"/>
    <w:lvl w:ilvl="0" w:tentative="0">
      <w:start w:val="1"/>
      <w:numFmt w:val="decimal"/>
      <w:suff w:val="nothing"/>
      <w:lvlText w:val="%1）"/>
      <w:lvlJc w:val="left"/>
    </w:lvl>
  </w:abstractNum>
  <w:abstractNum w:abstractNumId="14">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15">
    <w:nsid w:val="0000000C"/>
    <w:multiLevelType w:val="multilevel"/>
    <w:tmpl w:val="0000000C"/>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6">
    <w:nsid w:val="0000000D"/>
    <w:multiLevelType w:val="singleLevel"/>
    <w:tmpl w:val="0000000D"/>
    <w:lvl w:ilvl="0" w:tentative="0">
      <w:start w:val="1"/>
      <w:numFmt w:val="decimal"/>
      <w:suff w:val="nothing"/>
      <w:lvlText w:val="%1．"/>
      <w:lvlJc w:val="left"/>
      <w:pPr>
        <w:ind w:left="0" w:firstLine="400"/>
      </w:pPr>
      <w:rPr>
        <w:rFonts w:hint="default"/>
      </w:rPr>
    </w:lvl>
  </w:abstractNum>
  <w:abstractNum w:abstractNumId="17">
    <w:nsid w:val="0000000E"/>
    <w:multiLevelType w:val="singleLevel"/>
    <w:tmpl w:val="0000000E"/>
    <w:lvl w:ilvl="0" w:tentative="0">
      <w:start w:val="1"/>
      <w:numFmt w:val="chineseCounting"/>
      <w:suff w:val="nothing"/>
      <w:lvlText w:val="%1、"/>
      <w:lvlJc w:val="left"/>
      <w:pPr>
        <w:ind w:left="0" w:firstLine="0"/>
      </w:pPr>
    </w:lvl>
  </w:abstractNum>
  <w:abstractNum w:abstractNumId="18">
    <w:nsid w:val="0000000F"/>
    <w:multiLevelType w:val="singleLevel"/>
    <w:tmpl w:val="0000000F"/>
    <w:lvl w:ilvl="0" w:tentative="0">
      <w:start w:val="3"/>
      <w:numFmt w:val="chineseCounting"/>
      <w:suff w:val="nothing"/>
      <w:lvlText w:val="%1、"/>
      <w:lvlJc w:val="left"/>
      <w:pPr>
        <w:ind w:left="0" w:firstLine="0"/>
      </w:pPr>
    </w:lvl>
  </w:abstractNum>
  <w:abstractNum w:abstractNumId="19">
    <w:nsid w:val="00000010"/>
    <w:multiLevelType w:val="multilevel"/>
    <w:tmpl w:val="000000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12"/>
    <w:multiLevelType w:val="singleLevel"/>
    <w:tmpl w:val="00000012"/>
    <w:lvl w:ilvl="0" w:tentative="0">
      <w:start w:val="1"/>
      <w:numFmt w:val="decimalEnclosedCircleChinese"/>
      <w:suff w:val="nothing"/>
      <w:lvlText w:val="%1　"/>
      <w:lvlJc w:val="left"/>
      <w:pPr>
        <w:ind w:left="0" w:firstLine="400"/>
      </w:pPr>
      <w:rPr>
        <w:rFonts w:hint="eastAsia"/>
      </w:rPr>
    </w:lvl>
  </w:abstractNum>
  <w:abstractNum w:abstractNumId="21">
    <w:nsid w:val="0053208E"/>
    <w:multiLevelType w:val="singleLevel"/>
    <w:tmpl w:val="0053208E"/>
    <w:lvl w:ilvl="0" w:tentative="0">
      <w:start w:val="1"/>
      <w:numFmt w:val="decimal"/>
      <w:suff w:val="nothing"/>
      <w:lvlText w:val="%1）"/>
      <w:lvlJc w:val="left"/>
    </w:lvl>
  </w:abstractNum>
  <w:abstractNum w:abstractNumId="2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21527564"/>
    <w:multiLevelType w:val="singleLevel"/>
    <w:tmpl w:val="21527564"/>
    <w:lvl w:ilvl="0" w:tentative="0">
      <w:start w:val="1"/>
      <w:numFmt w:val="chineseCounting"/>
      <w:suff w:val="nothing"/>
      <w:lvlText w:val="（%1）"/>
      <w:lvlJc w:val="left"/>
      <w:pPr>
        <w:ind w:left="0" w:firstLine="420"/>
      </w:pPr>
      <w:rPr>
        <w:rFonts w:hint="eastAsia"/>
      </w:rPr>
    </w:lvl>
  </w:abstractNum>
  <w:abstractNum w:abstractNumId="24">
    <w:nsid w:val="2C5917C3"/>
    <w:multiLevelType w:val="multilevel"/>
    <w:tmpl w:val="2C5917C3"/>
    <w:lvl w:ilvl="0" w:tentative="0">
      <w:start w:val="1"/>
      <w:numFmt w:val="none"/>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5">
    <w:nsid w:val="56B779E2"/>
    <w:multiLevelType w:val="multilevel"/>
    <w:tmpl w:val="56B779E2"/>
    <w:lvl w:ilvl="0" w:tentative="0">
      <w:start w:val="1"/>
      <w:numFmt w:val="decimal"/>
      <w:suff w:val="nothing"/>
      <w:lvlText w:val="%1、"/>
      <w:lvlJc w:val="left"/>
      <w:pPr>
        <w:ind w:left="0" w:firstLine="0"/>
      </w:p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26">
    <w:nsid w:val="62669E22"/>
    <w:multiLevelType w:val="singleLevel"/>
    <w:tmpl w:val="62669E22"/>
    <w:lvl w:ilvl="0" w:tentative="0">
      <w:start w:val="1"/>
      <w:numFmt w:val="decimal"/>
      <w:lvlText w:val="(%1)"/>
      <w:lvlJc w:val="left"/>
      <w:pPr>
        <w:ind w:left="425" w:hanging="425"/>
      </w:pPr>
      <w:rPr>
        <w:rFonts w:hint="default"/>
      </w:rPr>
    </w:lvl>
  </w:abstractNum>
  <w:abstractNum w:abstractNumId="27">
    <w:nsid w:val="6B2668E7"/>
    <w:multiLevelType w:val="singleLevel"/>
    <w:tmpl w:val="6B2668E7"/>
    <w:lvl w:ilvl="0" w:tentative="0">
      <w:start w:val="2"/>
      <w:numFmt w:val="chineseCounting"/>
      <w:suff w:val="nothing"/>
      <w:lvlText w:val="%1、"/>
      <w:lvlJc w:val="left"/>
      <w:rPr>
        <w:rFonts w:hint="eastAsia"/>
      </w:rPr>
    </w:lvl>
  </w:abstractNum>
  <w:abstractNum w:abstractNumId="28">
    <w:nsid w:val="75AAF98F"/>
    <w:multiLevelType w:val="singleLevel"/>
    <w:tmpl w:val="75AAF98F"/>
    <w:lvl w:ilvl="0" w:tentative="0">
      <w:start w:val="1"/>
      <w:numFmt w:val="decimal"/>
      <w:lvlText w:val="(%1)"/>
      <w:lvlJc w:val="left"/>
      <w:pPr>
        <w:ind w:left="425" w:hanging="425"/>
      </w:pPr>
      <w:rPr>
        <w:rFonts w:hint="default"/>
      </w:rPr>
    </w:lvl>
  </w:abstractNum>
  <w:num w:numId="1">
    <w:abstractNumId w:val="8"/>
  </w:num>
  <w:num w:numId="2">
    <w:abstractNumId w:val="9"/>
  </w:num>
  <w:num w:numId="3">
    <w:abstractNumId w:val="11"/>
  </w:num>
  <w:num w:numId="4">
    <w:abstractNumId w:val="20"/>
  </w:num>
  <w:num w:numId="5">
    <w:abstractNumId w:val="4"/>
  </w:num>
  <w:num w:numId="6">
    <w:abstractNumId w:val="6"/>
  </w:num>
  <w:num w:numId="7">
    <w:abstractNumId w:val="21"/>
  </w:num>
  <w:num w:numId="8">
    <w:abstractNumId w:val="5"/>
  </w:num>
  <w:num w:numId="9">
    <w:abstractNumId w:val="10"/>
  </w:num>
  <w:num w:numId="10">
    <w:abstractNumId w:val="13"/>
  </w:num>
  <w:num w:numId="11">
    <w:abstractNumId w:val="17"/>
    <w:lvlOverride w:ilvl="0">
      <w:startOverride w:val="1"/>
    </w:lvlOverride>
  </w:num>
  <w:num w:numId="12">
    <w:abstractNumId w:val="18"/>
    <w:lvlOverride w:ilvl="0">
      <w:startOverride w:val="3"/>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3"/>
  </w:num>
  <w:num w:numId="16">
    <w:abstractNumId w:val="26"/>
  </w:num>
  <w:num w:numId="17">
    <w:abstractNumId w:val="2"/>
  </w:num>
  <w:num w:numId="18">
    <w:abstractNumId w:val="1"/>
  </w:num>
  <w:num w:numId="19">
    <w:abstractNumId w:val="28"/>
  </w:num>
  <w:num w:numId="20">
    <w:abstractNumId w:val="3"/>
  </w:num>
  <w:num w:numId="21">
    <w:abstractNumId w:val="25"/>
  </w:num>
  <w:num w:numId="22">
    <w:abstractNumId w:val="22"/>
  </w:num>
  <w:num w:numId="23">
    <w:abstractNumId w:val="24"/>
  </w:num>
  <w:num w:numId="24">
    <w:abstractNumId w:val="12"/>
  </w:num>
  <w:num w:numId="25">
    <w:abstractNumId w:val="15"/>
  </w:num>
  <w:num w:numId="26">
    <w:abstractNumId w:val="16"/>
  </w:num>
  <w:num w:numId="27">
    <w:abstractNumId w:val="27"/>
  </w:num>
  <w:num w:numId="28">
    <w:abstractNumId w:val="1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56642B"/>
    <w:rsid w:val="00064940"/>
    <w:rsid w:val="000719CB"/>
    <w:rsid w:val="0010113A"/>
    <w:rsid w:val="001C1471"/>
    <w:rsid w:val="00470694"/>
    <w:rsid w:val="004F39CC"/>
    <w:rsid w:val="0056642B"/>
    <w:rsid w:val="00670380"/>
    <w:rsid w:val="00785DAA"/>
    <w:rsid w:val="00C03B62"/>
    <w:rsid w:val="00C13AE0"/>
    <w:rsid w:val="00D07956"/>
    <w:rsid w:val="00DB2031"/>
    <w:rsid w:val="011E6B67"/>
    <w:rsid w:val="01272D27"/>
    <w:rsid w:val="01440858"/>
    <w:rsid w:val="016D173D"/>
    <w:rsid w:val="01B23C56"/>
    <w:rsid w:val="01F77735"/>
    <w:rsid w:val="02051AE6"/>
    <w:rsid w:val="035048F8"/>
    <w:rsid w:val="03FA049A"/>
    <w:rsid w:val="04455AD9"/>
    <w:rsid w:val="05577002"/>
    <w:rsid w:val="058658C8"/>
    <w:rsid w:val="05BB6DF1"/>
    <w:rsid w:val="05F45A09"/>
    <w:rsid w:val="060A38EF"/>
    <w:rsid w:val="06191E33"/>
    <w:rsid w:val="06211A99"/>
    <w:rsid w:val="07837045"/>
    <w:rsid w:val="078E54A0"/>
    <w:rsid w:val="07920105"/>
    <w:rsid w:val="094263C4"/>
    <w:rsid w:val="0A4A209B"/>
    <w:rsid w:val="0A6F5135"/>
    <w:rsid w:val="0B1A16BD"/>
    <w:rsid w:val="0B771EF6"/>
    <w:rsid w:val="0BAD43A5"/>
    <w:rsid w:val="0C6201A0"/>
    <w:rsid w:val="0C8B0207"/>
    <w:rsid w:val="0C923A83"/>
    <w:rsid w:val="0CE96302"/>
    <w:rsid w:val="0CEF2A86"/>
    <w:rsid w:val="0D5217AE"/>
    <w:rsid w:val="0D627A67"/>
    <w:rsid w:val="0DD8138D"/>
    <w:rsid w:val="0E5A30E7"/>
    <w:rsid w:val="0F5A68DD"/>
    <w:rsid w:val="0F69076D"/>
    <w:rsid w:val="0F915079"/>
    <w:rsid w:val="0FA721F7"/>
    <w:rsid w:val="0FB83603"/>
    <w:rsid w:val="105552F6"/>
    <w:rsid w:val="108044EB"/>
    <w:rsid w:val="108300B5"/>
    <w:rsid w:val="10C47695"/>
    <w:rsid w:val="10F00EC4"/>
    <w:rsid w:val="115A0E16"/>
    <w:rsid w:val="12083382"/>
    <w:rsid w:val="1223356F"/>
    <w:rsid w:val="1246198D"/>
    <w:rsid w:val="12931D29"/>
    <w:rsid w:val="12BE6BF9"/>
    <w:rsid w:val="12DE15D3"/>
    <w:rsid w:val="13270ED1"/>
    <w:rsid w:val="133840DC"/>
    <w:rsid w:val="13CB5055"/>
    <w:rsid w:val="14EE3B8E"/>
    <w:rsid w:val="150D2643"/>
    <w:rsid w:val="15AF3ADC"/>
    <w:rsid w:val="16253698"/>
    <w:rsid w:val="16D451C7"/>
    <w:rsid w:val="16F13FCB"/>
    <w:rsid w:val="17082C65"/>
    <w:rsid w:val="17667DE9"/>
    <w:rsid w:val="18102D28"/>
    <w:rsid w:val="184B770B"/>
    <w:rsid w:val="18536F2E"/>
    <w:rsid w:val="1887565C"/>
    <w:rsid w:val="18E67433"/>
    <w:rsid w:val="192872E0"/>
    <w:rsid w:val="1A2C356C"/>
    <w:rsid w:val="1A643017"/>
    <w:rsid w:val="1A6F50AD"/>
    <w:rsid w:val="1A7F1DE5"/>
    <w:rsid w:val="1AA9696A"/>
    <w:rsid w:val="1AFE16DD"/>
    <w:rsid w:val="1B1E72B7"/>
    <w:rsid w:val="1B7D4FB1"/>
    <w:rsid w:val="1BAA35D7"/>
    <w:rsid w:val="1BF13C9B"/>
    <w:rsid w:val="1C2C0F99"/>
    <w:rsid w:val="1CAF74D1"/>
    <w:rsid w:val="1D044D3A"/>
    <w:rsid w:val="1D160D9A"/>
    <w:rsid w:val="1DDE4B7D"/>
    <w:rsid w:val="1E2048FF"/>
    <w:rsid w:val="1E673D11"/>
    <w:rsid w:val="1EC37922"/>
    <w:rsid w:val="1EF931AE"/>
    <w:rsid w:val="1F7A2683"/>
    <w:rsid w:val="1F9877D6"/>
    <w:rsid w:val="204809D3"/>
    <w:rsid w:val="213A656E"/>
    <w:rsid w:val="2143492B"/>
    <w:rsid w:val="219739C1"/>
    <w:rsid w:val="224061E4"/>
    <w:rsid w:val="22925F36"/>
    <w:rsid w:val="22F470F8"/>
    <w:rsid w:val="23063016"/>
    <w:rsid w:val="23C806DF"/>
    <w:rsid w:val="240B63D4"/>
    <w:rsid w:val="246A53A7"/>
    <w:rsid w:val="25D43315"/>
    <w:rsid w:val="26D40B47"/>
    <w:rsid w:val="27277595"/>
    <w:rsid w:val="278D29E9"/>
    <w:rsid w:val="2790513A"/>
    <w:rsid w:val="27B23302"/>
    <w:rsid w:val="27ED736F"/>
    <w:rsid w:val="294F517A"/>
    <w:rsid w:val="2974421D"/>
    <w:rsid w:val="29915199"/>
    <w:rsid w:val="2A16744D"/>
    <w:rsid w:val="2A37595F"/>
    <w:rsid w:val="2AA74170"/>
    <w:rsid w:val="2AD55F6E"/>
    <w:rsid w:val="2B642979"/>
    <w:rsid w:val="2B8F26B7"/>
    <w:rsid w:val="2B996426"/>
    <w:rsid w:val="2BA6700F"/>
    <w:rsid w:val="2C300C99"/>
    <w:rsid w:val="2C4233FE"/>
    <w:rsid w:val="2CCD6690"/>
    <w:rsid w:val="2CEE51A8"/>
    <w:rsid w:val="2CF23C8A"/>
    <w:rsid w:val="2D3A6A65"/>
    <w:rsid w:val="2DED6716"/>
    <w:rsid w:val="2E271C28"/>
    <w:rsid w:val="2E7C6A9A"/>
    <w:rsid w:val="2F2B2ABE"/>
    <w:rsid w:val="2F522CD5"/>
    <w:rsid w:val="2FCE6D86"/>
    <w:rsid w:val="2FF90A5D"/>
    <w:rsid w:val="30420F9B"/>
    <w:rsid w:val="313C59EB"/>
    <w:rsid w:val="31A76EFE"/>
    <w:rsid w:val="326F6CC3"/>
    <w:rsid w:val="32C9448A"/>
    <w:rsid w:val="32DA2DF4"/>
    <w:rsid w:val="33163F6E"/>
    <w:rsid w:val="3331496C"/>
    <w:rsid w:val="33B73BA0"/>
    <w:rsid w:val="33C1039F"/>
    <w:rsid w:val="349B0C91"/>
    <w:rsid w:val="34CE3909"/>
    <w:rsid w:val="3502519D"/>
    <w:rsid w:val="351877FA"/>
    <w:rsid w:val="352C4B9B"/>
    <w:rsid w:val="35EE3EC5"/>
    <w:rsid w:val="361E5AAD"/>
    <w:rsid w:val="36857E34"/>
    <w:rsid w:val="36A04C6E"/>
    <w:rsid w:val="36AB471D"/>
    <w:rsid w:val="36EA36A5"/>
    <w:rsid w:val="37062A3C"/>
    <w:rsid w:val="371D006C"/>
    <w:rsid w:val="374D2C27"/>
    <w:rsid w:val="3784633D"/>
    <w:rsid w:val="37DF13F6"/>
    <w:rsid w:val="38237904"/>
    <w:rsid w:val="383545A7"/>
    <w:rsid w:val="384D018F"/>
    <w:rsid w:val="387A1542"/>
    <w:rsid w:val="387C36DF"/>
    <w:rsid w:val="3907358F"/>
    <w:rsid w:val="39535FC7"/>
    <w:rsid w:val="399030A9"/>
    <w:rsid w:val="39F50E2C"/>
    <w:rsid w:val="3A296D28"/>
    <w:rsid w:val="3A623BC1"/>
    <w:rsid w:val="3B651FE2"/>
    <w:rsid w:val="3B74179A"/>
    <w:rsid w:val="3C06429A"/>
    <w:rsid w:val="3C170E8A"/>
    <w:rsid w:val="3C4E57BC"/>
    <w:rsid w:val="3D2B540D"/>
    <w:rsid w:val="3D400421"/>
    <w:rsid w:val="3D5B369C"/>
    <w:rsid w:val="3E286730"/>
    <w:rsid w:val="3E642A25"/>
    <w:rsid w:val="3E6C4766"/>
    <w:rsid w:val="3ECB0F1C"/>
    <w:rsid w:val="3EDD7B8B"/>
    <w:rsid w:val="3F406FEE"/>
    <w:rsid w:val="3F4940F4"/>
    <w:rsid w:val="3FD15E98"/>
    <w:rsid w:val="4063586F"/>
    <w:rsid w:val="40C357E1"/>
    <w:rsid w:val="419D3163"/>
    <w:rsid w:val="41A96B45"/>
    <w:rsid w:val="41F90F57"/>
    <w:rsid w:val="427B35F8"/>
    <w:rsid w:val="42984A4B"/>
    <w:rsid w:val="444463F5"/>
    <w:rsid w:val="44827761"/>
    <w:rsid w:val="44A9297F"/>
    <w:rsid w:val="44B9344A"/>
    <w:rsid w:val="454B3FF6"/>
    <w:rsid w:val="457F1EF2"/>
    <w:rsid w:val="466F2A4E"/>
    <w:rsid w:val="48403BBB"/>
    <w:rsid w:val="489F58D9"/>
    <w:rsid w:val="490E37E5"/>
    <w:rsid w:val="49F6744C"/>
    <w:rsid w:val="4A275494"/>
    <w:rsid w:val="4A893CF2"/>
    <w:rsid w:val="4B7C7EA9"/>
    <w:rsid w:val="4B8814E4"/>
    <w:rsid w:val="4BBC5C4E"/>
    <w:rsid w:val="4C583BC9"/>
    <w:rsid w:val="4D5059EF"/>
    <w:rsid w:val="4D72273F"/>
    <w:rsid w:val="4DA7509D"/>
    <w:rsid w:val="4DAE0654"/>
    <w:rsid w:val="4DE137A4"/>
    <w:rsid w:val="4E805783"/>
    <w:rsid w:val="4E8B28EE"/>
    <w:rsid w:val="4E944C60"/>
    <w:rsid w:val="4EBD41B7"/>
    <w:rsid w:val="4F277882"/>
    <w:rsid w:val="4FBB03DB"/>
    <w:rsid w:val="4FF534DD"/>
    <w:rsid w:val="50A90CBB"/>
    <w:rsid w:val="51CA76C8"/>
    <w:rsid w:val="51CB489B"/>
    <w:rsid w:val="51DA038A"/>
    <w:rsid w:val="527D07C9"/>
    <w:rsid w:val="52FC1044"/>
    <w:rsid w:val="53424CE4"/>
    <w:rsid w:val="53A8064E"/>
    <w:rsid w:val="53D02297"/>
    <w:rsid w:val="53D31755"/>
    <w:rsid w:val="54A37520"/>
    <w:rsid w:val="54C16457"/>
    <w:rsid w:val="55081F04"/>
    <w:rsid w:val="55711857"/>
    <w:rsid w:val="56E62B1E"/>
    <w:rsid w:val="56E92AD5"/>
    <w:rsid w:val="57D32A2C"/>
    <w:rsid w:val="5827444F"/>
    <w:rsid w:val="585F6FDE"/>
    <w:rsid w:val="59A73658"/>
    <w:rsid w:val="5A01540E"/>
    <w:rsid w:val="5A4E2167"/>
    <w:rsid w:val="5A6D4EB6"/>
    <w:rsid w:val="5A6D7945"/>
    <w:rsid w:val="5ABB6DD6"/>
    <w:rsid w:val="5BE16D34"/>
    <w:rsid w:val="5C101CDB"/>
    <w:rsid w:val="5C5239AC"/>
    <w:rsid w:val="5C603D10"/>
    <w:rsid w:val="5D1D6BAC"/>
    <w:rsid w:val="5D211DB5"/>
    <w:rsid w:val="5DDE6DED"/>
    <w:rsid w:val="5E5B2D3B"/>
    <w:rsid w:val="5E68756F"/>
    <w:rsid w:val="5E9513B9"/>
    <w:rsid w:val="5ED92FC1"/>
    <w:rsid w:val="6058575B"/>
    <w:rsid w:val="605C7F1B"/>
    <w:rsid w:val="606C2ECA"/>
    <w:rsid w:val="61BF50C8"/>
    <w:rsid w:val="62710852"/>
    <w:rsid w:val="62802F21"/>
    <w:rsid w:val="62F50F9E"/>
    <w:rsid w:val="63364E15"/>
    <w:rsid w:val="633B34A5"/>
    <w:rsid w:val="63E730C5"/>
    <w:rsid w:val="64520C49"/>
    <w:rsid w:val="64BA6A91"/>
    <w:rsid w:val="650765BC"/>
    <w:rsid w:val="654B3E73"/>
    <w:rsid w:val="655401E3"/>
    <w:rsid w:val="65BB4876"/>
    <w:rsid w:val="66455FAA"/>
    <w:rsid w:val="667C1E0A"/>
    <w:rsid w:val="669531D7"/>
    <w:rsid w:val="679078F8"/>
    <w:rsid w:val="67C74CAA"/>
    <w:rsid w:val="68300004"/>
    <w:rsid w:val="68387C32"/>
    <w:rsid w:val="68700973"/>
    <w:rsid w:val="69D21C12"/>
    <w:rsid w:val="6A353F99"/>
    <w:rsid w:val="6AAC7127"/>
    <w:rsid w:val="6AB654FF"/>
    <w:rsid w:val="6AB778B5"/>
    <w:rsid w:val="6B7F21CC"/>
    <w:rsid w:val="6BB77FE6"/>
    <w:rsid w:val="6BEC3E8B"/>
    <w:rsid w:val="6BF03E13"/>
    <w:rsid w:val="6C3A254B"/>
    <w:rsid w:val="6C7B7C5C"/>
    <w:rsid w:val="6CF917A4"/>
    <w:rsid w:val="6D9E18C4"/>
    <w:rsid w:val="6DC96001"/>
    <w:rsid w:val="6DCA0838"/>
    <w:rsid w:val="6DFB50B2"/>
    <w:rsid w:val="6EE646FA"/>
    <w:rsid w:val="6F8E72E2"/>
    <w:rsid w:val="70893AA1"/>
    <w:rsid w:val="70AD3C34"/>
    <w:rsid w:val="70BD1051"/>
    <w:rsid w:val="710A5599"/>
    <w:rsid w:val="7124781C"/>
    <w:rsid w:val="71D614EF"/>
    <w:rsid w:val="727823D3"/>
    <w:rsid w:val="72D95976"/>
    <w:rsid w:val="72FE4D9A"/>
    <w:rsid w:val="73322AD7"/>
    <w:rsid w:val="74A244BB"/>
    <w:rsid w:val="74E67714"/>
    <w:rsid w:val="753B2256"/>
    <w:rsid w:val="754B3A1B"/>
    <w:rsid w:val="75A04DCB"/>
    <w:rsid w:val="75FC0F44"/>
    <w:rsid w:val="76386996"/>
    <w:rsid w:val="76A71311"/>
    <w:rsid w:val="7735228D"/>
    <w:rsid w:val="775F009A"/>
    <w:rsid w:val="77A71100"/>
    <w:rsid w:val="77D116A8"/>
    <w:rsid w:val="781400F4"/>
    <w:rsid w:val="79653335"/>
    <w:rsid w:val="79B36599"/>
    <w:rsid w:val="7A756E44"/>
    <w:rsid w:val="7A85352B"/>
    <w:rsid w:val="7AD22B15"/>
    <w:rsid w:val="7B8C2698"/>
    <w:rsid w:val="7B9301C2"/>
    <w:rsid w:val="7BC97448"/>
    <w:rsid w:val="7BDA3A57"/>
    <w:rsid w:val="7C5A4544"/>
    <w:rsid w:val="7C9B263E"/>
    <w:rsid w:val="7D1C3353"/>
    <w:rsid w:val="7D3B4993"/>
    <w:rsid w:val="7D805D4D"/>
    <w:rsid w:val="7D904D44"/>
    <w:rsid w:val="7DA57A41"/>
    <w:rsid w:val="7DD76104"/>
    <w:rsid w:val="7E2579D9"/>
    <w:rsid w:val="7EBB576E"/>
    <w:rsid w:val="7EED2948"/>
    <w:rsid w:val="7F3D00AE"/>
    <w:rsid w:val="7F7F692F"/>
    <w:rsid w:val="7FD11835"/>
    <w:rsid w:val="7FE02FB2"/>
    <w:rsid w:val="7FE409ED"/>
    <w:rsid w:val="EE7BC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99"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99" w:semiHidden="0" w:name="HTML Acronym"/>
    <w:lsdException w:unhideWhenUsed="0" w:uiPriority="0" w:semiHidden="0" w:name="HTML Address"/>
    <w:lsdException w:qFormat="1"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nhideWhenUsed="0" w:uiPriority="0" w:semiHidden="0" w:name="HTML Typewriter"/>
    <w:lsdException w:qFormat="1" w:unhideWhenUsed="0" w:uiPriority="99"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4"/>
    <w:qFormat/>
    <w:uiPriority w:val="0"/>
    <w:pPr>
      <w:keepNext/>
      <w:jc w:val="center"/>
      <w:outlineLvl w:val="0"/>
    </w:pPr>
    <w:rPr>
      <w:rFonts w:ascii="楷体_GB2312" w:hAnsi="Tahoma" w:eastAsia="楷体_GB2312"/>
      <w:b/>
      <w:bCs/>
    </w:rPr>
  </w:style>
  <w:style w:type="paragraph" w:styleId="4">
    <w:name w:val="heading 2"/>
    <w:basedOn w:val="1"/>
    <w:next w:val="1"/>
    <w:link w:val="192"/>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91"/>
    <w:qFormat/>
    <w:uiPriority w:val="0"/>
    <w:pPr>
      <w:keepNext/>
      <w:keepLines/>
      <w:spacing w:before="260" w:after="260" w:line="415" w:lineRule="auto"/>
      <w:outlineLvl w:val="2"/>
    </w:pPr>
    <w:rPr>
      <w:b/>
      <w:bCs/>
      <w:sz w:val="32"/>
      <w:szCs w:val="32"/>
    </w:rPr>
  </w:style>
  <w:style w:type="paragraph" w:styleId="6">
    <w:name w:val="heading 4"/>
    <w:basedOn w:val="1"/>
    <w:next w:val="1"/>
    <w:link w:val="189"/>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link w:val="196"/>
    <w:qFormat/>
    <w:uiPriority w:val="0"/>
    <w:pPr>
      <w:keepNext/>
      <w:keepLines/>
      <w:spacing w:before="280" w:after="290" w:line="372" w:lineRule="auto"/>
      <w:outlineLvl w:val="4"/>
    </w:pPr>
    <w:rPr>
      <w:rFonts w:ascii="仿宋_GB2312" w:hAnsi="Tahoma"/>
      <w:b/>
      <w:bCs/>
      <w:sz w:val="28"/>
      <w:szCs w:val="28"/>
    </w:rPr>
  </w:style>
  <w:style w:type="paragraph" w:styleId="8">
    <w:name w:val="heading 6"/>
    <w:basedOn w:val="1"/>
    <w:next w:val="1"/>
    <w:link w:val="188"/>
    <w:qFormat/>
    <w:uiPriority w:val="0"/>
    <w:pPr>
      <w:keepNext/>
      <w:keepLines/>
      <w:spacing w:before="240" w:after="64" w:line="319" w:lineRule="auto"/>
      <w:outlineLvl w:val="5"/>
    </w:pPr>
    <w:rPr>
      <w:rFonts w:ascii="Arial" w:hAnsi="Arial" w:eastAsia="黑体"/>
      <w:b/>
      <w:bCs/>
      <w:sz w:val="24"/>
    </w:rPr>
  </w:style>
  <w:style w:type="paragraph" w:styleId="9">
    <w:name w:val="heading 7"/>
    <w:basedOn w:val="1"/>
    <w:next w:val="1"/>
    <w:link w:val="187"/>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0">
    <w:name w:val="heading 8"/>
    <w:basedOn w:val="1"/>
    <w:next w:val="1"/>
    <w:link w:val="206"/>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1">
    <w:name w:val="heading 9"/>
    <w:basedOn w:val="1"/>
    <w:next w:val="1"/>
    <w:link w:val="201"/>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56">
    <w:name w:val="Default Paragraph Font"/>
    <w:unhideWhenUsed/>
    <w:qFormat/>
    <w:uiPriority w:val="1"/>
  </w:style>
  <w:style w:type="table" w:default="1" w:styleId="54">
    <w:name w:val="Normal Table"/>
    <w:unhideWhenUsed/>
    <w:qFormat/>
    <w:uiPriority w:val="99"/>
    <w:tblPr>
      <w:tblCellMar>
        <w:top w:w="0" w:type="dxa"/>
        <w:left w:w="108" w:type="dxa"/>
        <w:bottom w:w="0" w:type="dxa"/>
        <w:right w:w="108" w:type="dxa"/>
      </w:tblCellMar>
    </w:tblPr>
  </w:style>
  <w:style w:type="paragraph" w:styleId="2">
    <w:name w:val="macro"/>
    <w:link w:val="195"/>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toc 7"/>
    <w:basedOn w:val="1"/>
    <w:next w:val="1"/>
    <w:qFormat/>
    <w:uiPriority w:val="39"/>
    <w:pPr>
      <w:autoSpaceDE w:val="0"/>
      <w:autoSpaceDN w:val="0"/>
      <w:adjustRightInd w:val="0"/>
      <w:ind w:left="2520" w:leftChars="1200"/>
      <w:jc w:val="left"/>
    </w:pPr>
    <w:rPr>
      <w:kern w:val="0"/>
      <w:sz w:val="20"/>
      <w:szCs w:val="20"/>
    </w:rPr>
  </w:style>
  <w:style w:type="paragraph" w:styleId="13">
    <w:name w:val="List Number"/>
    <w:basedOn w:val="1"/>
    <w:qFormat/>
    <w:uiPriority w:val="0"/>
    <w:pPr>
      <w:tabs>
        <w:tab w:val="left" w:pos="360"/>
      </w:tabs>
      <w:ind w:left="360" w:hanging="360" w:hangingChars="200"/>
    </w:pPr>
  </w:style>
  <w:style w:type="paragraph" w:styleId="14">
    <w:name w:val="Normal Indent"/>
    <w:basedOn w:val="1"/>
    <w:next w:val="1"/>
    <w:link w:val="185"/>
    <w:qFormat/>
    <w:uiPriority w:val="0"/>
    <w:pPr>
      <w:adjustRightInd w:val="0"/>
      <w:spacing w:line="312" w:lineRule="atLeast"/>
      <w:ind w:firstLine="420"/>
      <w:textAlignment w:val="baseline"/>
    </w:pPr>
    <w:rPr>
      <w:kern w:val="0"/>
      <w:szCs w:val="20"/>
    </w:r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numPr>
        <w:ilvl w:val="0"/>
        <w:numId w:val="1"/>
      </w:numPr>
      <w:tabs>
        <w:tab w:val="clear" w:pos="1080"/>
      </w:tabs>
    </w:pPr>
    <w:rPr>
      <w:szCs w:val="22"/>
    </w:rPr>
  </w:style>
  <w:style w:type="paragraph" w:styleId="17">
    <w:name w:val="Document Map"/>
    <w:basedOn w:val="1"/>
    <w:link w:val="183"/>
    <w:qFormat/>
    <w:uiPriority w:val="0"/>
    <w:pPr>
      <w:shd w:val="clear" w:color="auto" w:fill="000080"/>
    </w:pPr>
  </w:style>
  <w:style w:type="paragraph" w:styleId="18">
    <w:name w:val="annotation text"/>
    <w:basedOn w:val="1"/>
    <w:link w:val="182"/>
    <w:qFormat/>
    <w:uiPriority w:val="0"/>
    <w:pPr>
      <w:jc w:val="left"/>
    </w:pPr>
  </w:style>
  <w:style w:type="paragraph" w:styleId="19">
    <w:name w:val="Salutation"/>
    <w:basedOn w:val="1"/>
    <w:next w:val="1"/>
    <w:link w:val="243"/>
    <w:qFormat/>
    <w:uiPriority w:val="0"/>
    <w:pPr>
      <w:tabs>
        <w:tab w:val="left" w:pos="840"/>
      </w:tabs>
      <w:autoSpaceDE w:val="0"/>
      <w:autoSpaceDN w:val="0"/>
      <w:adjustRightInd w:val="0"/>
      <w:jc w:val="left"/>
    </w:pPr>
    <w:rPr>
      <w:kern w:val="0"/>
      <w:sz w:val="24"/>
      <w:szCs w:val="20"/>
    </w:rPr>
  </w:style>
  <w:style w:type="paragraph" w:styleId="20">
    <w:name w:val="Body Text 3"/>
    <w:basedOn w:val="1"/>
    <w:link w:val="181"/>
    <w:qFormat/>
    <w:uiPriority w:val="0"/>
    <w:pPr>
      <w:autoSpaceDE w:val="0"/>
      <w:autoSpaceDN w:val="0"/>
      <w:adjustRightInd w:val="0"/>
      <w:jc w:val="center"/>
    </w:pPr>
    <w:rPr>
      <w:kern w:val="0"/>
      <w:sz w:val="20"/>
      <w:szCs w:val="20"/>
    </w:rPr>
  </w:style>
  <w:style w:type="paragraph" w:styleId="21">
    <w:name w:val="Body Text"/>
    <w:basedOn w:val="1"/>
    <w:next w:val="22"/>
    <w:link w:val="204"/>
    <w:qFormat/>
    <w:uiPriority w:val="0"/>
    <w:pPr>
      <w:spacing w:after="120"/>
    </w:pPr>
    <w:rPr>
      <w:rFonts w:ascii="Tahoma" w:hAnsi="Tahoma"/>
    </w:rPr>
  </w:style>
  <w:style w:type="paragraph" w:styleId="22">
    <w:name w:val="Body Text First Indent"/>
    <w:basedOn w:val="21"/>
    <w:next w:val="23"/>
    <w:link w:val="180"/>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23">
    <w:name w:val="toc 6"/>
    <w:basedOn w:val="1"/>
    <w:next w:val="1"/>
    <w:qFormat/>
    <w:uiPriority w:val="39"/>
    <w:pPr>
      <w:autoSpaceDE w:val="0"/>
      <w:autoSpaceDN w:val="0"/>
      <w:adjustRightInd w:val="0"/>
      <w:ind w:left="2100" w:leftChars="1000"/>
      <w:jc w:val="left"/>
    </w:pPr>
    <w:rPr>
      <w:kern w:val="0"/>
      <w:sz w:val="20"/>
      <w:szCs w:val="20"/>
    </w:rPr>
  </w:style>
  <w:style w:type="paragraph" w:styleId="24">
    <w:name w:val="Body Text Indent"/>
    <w:basedOn w:val="1"/>
    <w:link w:val="179"/>
    <w:qFormat/>
    <w:uiPriority w:val="0"/>
    <w:pPr>
      <w:adjustRightInd w:val="0"/>
      <w:spacing w:line="360" w:lineRule="auto"/>
      <w:ind w:firstLine="490"/>
      <w:jc w:val="left"/>
    </w:pPr>
    <w:rPr>
      <w:rFonts w:ascii="宋体" w:hAnsi="宋体"/>
      <w:sz w:val="24"/>
      <w:szCs w:val="20"/>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99"/>
    <w:pPr>
      <w:spacing w:after="120"/>
      <w:ind w:left="1440" w:leftChars="700" w:right="1440" w:rightChars="700"/>
    </w:pPr>
    <w:rPr>
      <w:szCs w:val="22"/>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39"/>
    <w:pPr>
      <w:autoSpaceDE w:val="0"/>
      <w:autoSpaceDN w:val="0"/>
      <w:adjustRightInd w:val="0"/>
      <w:ind w:left="1680" w:leftChars="800"/>
      <w:jc w:val="left"/>
    </w:pPr>
    <w:rPr>
      <w:kern w:val="0"/>
      <w:sz w:val="20"/>
      <w:szCs w:val="20"/>
    </w:rPr>
  </w:style>
  <w:style w:type="paragraph" w:styleId="29">
    <w:name w:val="toc 3"/>
    <w:basedOn w:val="1"/>
    <w:next w:val="1"/>
    <w:qFormat/>
    <w:uiPriority w:val="39"/>
    <w:pPr>
      <w:ind w:left="840" w:leftChars="400"/>
    </w:pPr>
  </w:style>
  <w:style w:type="paragraph" w:styleId="30">
    <w:name w:val="Plain Text"/>
    <w:basedOn w:val="1"/>
    <w:next w:val="1"/>
    <w:link w:val="178"/>
    <w:qFormat/>
    <w:uiPriority w:val="0"/>
    <w:rPr>
      <w:rFonts w:ascii="宋体" w:hAnsi="Courier New"/>
      <w:szCs w:val="20"/>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39"/>
    <w:pPr>
      <w:autoSpaceDE w:val="0"/>
      <w:autoSpaceDN w:val="0"/>
      <w:adjustRightInd w:val="0"/>
      <w:ind w:left="2940" w:leftChars="1400"/>
      <w:jc w:val="left"/>
    </w:pPr>
    <w:rPr>
      <w:kern w:val="0"/>
      <w:sz w:val="20"/>
      <w:szCs w:val="20"/>
    </w:rPr>
  </w:style>
  <w:style w:type="paragraph" w:styleId="33">
    <w:name w:val="Date"/>
    <w:basedOn w:val="1"/>
    <w:next w:val="1"/>
    <w:link w:val="202"/>
    <w:qFormat/>
    <w:uiPriority w:val="0"/>
    <w:pPr>
      <w:spacing w:line="440" w:lineRule="exact"/>
    </w:pPr>
    <w:rPr>
      <w:spacing w:val="12"/>
      <w:sz w:val="24"/>
      <w:szCs w:val="20"/>
    </w:rPr>
  </w:style>
  <w:style w:type="paragraph" w:styleId="34">
    <w:name w:val="Body Text Indent 2"/>
    <w:basedOn w:val="1"/>
    <w:link w:val="177"/>
    <w:qFormat/>
    <w:uiPriority w:val="0"/>
    <w:pPr>
      <w:spacing w:after="120" w:line="480" w:lineRule="auto"/>
      <w:ind w:left="420" w:leftChars="200"/>
    </w:pPr>
  </w:style>
  <w:style w:type="paragraph" w:styleId="35">
    <w:name w:val="Balloon Text"/>
    <w:basedOn w:val="1"/>
    <w:link w:val="176"/>
    <w:qFormat/>
    <w:uiPriority w:val="0"/>
    <w:rPr>
      <w:sz w:val="18"/>
      <w:szCs w:val="18"/>
    </w:rPr>
  </w:style>
  <w:style w:type="paragraph" w:styleId="36">
    <w:name w:val="footer"/>
    <w:basedOn w:val="1"/>
    <w:link w:val="175"/>
    <w:qFormat/>
    <w:uiPriority w:val="0"/>
    <w:pPr>
      <w:tabs>
        <w:tab w:val="center" w:pos="4153"/>
        <w:tab w:val="right" w:pos="8306"/>
      </w:tabs>
      <w:snapToGrid w:val="0"/>
      <w:jc w:val="left"/>
    </w:pPr>
    <w:rPr>
      <w:sz w:val="18"/>
      <w:szCs w:val="18"/>
    </w:rPr>
  </w:style>
  <w:style w:type="paragraph" w:styleId="37">
    <w:name w:val="header"/>
    <w:basedOn w:val="1"/>
    <w:link w:val="174"/>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173"/>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39">
    <w:name w:val="toc 1"/>
    <w:basedOn w:val="1"/>
    <w:next w:val="1"/>
    <w:qFormat/>
    <w:uiPriority w:val="39"/>
    <w:pPr>
      <w:spacing w:line="360" w:lineRule="exact"/>
      <w:ind w:left="718" w:hanging="718" w:hangingChars="342"/>
    </w:pPr>
    <w:rPr>
      <w:rFonts w:ascii="Arial" w:hAnsi="Arial" w:eastAsia="楷体_GB2312" w:cs="Arial"/>
    </w:rPr>
  </w:style>
  <w:style w:type="paragraph" w:styleId="40">
    <w:name w:val="toc 4"/>
    <w:basedOn w:val="1"/>
    <w:next w:val="1"/>
    <w:qFormat/>
    <w:uiPriority w:val="39"/>
    <w:pPr>
      <w:autoSpaceDE w:val="0"/>
      <w:autoSpaceDN w:val="0"/>
      <w:adjustRightInd w:val="0"/>
      <w:ind w:left="1260" w:leftChars="600"/>
      <w:jc w:val="left"/>
    </w:pPr>
    <w:rPr>
      <w:kern w:val="0"/>
      <w:sz w:val="20"/>
      <w:szCs w:val="20"/>
    </w:rPr>
  </w:style>
  <w:style w:type="paragraph" w:styleId="41">
    <w:name w:val="Subtitle"/>
    <w:basedOn w:val="1"/>
    <w:next w:val="1"/>
    <w:link w:val="172"/>
    <w:qFormat/>
    <w:uiPriority w:val="0"/>
    <w:pPr>
      <w:spacing w:before="240" w:after="60" w:line="312" w:lineRule="auto"/>
      <w:jc w:val="center"/>
      <w:outlineLvl w:val="1"/>
    </w:pPr>
    <w:rPr>
      <w:rFonts w:ascii="Cambria" w:hAnsi="Cambria"/>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qFormat/>
    <w:uiPriority w:val="0"/>
    <w:pPr>
      <w:ind w:left="200" w:hanging="200" w:hangingChars="200"/>
    </w:pPr>
    <w:rPr>
      <w:sz w:val="28"/>
    </w:rPr>
  </w:style>
  <w:style w:type="paragraph" w:styleId="44">
    <w:name w:val="Body Text Indent 3"/>
    <w:basedOn w:val="1"/>
    <w:link w:val="171"/>
    <w:qFormat/>
    <w:uiPriority w:val="0"/>
    <w:pPr>
      <w:spacing w:after="120"/>
      <w:ind w:left="420" w:leftChars="200"/>
    </w:pPr>
    <w:rPr>
      <w:sz w:val="16"/>
      <w:szCs w:val="16"/>
    </w:rPr>
  </w:style>
  <w:style w:type="paragraph" w:styleId="45">
    <w:name w:val="toc 2"/>
    <w:basedOn w:val="1"/>
    <w:next w:val="1"/>
    <w:qFormat/>
    <w:uiPriority w:val="39"/>
    <w:pPr>
      <w:ind w:left="420" w:leftChars="200"/>
    </w:pPr>
  </w:style>
  <w:style w:type="paragraph" w:styleId="46">
    <w:name w:val="toc 9"/>
    <w:basedOn w:val="1"/>
    <w:next w:val="1"/>
    <w:qFormat/>
    <w:uiPriority w:val="39"/>
    <w:pPr>
      <w:autoSpaceDE w:val="0"/>
      <w:autoSpaceDN w:val="0"/>
      <w:adjustRightInd w:val="0"/>
      <w:ind w:left="3360" w:leftChars="1600"/>
      <w:jc w:val="left"/>
    </w:pPr>
    <w:rPr>
      <w:kern w:val="0"/>
      <w:sz w:val="20"/>
      <w:szCs w:val="20"/>
    </w:rPr>
  </w:style>
  <w:style w:type="paragraph" w:styleId="47">
    <w:name w:val="Body Text 2"/>
    <w:basedOn w:val="1"/>
    <w:link w:val="245"/>
    <w:qFormat/>
    <w:uiPriority w:val="0"/>
    <w:pPr>
      <w:autoSpaceDE w:val="0"/>
      <w:autoSpaceDN w:val="0"/>
      <w:adjustRightInd w:val="0"/>
      <w:spacing w:after="120" w:line="480" w:lineRule="auto"/>
      <w:jc w:val="left"/>
    </w:pPr>
    <w:rPr>
      <w:kern w:val="0"/>
      <w:sz w:val="20"/>
      <w:szCs w:val="20"/>
    </w:rPr>
  </w:style>
  <w:style w:type="paragraph" w:styleId="48">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微软雅黑" w:hAnsi="微软雅黑" w:eastAsia="微软雅黑"/>
      <w:kern w:val="0"/>
      <w:sz w:val="24"/>
    </w:rPr>
  </w:style>
  <w:style w:type="paragraph" w:styleId="49">
    <w:name w:val="Normal (Web)"/>
    <w:basedOn w:val="1"/>
    <w:qFormat/>
    <w:uiPriority w:val="0"/>
    <w:pPr>
      <w:widowControl/>
      <w:spacing w:before="100" w:beforeAutospacing="1" w:after="100" w:afterAutospacing="1"/>
      <w:jc w:val="left"/>
    </w:pPr>
    <w:rPr>
      <w:rFonts w:hint="eastAsia" w:ascii="宋体" w:hAnsi="宋体"/>
      <w:color w:val="000000"/>
      <w:kern w:val="0"/>
      <w:sz w:val="24"/>
    </w:rPr>
  </w:style>
  <w:style w:type="paragraph" w:styleId="50">
    <w:name w:val="index 1"/>
    <w:basedOn w:val="1"/>
    <w:next w:val="1"/>
    <w:qFormat/>
    <w:uiPriority w:val="0"/>
    <w:pPr>
      <w:spacing w:line="220" w:lineRule="exact"/>
      <w:jc w:val="center"/>
    </w:pPr>
    <w:rPr>
      <w:rFonts w:ascii="仿宋_GB2312" w:eastAsia="仿宋_GB2312"/>
      <w:szCs w:val="21"/>
    </w:rPr>
  </w:style>
  <w:style w:type="paragraph" w:styleId="51">
    <w:name w:val="Title"/>
    <w:basedOn w:val="1"/>
    <w:link w:val="170"/>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2">
    <w:name w:val="annotation subject"/>
    <w:basedOn w:val="18"/>
    <w:next w:val="18"/>
    <w:link w:val="169"/>
    <w:qFormat/>
    <w:uiPriority w:val="0"/>
    <w:rPr>
      <w:b/>
      <w:bCs/>
    </w:rPr>
  </w:style>
  <w:style w:type="paragraph" w:styleId="53">
    <w:name w:val="Body Text First Indent 2"/>
    <w:basedOn w:val="24"/>
    <w:unhideWhenUsed/>
    <w:qFormat/>
    <w:uiPriority w:val="99"/>
    <w:pPr>
      <w:ind w:firstLine="420" w:firstLineChars="200"/>
    </w:pPr>
  </w:style>
  <w:style w:type="table" w:styleId="55">
    <w:name w:val="Table Grid"/>
    <w:basedOn w:val="5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basedOn w:val="56"/>
    <w:qFormat/>
    <w:uiPriority w:val="0"/>
    <w:rPr>
      <w:rFonts w:ascii="仿宋_GB2312" w:eastAsia="仿宋_GB2312"/>
      <w:bCs/>
      <w:sz w:val="32"/>
      <w:szCs w:val="32"/>
    </w:rPr>
  </w:style>
  <w:style w:type="character" w:styleId="58">
    <w:name w:val="page number"/>
    <w:qFormat/>
    <w:uiPriority w:val="0"/>
  </w:style>
  <w:style w:type="character" w:styleId="59">
    <w:name w:val="FollowedHyperlink"/>
    <w:qFormat/>
    <w:uiPriority w:val="0"/>
    <w:rPr>
      <w:rFonts w:ascii="仿宋_GB2312" w:eastAsia="仿宋_GB2312"/>
      <w:b/>
      <w:color w:val="800080"/>
      <w:sz w:val="32"/>
      <w:szCs w:val="32"/>
      <w:u w:val="single"/>
    </w:rPr>
  </w:style>
  <w:style w:type="character" w:styleId="60">
    <w:name w:val="Emphasis"/>
    <w:qFormat/>
    <w:uiPriority w:val="0"/>
    <w:rPr>
      <w:i/>
      <w:iCs/>
    </w:rPr>
  </w:style>
  <w:style w:type="character" w:styleId="61">
    <w:name w:val="line number"/>
    <w:qFormat/>
    <w:uiPriority w:val="0"/>
    <w:rPr>
      <w:rFonts w:ascii="仿宋_GB2312" w:hAnsi="Tahoma" w:eastAsia="仿宋_GB2312"/>
      <w:b/>
      <w:sz w:val="32"/>
      <w:szCs w:val="32"/>
    </w:rPr>
  </w:style>
  <w:style w:type="character" w:styleId="62">
    <w:name w:val="HTML Definition"/>
    <w:qFormat/>
    <w:uiPriority w:val="99"/>
    <w:rPr>
      <w:szCs w:val="20"/>
    </w:rPr>
  </w:style>
  <w:style w:type="character" w:styleId="63">
    <w:name w:val="HTML Acronym"/>
    <w:qFormat/>
    <w:uiPriority w:val="99"/>
  </w:style>
  <w:style w:type="character" w:styleId="64">
    <w:name w:val="HTML Variable"/>
    <w:qFormat/>
    <w:uiPriority w:val="99"/>
    <w:rPr>
      <w:szCs w:val="20"/>
    </w:rPr>
  </w:style>
  <w:style w:type="character" w:styleId="65">
    <w:name w:val="Hyperlink"/>
    <w:qFormat/>
    <w:uiPriority w:val="99"/>
    <w:rPr>
      <w:rFonts w:ascii="仿宋_GB2312" w:eastAsia="仿宋_GB2312"/>
      <w:color w:val="000000"/>
      <w:sz w:val="20"/>
      <w:szCs w:val="20"/>
      <w:u w:val="none"/>
    </w:rPr>
  </w:style>
  <w:style w:type="character" w:styleId="66">
    <w:name w:val="HTML Code"/>
    <w:qFormat/>
    <w:uiPriority w:val="99"/>
    <w:rPr>
      <w:rFonts w:hint="eastAsia" w:ascii="微软雅黑" w:hAnsi="微软雅黑" w:eastAsia="微软雅黑" w:cs="微软雅黑"/>
      <w:sz w:val="20"/>
      <w:szCs w:val="20"/>
    </w:rPr>
  </w:style>
  <w:style w:type="character" w:styleId="67">
    <w:name w:val="annotation reference"/>
    <w:qFormat/>
    <w:uiPriority w:val="99"/>
    <w:rPr>
      <w:sz w:val="21"/>
      <w:szCs w:val="21"/>
    </w:rPr>
  </w:style>
  <w:style w:type="character" w:styleId="68">
    <w:name w:val="HTML Cite"/>
    <w:qFormat/>
    <w:uiPriority w:val="0"/>
    <w:rPr>
      <w:color w:val="008000"/>
    </w:rPr>
  </w:style>
  <w:style w:type="character" w:styleId="69">
    <w:name w:val="footnote reference"/>
    <w:qFormat/>
    <w:uiPriority w:val="0"/>
    <w:rPr>
      <w:vertAlign w:val="superscript"/>
    </w:rPr>
  </w:style>
  <w:style w:type="character" w:styleId="70">
    <w:name w:val="HTML Keyboard"/>
    <w:qFormat/>
    <w:uiPriority w:val="99"/>
    <w:rPr>
      <w:rFonts w:hint="eastAsia" w:ascii="微软雅黑" w:hAnsi="微软雅黑" w:eastAsia="微软雅黑" w:cs="微软雅黑"/>
      <w:sz w:val="20"/>
      <w:szCs w:val="20"/>
    </w:rPr>
  </w:style>
  <w:style w:type="character" w:styleId="71">
    <w:name w:val="HTML Sample"/>
    <w:qFormat/>
    <w:uiPriority w:val="99"/>
    <w:rPr>
      <w:rFonts w:hint="eastAsia" w:ascii="微软雅黑" w:hAnsi="微软雅黑" w:eastAsia="微软雅黑" w:cs="微软雅黑"/>
      <w:szCs w:val="20"/>
    </w:rPr>
  </w:style>
  <w:style w:type="paragraph" w:customStyle="1" w:styleId="7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3">
    <w:name w:val="标题 1 Char"/>
    <w:qFormat/>
    <w:uiPriority w:val="0"/>
    <w:rPr>
      <w:rFonts w:eastAsia="宋体"/>
      <w:b/>
      <w:bCs/>
      <w:kern w:val="44"/>
      <w:sz w:val="44"/>
      <w:szCs w:val="44"/>
      <w:lang w:val="en-US" w:eastAsia="zh-CN" w:bidi="ar-SA"/>
    </w:rPr>
  </w:style>
  <w:style w:type="character" w:customStyle="1" w:styleId="74">
    <w:name w:val="heading 2 Char"/>
    <w:qFormat/>
    <w:uiPriority w:val="0"/>
    <w:rPr>
      <w:rFonts w:ascii="Arial" w:hAnsi="Arial" w:eastAsia="黑体" w:cs="Times New Roman"/>
      <w:b/>
      <w:sz w:val="30"/>
      <w:szCs w:val="24"/>
    </w:rPr>
  </w:style>
  <w:style w:type="character" w:customStyle="1" w:styleId="75">
    <w:name w:val="PI Char2"/>
    <w:qFormat/>
    <w:uiPriority w:val="0"/>
    <w:rPr>
      <w:rFonts w:ascii="仿宋_GB2312" w:eastAsia="仿宋_GB2312"/>
      <w:b/>
      <w:kern w:val="2"/>
      <w:sz w:val="24"/>
      <w:szCs w:val="24"/>
    </w:rPr>
  </w:style>
  <w:style w:type="character" w:customStyle="1" w:styleId="76">
    <w:name w:val="style111"/>
    <w:qFormat/>
    <w:uiPriority w:val="0"/>
    <w:rPr>
      <w:sz w:val="27"/>
      <w:szCs w:val="27"/>
    </w:rPr>
  </w:style>
  <w:style w:type="character" w:customStyle="1" w:styleId="77">
    <w:name w:val="标题 Char1"/>
    <w:qFormat/>
    <w:uiPriority w:val="10"/>
    <w:rPr>
      <w:rFonts w:ascii="Cambria" w:hAnsi="Cambria" w:cs="Times New Roman"/>
      <w:b/>
      <w:bCs/>
      <w:kern w:val="2"/>
      <w:sz w:val="32"/>
      <w:szCs w:val="32"/>
    </w:rPr>
  </w:style>
  <w:style w:type="character" w:customStyle="1" w:styleId="78">
    <w:name w:val="font01"/>
    <w:qFormat/>
    <w:uiPriority w:val="0"/>
    <w:rPr>
      <w:rFonts w:hint="eastAsia" w:ascii="宋体" w:hAnsi="宋体" w:eastAsia="宋体" w:cs="宋体"/>
      <w:color w:val="000000"/>
      <w:sz w:val="22"/>
      <w:szCs w:val="22"/>
      <w:u w:val="none"/>
    </w:rPr>
  </w:style>
  <w:style w:type="character" w:customStyle="1" w:styleId="79">
    <w:name w:val="heading 4 Char2"/>
    <w:qFormat/>
    <w:uiPriority w:val="0"/>
    <w:rPr>
      <w:rFonts w:ascii="Cambria" w:hAnsi="Cambria" w:eastAsia="仿宋_GB2312"/>
      <w:b/>
      <w:bCs/>
      <w:kern w:val="2"/>
      <w:sz w:val="28"/>
      <w:szCs w:val="28"/>
    </w:rPr>
  </w:style>
  <w:style w:type="character" w:customStyle="1" w:styleId="80">
    <w:name w:val="不明显参考1"/>
    <w:qFormat/>
    <w:uiPriority w:val="0"/>
    <w:rPr>
      <w:smallCaps/>
      <w:color w:val="C0504D"/>
      <w:u w:val="single"/>
    </w:rPr>
  </w:style>
  <w:style w:type="character" w:customStyle="1" w:styleId="81">
    <w:name w:val="书籍标题1"/>
    <w:qFormat/>
    <w:uiPriority w:val="0"/>
    <w:rPr>
      <w:b/>
      <w:bCs/>
      <w:smallCaps/>
      <w:spacing w:val="5"/>
    </w:rPr>
  </w:style>
  <w:style w:type="character" w:customStyle="1" w:styleId="82">
    <w:name w:val="引用 Char1"/>
    <w:qFormat/>
    <w:uiPriority w:val="99"/>
    <w:rPr>
      <w:rFonts w:ascii="Tahoma" w:hAnsi="Tahoma"/>
      <w:i/>
      <w:iCs/>
      <w:color w:val="000000"/>
      <w:kern w:val="2"/>
      <w:sz w:val="21"/>
      <w:szCs w:val="24"/>
    </w:rPr>
  </w:style>
  <w:style w:type="character" w:customStyle="1" w:styleId="83">
    <w:name w:val="样式 标题 3 + 黑体 小四 Char Char"/>
    <w:link w:val="84"/>
    <w:qFormat/>
    <w:uiPriority w:val="0"/>
    <w:rPr>
      <w:rFonts w:ascii="黑体" w:hAnsi="Arial" w:eastAsia="黑体"/>
      <w:bCs/>
      <w:sz w:val="24"/>
      <w:szCs w:val="24"/>
    </w:rPr>
  </w:style>
  <w:style w:type="paragraph" w:customStyle="1" w:styleId="84">
    <w:name w:val="样式 标题 3 + 黑体 小四"/>
    <w:basedOn w:val="5"/>
    <w:link w:val="83"/>
    <w:qFormat/>
    <w:uiPriority w:val="0"/>
    <w:pPr>
      <w:spacing w:line="413" w:lineRule="auto"/>
    </w:pPr>
    <w:rPr>
      <w:rFonts w:ascii="黑体" w:hAnsi="Arial" w:eastAsia="黑体"/>
      <w:b w:val="0"/>
      <w:kern w:val="0"/>
      <w:sz w:val="24"/>
      <w:szCs w:val="24"/>
    </w:rPr>
  </w:style>
  <w:style w:type="character" w:customStyle="1" w:styleId="85">
    <w:name w:val="Style3"/>
    <w:qFormat/>
    <w:uiPriority w:val="0"/>
    <w:rPr>
      <w:rFonts w:ascii="Calibri" w:hAnsi="宋体" w:eastAsia="宋体" w:cs="Times New Roman"/>
      <w:szCs w:val="22"/>
      <w:lang w:eastAsia="zh-CN"/>
    </w:rPr>
  </w:style>
  <w:style w:type="character" w:customStyle="1" w:styleId="86">
    <w:name w:val="明显引用 字符"/>
    <w:link w:val="87"/>
    <w:qFormat/>
    <w:uiPriority w:val="0"/>
    <w:rPr>
      <w:rFonts w:ascii="Calibri" w:hAnsi="Calibri"/>
      <w:b/>
      <w:bCs/>
      <w:i/>
      <w:iCs/>
      <w:color w:val="4F81BD"/>
      <w:sz w:val="32"/>
      <w:szCs w:val="32"/>
    </w:rPr>
  </w:style>
  <w:style w:type="paragraph" w:customStyle="1" w:styleId="87">
    <w:name w:val="Intense Quote"/>
    <w:basedOn w:val="1"/>
    <w:next w:val="1"/>
    <w:link w:val="86"/>
    <w:qFormat/>
    <w:uiPriority w:val="0"/>
    <w:pPr>
      <w:pBdr>
        <w:bottom w:val="single" w:color="4F81BD" w:sz="4" w:space="4"/>
      </w:pBdr>
      <w:spacing w:before="200" w:after="280"/>
      <w:ind w:left="936" w:right="936"/>
    </w:pPr>
    <w:rPr>
      <w:rFonts w:ascii="Calibri" w:hAnsi="Calibri"/>
      <w:b/>
      <w:bCs/>
      <w:i/>
      <w:iCs/>
      <w:color w:val="4F81BD"/>
      <w:kern w:val="0"/>
      <w:sz w:val="32"/>
      <w:szCs w:val="32"/>
    </w:rPr>
  </w:style>
  <w:style w:type="character" w:customStyle="1" w:styleId="88">
    <w:name w:val="heading 1 Char2"/>
    <w:qFormat/>
    <w:uiPriority w:val="0"/>
    <w:rPr>
      <w:rFonts w:ascii="仿宋_GB2312" w:eastAsia="仿宋_GB2312"/>
      <w:b/>
      <w:bCs/>
      <w:kern w:val="44"/>
      <w:sz w:val="44"/>
      <w:szCs w:val="44"/>
    </w:rPr>
  </w:style>
  <w:style w:type="character" w:customStyle="1" w:styleId="89">
    <w:name w:val="doc"/>
    <w:qFormat/>
    <w:uiPriority w:val="0"/>
  </w:style>
  <w:style w:type="character" w:customStyle="1" w:styleId="90">
    <w:name w:val="Footer-Even Char2"/>
    <w:qFormat/>
    <w:uiPriority w:val="0"/>
    <w:rPr>
      <w:rFonts w:ascii="仿宋_GB2312" w:eastAsia="仿宋_GB2312"/>
      <w:b/>
      <w:kern w:val="2"/>
      <w:sz w:val="18"/>
      <w:szCs w:val="18"/>
    </w:rPr>
  </w:style>
  <w:style w:type="character" w:customStyle="1" w:styleId="91">
    <w:name w:val="hui"/>
    <w:qFormat/>
    <w:uiPriority w:val="0"/>
    <w:rPr>
      <w:rFonts w:ascii="仿宋_GB2312" w:hAnsi="Tahoma" w:eastAsia="仿宋_GB2312"/>
      <w:b/>
      <w:sz w:val="32"/>
      <w:szCs w:val="32"/>
    </w:rPr>
  </w:style>
  <w:style w:type="character" w:customStyle="1" w:styleId="92">
    <w:name w:val="列表段落 字符"/>
    <w:link w:val="93"/>
    <w:qFormat/>
    <w:uiPriority w:val="34"/>
    <w:rPr>
      <w:rFonts w:ascii="Calibri" w:hAnsi="Calibri"/>
      <w:kern w:val="2"/>
      <w:sz w:val="21"/>
      <w:szCs w:val="24"/>
    </w:rPr>
  </w:style>
  <w:style w:type="paragraph" w:customStyle="1" w:styleId="93">
    <w:name w:val="List Paragraph"/>
    <w:basedOn w:val="1"/>
    <w:link w:val="92"/>
    <w:qFormat/>
    <w:uiPriority w:val="34"/>
    <w:pPr>
      <w:ind w:firstLine="420" w:firstLineChars="200"/>
    </w:pPr>
    <w:rPr>
      <w:rFonts w:ascii="Calibri" w:hAnsi="Calibri"/>
    </w:rPr>
  </w:style>
  <w:style w:type="character" w:customStyle="1" w:styleId="94">
    <w:name w:val="heading 7 Char1"/>
    <w:qFormat/>
    <w:uiPriority w:val="0"/>
    <w:rPr>
      <w:rFonts w:ascii="Arial" w:hAnsi="Arial" w:eastAsia="黑体"/>
      <w:b/>
      <w:sz w:val="21"/>
      <w:szCs w:val="21"/>
      <w:lang w:val="en-US" w:eastAsia="zh-CN" w:bidi="ar-SA"/>
    </w:rPr>
  </w:style>
  <w:style w:type="character" w:customStyle="1" w:styleId="95">
    <w:name w:val="Char Char21"/>
    <w:qFormat/>
    <w:uiPriority w:val="0"/>
    <w:rPr>
      <w:rFonts w:ascii="Times New Roman" w:hAnsi="Times New Roman" w:eastAsia="宋体" w:cs="Times New Roman"/>
      <w:b/>
      <w:bCs/>
      <w:kern w:val="44"/>
      <w:sz w:val="44"/>
      <w:szCs w:val="44"/>
    </w:rPr>
  </w:style>
  <w:style w:type="character" w:customStyle="1" w:styleId="96">
    <w:name w:val="表正文 Char2"/>
    <w:qFormat/>
    <w:uiPriority w:val="0"/>
    <w:rPr>
      <w:rFonts w:ascii="Times New Roman" w:hAnsi="Times New Roman" w:eastAsia="宋体" w:cs="Times New Roman"/>
      <w:szCs w:val="24"/>
    </w:rPr>
  </w:style>
  <w:style w:type="character" w:customStyle="1" w:styleId="97">
    <w:name w:val="正文文本缩进 2 Char"/>
    <w:qFormat/>
    <w:uiPriority w:val="0"/>
    <w:rPr>
      <w:kern w:val="2"/>
      <w:sz w:val="21"/>
      <w:szCs w:val="24"/>
    </w:rPr>
  </w:style>
  <w:style w:type="character" w:customStyle="1" w:styleId="98">
    <w:name w:val="宏文本 Char1"/>
    <w:qFormat/>
    <w:uiPriority w:val="99"/>
    <w:rPr>
      <w:rFonts w:ascii="Courier New" w:hAnsi="Courier New" w:cs="Courier New"/>
      <w:kern w:val="2"/>
      <w:sz w:val="24"/>
      <w:szCs w:val="24"/>
    </w:rPr>
  </w:style>
  <w:style w:type="character" w:customStyle="1" w:styleId="99">
    <w:name w:val="Texte Char Char"/>
    <w:qFormat/>
    <w:uiPriority w:val="0"/>
    <w:rPr>
      <w:rFonts w:ascii="宋体" w:hAnsi="Courier New" w:eastAsia="宋体"/>
      <w:b/>
      <w:sz w:val="21"/>
      <w:szCs w:val="21"/>
      <w:lang w:val="en-US" w:eastAsia="zh-CN" w:bidi="ar-SA"/>
    </w:rPr>
  </w:style>
  <w:style w:type="character" w:customStyle="1" w:styleId="100">
    <w:name w:val="fr"/>
    <w:qFormat/>
    <w:uiPriority w:val="0"/>
  </w:style>
  <w:style w:type="character" w:customStyle="1" w:styleId="101">
    <w:name w:val="style41"/>
    <w:qFormat/>
    <w:uiPriority w:val="0"/>
    <w:rPr>
      <w:rFonts w:ascii="仿宋_GB2312" w:eastAsia="仿宋_GB2312"/>
      <w:b/>
      <w:color w:val="auto"/>
      <w:sz w:val="32"/>
      <w:szCs w:val="32"/>
    </w:rPr>
  </w:style>
  <w:style w:type="character" w:customStyle="1" w:styleId="102">
    <w:name w:val="red"/>
    <w:qFormat/>
    <w:uiPriority w:val="0"/>
    <w:rPr>
      <w:color w:val="FF0000"/>
      <w:szCs w:val="20"/>
    </w:rPr>
  </w:style>
  <w:style w:type="character" w:customStyle="1" w:styleId="103">
    <w:name w:val="正文首行缩进 Char1"/>
    <w:qFormat/>
    <w:uiPriority w:val="0"/>
    <w:rPr>
      <w:rFonts w:ascii="Tahoma" w:hAnsi="Tahoma"/>
      <w:kern w:val="2"/>
      <w:sz w:val="21"/>
      <w:szCs w:val="24"/>
    </w:rPr>
  </w:style>
  <w:style w:type="character" w:customStyle="1" w:styleId="104">
    <w:name w:val="doc1"/>
    <w:qFormat/>
    <w:uiPriority w:val="0"/>
  </w:style>
  <w:style w:type="character" w:customStyle="1" w:styleId="105">
    <w:name w:val="Char Char Char Char Char Char Char Char Char"/>
    <w:qFormat/>
    <w:uiPriority w:val="0"/>
    <w:rPr>
      <w:rFonts w:ascii="宋体" w:hAnsi="Courier New" w:eastAsia="宋体"/>
      <w:b/>
      <w:sz w:val="21"/>
      <w:szCs w:val="21"/>
      <w:lang w:val="en-US" w:eastAsia="zh-CN" w:bidi="ar-SA"/>
    </w:rPr>
  </w:style>
  <w:style w:type="character" w:customStyle="1" w:styleId="106">
    <w:name w:val="gray6"/>
    <w:qFormat/>
    <w:uiPriority w:val="0"/>
    <w:rPr>
      <w:rFonts w:ascii="仿宋_GB2312" w:hAnsi="Tahoma" w:eastAsia="仿宋_GB2312"/>
      <w:b/>
      <w:sz w:val="32"/>
      <w:szCs w:val="32"/>
    </w:rPr>
  </w:style>
  <w:style w:type="character" w:customStyle="1" w:styleId="107">
    <w:name w:val="标题 2 Char"/>
    <w:qFormat/>
    <w:uiPriority w:val="0"/>
    <w:rPr>
      <w:rFonts w:ascii="Arial" w:hAnsi="Arial" w:eastAsia="黑体"/>
      <w:b/>
      <w:bCs/>
      <w:kern w:val="2"/>
      <w:sz w:val="32"/>
      <w:szCs w:val="32"/>
      <w:lang w:val="en-US" w:eastAsia="zh-CN" w:bidi="ar-SA"/>
    </w:rPr>
  </w:style>
  <w:style w:type="character" w:customStyle="1" w:styleId="108">
    <w:name w:val="页眉 Char"/>
    <w:qFormat/>
    <w:uiPriority w:val="99"/>
    <w:rPr>
      <w:rFonts w:eastAsia="仿宋_GB2312"/>
      <w:kern w:val="2"/>
      <w:sz w:val="18"/>
      <w:szCs w:val="18"/>
      <w:lang w:val="en-US" w:eastAsia="zh-CN" w:bidi="ar-SA"/>
    </w:rPr>
  </w:style>
  <w:style w:type="character" w:customStyle="1" w:styleId="109">
    <w:name w:val="Style2"/>
    <w:qFormat/>
    <w:uiPriority w:val="0"/>
    <w:rPr>
      <w:rFonts w:ascii="Calibri" w:hAnsi="宋体" w:eastAsia="宋体" w:cs="Times New Roman"/>
      <w:sz w:val="22"/>
      <w:szCs w:val="22"/>
      <w:lang w:eastAsia="zh-CN"/>
    </w:rPr>
  </w:style>
  <w:style w:type="character" w:customStyle="1" w:styleId="110">
    <w:name w:val="heading 5 Char2"/>
    <w:qFormat/>
    <w:uiPriority w:val="0"/>
    <w:rPr>
      <w:rFonts w:ascii="仿宋_GB2312" w:eastAsia="仿宋_GB2312"/>
      <w:b/>
      <w:bCs/>
      <w:kern w:val="2"/>
      <w:sz w:val="28"/>
      <w:szCs w:val="28"/>
    </w:rPr>
  </w:style>
  <w:style w:type="character" w:customStyle="1" w:styleId="111">
    <w:name w:val="样式 正文文本 Char Char"/>
    <w:link w:val="112"/>
    <w:qFormat/>
    <w:uiPriority w:val="0"/>
    <w:rPr>
      <w:rFonts w:ascii="Arial" w:hAnsi="Arial" w:cs="宋体"/>
      <w:color w:val="000000"/>
      <w:kern w:val="2"/>
      <w:sz w:val="21"/>
    </w:rPr>
  </w:style>
  <w:style w:type="paragraph" w:customStyle="1" w:styleId="112">
    <w:name w:val="样式 正文文本"/>
    <w:basedOn w:val="1"/>
    <w:link w:val="111"/>
    <w:qFormat/>
    <w:uiPriority w:val="0"/>
    <w:pPr>
      <w:adjustRightInd w:val="0"/>
      <w:snapToGrid w:val="0"/>
      <w:spacing w:line="400" w:lineRule="exact"/>
      <w:ind w:firstLine="200" w:firstLineChars="200"/>
    </w:pPr>
    <w:rPr>
      <w:rFonts w:ascii="Arial" w:hAnsi="Arial"/>
      <w:color w:val="000000"/>
      <w:szCs w:val="20"/>
    </w:rPr>
  </w:style>
  <w:style w:type="character" w:customStyle="1" w:styleId="113">
    <w:name w:val="num"/>
    <w:qFormat/>
    <w:uiPriority w:val="0"/>
    <w:rPr>
      <w:b/>
      <w:color w:val="FF7800"/>
      <w:szCs w:val="20"/>
    </w:rPr>
  </w:style>
  <w:style w:type="character" w:customStyle="1" w:styleId="114">
    <w:name w:val="heading 4 Char1"/>
    <w:qFormat/>
    <w:uiPriority w:val="0"/>
    <w:rPr>
      <w:rFonts w:ascii="Cambria" w:hAnsi="Cambria" w:eastAsia="宋体"/>
      <w:b/>
      <w:bCs/>
      <w:kern w:val="2"/>
      <w:sz w:val="28"/>
      <w:szCs w:val="28"/>
      <w:lang w:val="en-US" w:eastAsia="zh-CN" w:bidi="ar-SA"/>
    </w:rPr>
  </w:style>
  <w:style w:type="character" w:customStyle="1" w:styleId="115">
    <w:name w:val="标书标题 3 Char Char Char"/>
    <w:link w:val="116"/>
    <w:qFormat/>
    <w:uiPriority w:val="0"/>
    <w:rPr>
      <w:rFonts w:ascii="Arial" w:hAnsi="Arial" w:eastAsia="仿宋_GB2312"/>
      <w:b/>
      <w:kern w:val="2"/>
      <w:sz w:val="24"/>
      <w:szCs w:val="32"/>
    </w:rPr>
  </w:style>
  <w:style w:type="paragraph" w:customStyle="1" w:styleId="116">
    <w:name w:val="标书标题 3 Char"/>
    <w:basedOn w:val="1"/>
    <w:link w:val="115"/>
    <w:qFormat/>
    <w:uiPriority w:val="0"/>
    <w:pPr>
      <w:tabs>
        <w:tab w:val="left" w:pos="720"/>
      </w:tabs>
      <w:spacing w:line="360" w:lineRule="auto"/>
      <w:outlineLvl w:val="2"/>
    </w:pPr>
    <w:rPr>
      <w:rFonts w:ascii="Arial" w:hAnsi="Arial" w:eastAsia="仿宋_GB2312"/>
      <w:b/>
      <w:sz w:val="24"/>
      <w:szCs w:val="32"/>
    </w:rPr>
  </w:style>
  <w:style w:type="character" w:customStyle="1" w:styleId="117">
    <w:name w:val="blue1"/>
    <w:qFormat/>
    <w:uiPriority w:val="0"/>
    <w:rPr>
      <w:rFonts w:ascii="仿宋_GB2312" w:hAnsi="Tahoma" w:eastAsia="仿宋_GB2312"/>
      <w:b/>
      <w:sz w:val="32"/>
      <w:szCs w:val="32"/>
    </w:rPr>
  </w:style>
  <w:style w:type="character" w:customStyle="1" w:styleId="118">
    <w:name w:val="heading 1 Char1"/>
    <w:qFormat/>
    <w:uiPriority w:val="0"/>
    <w:rPr>
      <w:rFonts w:ascii="仿宋_GB2312" w:eastAsia="宋体"/>
      <w:b/>
      <w:bCs/>
      <w:kern w:val="44"/>
      <w:sz w:val="44"/>
      <w:szCs w:val="44"/>
      <w:lang w:val="en-US" w:eastAsia="zh-CN" w:bidi="ar-SA"/>
    </w:rPr>
  </w:style>
  <w:style w:type="character" w:customStyle="1" w:styleId="119">
    <w:name w:val="Ò³Ã¼ Char Char1"/>
    <w:qFormat/>
    <w:uiPriority w:val="0"/>
    <w:rPr>
      <w:rFonts w:ascii="仿宋_GB2312" w:eastAsia="宋体"/>
      <w:b/>
      <w:kern w:val="2"/>
      <w:sz w:val="18"/>
      <w:szCs w:val="18"/>
      <w:lang w:val="en-US" w:eastAsia="zh-CN" w:bidi="ar-SA"/>
    </w:rPr>
  </w:style>
  <w:style w:type="character" w:customStyle="1" w:styleId="120">
    <w:name w:val="heading 3 Char"/>
    <w:qFormat/>
    <w:uiPriority w:val="0"/>
    <w:rPr>
      <w:rFonts w:ascii="Arial" w:hAnsi="Arial" w:eastAsia="黑体"/>
      <w:b/>
      <w:sz w:val="28"/>
      <w:szCs w:val="24"/>
    </w:rPr>
  </w:style>
  <w:style w:type="character" w:customStyle="1" w:styleId="121">
    <w:name w:val="批注文字 Char"/>
    <w:qFormat/>
    <w:uiPriority w:val="99"/>
    <w:rPr>
      <w:rFonts w:eastAsia="宋体"/>
      <w:kern w:val="2"/>
      <w:sz w:val="21"/>
      <w:szCs w:val="24"/>
      <w:lang w:val="en-US" w:eastAsia="zh-CN" w:bidi="ar-SA"/>
    </w:rPr>
  </w:style>
  <w:style w:type="character" w:customStyle="1" w:styleId="122">
    <w:name w:val="dandyren_title1"/>
    <w:qFormat/>
    <w:uiPriority w:val="0"/>
    <w:rPr>
      <w:rFonts w:ascii="仿宋_GB2312" w:eastAsia="仿宋_GB2312"/>
      <w:b/>
      <w:bCs/>
      <w:color w:val="FF6633"/>
      <w:sz w:val="18"/>
      <w:szCs w:val="18"/>
    </w:rPr>
  </w:style>
  <w:style w:type="character" w:customStyle="1" w:styleId="123">
    <w:name w:val="Char Char2"/>
    <w:qFormat/>
    <w:uiPriority w:val="0"/>
    <w:rPr>
      <w:rFonts w:ascii="Arial" w:hAnsi="Arial" w:eastAsia="黑体"/>
      <w:b/>
      <w:bCs/>
      <w:kern w:val="44"/>
      <w:sz w:val="30"/>
      <w:szCs w:val="44"/>
      <w:lang w:val="en-US" w:eastAsia="zh-CN" w:bidi="ar-SA"/>
    </w:rPr>
  </w:style>
  <w:style w:type="character" w:customStyle="1" w:styleId="124">
    <w:name w:val="heading 6 Char1"/>
    <w:qFormat/>
    <w:uiPriority w:val="0"/>
    <w:rPr>
      <w:rFonts w:ascii="Arial" w:hAnsi="Arial" w:eastAsia="黑体"/>
      <w:b/>
      <w:kern w:val="2"/>
      <w:sz w:val="24"/>
      <w:szCs w:val="24"/>
      <w:lang w:val="en-US" w:eastAsia="zh-CN" w:bidi="ar-SA"/>
    </w:rPr>
  </w:style>
  <w:style w:type="character" w:customStyle="1" w:styleId="125">
    <w:name w:val="不明显强调1"/>
    <w:qFormat/>
    <w:uiPriority w:val="0"/>
    <w:rPr>
      <w:i/>
      <w:iCs/>
      <w:color w:val="808080"/>
    </w:rPr>
  </w:style>
  <w:style w:type="character" w:customStyle="1" w:styleId="126">
    <w:name w:val="Char Char17"/>
    <w:qFormat/>
    <w:uiPriority w:val="0"/>
    <w:rPr>
      <w:rFonts w:ascii="Cambria" w:hAnsi="Cambria" w:eastAsia="仿宋_GB2312"/>
      <w:b/>
      <w:bCs/>
      <w:kern w:val="2"/>
      <w:sz w:val="28"/>
      <w:szCs w:val="28"/>
    </w:rPr>
  </w:style>
  <w:style w:type="character" w:customStyle="1" w:styleId="127">
    <w:name w:val="font21"/>
    <w:qFormat/>
    <w:uiPriority w:val="0"/>
    <w:rPr>
      <w:rFonts w:hint="default" w:ascii="Times New Roman" w:hAnsi="Times New Roman" w:cs="Times New Roman"/>
      <w:color w:val="000000"/>
      <w:sz w:val="20"/>
      <w:szCs w:val="20"/>
      <w:u w:val="none"/>
    </w:rPr>
  </w:style>
  <w:style w:type="character" w:customStyle="1" w:styleId="128">
    <w:name w:val="Char Char211"/>
    <w:qFormat/>
    <w:uiPriority w:val="0"/>
    <w:rPr>
      <w:rFonts w:ascii="Times New Roman" w:hAnsi="Times New Roman" w:eastAsia="宋体" w:cs="Times New Roman"/>
      <w:b/>
      <w:bCs/>
      <w:kern w:val="44"/>
      <w:sz w:val="44"/>
      <w:szCs w:val="44"/>
    </w:rPr>
  </w:style>
  <w:style w:type="character" w:customStyle="1" w:styleId="129">
    <w:name w:val="Char Char15"/>
    <w:qFormat/>
    <w:uiPriority w:val="0"/>
    <w:rPr>
      <w:rFonts w:ascii="Arial" w:hAnsi="Arial" w:eastAsia="黑体"/>
      <w:b/>
      <w:sz w:val="24"/>
      <w:szCs w:val="24"/>
    </w:rPr>
  </w:style>
  <w:style w:type="character" w:customStyle="1" w:styleId="130">
    <w:name w:val="upload"/>
    <w:qFormat/>
    <w:uiPriority w:val="0"/>
  </w:style>
  <w:style w:type="character" w:customStyle="1" w:styleId="131">
    <w:name w:val="Char1"/>
    <w:qFormat/>
    <w:uiPriority w:val="0"/>
    <w:rPr>
      <w:rFonts w:ascii="宋体" w:hAnsi="宋体" w:eastAsia="宋体"/>
      <w:b/>
      <w:kern w:val="2"/>
      <w:sz w:val="24"/>
      <w:szCs w:val="24"/>
      <w:lang w:val="en-US" w:eastAsia="zh-CN" w:bidi="ar-SA"/>
    </w:rPr>
  </w:style>
  <w:style w:type="character" w:customStyle="1" w:styleId="132">
    <w:name w:val="Char Char"/>
    <w:qFormat/>
    <w:uiPriority w:val="0"/>
    <w:rPr>
      <w:rFonts w:ascii="宋体" w:hAnsi="Courier New" w:eastAsia="宋体"/>
      <w:kern w:val="2"/>
      <w:sz w:val="21"/>
      <w:lang w:val="en-US" w:eastAsia="zh-CN" w:bidi="ar-SA"/>
    </w:rPr>
  </w:style>
  <w:style w:type="character" w:customStyle="1" w:styleId="133">
    <w:name w:val="legend"/>
    <w:qFormat/>
    <w:uiPriority w:val="0"/>
    <w:rPr>
      <w:rFonts w:ascii="Arial" w:hAnsi="Arial" w:cs="Arial"/>
      <w:b/>
      <w:color w:val="73B304"/>
      <w:sz w:val="16"/>
      <w:szCs w:val="16"/>
      <w:shd w:val="clear" w:color="auto" w:fill="FFFFFF"/>
    </w:rPr>
  </w:style>
  <w:style w:type="character" w:customStyle="1" w:styleId="134">
    <w:name w:val="password"/>
    <w:qFormat/>
    <w:uiPriority w:val="0"/>
  </w:style>
  <w:style w:type="character" w:customStyle="1" w:styleId="135">
    <w:name w:val="red1"/>
    <w:qFormat/>
    <w:uiPriority w:val="0"/>
    <w:rPr>
      <w:color w:val="FF0000"/>
      <w:szCs w:val="20"/>
    </w:rPr>
  </w:style>
  <w:style w:type="character" w:customStyle="1" w:styleId="136">
    <w:name w:val="PI Char1"/>
    <w:qFormat/>
    <w:uiPriority w:val="0"/>
    <w:rPr>
      <w:rFonts w:ascii="仿宋_GB2312" w:eastAsia="宋体"/>
      <w:b/>
      <w:kern w:val="2"/>
      <w:sz w:val="24"/>
      <w:szCs w:val="24"/>
      <w:lang w:val="en-US" w:eastAsia="zh-CN" w:bidi="ar-SA"/>
    </w:rPr>
  </w:style>
  <w:style w:type="character" w:customStyle="1" w:styleId="137">
    <w:name w:val="Char Char11"/>
    <w:qFormat/>
    <w:uiPriority w:val="0"/>
    <w:rPr>
      <w:rFonts w:ascii="Times New Roman" w:hAnsi="Times New Roman" w:eastAsia="宋体" w:cs="Times New Roman"/>
      <w:sz w:val="18"/>
      <w:szCs w:val="18"/>
    </w:rPr>
  </w:style>
  <w:style w:type="character" w:customStyle="1" w:styleId="138">
    <w:name w:val="表格 Char Char"/>
    <w:link w:val="139"/>
    <w:qFormat/>
    <w:uiPriority w:val="0"/>
    <w:rPr>
      <w:rFonts w:ascii="宋体" w:hAnsi="宋体"/>
      <w:b/>
      <w:sz w:val="32"/>
      <w:szCs w:val="32"/>
    </w:rPr>
  </w:style>
  <w:style w:type="paragraph" w:customStyle="1" w:styleId="139">
    <w:name w:val="表格"/>
    <w:basedOn w:val="1"/>
    <w:link w:val="138"/>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140">
    <w:name w:val="Style4"/>
    <w:qFormat/>
    <w:uiPriority w:val="0"/>
    <w:rPr>
      <w:rFonts w:ascii="Calibri" w:hAnsi="宋体" w:eastAsia="宋体" w:cs="Times New Roman"/>
      <w:szCs w:val="22"/>
      <w:lang w:eastAsia="zh-CN"/>
    </w:rPr>
  </w:style>
  <w:style w:type="character" w:customStyle="1" w:styleId="141">
    <w:name w:val="hover30"/>
    <w:qFormat/>
    <w:uiPriority w:val="0"/>
  </w:style>
  <w:style w:type="character" w:customStyle="1" w:styleId="142">
    <w:name w:val="标题 4 Char"/>
    <w:qFormat/>
    <w:uiPriority w:val="0"/>
    <w:rPr>
      <w:rFonts w:ascii="Arial" w:hAnsi="Arial" w:eastAsia="黑体"/>
      <w:b/>
      <w:bCs/>
      <w:kern w:val="2"/>
      <w:sz w:val="28"/>
      <w:szCs w:val="28"/>
      <w:lang w:val="en-US" w:eastAsia="zh-CN" w:bidi="ar-SA"/>
    </w:rPr>
  </w:style>
  <w:style w:type="character" w:customStyle="1" w:styleId="143">
    <w:name w:val="PI Char"/>
    <w:qFormat/>
    <w:uiPriority w:val="0"/>
    <w:rPr>
      <w:rFonts w:ascii="宋体" w:hAnsi="宋体" w:eastAsia="仿宋_GB2312"/>
      <w:b/>
      <w:sz w:val="24"/>
      <w:szCs w:val="32"/>
    </w:rPr>
  </w:style>
  <w:style w:type="character" w:customStyle="1" w:styleId="144">
    <w:name w:val="update"/>
    <w:qFormat/>
    <w:uiPriority w:val="0"/>
  </w:style>
  <w:style w:type="character" w:customStyle="1" w:styleId="145">
    <w:name w:val="heading 5 Char1"/>
    <w:qFormat/>
    <w:uiPriority w:val="0"/>
    <w:rPr>
      <w:rFonts w:ascii="仿宋_GB2312" w:eastAsia="宋体"/>
      <w:b/>
      <w:bCs/>
      <w:kern w:val="2"/>
      <w:sz w:val="28"/>
      <w:szCs w:val="28"/>
      <w:lang w:val="en-US" w:eastAsia="zh-CN" w:bidi="ar-SA"/>
    </w:rPr>
  </w:style>
  <w:style w:type="character" w:customStyle="1" w:styleId="146">
    <w:name w:val="heading 5 Char"/>
    <w:qFormat/>
    <w:uiPriority w:val="0"/>
    <w:rPr>
      <w:rFonts w:ascii="Arial" w:hAnsi="Arial" w:eastAsia="黑体"/>
      <w:b/>
      <w:sz w:val="21"/>
      <w:szCs w:val="21"/>
    </w:rPr>
  </w:style>
  <w:style w:type="character" w:customStyle="1" w:styleId="147">
    <w:name w:val="Heading 2 Hidden Char1 Char"/>
    <w:qFormat/>
    <w:uiPriority w:val="0"/>
    <w:rPr>
      <w:rFonts w:ascii="宋体" w:hAnsi="Times New Roman" w:eastAsia="宋体" w:cs="Times New Roman"/>
      <w:kern w:val="0"/>
      <w:sz w:val="24"/>
      <w:szCs w:val="24"/>
    </w:rPr>
  </w:style>
  <w:style w:type="character" w:customStyle="1" w:styleId="148">
    <w:name w:val="Char Char20"/>
    <w:qFormat/>
    <w:uiPriority w:val="0"/>
    <w:rPr>
      <w:rFonts w:ascii="仿宋_GB2312" w:eastAsia="仿宋_GB2312"/>
      <w:b/>
      <w:bCs/>
      <w:kern w:val="44"/>
      <w:sz w:val="44"/>
      <w:szCs w:val="44"/>
    </w:rPr>
  </w:style>
  <w:style w:type="character" w:customStyle="1" w:styleId="149">
    <w:name w:val="正文文本 Char"/>
    <w:qFormat/>
    <w:uiPriority w:val="0"/>
    <w:rPr>
      <w:rFonts w:ascii="仿宋_GB2312" w:eastAsia="宋体"/>
      <w:b/>
      <w:kern w:val="2"/>
      <w:sz w:val="21"/>
      <w:szCs w:val="24"/>
      <w:lang w:val="en-US" w:eastAsia="zh-CN" w:bidi="ar-SA"/>
    </w:rPr>
  </w:style>
  <w:style w:type="character" w:customStyle="1" w:styleId="150">
    <w:name w:val="页脚 Char"/>
    <w:qFormat/>
    <w:uiPriority w:val="99"/>
    <w:rPr>
      <w:rFonts w:eastAsia="仿宋_GB2312"/>
      <w:kern w:val="2"/>
      <w:sz w:val="18"/>
      <w:szCs w:val="18"/>
      <w:lang w:val="en-US" w:eastAsia="zh-CN" w:bidi="ar-SA"/>
    </w:rPr>
  </w:style>
  <w:style w:type="character" w:customStyle="1" w:styleId="151">
    <w:name w:val="明显强调1"/>
    <w:qFormat/>
    <w:uiPriority w:val="0"/>
    <w:rPr>
      <w:b/>
      <w:bCs/>
      <w:i/>
      <w:iCs/>
      <w:color w:val="4F81BD"/>
    </w:rPr>
  </w:style>
  <w:style w:type="character" w:customStyle="1" w:styleId="152">
    <w:name w:val="heading 4 Char"/>
    <w:qFormat/>
    <w:uiPriority w:val="0"/>
    <w:rPr>
      <w:rFonts w:ascii="Arial" w:hAnsi="Arial" w:eastAsia="黑体" w:cs="Times New Roman"/>
      <w:b/>
      <w:sz w:val="21"/>
      <w:szCs w:val="21"/>
    </w:rPr>
  </w:style>
  <w:style w:type="character" w:customStyle="1" w:styleId="153">
    <w:name w:val="op-map-singlepoint-info-right1"/>
    <w:qFormat/>
    <w:uiPriority w:val="0"/>
  </w:style>
  <w:style w:type="character" w:customStyle="1" w:styleId="154">
    <w:name w:val="Style1"/>
    <w:qFormat/>
    <w:uiPriority w:val="0"/>
    <w:rPr>
      <w:rFonts w:ascii="Calibri" w:hAnsi="宋体" w:eastAsia="宋体" w:cs="Times New Roman"/>
      <w:sz w:val="22"/>
      <w:szCs w:val="22"/>
      <w:lang w:eastAsia="zh-CN"/>
    </w:rPr>
  </w:style>
  <w:style w:type="character" w:customStyle="1" w:styleId="155">
    <w:name w:val="Char Char18"/>
    <w:qFormat/>
    <w:uiPriority w:val="0"/>
    <w:rPr>
      <w:rFonts w:ascii="仿宋_GB2312" w:eastAsia="仿宋_GB2312"/>
      <w:b/>
      <w:bCs/>
      <w:kern w:val="2"/>
      <w:sz w:val="32"/>
      <w:szCs w:val="32"/>
    </w:rPr>
  </w:style>
  <w:style w:type="character" w:customStyle="1" w:styleId="156">
    <w:name w:val="明显参考1"/>
    <w:qFormat/>
    <w:uiPriority w:val="0"/>
    <w:rPr>
      <w:b/>
      <w:bCs/>
      <w:smallCaps/>
      <w:color w:val="C0504D"/>
      <w:spacing w:val="5"/>
      <w:u w:val="single"/>
    </w:rPr>
  </w:style>
  <w:style w:type="character" w:customStyle="1" w:styleId="157">
    <w:name w:val="heading 1 Char"/>
    <w:qFormat/>
    <w:uiPriority w:val="0"/>
    <w:rPr>
      <w:rFonts w:ascii="Arial" w:hAnsi="Arial" w:eastAsia="黑体"/>
      <w:b/>
      <w:sz w:val="36"/>
      <w:szCs w:val="36"/>
    </w:rPr>
  </w:style>
  <w:style w:type="character" w:customStyle="1" w:styleId="158">
    <w:name w:val="Char Char201"/>
    <w:qFormat/>
    <w:uiPriority w:val="0"/>
    <w:rPr>
      <w:rFonts w:ascii="Cambria" w:hAnsi="Cambria" w:eastAsia="宋体" w:cs="Times New Roman"/>
      <w:b/>
      <w:bCs/>
      <w:sz w:val="32"/>
      <w:szCs w:val="32"/>
    </w:rPr>
  </w:style>
  <w:style w:type="character" w:customStyle="1" w:styleId="159">
    <w:name w:val="heading 8 Char1"/>
    <w:qFormat/>
    <w:uiPriority w:val="0"/>
    <w:rPr>
      <w:rFonts w:ascii="Arial" w:hAnsi="Arial" w:eastAsia="黑体"/>
      <w:b/>
      <w:sz w:val="24"/>
      <w:szCs w:val="32"/>
      <w:lang w:val="en-US" w:eastAsia="zh-CN" w:bidi="ar-SA"/>
    </w:rPr>
  </w:style>
  <w:style w:type="character" w:customStyle="1" w:styleId="160">
    <w:name w:val="heading 9 Char1"/>
    <w:qFormat/>
    <w:uiPriority w:val="0"/>
    <w:rPr>
      <w:rFonts w:ascii="Arial" w:hAnsi="Arial" w:eastAsia="黑体"/>
      <w:b/>
      <w:sz w:val="21"/>
      <w:szCs w:val="32"/>
      <w:lang w:val="en-US" w:eastAsia="zh-CN" w:bidi="ar-SA"/>
    </w:rPr>
  </w:style>
  <w:style w:type="character" w:customStyle="1" w:styleId="161">
    <w:name w:val="font161"/>
    <w:qFormat/>
    <w:uiPriority w:val="0"/>
    <w:rPr>
      <w:b/>
      <w:bCs/>
      <w:sz w:val="32"/>
      <w:szCs w:val="32"/>
    </w:rPr>
  </w:style>
  <w:style w:type="character" w:customStyle="1" w:styleId="162">
    <w:name w:val="Char Char22"/>
    <w:qFormat/>
    <w:uiPriority w:val="0"/>
    <w:rPr>
      <w:rFonts w:ascii="Arial" w:hAnsi="Arial" w:eastAsia="黑体"/>
      <w:b/>
      <w:bCs/>
      <w:kern w:val="44"/>
      <w:sz w:val="30"/>
      <w:szCs w:val="44"/>
      <w:lang w:val="en-US" w:eastAsia="zh-CN" w:bidi="ar-SA"/>
    </w:rPr>
  </w:style>
  <w:style w:type="character" w:customStyle="1" w:styleId="163">
    <w:name w:val="font31"/>
    <w:qFormat/>
    <w:uiPriority w:val="0"/>
    <w:rPr>
      <w:rFonts w:hint="eastAsia" w:ascii="宋体" w:hAnsi="宋体" w:eastAsia="宋体" w:cs="宋体"/>
      <w:color w:val="000000"/>
      <w:sz w:val="20"/>
      <w:szCs w:val="20"/>
      <w:u w:val="none"/>
    </w:rPr>
  </w:style>
  <w:style w:type="character" w:customStyle="1" w:styleId="164">
    <w:name w:val="authcode"/>
    <w:qFormat/>
    <w:uiPriority w:val="0"/>
  </w:style>
  <w:style w:type="character" w:customStyle="1" w:styleId="165">
    <w:name w:val="heading 3 Char2"/>
    <w:qFormat/>
    <w:uiPriority w:val="0"/>
    <w:rPr>
      <w:rFonts w:ascii="仿宋_GB2312" w:eastAsia="仿宋_GB2312"/>
      <w:b/>
      <w:bCs/>
      <w:kern w:val="2"/>
      <w:sz w:val="32"/>
      <w:szCs w:val="32"/>
    </w:rPr>
  </w:style>
  <w:style w:type="character" w:customStyle="1" w:styleId="166">
    <w:name w:val="样式 宋体"/>
    <w:qFormat/>
    <w:uiPriority w:val="0"/>
    <w:rPr>
      <w:rFonts w:ascii="宋体" w:hAnsi="宋体" w:eastAsia="宋体"/>
      <w:b/>
      <w:sz w:val="24"/>
      <w:szCs w:val="24"/>
    </w:rPr>
  </w:style>
  <w:style w:type="character" w:customStyle="1" w:styleId="167">
    <w:name w:val="标题 3 Char"/>
    <w:qFormat/>
    <w:uiPriority w:val="0"/>
    <w:rPr>
      <w:rFonts w:ascii="黑体" w:hAnsi="宋体" w:eastAsia="黑体"/>
      <w:bCs/>
      <w:kern w:val="2"/>
      <w:sz w:val="28"/>
      <w:szCs w:val="28"/>
      <w:lang w:val="en-US" w:eastAsia="zh-CN" w:bidi="ar-SA"/>
    </w:rPr>
  </w:style>
  <w:style w:type="character" w:customStyle="1" w:styleId="168">
    <w:name w:val="heading 2 Char2"/>
    <w:qFormat/>
    <w:uiPriority w:val="0"/>
    <w:rPr>
      <w:rFonts w:ascii="Cambria" w:hAnsi="Cambria" w:eastAsia="仿宋_GB2312"/>
      <w:b/>
      <w:bCs/>
      <w:kern w:val="2"/>
      <w:sz w:val="32"/>
      <w:szCs w:val="32"/>
    </w:rPr>
  </w:style>
  <w:style w:type="character" w:customStyle="1" w:styleId="169">
    <w:name w:val="批注主题 字符"/>
    <w:link w:val="52"/>
    <w:qFormat/>
    <w:uiPriority w:val="0"/>
    <w:rPr>
      <w:b/>
      <w:bCs/>
      <w:kern w:val="2"/>
      <w:sz w:val="21"/>
      <w:szCs w:val="24"/>
    </w:rPr>
  </w:style>
  <w:style w:type="character" w:customStyle="1" w:styleId="170">
    <w:name w:val="标题 字符"/>
    <w:link w:val="51"/>
    <w:qFormat/>
    <w:uiPriority w:val="0"/>
    <w:rPr>
      <w:rFonts w:ascii="Cambria" w:hAnsi="Cambria"/>
      <w:b/>
      <w:bCs/>
      <w:sz w:val="32"/>
      <w:szCs w:val="32"/>
    </w:rPr>
  </w:style>
  <w:style w:type="character" w:customStyle="1" w:styleId="171">
    <w:name w:val="正文文本缩进 3 字符"/>
    <w:link w:val="44"/>
    <w:qFormat/>
    <w:uiPriority w:val="0"/>
    <w:rPr>
      <w:kern w:val="2"/>
      <w:sz w:val="16"/>
      <w:szCs w:val="16"/>
    </w:rPr>
  </w:style>
  <w:style w:type="character" w:customStyle="1" w:styleId="172">
    <w:name w:val="副标题 字符"/>
    <w:link w:val="41"/>
    <w:qFormat/>
    <w:uiPriority w:val="0"/>
    <w:rPr>
      <w:rFonts w:ascii="Cambria" w:hAnsi="Cambria"/>
      <w:b/>
      <w:bCs/>
      <w:kern w:val="28"/>
      <w:sz w:val="32"/>
      <w:szCs w:val="32"/>
    </w:rPr>
  </w:style>
  <w:style w:type="character" w:customStyle="1" w:styleId="173">
    <w:name w:val="签名 字符"/>
    <w:link w:val="38"/>
    <w:qFormat/>
    <w:uiPriority w:val="0"/>
    <w:rPr>
      <w:rFonts w:ascii="Tahoma" w:hAnsi="Tahoma" w:eastAsia="仿宋_GB2312"/>
      <w:sz w:val="24"/>
      <w:szCs w:val="20"/>
    </w:rPr>
  </w:style>
  <w:style w:type="character" w:customStyle="1" w:styleId="174">
    <w:name w:val="页眉 字符"/>
    <w:link w:val="37"/>
    <w:qFormat/>
    <w:uiPriority w:val="0"/>
    <w:rPr>
      <w:kern w:val="2"/>
      <w:sz w:val="18"/>
      <w:szCs w:val="18"/>
    </w:rPr>
  </w:style>
  <w:style w:type="character" w:customStyle="1" w:styleId="175">
    <w:name w:val="页脚 字符"/>
    <w:link w:val="36"/>
    <w:qFormat/>
    <w:uiPriority w:val="0"/>
    <w:rPr>
      <w:kern w:val="2"/>
      <w:sz w:val="18"/>
      <w:szCs w:val="18"/>
    </w:rPr>
  </w:style>
  <w:style w:type="character" w:customStyle="1" w:styleId="176">
    <w:name w:val="批注框文本 字符"/>
    <w:link w:val="35"/>
    <w:qFormat/>
    <w:uiPriority w:val="0"/>
    <w:rPr>
      <w:kern w:val="2"/>
      <w:sz w:val="18"/>
      <w:szCs w:val="18"/>
    </w:rPr>
  </w:style>
  <w:style w:type="character" w:customStyle="1" w:styleId="177">
    <w:name w:val="正文文本缩进 2 字符"/>
    <w:link w:val="34"/>
    <w:qFormat/>
    <w:uiPriority w:val="0"/>
    <w:rPr>
      <w:kern w:val="2"/>
      <w:sz w:val="21"/>
      <w:szCs w:val="24"/>
    </w:rPr>
  </w:style>
  <w:style w:type="character" w:customStyle="1" w:styleId="178">
    <w:name w:val="纯文本 字符"/>
    <w:link w:val="30"/>
    <w:qFormat/>
    <w:uiPriority w:val="0"/>
    <w:rPr>
      <w:rFonts w:ascii="宋体" w:hAnsi="Courier New" w:eastAsia="宋体"/>
      <w:kern w:val="2"/>
      <w:sz w:val="21"/>
      <w:lang w:val="en-US" w:eastAsia="zh-CN" w:bidi="ar-SA"/>
    </w:rPr>
  </w:style>
  <w:style w:type="character" w:customStyle="1" w:styleId="179">
    <w:name w:val="正文文本缩进 字符"/>
    <w:link w:val="24"/>
    <w:qFormat/>
    <w:uiPriority w:val="0"/>
    <w:rPr>
      <w:rFonts w:ascii="宋体" w:hAnsi="宋体"/>
      <w:kern w:val="2"/>
      <w:sz w:val="24"/>
    </w:rPr>
  </w:style>
  <w:style w:type="character" w:customStyle="1" w:styleId="180">
    <w:name w:val="正文文本首行缩进 字符"/>
    <w:link w:val="22"/>
    <w:qFormat/>
    <w:uiPriority w:val="0"/>
    <w:rPr>
      <w:rFonts w:ascii="仿宋_GB2312"/>
      <w:b/>
      <w:sz w:val="32"/>
      <w:szCs w:val="32"/>
    </w:rPr>
  </w:style>
  <w:style w:type="character" w:customStyle="1" w:styleId="181">
    <w:name w:val="正文文本 3 字符"/>
    <w:link w:val="20"/>
    <w:qFormat/>
    <w:uiPriority w:val="0"/>
  </w:style>
  <w:style w:type="character" w:customStyle="1" w:styleId="182">
    <w:name w:val="批注文字 字符"/>
    <w:link w:val="18"/>
    <w:qFormat/>
    <w:uiPriority w:val="0"/>
    <w:rPr>
      <w:kern w:val="2"/>
      <w:sz w:val="21"/>
      <w:szCs w:val="24"/>
    </w:rPr>
  </w:style>
  <w:style w:type="character" w:customStyle="1" w:styleId="183">
    <w:name w:val="文档结构图 字符"/>
    <w:link w:val="17"/>
    <w:qFormat/>
    <w:uiPriority w:val="0"/>
    <w:rPr>
      <w:kern w:val="2"/>
      <w:sz w:val="21"/>
      <w:szCs w:val="24"/>
      <w:shd w:val="clear" w:color="auto" w:fill="000080"/>
    </w:rPr>
  </w:style>
  <w:style w:type="character" w:customStyle="1" w:styleId="184">
    <w:name w:val="hover15"/>
    <w:qFormat/>
    <w:uiPriority w:val="0"/>
    <w:rPr>
      <w:szCs w:val="20"/>
      <w:u w:val="single"/>
    </w:rPr>
  </w:style>
  <w:style w:type="character" w:customStyle="1" w:styleId="185">
    <w:name w:val="正文缩进 字符"/>
    <w:link w:val="14"/>
    <w:qFormat/>
    <w:uiPriority w:val="0"/>
    <w:rPr>
      <w:rFonts w:eastAsia="宋体"/>
      <w:sz w:val="21"/>
      <w:lang w:val="en-US" w:eastAsia="zh-CN" w:bidi="ar-SA"/>
    </w:rPr>
  </w:style>
  <w:style w:type="character" w:customStyle="1" w:styleId="186">
    <w:name w:val="批注主题 Char"/>
    <w:qFormat/>
    <w:uiPriority w:val="0"/>
    <w:rPr>
      <w:rFonts w:eastAsia="宋体"/>
      <w:b/>
      <w:bCs/>
      <w:kern w:val="2"/>
      <w:sz w:val="21"/>
      <w:szCs w:val="24"/>
      <w:lang w:val="en-US" w:eastAsia="zh-CN" w:bidi="ar-SA"/>
    </w:rPr>
  </w:style>
  <w:style w:type="character" w:customStyle="1" w:styleId="187">
    <w:name w:val="标题 7 字符"/>
    <w:link w:val="9"/>
    <w:qFormat/>
    <w:uiPriority w:val="0"/>
    <w:rPr>
      <w:rFonts w:ascii="Arial" w:hAnsi="Arial" w:eastAsia="黑体"/>
      <w:b/>
      <w:sz w:val="21"/>
      <w:szCs w:val="21"/>
    </w:rPr>
  </w:style>
  <w:style w:type="character" w:customStyle="1" w:styleId="188">
    <w:name w:val="标题 6 字符"/>
    <w:link w:val="8"/>
    <w:qFormat/>
    <w:uiPriority w:val="0"/>
    <w:rPr>
      <w:rFonts w:ascii="Arial" w:hAnsi="Arial" w:eastAsia="黑体"/>
      <w:b/>
      <w:bCs/>
      <w:kern w:val="2"/>
      <w:sz w:val="24"/>
      <w:szCs w:val="24"/>
    </w:rPr>
  </w:style>
  <w:style w:type="character" w:customStyle="1" w:styleId="189">
    <w:name w:val="标题 4 字符"/>
    <w:link w:val="6"/>
    <w:qFormat/>
    <w:uiPriority w:val="0"/>
    <w:rPr>
      <w:rFonts w:ascii="Cambria" w:hAnsi="Cambria"/>
      <w:b/>
      <w:bCs/>
      <w:kern w:val="2"/>
      <w:sz w:val="28"/>
      <w:szCs w:val="28"/>
    </w:rPr>
  </w:style>
  <w:style w:type="character" w:customStyle="1" w:styleId="190">
    <w:name w:val="smalltxt1"/>
    <w:qFormat/>
    <w:uiPriority w:val="0"/>
    <w:rPr>
      <w:rFonts w:hint="default" w:ascii="ˎ̥" w:hAnsi="ˎ̥" w:eastAsia="仿宋_GB2312"/>
      <w:b/>
      <w:sz w:val="24"/>
      <w:szCs w:val="24"/>
    </w:rPr>
  </w:style>
  <w:style w:type="character" w:customStyle="1" w:styleId="191">
    <w:name w:val="标题 3 字符"/>
    <w:link w:val="5"/>
    <w:qFormat/>
    <w:uiPriority w:val="0"/>
    <w:rPr>
      <w:b/>
      <w:bCs/>
      <w:kern w:val="2"/>
      <w:sz w:val="32"/>
      <w:szCs w:val="32"/>
    </w:rPr>
  </w:style>
  <w:style w:type="character" w:customStyle="1" w:styleId="192">
    <w:name w:val="标题 2 字符"/>
    <w:link w:val="4"/>
    <w:qFormat/>
    <w:uiPriority w:val="0"/>
    <w:rPr>
      <w:rFonts w:ascii="Arial" w:hAnsi="Arial" w:eastAsia="黑体"/>
      <w:b/>
      <w:bCs/>
      <w:kern w:val="2"/>
      <w:sz w:val="32"/>
      <w:szCs w:val="32"/>
    </w:rPr>
  </w:style>
  <w:style w:type="character" w:customStyle="1" w:styleId="193">
    <w:name w:val="文档结构图 Char"/>
    <w:qFormat/>
    <w:uiPriority w:val="0"/>
    <w:rPr>
      <w:rFonts w:eastAsia="宋体"/>
      <w:kern w:val="2"/>
      <w:sz w:val="21"/>
      <w:szCs w:val="24"/>
      <w:lang w:val="en-US" w:eastAsia="zh-CN" w:bidi="ar-SA"/>
    </w:rPr>
  </w:style>
  <w:style w:type="character" w:customStyle="1" w:styleId="194">
    <w:name w:val="标题 1 字符"/>
    <w:link w:val="3"/>
    <w:qFormat/>
    <w:uiPriority w:val="0"/>
    <w:rPr>
      <w:rFonts w:ascii="楷体_GB2312" w:hAnsi="Tahoma" w:eastAsia="楷体_GB2312"/>
      <w:b/>
      <w:bCs/>
      <w:kern w:val="2"/>
      <w:sz w:val="21"/>
      <w:szCs w:val="24"/>
    </w:rPr>
  </w:style>
  <w:style w:type="character" w:customStyle="1" w:styleId="195">
    <w:name w:val="宏文本 字符"/>
    <w:link w:val="2"/>
    <w:qFormat/>
    <w:uiPriority w:val="99"/>
    <w:rPr>
      <w:rFonts w:ascii="Courier New" w:hAnsi="Courier New"/>
      <w:kern w:val="2"/>
      <w:sz w:val="24"/>
      <w:szCs w:val="24"/>
      <w:lang w:val="en-US" w:eastAsia="zh-CN" w:bidi="ar-SA"/>
    </w:rPr>
  </w:style>
  <w:style w:type="character" w:customStyle="1" w:styleId="196">
    <w:name w:val="标题 5 字符"/>
    <w:link w:val="7"/>
    <w:qFormat/>
    <w:uiPriority w:val="0"/>
    <w:rPr>
      <w:rFonts w:ascii="仿宋_GB2312" w:hAnsi="Tahoma"/>
      <w:b/>
      <w:bCs/>
      <w:kern w:val="2"/>
      <w:sz w:val="28"/>
      <w:szCs w:val="28"/>
    </w:rPr>
  </w:style>
  <w:style w:type="character" w:customStyle="1" w:styleId="197">
    <w:name w:val="pt141"/>
    <w:qFormat/>
    <w:uiPriority w:val="0"/>
    <w:rPr>
      <w:rFonts w:ascii="仿宋_GB2312" w:eastAsia="仿宋_GB2312"/>
      <w:b/>
      <w:color w:val="330066"/>
      <w:spacing w:val="450"/>
      <w:sz w:val="22"/>
      <w:szCs w:val="22"/>
    </w:rPr>
  </w:style>
  <w:style w:type="character" w:customStyle="1" w:styleId="198">
    <w:name w:val="pages"/>
    <w:qFormat/>
    <w:uiPriority w:val="0"/>
    <w:rPr>
      <w:color w:val="999999"/>
      <w:szCs w:val="20"/>
    </w:rPr>
  </w:style>
  <w:style w:type="character" w:customStyle="1" w:styleId="199">
    <w:name w:val="Ò³Ã¼ Char Char2"/>
    <w:qFormat/>
    <w:uiPriority w:val="0"/>
    <w:rPr>
      <w:rFonts w:ascii="仿宋_GB2312" w:eastAsia="仿宋_GB2312"/>
      <w:b/>
      <w:kern w:val="2"/>
      <w:sz w:val="18"/>
      <w:szCs w:val="18"/>
    </w:rPr>
  </w:style>
  <w:style w:type="character" w:customStyle="1" w:styleId="200">
    <w:name w:val="A6"/>
    <w:qFormat/>
    <w:uiPriority w:val="0"/>
    <w:rPr>
      <w:rFonts w:cs="Helvetica Neue"/>
      <w:color w:val="3E667A"/>
      <w:sz w:val="14"/>
      <w:szCs w:val="14"/>
    </w:rPr>
  </w:style>
  <w:style w:type="character" w:customStyle="1" w:styleId="201">
    <w:name w:val="标题 9 字符"/>
    <w:link w:val="11"/>
    <w:qFormat/>
    <w:uiPriority w:val="0"/>
    <w:rPr>
      <w:rFonts w:ascii="Arial" w:hAnsi="Arial" w:eastAsia="黑体"/>
      <w:b/>
      <w:sz w:val="21"/>
      <w:szCs w:val="32"/>
    </w:rPr>
  </w:style>
  <w:style w:type="character" w:customStyle="1" w:styleId="202">
    <w:name w:val="日期 字符1"/>
    <w:link w:val="33"/>
    <w:qFormat/>
    <w:uiPriority w:val="0"/>
    <w:rPr>
      <w:spacing w:val="12"/>
      <w:kern w:val="2"/>
      <w:sz w:val="24"/>
    </w:rPr>
  </w:style>
  <w:style w:type="character" w:customStyle="1" w:styleId="203">
    <w:name w:val="ändrad Char"/>
    <w:qFormat/>
    <w:uiPriority w:val="0"/>
    <w:rPr>
      <w:rFonts w:ascii="仿宋_GB2312" w:eastAsia="宋体"/>
      <w:b/>
      <w:kern w:val="2"/>
      <w:sz w:val="21"/>
      <w:szCs w:val="24"/>
      <w:lang w:val="en-US" w:eastAsia="zh-CN" w:bidi="ar-SA"/>
    </w:rPr>
  </w:style>
  <w:style w:type="character" w:customStyle="1" w:styleId="204">
    <w:name w:val="正文文本 字符"/>
    <w:link w:val="21"/>
    <w:qFormat/>
    <w:uiPriority w:val="0"/>
    <w:rPr>
      <w:rFonts w:ascii="Tahoma" w:hAnsi="Tahoma"/>
      <w:kern w:val="2"/>
      <w:sz w:val="21"/>
      <w:szCs w:val="24"/>
    </w:rPr>
  </w:style>
  <w:style w:type="character" w:customStyle="1" w:styleId="205">
    <w:name w:val="正文首行缩进 Char"/>
    <w:qFormat/>
    <w:uiPriority w:val="0"/>
    <w:rPr>
      <w:rFonts w:ascii="仿宋_GB2312" w:eastAsia="宋体"/>
      <w:kern w:val="2"/>
      <w:sz w:val="21"/>
      <w:szCs w:val="24"/>
      <w:lang w:val="en-US" w:eastAsia="zh-CN" w:bidi="ar-SA"/>
    </w:rPr>
  </w:style>
  <w:style w:type="character" w:customStyle="1" w:styleId="206">
    <w:name w:val="标题 8 字符"/>
    <w:link w:val="10"/>
    <w:qFormat/>
    <w:uiPriority w:val="0"/>
    <w:rPr>
      <w:rFonts w:ascii="Arial" w:hAnsi="Arial" w:eastAsia="黑体"/>
      <w:b/>
      <w:sz w:val="24"/>
      <w:szCs w:val="32"/>
    </w:rPr>
  </w:style>
  <w:style w:type="character" w:customStyle="1" w:styleId="207">
    <w:name w:val="无间隔 字符"/>
    <w:link w:val="208"/>
    <w:qFormat/>
    <w:uiPriority w:val="0"/>
    <w:rPr>
      <w:sz w:val="22"/>
      <w:szCs w:val="22"/>
      <w:lang w:val="en-US" w:eastAsia="zh-CN" w:bidi="ar-SA"/>
    </w:rPr>
  </w:style>
  <w:style w:type="paragraph" w:customStyle="1" w:styleId="208">
    <w:name w:val="No Spacing"/>
    <w:link w:val="207"/>
    <w:qFormat/>
    <w:uiPriority w:val="0"/>
    <w:rPr>
      <w:rFonts w:ascii="Times New Roman" w:hAnsi="Times New Roman" w:eastAsia="宋体" w:cs="Times New Roman"/>
      <w:sz w:val="22"/>
      <w:szCs w:val="22"/>
      <w:lang w:val="en-US" w:eastAsia="zh-CN" w:bidi="ar-SA"/>
    </w:rPr>
  </w:style>
  <w:style w:type="character" w:customStyle="1" w:styleId="209">
    <w:name w:val="release-day"/>
    <w:qFormat/>
    <w:uiPriority w:val="0"/>
    <w:rPr>
      <w:szCs w:val="20"/>
      <w:bdr w:val="single" w:color="BDEBB0" w:sz="4" w:space="0"/>
      <w:shd w:val="clear" w:color="auto" w:fill="F5FFF1"/>
    </w:rPr>
  </w:style>
  <w:style w:type="character" w:customStyle="1" w:styleId="210">
    <w:name w:val="zbggmain style9"/>
    <w:qFormat/>
    <w:uiPriority w:val="0"/>
  </w:style>
  <w:style w:type="character" w:customStyle="1" w:styleId="211">
    <w:name w:val="正文缩进 Char1 Char"/>
    <w:qFormat/>
    <w:uiPriority w:val="0"/>
    <w:rPr>
      <w:rFonts w:ascii="仿宋_GB2312" w:eastAsia="宋体"/>
      <w:b/>
      <w:sz w:val="21"/>
      <w:szCs w:val="32"/>
      <w:lang w:val="en-US" w:eastAsia="zh-CN" w:bidi="ar-SA"/>
    </w:rPr>
  </w:style>
  <w:style w:type="character" w:customStyle="1" w:styleId="212">
    <w:name w:val="Table Text Char Char"/>
    <w:link w:val="213"/>
    <w:qFormat/>
    <w:uiPriority w:val="0"/>
    <w:rPr>
      <w:sz w:val="24"/>
    </w:rPr>
  </w:style>
  <w:style w:type="paragraph" w:customStyle="1" w:styleId="213">
    <w:name w:val="Table Text"/>
    <w:basedOn w:val="1"/>
    <w:link w:val="212"/>
    <w:qFormat/>
    <w:uiPriority w:val="0"/>
    <w:pPr>
      <w:widowControl/>
      <w:autoSpaceDE w:val="0"/>
      <w:autoSpaceDN w:val="0"/>
      <w:adjustRightInd w:val="0"/>
      <w:spacing w:before="60" w:after="60"/>
      <w:jc w:val="left"/>
    </w:pPr>
    <w:rPr>
      <w:kern w:val="0"/>
      <w:sz w:val="24"/>
      <w:szCs w:val="20"/>
    </w:rPr>
  </w:style>
  <w:style w:type="character" w:customStyle="1" w:styleId="214">
    <w:name w:val="样式 正文文本 Char Char Char"/>
    <w:qFormat/>
    <w:uiPriority w:val="0"/>
    <w:rPr>
      <w:rFonts w:ascii="Arial" w:hAnsi="Arial" w:eastAsia="宋体"/>
      <w:color w:val="000000"/>
      <w:kern w:val="2"/>
      <w:sz w:val="21"/>
      <w:lang w:val="en-US" w:eastAsia="zh-CN" w:bidi="ar-SA"/>
    </w:rPr>
  </w:style>
  <w:style w:type="character" w:customStyle="1" w:styleId="215">
    <w:name w:val="Footer-Even Char1"/>
    <w:qFormat/>
    <w:uiPriority w:val="0"/>
    <w:rPr>
      <w:rFonts w:ascii="仿宋_GB2312" w:eastAsia="宋体"/>
      <w:b/>
      <w:kern w:val="2"/>
      <w:sz w:val="18"/>
      <w:szCs w:val="18"/>
      <w:lang w:val="en-US" w:eastAsia="zh-CN" w:bidi="ar-SA"/>
    </w:rPr>
  </w:style>
  <w:style w:type="character" w:customStyle="1" w:styleId="216">
    <w:name w:val="font11"/>
    <w:qFormat/>
    <w:uiPriority w:val="0"/>
    <w:rPr>
      <w:rFonts w:hint="eastAsia" w:ascii="宋体" w:hAnsi="宋体" w:eastAsia="宋体" w:cs="宋体"/>
      <w:color w:val="000000"/>
      <w:sz w:val="20"/>
      <w:szCs w:val="20"/>
      <w:u w:val="none"/>
      <w:vertAlign w:val="superscript"/>
    </w:rPr>
  </w:style>
  <w:style w:type="character" w:customStyle="1" w:styleId="217">
    <w:name w:val="A3"/>
    <w:qFormat/>
    <w:uiPriority w:val="0"/>
    <w:rPr>
      <w:rFonts w:ascii="ZapfDingbatsNr2EFOP-Regular" w:eastAsia="ZapfDingbatsNr2EFOP-Regular" w:cs="ZapfDingbatsNr2EFOP-Regular"/>
      <w:color w:val="211D1E"/>
      <w:sz w:val="14"/>
      <w:szCs w:val="14"/>
    </w:rPr>
  </w:style>
  <w:style w:type="character" w:customStyle="1" w:styleId="218">
    <w:name w:val="普通文字1 Char"/>
    <w:qFormat/>
    <w:uiPriority w:val="0"/>
    <w:rPr>
      <w:rFonts w:ascii="宋体" w:hAnsi="Courier New" w:eastAsia="宋体" w:cs="Courier New"/>
      <w:kern w:val="2"/>
      <w:sz w:val="21"/>
      <w:szCs w:val="21"/>
      <w:lang w:val="en-US" w:eastAsia="zh-CN" w:bidi="ar-SA"/>
    </w:rPr>
  </w:style>
  <w:style w:type="character" w:customStyle="1" w:styleId="219">
    <w:name w:val="Char Char6"/>
    <w:qFormat/>
    <w:uiPriority w:val="0"/>
    <w:rPr>
      <w:rFonts w:ascii="Times New Roman" w:hAnsi="Times New Roman" w:eastAsia="宋体" w:cs="Times New Roman"/>
      <w:szCs w:val="24"/>
    </w:rPr>
  </w:style>
  <w:style w:type="character" w:customStyle="1" w:styleId="220">
    <w:name w:val="Footer-Even Char"/>
    <w:qFormat/>
    <w:uiPriority w:val="0"/>
    <w:rPr>
      <w:rFonts w:ascii="仿宋_GB2312" w:eastAsia="仿宋_GB2312"/>
      <w:b/>
      <w:sz w:val="18"/>
      <w:szCs w:val="18"/>
    </w:rPr>
  </w:style>
  <w:style w:type="character" w:customStyle="1" w:styleId="221">
    <w:name w:val="Char Char16"/>
    <w:qFormat/>
    <w:uiPriority w:val="0"/>
    <w:rPr>
      <w:rFonts w:ascii="仿宋_GB2312" w:eastAsia="仿宋_GB2312"/>
      <w:b/>
      <w:bCs/>
      <w:kern w:val="2"/>
      <w:sz w:val="28"/>
      <w:szCs w:val="28"/>
    </w:rPr>
  </w:style>
  <w:style w:type="character" w:customStyle="1" w:styleId="222">
    <w:name w:val="Char Char1"/>
    <w:qFormat/>
    <w:uiPriority w:val="0"/>
    <w:rPr>
      <w:rFonts w:ascii="宋体" w:hAnsi="Courier New" w:eastAsia="宋体"/>
      <w:kern w:val="2"/>
      <w:sz w:val="21"/>
      <w:lang w:val="en-US" w:eastAsia="zh-CN" w:bidi="ar-SA"/>
    </w:rPr>
  </w:style>
  <w:style w:type="character" w:customStyle="1" w:styleId="223">
    <w:name w:val="Char Char61"/>
    <w:qFormat/>
    <w:uiPriority w:val="0"/>
    <w:rPr>
      <w:rFonts w:ascii="Times New Roman" w:hAnsi="Times New Roman" w:eastAsia="宋体" w:cs="Times New Roman"/>
      <w:szCs w:val="24"/>
    </w:rPr>
  </w:style>
  <w:style w:type="character" w:customStyle="1" w:styleId="224">
    <w:name w:val="Ò³Ã¼ Char Char"/>
    <w:qFormat/>
    <w:uiPriority w:val="0"/>
    <w:rPr>
      <w:rFonts w:ascii="仿宋_GB2312" w:eastAsia="仿宋_GB2312"/>
      <w:b/>
      <w:sz w:val="18"/>
      <w:szCs w:val="18"/>
    </w:rPr>
  </w:style>
  <w:style w:type="character" w:customStyle="1" w:styleId="225">
    <w:name w:val="Char Char111"/>
    <w:qFormat/>
    <w:uiPriority w:val="0"/>
    <w:rPr>
      <w:rFonts w:ascii="Times New Roman" w:hAnsi="Times New Roman" w:eastAsia="宋体" w:cs="Times New Roman"/>
      <w:sz w:val="18"/>
      <w:szCs w:val="18"/>
    </w:rPr>
  </w:style>
  <w:style w:type="character" w:customStyle="1" w:styleId="226">
    <w:name w:val="副标题 Char1"/>
    <w:qFormat/>
    <w:uiPriority w:val="11"/>
    <w:rPr>
      <w:rFonts w:ascii="Cambria" w:hAnsi="Cambria" w:cs="Times New Roman"/>
      <w:b/>
      <w:bCs/>
      <w:kern w:val="28"/>
      <w:sz w:val="32"/>
      <w:szCs w:val="32"/>
    </w:rPr>
  </w:style>
  <w:style w:type="character" w:customStyle="1" w:styleId="227">
    <w:name w:val="明显引用 Char1"/>
    <w:qFormat/>
    <w:uiPriority w:val="99"/>
    <w:rPr>
      <w:rFonts w:ascii="Tahoma" w:hAnsi="Tahoma"/>
      <w:b/>
      <w:bCs/>
      <w:i/>
      <w:iCs/>
      <w:color w:val="4F81BD"/>
      <w:kern w:val="2"/>
      <w:sz w:val="21"/>
      <w:szCs w:val="24"/>
    </w:rPr>
  </w:style>
  <w:style w:type="character" w:customStyle="1" w:styleId="228">
    <w:name w:val="Style5"/>
    <w:qFormat/>
    <w:uiPriority w:val="0"/>
    <w:rPr>
      <w:rFonts w:ascii="Calibri" w:hAnsi="宋体" w:eastAsia="宋体" w:cs="Times New Roman"/>
      <w:sz w:val="22"/>
      <w:szCs w:val="22"/>
      <w:lang w:eastAsia="zh-CN"/>
    </w:rPr>
  </w:style>
  <w:style w:type="character" w:customStyle="1" w:styleId="229">
    <w:name w:val="Plain Text Char"/>
    <w:qFormat/>
    <w:uiPriority w:val="0"/>
    <w:rPr>
      <w:rFonts w:ascii="宋体" w:hAnsi="Courier New" w:eastAsia="宋体" w:cs="Times New Roman"/>
      <w:sz w:val="21"/>
      <w:szCs w:val="21"/>
    </w:rPr>
  </w:style>
  <w:style w:type="character" w:customStyle="1" w:styleId="230">
    <w:name w:val="heading 2 Char1"/>
    <w:qFormat/>
    <w:uiPriority w:val="0"/>
    <w:rPr>
      <w:rFonts w:ascii="Cambria" w:hAnsi="Cambria" w:eastAsia="宋体"/>
      <w:b/>
      <w:bCs/>
      <w:kern w:val="2"/>
      <w:sz w:val="32"/>
      <w:szCs w:val="32"/>
      <w:lang w:val="en-US" w:eastAsia="zh-CN" w:bidi="ar-SA"/>
    </w:rPr>
  </w:style>
  <w:style w:type="character" w:customStyle="1" w:styleId="231">
    <w:name w:val="正文缩进 Char"/>
    <w:qFormat/>
    <w:uiPriority w:val="0"/>
    <w:rPr>
      <w:rFonts w:eastAsia="仿宋_GB2312"/>
      <w:sz w:val="21"/>
      <w:lang w:val="en-US" w:eastAsia="zh-CN" w:bidi="ar-SA"/>
    </w:rPr>
  </w:style>
  <w:style w:type="character" w:customStyle="1" w:styleId="232">
    <w:name w:val="正文1 Char Char"/>
    <w:link w:val="233"/>
    <w:qFormat/>
    <w:uiPriority w:val="0"/>
    <w:rPr>
      <w:rFonts w:ascii="宋体" w:hAnsi="宋体" w:cs="宋体"/>
      <w:b/>
      <w:sz w:val="21"/>
      <w:szCs w:val="32"/>
    </w:rPr>
  </w:style>
  <w:style w:type="paragraph" w:customStyle="1" w:styleId="233">
    <w:name w:val="正文1"/>
    <w:basedOn w:val="1"/>
    <w:link w:val="232"/>
    <w:qFormat/>
    <w:uiPriority w:val="0"/>
    <w:pPr>
      <w:widowControl/>
      <w:spacing w:line="360" w:lineRule="auto"/>
      <w:ind w:left="360" w:firstLine="420"/>
      <w:jc w:val="left"/>
    </w:pPr>
    <w:rPr>
      <w:rFonts w:ascii="宋体" w:hAnsi="宋体"/>
      <w:b/>
      <w:kern w:val="0"/>
      <w:szCs w:val="32"/>
    </w:rPr>
  </w:style>
  <w:style w:type="character" w:customStyle="1" w:styleId="234">
    <w:name w:val="引用 字符"/>
    <w:link w:val="235"/>
    <w:qFormat/>
    <w:uiPriority w:val="0"/>
    <w:rPr>
      <w:rFonts w:ascii="Calibri" w:hAnsi="Calibri"/>
      <w:b/>
      <w:i/>
      <w:iCs/>
      <w:color w:val="000000"/>
      <w:sz w:val="32"/>
      <w:szCs w:val="32"/>
    </w:rPr>
  </w:style>
  <w:style w:type="paragraph" w:customStyle="1" w:styleId="235">
    <w:name w:val="Quote"/>
    <w:basedOn w:val="1"/>
    <w:next w:val="1"/>
    <w:link w:val="234"/>
    <w:qFormat/>
    <w:uiPriority w:val="0"/>
    <w:rPr>
      <w:rFonts w:ascii="Calibri" w:hAnsi="Calibri"/>
      <w:b/>
      <w:i/>
      <w:iCs/>
      <w:color w:val="000000"/>
      <w:kern w:val="0"/>
      <w:sz w:val="32"/>
      <w:szCs w:val="32"/>
    </w:rPr>
  </w:style>
  <w:style w:type="character" w:customStyle="1" w:styleId="236">
    <w:name w:val="param_td1"/>
    <w:qFormat/>
    <w:uiPriority w:val="0"/>
    <w:rPr>
      <w:rFonts w:ascii="仿宋_GB2312" w:hAnsi="Tahoma" w:eastAsia="仿宋_GB2312"/>
      <w:b/>
      <w:sz w:val="32"/>
      <w:szCs w:val="32"/>
    </w:rPr>
  </w:style>
  <w:style w:type="character" w:customStyle="1" w:styleId="237">
    <w:name w:val="日期 字符"/>
    <w:qFormat/>
    <w:uiPriority w:val="0"/>
    <w:rPr>
      <w:kern w:val="2"/>
      <w:sz w:val="21"/>
      <w:szCs w:val="24"/>
    </w:rPr>
  </w:style>
  <w:style w:type="character" w:customStyle="1" w:styleId="238">
    <w:name w:val="样式2 Char Char"/>
    <w:link w:val="239"/>
    <w:qFormat/>
    <w:uiPriority w:val="0"/>
    <w:rPr>
      <w:rFonts w:ascii="宋体" w:hAnsi="宋体"/>
      <w:b/>
      <w:bCs/>
      <w:kern w:val="2"/>
      <w:sz w:val="28"/>
      <w:szCs w:val="28"/>
    </w:rPr>
  </w:style>
  <w:style w:type="paragraph" w:customStyle="1" w:styleId="239">
    <w:name w:val="样式2"/>
    <w:basedOn w:val="4"/>
    <w:link w:val="238"/>
    <w:qFormat/>
    <w:uiPriority w:val="0"/>
    <w:pPr>
      <w:snapToGrid w:val="0"/>
      <w:spacing w:afterLines="50" w:line="480" w:lineRule="exact"/>
      <w:ind w:firstLine="556"/>
    </w:pPr>
    <w:rPr>
      <w:rFonts w:ascii="宋体" w:hAnsi="宋体" w:eastAsia="宋体"/>
      <w:sz w:val="28"/>
      <w:szCs w:val="28"/>
    </w:rPr>
  </w:style>
  <w:style w:type="character" w:customStyle="1" w:styleId="240">
    <w:name w:val="Char Char19"/>
    <w:qFormat/>
    <w:uiPriority w:val="0"/>
    <w:rPr>
      <w:rFonts w:ascii="Cambria" w:hAnsi="Cambria" w:eastAsia="仿宋_GB2312"/>
      <w:b/>
      <w:bCs/>
      <w:kern w:val="2"/>
      <w:sz w:val="32"/>
      <w:szCs w:val="32"/>
    </w:rPr>
  </w:style>
  <w:style w:type="character" w:customStyle="1" w:styleId="241">
    <w:name w:val="input"/>
    <w:qFormat/>
    <w:uiPriority w:val="0"/>
  </w:style>
  <w:style w:type="character" w:customStyle="1" w:styleId="242">
    <w:name w:val="Char Char Char1"/>
    <w:qFormat/>
    <w:uiPriority w:val="0"/>
    <w:rPr>
      <w:rFonts w:ascii="宋体" w:hAnsi="Courier New" w:eastAsia="仿宋_GB2312"/>
      <w:b/>
      <w:sz w:val="21"/>
      <w:szCs w:val="21"/>
    </w:rPr>
  </w:style>
  <w:style w:type="character" w:customStyle="1" w:styleId="243">
    <w:name w:val="称呼 字符"/>
    <w:link w:val="19"/>
    <w:qFormat/>
    <w:uiPriority w:val="0"/>
  </w:style>
  <w:style w:type="character" w:customStyle="1" w:styleId="244">
    <w:name w:val="style21"/>
    <w:qFormat/>
    <w:uiPriority w:val="0"/>
    <w:rPr>
      <w:rFonts w:ascii="仿宋_GB2312" w:eastAsia="仿宋_GB2312"/>
      <w:b/>
      <w:sz w:val="15"/>
      <w:szCs w:val="15"/>
    </w:rPr>
  </w:style>
  <w:style w:type="character" w:customStyle="1" w:styleId="245">
    <w:name w:val="正文文本 2 字符"/>
    <w:link w:val="47"/>
    <w:qFormat/>
    <w:uiPriority w:val="0"/>
  </w:style>
  <w:style w:type="character" w:customStyle="1" w:styleId="246">
    <w:name w:val="heading 3 Char1"/>
    <w:qFormat/>
    <w:uiPriority w:val="0"/>
    <w:rPr>
      <w:rFonts w:ascii="仿宋_GB2312" w:eastAsia="宋体"/>
      <w:b/>
      <w:bCs/>
      <w:kern w:val="2"/>
      <w:sz w:val="32"/>
      <w:szCs w:val="32"/>
      <w:lang w:val="en-US" w:eastAsia="zh-CN" w:bidi="ar-SA"/>
    </w:rPr>
  </w:style>
  <w:style w:type="character" w:customStyle="1" w:styleId="247">
    <w:name w:val="me04"/>
    <w:qFormat/>
    <w:uiPriority w:val="0"/>
    <w:rPr>
      <w:rFonts w:ascii="仿宋_GB2312" w:hAnsi="Tahoma" w:eastAsia="仿宋_GB2312"/>
      <w:b/>
      <w:sz w:val="32"/>
      <w:szCs w:val="32"/>
    </w:rPr>
  </w:style>
  <w:style w:type="character" w:customStyle="1" w:styleId="248">
    <w:name w:val="纯文本 Char"/>
    <w:qFormat/>
    <w:uiPriority w:val="0"/>
    <w:rPr>
      <w:rFonts w:ascii="仿宋_GB2312" w:hAnsi="Wingdings" w:eastAsia="仿宋_GB2312"/>
      <w:sz w:val="21"/>
      <w:szCs w:val="21"/>
      <w:lang w:val="en-US" w:eastAsia="zh-CN" w:bidi="ar-SA"/>
    </w:rPr>
  </w:style>
  <w:style w:type="paragraph" w:customStyle="1" w:styleId="249">
    <w:name w:val="单位"/>
    <w:basedOn w:val="1"/>
    <w:qFormat/>
    <w:uiPriority w:val="0"/>
    <w:pPr>
      <w:adjustRightInd w:val="0"/>
      <w:jc w:val="center"/>
      <w:textAlignment w:val="baseline"/>
    </w:pPr>
    <w:rPr>
      <w:rFonts w:ascii="宋体"/>
      <w:b/>
      <w:kern w:val="0"/>
      <w:sz w:val="32"/>
      <w:szCs w:val="20"/>
    </w:rPr>
  </w:style>
  <w:style w:type="paragraph" w:customStyle="1" w:styleId="250">
    <w:name w:val="目录"/>
    <w:basedOn w:val="39"/>
    <w:qFormat/>
    <w:uiPriority w:val="0"/>
    <w:pPr>
      <w:tabs>
        <w:tab w:val="right" w:leader="dot" w:pos="7937"/>
        <w:tab w:val="right" w:leader="dot" w:pos="9628"/>
      </w:tabs>
      <w:adjustRightInd w:val="0"/>
      <w:spacing w:before="120" w:after="120" w:line="360" w:lineRule="auto"/>
      <w:jc w:val="center"/>
      <w:textAlignment w:val="baseline"/>
    </w:pPr>
    <w:rPr>
      <w:rFonts w:ascii="宋体" w:hAnsi="Times New Roman" w:eastAsia="黑体" w:cs="Times New Roman"/>
      <w:kern w:val="0"/>
      <w:sz w:val="30"/>
      <w:szCs w:val="20"/>
    </w:rPr>
  </w:style>
  <w:style w:type="paragraph" w:customStyle="1" w:styleId="251">
    <w:name w:val="_Style 248"/>
    <w:qFormat/>
    <w:uiPriority w:val="99"/>
    <w:rPr>
      <w:rFonts w:ascii="Times New Roman" w:hAnsi="Times New Roman" w:eastAsia="宋体" w:cs="Times New Roman"/>
      <w:kern w:val="2"/>
      <w:sz w:val="21"/>
      <w:szCs w:val="24"/>
      <w:lang w:val="en-US" w:eastAsia="zh-CN" w:bidi="ar-SA"/>
    </w:rPr>
  </w:style>
  <w:style w:type="paragraph" w:customStyle="1" w:styleId="252">
    <w:name w:val="正文首行缩进1"/>
    <w:basedOn w:val="21"/>
    <w:qFormat/>
    <w:uiPriority w:val="0"/>
    <w:pPr>
      <w:autoSpaceDE w:val="0"/>
      <w:autoSpaceDN w:val="0"/>
      <w:adjustRightInd w:val="0"/>
      <w:spacing w:before="100" w:beforeAutospacing="1"/>
      <w:ind w:firstLine="420" w:firstLineChars="100"/>
      <w:jc w:val="left"/>
    </w:pPr>
    <w:rPr>
      <w:rFonts w:ascii="仿宋_GB2312" w:hAnsi="Calibri"/>
      <w:b/>
      <w:kern w:val="0"/>
      <w:sz w:val="32"/>
      <w:szCs w:val="32"/>
    </w:rPr>
  </w:style>
  <w:style w:type="paragraph" w:customStyle="1" w:styleId="253">
    <w:name w:val="Char Char Char Char Char Char Char Char Char Char Char Char Char1"/>
    <w:basedOn w:val="1"/>
    <w:qFormat/>
    <w:uiPriority w:val="0"/>
  </w:style>
  <w:style w:type="paragraph" w:customStyle="1" w:styleId="254">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55">
    <w:name w:val="正文 首行缩进:  2 字符 Char"/>
    <w:basedOn w:val="1"/>
    <w:qFormat/>
    <w:uiPriority w:val="0"/>
    <w:pPr>
      <w:spacing w:line="360" w:lineRule="auto"/>
      <w:ind w:firstLine="480"/>
    </w:pPr>
    <w:rPr>
      <w:rFonts w:cs="宋体"/>
      <w:sz w:val="24"/>
      <w:szCs w:val="20"/>
    </w:rPr>
  </w:style>
  <w:style w:type="paragraph" w:customStyle="1" w:styleId="256">
    <w:name w:val="章标题"/>
    <w:next w:val="257"/>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25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59">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60">
    <w:name w:val="Test2"/>
    <w:basedOn w:val="4"/>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261">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62">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263">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64">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65">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66">
    <w:name w:val="文档正文"/>
    <w:basedOn w:val="1"/>
    <w:qFormat/>
    <w:uiPriority w:val="0"/>
    <w:pPr>
      <w:adjustRightInd w:val="0"/>
      <w:spacing w:line="300" w:lineRule="auto"/>
      <w:ind w:firstLine="567"/>
      <w:textAlignment w:val="baseline"/>
    </w:pPr>
    <w:rPr>
      <w:kern w:val="0"/>
      <w:sz w:val="24"/>
      <w:szCs w:val="20"/>
    </w:rPr>
  </w:style>
  <w:style w:type="paragraph" w:customStyle="1" w:styleId="2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6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69">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270">
    <w:name w:val="Table Paragraph"/>
    <w:basedOn w:val="1"/>
    <w:qFormat/>
    <w:uiPriority w:val="1"/>
    <w:pPr>
      <w:autoSpaceDE w:val="0"/>
      <w:autoSpaceDN w:val="0"/>
      <w:adjustRightInd w:val="0"/>
      <w:jc w:val="left"/>
    </w:pPr>
    <w:rPr>
      <w:kern w:val="0"/>
      <w:sz w:val="24"/>
    </w:rPr>
  </w:style>
  <w:style w:type="paragraph" w:customStyle="1" w:styleId="271">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272">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273">
    <w:name w:val="正文文字表格居中"/>
    <w:basedOn w:val="1"/>
    <w:next w:val="47"/>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274">
    <w:name w:val="样式 标题 2 + 居中"/>
    <w:basedOn w:val="4"/>
    <w:qFormat/>
    <w:uiPriority w:val="0"/>
    <w:pPr>
      <w:spacing w:beforeLines="50" w:beforeAutospacing="1" w:afterLines="50" w:afterAutospacing="1" w:line="360" w:lineRule="auto"/>
      <w:jc w:val="center"/>
    </w:pPr>
    <w:rPr>
      <w:rFonts w:cs="宋体"/>
      <w:szCs w:val="20"/>
    </w:rPr>
  </w:style>
  <w:style w:type="paragraph" w:customStyle="1" w:styleId="275">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76">
    <w:name w:val="正文段"/>
    <w:basedOn w:val="1"/>
    <w:qFormat/>
    <w:uiPriority w:val="0"/>
    <w:pPr>
      <w:widowControl/>
      <w:snapToGrid w:val="0"/>
      <w:spacing w:afterLines="50"/>
      <w:ind w:firstLine="200" w:firstLineChars="200"/>
    </w:pPr>
    <w:rPr>
      <w:kern w:val="0"/>
      <w:sz w:val="24"/>
      <w:szCs w:val="20"/>
    </w:rPr>
  </w:style>
  <w:style w:type="paragraph" w:customStyle="1" w:styleId="277">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278">
    <w:name w:val="怡3"/>
    <w:basedOn w:val="5"/>
    <w:qFormat/>
    <w:uiPriority w:val="0"/>
    <w:pPr>
      <w:numPr>
        <w:ilvl w:val="2"/>
        <w:numId w:val="3"/>
      </w:numPr>
      <w:tabs>
        <w:tab w:val="left" w:pos="857"/>
      </w:tabs>
      <w:spacing w:before="240" w:after="240" w:line="480" w:lineRule="auto"/>
      <w:jc w:val="left"/>
    </w:pPr>
    <w:rPr>
      <w:rFonts w:ascii="宋体" w:hAnsi="宋体"/>
    </w:rPr>
  </w:style>
  <w:style w:type="paragraph" w:customStyle="1" w:styleId="279">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80">
    <w:name w:val="正文（首行缩进）"/>
    <w:basedOn w:val="24"/>
    <w:qFormat/>
    <w:uiPriority w:val="0"/>
    <w:pPr>
      <w:widowControl/>
      <w:overflowPunct w:val="0"/>
      <w:autoSpaceDE w:val="0"/>
      <w:autoSpaceDN w:val="0"/>
      <w:spacing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2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2">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83">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4">
    <w:name w:val="Char1 Char Char Char"/>
    <w:basedOn w:val="1"/>
    <w:qFormat/>
    <w:uiPriority w:val="0"/>
    <w:rPr>
      <w:szCs w:val="20"/>
    </w:rPr>
  </w:style>
  <w:style w:type="paragraph" w:customStyle="1" w:styleId="28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86">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287">
    <w:name w:val="Char Char Char Char Char Char Char Char Char Char Char Char Char"/>
    <w:basedOn w:val="1"/>
    <w:qFormat/>
    <w:uiPriority w:val="0"/>
    <w:rPr>
      <w:rFonts w:ascii="Tahoma" w:hAnsi="Tahoma"/>
      <w:sz w:val="24"/>
      <w:szCs w:val="20"/>
    </w:rPr>
  </w:style>
  <w:style w:type="paragraph" w:customStyle="1" w:styleId="288">
    <w:name w:val="Char Char3"/>
    <w:basedOn w:val="1"/>
    <w:qFormat/>
    <w:uiPriority w:val="0"/>
    <w:rPr>
      <w:rFonts w:ascii="仿宋_GB2312" w:eastAsia="仿宋_GB2312"/>
      <w:b/>
      <w:sz w:val="32"/>
      <w:szCs w:val="32"/>
    </w:rPr>
  </w:style>
  <w:style w:type="paragraph" w:customStyle="1" w:styleId="289">
    <w:name w:val="样式 标题 3 + 黑色 段前: 5 磅 段后: 5 磅 行距: 1.5 倍行距"/>
    <w:basedOn w:val="1"/>
    <w:qFormat/>
    <w:uiPriority w:val="0"/>
    <w:pPr>
      <w:ind w:left="855" w:hanging="855"/>
    </w:pPr>
    <w:rPr>
      <w:sz w:val="24"/>
      <w:szCs w:val="20"/>
    </w:rPr>
  </w:style>
  <w:style w:type="paragraph" w:customStyle="1" w:styleId="29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1">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93">
    <w:name w:val="怡1"/>
    <w:basedOn w:val="3"/>
    <w:qFormat/>
    <w:uiPriority w:val="0"/>
    <w:pPr>
      <w:keepLines/>
      <w:numPr>
        <w:ilvl w:val="0"/>
        <w:numId w:val="3"/>
      </w:numPr>
      <w:spacing w:before="480" w:after="480"/>
      <w:jc w:val="left"/>
    </w:pPr>
    <w:rPr>
      <w:rFonts w:ascii="Calibri" w:hAnsi="Calibri" w:eastAsia="宋体"/>
      <w:kern w:val="0"/>
      <w:sz w:val="32"/>
      <w:szCs w:val="44"/>
      <w:lang w:val="zh-CN"/>
    </w:rPr>
  </w:style>
  <w:style w:type="paragraph" w:customStyle="1" w:styleId="294">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95">
    <w:name w:val="样式 标题 3 + 黑体 小四 非加粗"/>
    <w:basedOn w:val="5"/>
    <w:qFormat/>
    <w:uiPriority w:val="0"/>
    <w:pPr>
      <w:spacing w:line="413" w:lineRule="auto"/>
    </w:pPr>
    <w:rPr>
      <w:rFonts w:ascii="黑体" w:hAnsi="黑体" w:eastAsia="黑体"/>
      <w:b w:val="0"/>
      <w:bCs w:val="0"/>
      <w:kern w:val="0"/>
      <w:sz w:val="24"/>
    </w:rPr>
  </w:style>
  <w:style w:type="paragraph" w:customStyle="1" w:styleId="296">
    <w:name w:val="招标文件－标准正文"/>
    <w:basedOn w:val="30"/>
    <w:qFormat/>
    <w:uiPriority w:val="0"/>
    <w:pPr>
      <w:spacing w:line="360" w:lineRule="auto"/>
    </w:pPr>
    <w:rPr>
      <w:rFonts w:ascii="Times New Roman" w:hAnsi="Times New Roman" w:cs="宋体"/>
      <w:color w:val="000000"/>
      <w:sz w:val="24"/>
    </w:rPr>
  </w:style>
  <w:style w:type="paragraph" w:customStyle="1" w:styleId="29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98">
    <w:name w:val="样式 四号 首行缩进:  1 厘米"/>
    <w:basedOn w:val="1"/>
    <w:qFormat/>
    <w:uiPriority w:val="0"/>
    <w:pPr>
      <w:spacing w:line="440" w:lineRule="exact"/>
      <w:ind w:firstLine="567"/>
    </w:pPr>
    <w:rPr>
      <w:rFonts w:cs="宋体"/>
      <w:sz w:val="28"/>
      <w:szCs w:val="20"/>
    </w:rPr>
  </w:style>
  <w:style w:type="paragraph" w:customStyle="1" w:styleId="299">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0">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301">
    <w:name w:val="Char Char Char Char Char Char Char Char Char Char Char Char Char Char"/>
    <w:basedOn w:val="1"/>
    <w:qFormat/>
    <w:uiPriority w:val="0"/>
    <w:pPr>
      <w:widowControl/>
      <w:spacing w:after="160" w:line="240" w:lineRule="exact"/>
      <w:jc w:val="left"/>
    </w:pPr>
    <w:rPr>
      <w:bCs/>
    </w:rPr>
  </w:style>
  <w:style w:type="paragraph" w:customStyle="1" w:styleId="30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03">
    <w:name w:val="Char Char Char"/>
    <w:basedOn w:val="1"/>
    <w:next w:val="1"/>
    <w:qFormat/>
    <w:uiPriority w:val="0"/>
    <w:pPr>
      <w:shd w:val="clear" w:color="auto" w:fill="000080"/>
    </w:pPr>
    <w:rPr>
      <w:rFonts w:ascii="Tahoma" w:hAnsi="Tahoma"/>
      <w:sz w:val="24"/>
    </w:rPr>
  </w:style>
  <w:style w:type="paragraph" w:customStyle="1" w:styleId="304">
    <w:name w:val="1Text"/>
    <w:basedOn w:val="1"/>
    <w:qFormat/>
    <w:uiPriority w:val="0"/>
    <w:pPr>
      <w:spacing w:beforeLines="50" w:afterLines="50" w:line="360" w:lineRule="auto"/>
      <w:ind w:firstLine="480" w:firstLineChars="200"/>
      <w:jc w:val="left"/>
    </w:pPr>
    <w:rPr>
      <w:kern w:val="0"/>
      <w:sz w:val="24"/>
    </w:rPr>
  </w:style>
  <w:style w:type="paragraph" w:customStyle="1" w:styleId="305">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30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7">
    <w:name w:val="修订1"/>
    <w:qFormat/>
    <w:uiPriority w:val="0"/>
    <w:rPr>
      <w:rFonts w:ascii="Times New Roman" w:hAnsi="Times New Roman" w:eastAsia="宋体" w:cs="Times New Roman"/>
      <w:kern w:val="2"/>
      <w:sz w:val="21"/>
      <w:szCs w:val="24"/>
      <w:lang w:val="en-US" w:eastAsia="zh-CN" w:bidi="ar-SA"/>
    </w:rPr>
  </w:style>
  <w:style w:type="paragraph" w:customStyle="1" w:styleId="308">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09">
    <w:name w:val="正文缩进1"/>
    <w:basedOn w:val="1"/>
    <w:next w:val="24"/>
    <w:qFormat/>
    <w:uiPriority w:val="0"/>
    <w:pPr>
      <w:ind w:firstLine="420"/>
    </w:pPr>
    <w:rPr>
      <w:szCs w:val="20"/>
    </w:rPr>
  </w:style>
  <w:style w:type="paragraph" w:customStyle="1" w:styleId="310">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1">
    <w:name w:val="文字"/>
    <w:basedOn w:val="1"/>
    <w:qFormat/>
    <w:uiPriority w:val="0"/>
    <w:pPr>
      <w:tabs>
        <w:tab w:val="left" w:pos="8520"/>
      </w:tabs>
      <w:spacing w:line="312" w:lineRule="auto"/>
      <w:ind w:right="-210" w:firstLine="556"/>
    </w:pPr>
    <w:rPr>
      <w:rFonts w:ascii="宋体"/>
      <w:sz w:val="28"/>
      <w:szCs w:val="20"/>
    </w:rPr>
  </w:style>
  <w:style w:type="paragraph" w:customStyle="1" w:styleId="312">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313">
    <w:name w:val="样式 标题 3 + (中文) 黑体 小四 非加粗 段前: 7.8 磅 段后: 0 磅 行距: 固定值 20 磅"/>
    <w:basedOn w:val="5"/>
    <w:qFormat/>
    <w:uiPriority w:val="0"/>
    <w:pPr>
      <w:spacing w:before="0" w:after="0" w:line="400" w:lineRule="exact"/>
    </w:pPr>
    <w:rPr>
      <w:rFonts w:ascii="仿宋_GB2312" w:eastAsia="黑体" w:cs="宋体"/>
      <w:b w:val="0"/>
      <w:bCs w:val="0"/>
      <w:sz w:val="24"/>
      <w:szCs w:val="20"/>
    </w:rPr>
  </w:style>
  <w:style w:type="paragraph" w:customStyle="1" w:styleId="314">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15">
    <w:name w:val="Blockquote"/>
    <w:basedOn w:val="1"/>
    <w:qFormat/>
    <w:uiPriority w:val="0"/>
    <w:pPr>
      <w:autoSpaceDE w:val="0"/>
      <w:autoSpaceDN w:val="0"/>
      <w:spacing w:before="100" w:after="100"/>
      <w:ind w:left="360" w:right="360"/>
      <w:jc w:val="left"/>
    </w:pPr>
    <w:rPr>
      <w:szCs w:val="20"/>
    </w:rPr>
  </w:style>
  <w:style w:type="paragraph" w:customStyle="1" w:styleId="316">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7">
    <w:name w:val="三级条标题"/>
    <w:basedOn w:val="318"/>
    <w:next w:val="257"/>
    <w:qFormat/>
    <w:uiPriority w:val="0"/>
    <w:pPr>
      <w:numPr>
        <w:ilvl w:val="4"/>
      </w:numPr>
      <w:tabs>
        <w:tab w:val="left" w:pos="360"/>
      </w:tabs>
      <w:outlineLvl w:val="4"/>
    </w:pPr>
  </w:style>
  <w:style w:type="paragraph" w:customStyle="1" w:styleId="318">
    <w:name w:val="二级条标题"/>
    <w:basedOn w:val="319"/>
    <w:next w:val="257"/>
    <w:qFormat/>
    <w:uiPriority w:val="0"/>
    <w:pPr>
      <w:numPr>
        <w:ilvl w:val="3"/>
      </w:numPr>
      <w:tabs>
        <w:tab w:val="left" w:pos="360"/>
      </w:tabs>
      <w:outlineLvl w:val="3"/>
    </w:pPr>
  </w:style>
  <w:style w:type="paragraph" w:customStyle="1" w:styleId="319">
    <w:name w:val="一级条标题"/>
    <w:next w:val="257"/>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320">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1">
    <w:name w:val="四级条标题"/>
    <w:basedOn w:val="317"/>
    <w:next w:val="1"/>
    <w:qFormat/>
    <w:uiPriority w:val="0"/>
    <w:pPr>
      <w:numPr>
        <w:ilvl w:val="5"/>
      </w:numPr>
      <w:outlineLvl w:val="5"/>
    </w:pPr>
  </w:style>
  <w:style w:type="paragraph" w:customStyle="1" w:styleId="322">
    <w:name w:val="样式 标题 3h33rd level3Heading 3 - old + 居中 左侧:  9.8 毫米 首行缩进: ...1"/>
    <w:basedOn w:val="5"/>
    <w:qFormat/>
    <w:uiPriority w:val="0"/>
    <w:pPr>
      <w:keepLines w:val="0"/>
      <w:tabs>
        <w:tab w:val="left" w:pos="1275"/>
      </w:tabs>
      <w:spacing w:beforeLines="50" w:afterLines="50" w:line="240" w:lineRule="auto"/>
      <w:ind w:left="1275" w:hanging="720"/>
      <w:jc w:val="center"/>
    </w:pPr>
    <w:rPr>
      <w:rFonts w:ascii="宋体" w:cs="宋体"/>
      <w:sz w:val="28"/>
      <w:szCs w:val="20"/>
    </w:rPr>
  </w:style>
  <w:style w:type="paragraph" w:customStyle="1" w:styleId="323">
    <w:name w:val="五级条标题"/>
    <w:basedOn w:val="321"/>
    <w:next w:val="1"/>
    <w:qFormat/>
    <w:uiPriority w:val="0"/>
    <w:pPr>
      <w:numPr>
        <w:ilvl w:val="6"/>
      </w:numPr>
      <w:outlineLvl w:val="6"/>
    </w:pPr>
  </w:style>
  <w:style w:type="paragraph" w:customStyle="1" w:styleId="324">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2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326">
    <w:name w:val="列出段落3"/>
    <w:basedOn w:val="1"/>
    <w:qFormat/>
    <w:uiPriority w:val="99"/>
    <w:pPr>
      <w:widowControl/>
      <w:ind w:firstLine="420" w:firstLineChars="200"/>
      <w:jc w:val="left"/>
    </w:pPr>
    <w:rPr>
      <w:rFonts w:ascii="宋体" w:hAnsi="宋体" w:cs="宋体"/>
      <w:kern w:val="0"/>
      <w:sz w:val="24"/>
    </w:rPr>
  </w:style>
  <w:style w:type="paragraph" w:customStyle="1" w:styleId="327">
    <w:name w:val="列出段落2"/>
    <w:basedOn w:val="1"/>
    <w:qFormat/>
    <w:uiPriority w:val="0"/>
    <w:pPr>
      <w:ind w:firstLine="420" w:firstLineChars="200"/>
    </w:pPr>
  </w:style>
  <w:style w:type="paragraph" w:customStyle="1" w:styleId="328">
    <w:name w:val="Char Char Char Char1"/>
    <w:basedOn w:val="1"/>
    <w:qFormat/>
    <w:uiPriority w:val="0"/>
    <w:rPr>
      <w:rFonts w:ascii="Tahoma" w:hAnsi="Tahoma"/>
      <w:sz w:val="24"/>
      <w:szCs w:val="20"/>
    </w:rPr>
  </w:style>
  <w:style w:type="paragraph" w:customStyle="1" w:styleId="32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30">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31">
    <w:name w:val="Char Char Char Char Char Char Char"/>
    <w:basedOn w:val="1"/>
    <w:next w:val="1"/>
    <w:qFormat/>
    <w:uiPriority w:val="0"/>
    <w:pPr>
      <w:tabs>
        <w:tab w:val="left" w:pos="425"/>
      </w:tabs>
      <w:spacing w:beforeLines="50" w:afterLines="100" w:line="360" w:lineRule="auto"/>
      <w:ind w:left="1105" w:hanging="748"/>
      <w:jc w:val="center"/>
    </w:pPr>
    <w:rPr>
      <w:szCs w:val="20"/>
    </w:rPr>
  </w:style>
  <w:style w:type="paragraph" w:customStyle="1" w:styleId="332">
    <w:name w:val="Char Char Char Char11"/>
    <w:basedOn w:val="1"/>
    <w:qFormat/>
    <w:uiPriority w:val="0"/>
    <w:rPr>
      <w:szCs w:val="20"/>
    </w:rPr>
  </w:style>
  <w:style w:type="paragraph" w:customStyle="1" w:styleId="333">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334">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335">
    <w:name w:val="样式5"/>
    <w:basedOn w:val="14"/>
    <w:qFormat/>
    <w:uiPriority w:val="0"/>
    <w:pPr>
      <w:adjustRightInd/>
      <w:spacing w:line="360" w:lineRule="auto"/>
      <w:ind w:firstLine="200" w:firstLineChars="200"/>
      <w:textAlignment w:val="auto"/>
    </w:pPr>
    <w:rPr>
      <w:rFonts w:ascii="仿宋_GB2312"/>
      <w:b/>
      <w:kern w:val="2"/>
      <w:sz w:val="28"/>
      <w:szCs w:val="21"/>
    </w:rPr>
  </w:style>
  <w:style w:type="paragraph" w:customStyle="1" w:styleId="336">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337">
    <w:name w:val="内文正文"/>
    <w:basedOn w:val="30"/>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338">
    <w:name w:val="修订11"/>
    <w:qFormat/>
    <w:uiPriority w:val="0"/>
    <w:rPr>
      <w:rFonts w:ascii="Times New Roman" w:hAnsi="Times New Roman" w:eastAsia="宋体" w:cs="Times New Roman"/>
      <w:kern w:val="2"/>
      <w:sz w:val="21"/>
      <w:szCs w:val="24"/>
      <w:lang w:val="en-US" w:eastAsia="zh-CN" w:bidi="ar-SA"/>
    </w:rPr>
  </w:style>
  <w:style w:type="paragraph" w:customStyle="1" w:styleId="339">
    <w:name w:val="表格文字"/>
    <w:basedOn w:val="30"/>
    <w:next w:val="21"/>
    <w:qFormat/>
    <w:uiPriority w:val="0"/>
    <w:pPr>
      <w:spacing w:line="420" w:lineRule="atLeast"/>
      <w:jc w:val="left"/>
    </w:pPr>
  </w:style>
  <w:style w:type="paragraph" w:customStyle="1" w:styleId="34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41">
    <w:name w:val="_Style 33"/>
    <w:basedOn w:val="1"/>
    <w:qFormat/>
    <w:uiPriority w:val="0"/>
  </w:style>
  <w:style w:type="paragraph" w:customStyle="1" w:styleId="342">
    <w:name w:val="正文字缩2字"/>
    <w:basedOn w:val="1"/>
    <w:qFormat/>
    <w:uiPriority w:val="0"/>
    <w:pPr>
      <w:spacing w:before="60" w:after="60" w:line="360" w:lineRule="auto"/>
      <w:ind w:left="200" w:leftChars="200" w:firstLine="200" w:firstLineChars="200"/>
    </w:pPr>
    <w:rPr>
      <w:sz w:val="24"/>
    </w:rPr>
  </w:style>
  <w:style w:type="paragraph" w:customStyle="1" w:styleId="343">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4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5">
    <w:name w:val="怡2"/>
    <w:basedOn w:val="4"/>
    <w:next w:val="5"/>
    <w:qFormat/>
    <w:uiPriority w:val="0"/>
    <w:pPr>
      <w:numPr>
        <w:ilvl w:val="1"/>
        <w:numId w:val="3"/>
      </w:numPr>
      <w:spacing w:before="360" w:after="360" w:line="480" w:lineRule="auto"/>
      <w:jc w:val="left"/>
    </w:pPr>
    <w:rPr>
      <w:rFonts w:ascii="Cambria" w:hAnsi="Cambria" w:eastAsia="宋体"/>
      <w:kern w:val="0"/>
      <w:sz w:val="36"/>
    </w:rPr>
  </w:style>
  <w:style w:type="paragraph" w:customStyle="1" w:styleId="346">
    <w:name w:val="List Paragraph1"/>
    <w:basedOn w:val="1"/>
    <w:qFormat/>
    <w:uiPriority w:val="34"/>
    <w:pPr>
      <w:ind w:firstLine="420" w:firstLineChars="200"/>
    </w:pPr>
    <w:rPr>
      <w:rFonts w:ascii="等线" w:hAnsi="等线"/>
    </w:rPr>
  </w:style>
  <w:style w:type="paragraph" w:customStyle="1" w:styleId="347">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3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9">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350">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51">
    <w:name w:val="*正文"/>
    <w:basedOn w:val="1"/>
    <w:qFormat/>
    <w:uiPriority w:val="0"/>
    <w:pPr>
      <w:widowControl/>
      <w:spacing w:line="360" w:lineRule="auto"/>
      <w:ind w:firstLine="200" w:firstLineChars="200"/>
      <w:jc w:val="left"/>
    </w:pPr>
    <w:rPr>
      <w:rFonts w:ascii="仿宋_GB2312" w:eastAsia="仿宋_GB2312"/>
      <w:sz w:val="24"/>
      <w:szCs w:val="28"/>
      <w:lang w:val="zh-CN"/>
    </w:rPr>
  </w:style>
  <w:style w:type="paragraph" w:customStyle="1" w:styleId="352">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353">
    <w:name w:val="Char1 Char Char Char Char1"/>
    <w:basedOn w:val="17"/>
    <w:qFormat/>
    <w:uiPriority w:val="0"/>
    <w:rPr>
      <w:rFonts w:ascii="Tahoma" w:hAnsi="Tahoma" w:cs="Tahoma"/>
      <w:kern w:val="0"/>
      <w:sz w:val="18"/>
    </w:rPr>
  </w:style>
  <w:style w:type="paragraph" w:customStyle="1" w:styleId="354">
    <w:name w:val="样式 标题 1Level 1Level 11h1II+IHeading1H1-Heading 1Header 1..."/>
    <w:basedOn w:val="3"/>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355">
    <w:name w:val="列出段落1"/>
    <w:basedOn w:val="1"/>
    <w:qFormat/>
    <w:uiPriority w:val="99"/>
    <w:pPr>
      <w:ind w:firstLine="420" w:firstLineChars="200"/>
    </w:pPr>
    <w:rPr>
      <w:szCs w:val="20"/>
    </w:rPr>
  </w:style>
  <w:style w:type="paragraph" w:customStyle="1" w:styleId="356">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357">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358">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5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60">
    <w:name w:val="Char Char Char Char Char Char Char Char Char1 Char"/>
    <w:basedOn w:val="1"/>
    <w:qFormat/>
    <w:uiPriority w:val="0"/>
  </w:style>
  <w:style w:type="paragraph" w:customStyle="1" w:styleId="361">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362">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63">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364">
    <w:name w:val="简单回函地址"/>
    <w:basedOn w:val="1"/>
    <w:qFormat/>
    <w:uiPriority w:val="0"/>
  </w:style>
  <w:style w:type="paragraph" w:customStyle="1" w:styleId="365">
    <w:name w:val="正文缩进1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366">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367">
    <w:name w:val="Char3"/>
    <w:basedOn w:val="1"/>
    <w:qFormat/>
    <w:uiPriority w:val="0"/>
    <w:rPr>
      <w:rFonts w:ascii="Tahoma" w:hAnsi="Tahoma"/>
      <w:sz w:val="24"/>
      <w:szCs w:val="20"/>
    </w:rPr>
  </w:style>
  <w:style w:type="paragraph" w:customStyle="1" w:styleId="368">
    <w:name w:val="TOC 标题1"/>
    <w:basedOn w:val="3"/>
    <w:next w:val="1"/>
    <w:qFormat/>
    <w:uiPriority w:val="0"/>
    <w:pPr>
      <w:keepLines/>
      <w:widowControl/>
      <w:spacing w:before="480" w:line="276" w:lineRule="auto"/>
      <w:jc w:val="left"/>
      <w:outlineLvl w:val="9"/>
    </w:pPr>
    <w:rPr>
      <w:rFonts w:ascii="Cambria" w:hAnsi="Cambria" w:eastAsia="宋体"/>
      <w:color w:val="365F91"/>
      <w:kern w:val="0"/>
      <w:sz w:val="28"/>
      <w:szCs w:val="28"/>
    </w:rPr>
  </w:style>
  <w:style w:type="paragraph" w:customStyle="1" w:styleId="369">
    <w:name w:val="Char Char Char Char Char Char Char1"/>
    <w:basedOn w:val="1"/>
    <w:qFormat/>
    <w:uiPriority w:val="0"/>
    <w:pPr>
      <w:widowControl/>
      <w:spacing w:after="160" w:line="240" w:lineRule="exact"/>
      <w:jc w:val="left"/>
    </w:pPr>
    <w:rPr>
      <w:szCs w:val="20"/>
    </w:rPr>
  </w:style>
  <w:style w:type="paragraph" w:customStyle="1" w:styleId="370">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71">
    <w:name w:val="样式1"/>
    <w:basedOn w:val="1"/>
    <w:next w:val="6"/>
    <w:qFormat/>
    <w:uiPriority w:val="0"/>
    <w:pPr>
      <w:spacing w:line="360" w:lineRule="auto"/>
      <w:ind w:firstLine="420" w:firstLineChars="200"/>
    </w:pPr>
    <w:rPr>
      <w:rFonts w:ascii="宋体" w:hAnsi="宋体"/>
      <w:szCs w:val="21"/>
    </w:rPr>
  </w:style>
  <w:style w:type="paragraph" w:customStyle="1" w:styleId="37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73">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374">
    <w:name w:val="普通 (Web)"/>
    <w:basedOn w:val="1"/>
    <w:qFormat/>
    <w:uiPriority w:val="0"/>
    <w:pPr>
      <w:widowControl/>
      <w:spacing w:before="100" w:after="100"/>
      <w:jc w:val="left"/>
    </w:pPr>
    <w:rPr>
      <w:rFonts w:ascii="宋体" w:hAnsi="宋体"/>
      <w:kern w:val="0"/>
      <w:sz w:val="24"/>
    </w:rPr>
  </w:style>
  <w:style w:type="paragraph" w:customStyle="1" w:styleId="37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377">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78">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79">
    <w:name w:val="1"/>
    <w:basedOn w:val="1"/>
    <w:qFormat/>
    <w:uiPriority w:val="0"/>
  </w:style>
  <w:style w:type="paragraph" w:customStyle="1" w:styleId="380">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381">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82">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383">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4">
    <w:name w:val="纯文本2"/>
    <w:basedOn w:val="383"/>
    <w:qFormat/>
    <w:uiPriority w:val="0"/>
    <w:pPr>
      <w:adjustRightInd w:val="0"/>
      <w:snapToGrid w:val="0"/>
      <w:spacing w:line="288" w:lineRule="auto"/>
      <w:ind w:firstLine="200" w:firstLineChars="200"/>
    </w:pPr>
    <w:rPr>
      <w:rFonts w:ascii="宋体" w:hAnsi="Courier New"/>
    </w:rPr>
  </w:style>
  <w:style w:type="paragraph" w:customStyle="1" w:styleId="385">
    <w:name w:val="Pa5"/>
    <w:basedOn w:val="72"/>
    <w:next w:val="72"/>
    <w:qFormat/>
    <w:uiPriority w:val="0"/>
    <w:pPr>
      <w:spacing w:after="60" w:line="161" w:lineRule="atLeast"/>
    </w:pPr>
    <w:rPr>
      <w:rFonts w:ascii="Univers LT Std 57 Cn" w:hAnsi="Univers LT Std 57 Cn" w:cs="Times New Roman"/>
      <w:color w:val="auto"/>
    </w:rPr>
  </w:style>
  <w:style w:type="paragraph" w:customStyle="1" w:styleId="38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87">
    <w:name w:val="纯文本1"/>
    <w:basedOn w:val="1"/>
    <w:qFormat/>
    <w:uiPriority w:val="0"/>
    <w:pPr>
      <w:adjustRightInd w:val="0"/>
      <w:snapToGrid w:val="0"/>
      <w:spacing w:line="288" w:lineRule="auto"/>
      <w:ind w:firstLine="200" w:firstLineChars="200"/>
    </w:pPr>
    <w:rPr>
      <w:rFonts w:ascii="宋体" w:hAnsi="Courier New"/>
    </w:rPr>
  </w:style>
  <w:style w:type="paragraph" w:customStyle="1" w:styleId="38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89">
    <w:name w:val="Char Char Char Char Char Char"/>
    <w:basedOn w:val="1"/>
    <w:qFormat/>
    <w:uiPriority w:val="0"/>
    <w:rPr>
      <w:rFonts w:ascii="Tahoma" w:hAnsi="Tahoma"/>
      <w:sz w:val="24"/>
      <w:szCs w:val="20"/>
    </w:rPr>
  </w:style>
  <w:style w:type="paragraph" w:customStyle="1" w:styleId="390">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3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9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3">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94">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9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6">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9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39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99">
    <w:name w:val="_Style 25"/>
    <w:basedOn w:val="1"/>
    <w:qFormat/>
    <w:uiPriority w:val="0"/>
  </w:style>
  <w:style w:type="paragraph" w:customStyle="1" w:styleId="400">
    <w:name w:val="正文－恩普"/>
    <w:basedOn w:val="14"/>
    <w:qFormat/>
    <w:uiPriority w:val="0"/>
    <w:pPr>
      <w:adjustRightInd/>
      <w:spacing w:line="360" w:lineRule="auto"/>
      <w:ind w:firstLine="200" w:firstLineChars="200"/>
      <w:textAlignment w:val="auto"/>
    </w:pPr>
    <w:rPr>
      <w:rFonts w:ascii="仿宋_GB2312"/>
      <w:b/>
      <w:kern w:val="2"/>
      <w:sz w:val="24"/>
      <w:szCs w:val="24"/>
    </w:rPr>
  </w:style>
  <w:style w:type="paragraph" w:customStyle="1" w:styleId="401">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402">
    <w:name w:val="1 Char"/>
    <w:basedOn w:val="14"/>
    <w:qFormat/>
    <w:uiPriority w:val="0"/>
    <w:pPr>
      <w:adjustRightInd/>
      <w:spacing w:line="360" w:lineRule="auto"/>
      <w:ind w:firstLine="200" w:firstLineChars="200"/>
      <w:textAlignment w:val="auto"/>
    </w:pPr>
    <w:rPr>
      <w:rFonts w:ascii="仿宋_GB2312"/>
      <w:b/>
      <w:kern w:val="2"/>
      <w:szCs w:val="32"/>
    </w:rPr>
  </w:style>
  <w:style w:type="paragraph" w:customStyle="1" w:styleId="40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404">
    <w:name w:val="CM106"/>
    <w:basedOn w:val="72"/>
    <w:next w:val="72"/>
    <w:qFormat/>
    <w:uiPriority w:val="0"/>
    <w:rPr>
      <w:rFonts w:cs="Times New Roman"/>
      <w:color w:val="auto"/>
    </w:rPr>
  </w:style>
  <w:style w:type="paragraph" w:customStyle="1" w:styleId="405">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406">
    <w:name w:val="保留正文"/>
    <w:basedOn w:val="21"/>
    <w:qFormat/>
    <w:uiPriority w:val="0"/>
    <w:pPr>
      <w:keepNext/>
      <w:spacing w:after="160"/>
    </w:pPr>
    <w:rPr>
      <w:rFonts w:ascii="仿宋_GB2312"/>
      <w:b/>
    </w:rPr>
  </w:style>
  <w:style w:type="paragraph" w:customStyle="1" w:styleId="40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408">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409">
    <w:name w:val="Char1 Char Char Char Char"/>
    <w:basedOn w:val="17"/>
    <w:qFormat/>
    <w:uiPriority w:val="0"/>
    <w:rPr>
      <w:rFonts w:ascii="Tahoma" w:hAnsi="Tahoma" w:cs="Tahoma"/>
      <w:kern w:val="0"/>
      <w:sz w:val="18"/>
    </w:rPr>
  </w:style>
  <w:style w:type="paragraph" w:customStyle="1" w:styleId="410">
    <w:name w:val="Char"/>
    <w:basedOn w:val="1"/>
    <w:qFormat/>
    <w:uiPriority w:val="0"/>
    <w:pPr>
      <w:widowControl/>
      <w:spacing w:line="400" w:lineRule="exact"/>
      <w:jc w:val="center"/>
    </w:pPr>
    <w:rPr>
      <w:rFonts w:ascii="Verdana" w:hAnsi="Verdana"/>
      <w:kern w:val="0"/>
      <w:szCs w:val="20"/>
      <w:lang w:eastAsia="en-US"/>
    </w:rPr>
  </w:style>
  <w:style w:type="paragraph" w:customStyle="1" w:styleId="411">
    <w:name w:val="blockquote"/>
    <w:basedOn w:val="1"/>
    <w:qFormat/>
    <w:uiPriority w:val="0"/>
    <w:pPr>
      <w:widowControl/>
      <w:spacing w:before="100" w:beforeAutospacing="1" w:after="100" w:afterAutospacing="1"/>
      <w:jc w:val="left"/>
    </w:pPr>
    <w:rPr>
      <w:rFonts w:ascii="宋体" w:hAnsi="宋体"/>
    </w:rPr>
  </w:style>
  <w:style w:type="paragraph" w:customStyle="1" w:styleId="412">
    <w:name w:val="_Style 4"/>
    <w:basedOn w:val="1"/>
    <w:qFormat/>
    <w:uiPriority w:val="0"/>
    <w:pPr>
      <w:ind w:firstLine="420" w:firstLineChars="200"/>
    </w:pPr>
    <w:rPr>
      <w:szCs w:val="20"/>
    </w:rPr>
  </w:style>
  <w:style w:type="character" w:customStyle="1" w:styleId="413">
    <w:name w:val="NormalCharacter"/>
    <w:qFormat/>
    <w:uiPriority w:val="0"/>
  </w:style>
  <w:style w:type="paragraph" w:customStyle="1" w:styleId="414">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415">
    <w:name w:val="[Normal]"/>
    <w:autoRedefine/>
    <w:qFormat/>
    <w:uiPriority w:val="0"/>
    <w:rPr>
      <w:rFonts w:ascii="宋体" w:hAnsi="宋体" w:eastAsia="宋体" w:cs="Times New Roman"/>
      <w:sz w:val="24"/>
      <w:szCs w:val="22"/>
      <w:lang w:val="zh-CN" w:eastAsia="zh-CN" w:bidi="ar-SA"/>
    </w:rPr>
  </w:style>
  <w:style w:type="table" w:customStyle="1" w:styleId="416">
    <w:name w:val="Table Normal"/>
    <w:semiHidden/>
    <w:unhideWhenUsed/>
    <w:qFormat/>
    <w:uiPriority w:val="0"/>
    <w:tblPr>
      <w:tblCellMar>
        <w:top w:w="0" w:type="dxa"/>
        <w:left w:w="0" w:type="dxa"/>
        <w:bottom w:w="0" w:type="dxa"/>
        <w:right w:w="0" w:type="dxa"/>
      </w:tblCellMar>
    </w:tblPr>
  </w:style>
  <w:style w:type="character" w:customStyle="1" w:styleId="417">
    <w:name w:val="font81"/>
    <w:basedOn w:val="56"/>
    <w:qFormat/>
    <w:uiPriority w:val="0"/>
    <w:rPr>
      <w:rFonts w:hint="default" w:ascii="Times New Roman" w:hAnsi="Times New Roman" w:cs="Times New Roman"/>
      <w:color w:val="000000"/>
      <w:sz w:val="22"/>
      <w:szCs w:val="22"/>
      <w:u w:val="none"/>
    </w:rPr>
  </w:style>
  <w:style w:type="paragraph" w:customStyle="1" w:styleId="418">
    <w:name w:val="目次、标准名称标题"/>
    <w:basedOn w:val="1"/>
    <w:next w:val="25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64</Pages>
  <Words>17429</Words>
  <Characters>18311</Characters>
  <Lines>295</Lines>
  <Paragraphs>83</Paragraphs>
  <TotalTime>1</TotalTime>
  <ScaleCrop>false</ScaleCrop>
  <LinksUpToDate>false</LinksUpToDate>
  <CharactersWithSpaces>18758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2020-12-19T04:52:00Z</dcterms:created>
  <dc:creator>can</dc:creator>
  <cp:lastModifiedBy>w®</cp:lastModifiedBy>
  <cp:lastPrinted>2024-07-26T10:49:00Z</cp:lastPrinted>
  <dcterms:modified xsi:type="dcterms:W3CDTF">2025-02-05T01:23:24Z</dcterms:modified>
  <dc:title>温州市政府集中采购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A5F95EB9BF994A75942840A4AB77ADA2_13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eyJoZGlkIjoiODQ4Y2FiM2Y2MWU2MDVmMTUxYjFkMDg4YjU4NmRhYmEiLCJ1c2VySWQiOiI5MzM4NjQ2MTUifQ==</vt:lpwstr>
  </property>
</Properties>
</file>