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E2C">
      <w:pPr>
        <w:jc w:val="center"/>
        <w:rPr>
          <w:rFonts w:ascii="宋体" w:hAnsi="宋体" w:cs="宋体"/>
          <w:b/>
          <w:bCs/>
          <w:spacing w:val="100"/>
          <w:sz w:val="84"/>
          <w:szCs w:val="84"/>
        </w:rPr>
      </w:pPr>
      <w:r>
        <w:rPr>
          <w:rFonts w:hint="eastAsia" w:ascii="宋体" w:hAnsi="宋体" w:cs="宋体"/>
          <w:b/>
          <w:bCs/>
          <w:spacing w:val="100"/>
          <w:sz w:val="84"/>
          <w:szCs w:val="84"/>
        </w:rPr>
        <w:t>温州市政府采购</w:t>
      </w:r>
    </w:p>
    <w:p w14:paraId="02DC3DF7">
      <w:pPr>
        <w:jc w:val="center"/>
        <w:rPr>
          <w:rFonts w:ascii="宋体" w:hAnsi="宋体" w:cs="宋体"/>
          <w:b/>
          <w:bCs/>
          <w:spacing w:val="26"/>
          <w:sz w:val="52"/>
        </w:rPr>
      </w:pPr>
    </w:p>
    <w:p w14:paraId="0D538B1F">
      <w:pPr>
        <w:jc w:val="center"/>
        <w:rPr>
          <w:rFonts w:ascii="宋体" w:hAnsi="宋体" w:cs="宋体"/>
          <w:b/>
          <w:bCs/>
          <w:spacing w:val="140"/>
          <w:sz w:val="72"/>
        </w:rPr>
      </w:pPr>
    </w:p>
    <w:p w14:paraId="1D2A60CA">
      <w:pPr>
        <w:spacing w:line="900" w:lineRule="exact"/>
        <w:jc w:val="center"/>
        <w:rPr>
          <w:rFonts w:ascii="宋体" w:hAnsi="宋体" w:cs="宋体"/>
          <w:b/>
          <w:bCs/>
          <w:spacing w:val="140"/>
          <w:sz w:val="44"/>
          <w:szCs w:val="44"/>
        </w:rPr>
      </w:pPr>
      <w:r>
        <w:rPr>
          <w:rFonts w:hint="eastAsia" w:ascii="宋体" w:hAnsi="宋体" w:cs="宋体"/>
          <w:b/>
          <w:bCs/>
          <w:spacing w:val="140"/>
          <w:sz w:val="44"/>
          <w:szCs w:val="44"/>
        </w:rPr>
        <w:t>竞争性磋商文件</w:t>
      </w:r>
    </w:p>
    <w:p w14:paraId="18434D52">
      <w:pPr>
        <w:spacing w:line="600" w:lineRule="exact"/>
        <w:jc w:val="center"/>
        <w:rPr>
          <w:rFonts w:ascii="宋体" w:hAnsi="宋体" w:cs="宋体"/>
          <w:b/>
          <w:bCs/>
          <w:spacing w:val="140"/>
          <w:sz w:val="84"/>
          <w:szCs w:val="84"/>
        </w:rPr>
      </w:pPr>
    </w:p>
    <w:p w14:paraId="1C8EDB83">
      <w:pPr>
        <w:spacing w:line="400" w:lineRule="exact"/>
        <w:jc w:val="center"/>
        <w:rPr>
          <w:rFonts w:ascii="宋体" w:hAnsi="宋体" w:cs="宋体"/>
          <w:b/>
          <w:bCs/>
          <w:sz w:val="32"/>
          <w:szCs w:val="32"/>
        </w:rPr>
      </w:pPr>
    </w:p>
    <w:p w14:paraId="2FF72462">
      <w:pPr>
        <w:jc w:val="center"/>
        <w:rPr>
          <w:rFonts w:ascii="宋体" w:hAnsi="宋体" w:cs="宋体"/>
          <w:spacing w:val="40"/>
          <w:sz w:val="30"/>
          <w:szCs w:val="30"/>
        </w:rPr>
      </w:pPr>
    </w:p>
    <w:p w14:paraId="177F9570">
      <w:pPr>
        <w:jc w:val="center"/>
        <w:rPr>
          <w:rFonts w:ascii="宋体" w:hAnsi="宋体" w:cs="宋体"/>
          <w:spacing w:val="40"/>
          <w:sz w:val="30"/>
          <w:szCs w:val="30"/>
        </w:rPr>
      </w:pPr>
    </w:p>
    <w:tbl>
      <w:tblPr>
        <w:tblStyle w:val="56"/>
        <w:tblW w:w="4692" w:type="dxa"/>
        <w:jc w:val="center"/>
        <w:tblLayout w:type="fixed"/>
        <w:tblCellMar>
          <w:top w:w="0" w:type="dxa"/>
          <w:left w:w="108" w:type="dxa"/>
          <w:bottom w:w="0" w:type="dxa"/>
          <w:right w:w="108" w:type="dxa"/>
        </w:tblCellMar>
      </w:tblPr>
      <w:tblGrid>
        <w:gridCol w:w="1559"/>
        <w:gridCol w:w="3133"/>
      </w:tblGrid>
      <w:tr w14:paraId="5C30C136">
        <w:tblPrEx>
          <w:tblCellMar>
            <w:top w:w="0" w:type="dxa"/>
            <w:left w:w="108" w:type="dxa"/>
            <w:bottom w:w="0" w:type="dxa"/>
            <w:right w:w="108" w:type="dxa"/>
          </w:tblCellMar>
        </w:tblPrEx>
        <w:trPr>
          <w:trHeight w:val="1089" w:hRule="atLeast"/>
          <w:jc w:val="center"/>
        </w:trPr>
        <w:tc>
          <w:tcPr>
            <w:tcW w:w="1559" w:type="dxa"/>
            <w:vAlign w:val="center"/>
          </w:tcPr>
          <w:p w14:paraId="45B3AE22">
            <w:pPr>
              <w:rPr>
                <w:rFonts w:ascii="宋体" w:hAnsi="宋体" w:cs="宋体"/>
                <w:b/>
                <w:sz w:val="28"/>
                <w:szCs w:val="28"/>
              </w:rPr>
            </w:pPr>
            <w:r>
              <w:rPr>
                <w:rFonts w:hint="eastAsia" w:ascii="宋体" w:hAnsi="宋体" w:cs="宋体"/>
                <w:b/>
                <w:sz w:val="28"/>
                <w:szCs w:val="28"/>
              </w:rPr>
              <w:t>项目编号：</w:t>
            </w:r>
          </w:p>
        </w:tc>
        <w:tc>
          <w:tcPr>
            <w:tcW w:w="3133" w:type="dxa"/>
            <w:vAlign w:val="center"/>
          </w:tcPr>
          <w:p w14:paraId="0EC6C5E3">
            <w:pPr>
              <w:rPr>
                <w:rFonts w:ascii="宋体" w:hAnsi="宋体" w:cs="宋体"/>
                <w:b/>
                <w:sz w:val="28"/>
                <w:szCs w:val="28"/>
              </w:rPr>
            </w:pPr>
            <w:r>
              <w:rPr>
                <w:rFonts w:hint="eastAsia" w:ascii="宋体" w:hAnsi="宋体" w:cs="宋体"/>
                <w:b/>
                <w:sz w:val="28"/>
                <w:szCs w:val="28"/>
              </w:rPr>
              <w:t>ZXZB-F20240919-YW</w:t>
            </w:r>
          </w:p>
        </w:tc>
      </w:tr>
      <w:tr w14:paraId="3A0E98BB">
        <w:tblPrEx>
          <w:tblCellMar>
            <w:top w:w="0" w:type="dxa"/>
            <w:left w:w="108" w:type="dxa"/>
            <w:bottom w:w="0" w:type="dxa"/>
            <w:right w:w="108" w:type="dxa"/>
          </w:tblCellMar>
        </w:tblPrEx>
        <w:trPr>
          <w:trHeight w:val="1113" w:hRule="atLeast"/>
          <w:jc w:val="center"/>
        </w:trPr>
        <w:tc>
          <w:tcPr>
            <w:tcW w:w="1559" w:type="dxa"/>
            <w:vAlign w:val="center"/>
          </w:tcPr>
          <w:p w14:paraId="27A9B38E">
            <w:pPr>
              <w:rPr>
                <w:rFonts w:ascii="宋体" w:hAnsi="宋体" w:cs="宋体"/>
                <w:b/>
                <w:sz w:val="28"/>
                <w:szCs w:val="28"/>
              </w:rPr>
            </w:pPr>
            <w:r>
              <w:rPr>
                <w:rFonts w:hint="eastAsia" w:ascii="宋体" w:hAnsi="宋体" w:cs="宋体"/>
                <w:b/>
                <w:sz w:val="28"/>
                <w:szCs w:val="28"/>
              </w:rPr>
              <w:t>项目名称：</w:t>
            </w:r>
          </w:p>
        </w:tc>
        <w:tc>
          <w:tcPr>
            <w:tcW w:w="3133" w:type="dxa"/>
            <w:vAlign w:val="center"/>
          </w:tcPr>
          <w:p w14:paraId="65D704E6">
            <w:pPr>
              <w:spacing w:line="520" w:lineRule="exact"/>
              <w:rPr>
                <w:rFonts w:ascii="宋体" w:hAnsi="宋体" w:cs="宋体"/>
                <w:b/>
                <w:sz w:val="28"/>
                <w:szCs w:val="28"/>
              </w:rPr>
            </w:pPr>
            <w:r>
              <w:rPr>
                <w:rFonts w:hint="eastAsia" w:ascii="宋体" w:hAnsi="宋体" w:cs="宋体"/>
                <w:b/>
                <w:sz w:val="28"/>
                <w:szCs w:val="28"/>
              </w:rPr>
              <w:t>2024年龙湾区一体化公共数据平台运营运维</w:t>
            </w:r>
          </w:p>
        </w:tc>
      </w:tr>
      <w:tr w14:paraId="09DAC9FC">
        <w:tblPrEx>
          <w:tblCellMar>
            <w:top w:w="0" w:type="dxa"/>
            <w:left w:w="108" w:type="dxa"/>
            <w:bottom w:w="0" w:type="dxa"/>
            <w:right w:w="108" w:type="dxa"/>
          </w:tblCellMar>
        </w:tblPrEx>
        <w:trPr>
          <w:trHeight w:val="1074" w:hRule="atLeast"/>
          <w:jc w:val="center"/>
        </w:trPr>
        <w:tc>
          <w:tcPr>
            <w:tcW w:w="1559" w:type="dxa"/>
            <w:vAlign w:val="center"/>
          </w:tcPr>
          <w:p w14:paraId="40464CE5">
            <w:pPr>
              <w:rPr>
                <w:rFonts w:ascii="宋体" w:hAnsi="宋体" w:cs="宋体"/>
                <w:b/>
                <w:sz w:val="28"/>
                <w:szCs w:val="28"/>
              </w:rPr>
            </w:pPr>
            <w:r>
              <w:rPr>
                <w:rFonts w:hint="eastAsia" w:ascii="宋体" w:hAnsi="宋体" w:cs="宋体"/>
                <w:b/>
                <w:sz w:val="28"/>
                <w:szCs w:val="28"/>
              </w:rPr>
              <w:t>采购方式：</w:t>
            </w:r>
          </w:p>
        </w:tc>
        <w:tc>
          <w:tcPr>
            <w:tcW w:w="3133" w:type="dxa"/>
            <w:vAlign w:val="center"/>
          </w:tcPr>
          <w:p w14:paraId="3CDDBCFF">
            <w:pPr>
              <w:rPr>
                <w:rFonts w:ascii="宋体" w:hAnsi="宋体" w:cs="宋体"/>
                <w:b/>
                <w:sz w:val="28"/>
                <w:szCs w:val="28"/>
              </w:rPr>
            </w:pPr>
            <w:r>
              <w:rPr>
                <w:rFonts w:hint="eastAsia" w:ascii="宋体" w:hAnsi="宋体" w:cs="宋体"/>
                <w:b/>
                <w:sz w:val="28"/>
                <w:szCs w:val="28"/>
              </w:rPr>
              <w:t>竞争性磋商</w:t>
            </w:r>
          </w:p>
        </w:tc>
      </w:tr>
    </w:tbl>
    <w:p w14:paraId="57E6636C">
      <w:pPr>
        <w:spacing w:line="600" w:lineRule="exact"/>
        <w:ind w:firstLine="904" w:firstLineChars="300"/>
        <w:jc w:val="center"/>
        <w:rPr>
          <w:rFonts w:ascii="宋体" w:hAnsi="宋体" w:cs="宋体"/>
          <w:b/>
          <w:sz w:val="30"/>
          <w:szCs w:val="30"/>
        </w:rPr>
      </w:pPr>
      <w:r>
        <w:rPr>
          <w:rFonts w:hint="eastAsia" w:ascii="宋体" w:hAnsi="宋体" w:cs="宋体"/>
          <w:b/>
          <w:sz w:val="30"/>
          <w:szCs w:val="30"/>
        </w:rPr>
        <w:t xml:space="preserve">                 </w:t>
      </w:r>
    </w:p>
    <w:p w14:paraId="14A8DB20">
      <w:pPr>
        <w:spacing w:line="600" w:lineRule="exact"/>
        <w:rPr>
          <w:rFonts w:ascii="宋体" w:hAnsi="宋体" w:cs="宋体"/>
          <w:b/>
          <w:sz w:val="30"/>
          <w:szCs w:val="30"/>
        </w:rPr>
      </w:pPr>
    </w:p>
    <w:p w14:paraId="0D7B3070">
      <w:pPr>
        <w:spacing w:line="480" w:lineRule="auto"/>
        <w:ind w:firstLine="744" w:firstLineChars="247"/>
        <w:rPr>
          <w:rFonts w:ascii="宋体" w:hAnsi="宋体" w:cs="宋体"/>
          <w:b/>
          <w:sz w:val="30"/>
          <w:szCs w:val="30"/>
        </w:rPr>
      </w:pPr>
    </w:p>
    <w:p w14:paraId="027CFADD">
      <w:pPr>
        <w:spacing w:line="480" w:lineRule="auto"/>
        <w:ind w:firstLine="1906" w:firstLineChars="633"/>
        <w:rPr>
          <w:rFonts w:ascii="宋体" w:hAnsi="宋体" w:cs="宋体"/>
          <w:b/>
          <w:sz w:val="30"/>
          <w:szCs w:val="30"/>
        </w:rPr>
      </w:pPr>
      <w:r>
        <w:rPr>
          <w:rFonts w:hint="eastAsia" w:ascii="宋体" w:hAnsi="宋体" w:cs="宋体"/>
          <w:b/>
          <w:sz w:val="30"/>
          <w:szCs w:val="30"/>
        </w:rPr>
        <w:t>采   购   人：温州市龙湾区人民政府办公室</w:t>
      </w:r>
    </w:p>
    <w:p w14:paraId="0419F96B">
      <w:pPr>
        <w:spacing w:line="480" w:lineRule="auto"/>
        <w:ind w:firstLine="1906" w:firstLineChars="633"/>
        <w:jc w:val="left"/>
        <w:rPr>
          <w:rFonts w:ascii="宋体" w:hAnsi="宋体" w:cs="宋体"/>
          <w:b/>
          <w:sz w:val="30"/>
          <w:szCs w:val="30"/>
        </w:rPr>
      </w:pPr>
      <w:r>
        <w:rPr>
          <w:rFonts w:hint="eastAsia" w:ascii="宋体" w:hAnsi="宋体" w:cs="宋体"/>
          <w:b/>
          <w:sz w:val="30"/>
          <w:szCs w:val="30"/>
        </w:rPr>
        <w:t>采购代理机构：温州市智信招标代理有限公司</w:t>
      </w:r>
    </w:p>
    <w:p w14:paraId="4456847A">
      <w:pPr>
        <w:spacing w:line="600" w:lineRule="exact"/>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sz w:val="30"/>
          <w:szCs w:val="30"/>
        </w:rPr>
        <w:t xml:space="preserve">     二○二四年</w:t>
      </w:r>
      <w:r>
        <w:rPr>
          <w:rFonts w:hint="eastAsia" w:ascii="宋体" w:hAnsi="宋体" w:cs="宋体"/>
          <w:b/>
          <w:sz w:val="30"/>
          <w:szCs w:val="30"/>
          <w:lang w:val="en-US" w:eastAsia="zh-CN"/>
        </w:rPr>
        <w:t>十一</w:t>
      </w:r>
      <w:r>
        <w:rPr>
          <w:rFonts w:hint="eastAsia" w:ascii="宋体" w:hAnsi="宋体" w:cs="宋体"/>
          <w:b/>
          <w:sz w:val="30"/>
          <w:szCs w:val="30"/>
        </w:rPr>
        <w:t>月</w:t>
      </w:r>
    </w:p>
    <w:p w14:paraId="7DAA1B53">
      <w:pPr>
        <w:rPr>
          <w:rFonts w:ascii="宋体" w:hAnsi="宋体" w:cs="宋体"/>
          <w:b/>
          <w:bCs/>
          <w:szCs w:val="21"/>
        </w:rPr>
      </w:pPr>
    </w:p>
    <w:p w14:paraId="4561AF8F">
      <w:pPr>
        <w:spacing w:line="600" w:lineRule="exact"/>
        <w:jc w:val="center"/>
        <w:rPr>
          <w:rFonts w:ascii="宋体" w:hAnsi="宋体" w:cs="宋体"/>
          <w:b/>
          <w:bCs/>
          <w:sz w:val="32"/>
          <w:szCs w:val="32"/>
        </w:rPr>
      </w:pPr>
      <w:r>
        <w:rPr>
          <w:rFonts w:hint="eastAsia" w:ascii="宋体" w:hAnsi="宋体" w:cs="宋体"/>
          <w:b/>
          <w:bCs/>
          <w:sz w:val="32"/>
          <w:szCs w:val="32"/>
        </w:rPr>
        <w:t>目    录</w:t>
      </w:r>
    </w:p>
    <w:p w14:paraId="3607317E">
      <w:pPr>
        <w:spacing w:line="600" w:lineRule="exact"/>
        <w:jc w:val="center"/>
        <w:rPr>
          <w:rFonts w:ascii="宋体" w:hAnsi="宋体" w:cs="宋体"/>
          <w:b/>
          <w:bCs/>
          <w:sz w:val="32"/>
          <w:szCs w:val="32"/>
        </w:rPr>
      </w:pPr>
    </w:p>
    <w:p w14:paraId="4265639D">
      <w:pPr>
        <w:pStyle w:val="38"/>
        <w:tabs>
          <w:tab w:val="right" w:leader="dot" w:pos="9628"/>
        </w:tabs>
        <w:spacing w:line="480" w:lineRule="auto"/>
        <w:ind w:left="821" w:hanging="821"/>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fldChar w:fldCharType="begin"/>
      </w:r>
      <w:r>
        <w:instrText xml:space="preserve"> HYPERLINK \l "_Toc58832080" </w:instrText>
      </w:r>
      <w:r>
        <w:fldChar w:fldCharType="separate"/>
      </w:r>
      <w:r>
        <w:rPr>
          <w:rStyle w:val="67"/>
          <w:rFonts w:hint="eastAsia" w:ascii="宋体" w:hAnsi="宋体" w:eastAsia="宋体" w:cs="宋体"/>
          <w:color w:val="auto"/>
          <w:sz w:val="24"/>
          <w:szCs w:val="24"/>
        </w:rPr>
        <w:t>供应商须知前附表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_Toc58832080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14:paraId="4ACFA1A1">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"_Toc58832081" </w:instrText>
      </w:r>
      <w:r>
        <w:fldChar w:fldCharType="separate"/>
      </w:r>
      <w:r>
        <w:rPr>
          <w:rStyle w:val="67"/>
          <w:rFonts w:hint="eastAsia" w:ascii="宋体" w:hAnsi="宋体" w:eastAsia="宋体" w:cs="宋体"/>
          <w:color w:val="auto"/>
          <w:sz w:val="24"/>
          <w:szCs w:val="24"/>
        </w:rPr>
        <w:t>第一部分    供应商须知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_Toc58832081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rPr>
        <w:fldChar w:fldCharType="end"/>
      </w:r>
    </w:p>
    <w:p w14:paraId="4894AB57">
      <w:pPr>
        <w:pStyle w:val="45"/>
        <w:tabs>
          <w:tab w:val="right" w:leader="dot" w:pos="9628"/>
        </w:tabs>
        <w:spacing w:line="480" w:lineRule="auto"/>
        <w:rPr>
          <w:rFonts w:ascii="宋体" w:hAnsi="宋体" w:cs="宋体"/>
          <w:sz w:val="24"/>
        </w:rPr>
      </w:pPr>
      <w:r>
        <w:fldChar w:fldCharType="begin"/>
      </w:r>
      <w:r>
        <w:instrText xml:space="preserve"> HYPERLINK \l "_Toc58832082" </w:instrText>
      </w:r>
      <w:r>
        <w:fldChar w:fldCharType="separate"/>
      </w:r>
      <w:r>
        <w:rPr>
          <w:rStyle w:val="67"/>
          <w:rFonts w:hint="eastAsia" w:ascii="宋体" w:hAnsi="宋体" w:eastAsia="宋体" w:cs="宋体"/>
          <w:bCs/>
          <w:color w:val="auto"/>
          <w:sz w:val="24"/>
          <w:szCs w:val="24"/>
        </w:rPr>
        <w:t>一   说 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_Toc58832082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5BBB4CD8">
      <w:pPr>
        <w:pStyle w:val="45"/>
        <w:tabs>
          <w:tab w:val="right" w:leader="dot" w:pos="9628"/>
        </w:tabs>
        <w:spacing w:line="480" w:lineRule="auto"/>
        <w:rPr>
          <w:rFonts w:ascii="宋体" w:hAnsi="宋体" w:cs="宋体"/>
          <w:sz w:val="24"/>
        </w:rPr>
      </w:pPr>
      <w:r>
        <w:fldChar w:fldCharType="begin"/>
      </w:r>
      <w:r>
        <w:instrText xml:space="preserve"> HYPERLINK \l "_Toc58832083" </w:instrText>
      </w:r>
      <w:r>
        <w:fldChar w:fldCharType="separate"/>
      </w:r>
      <w:r>
        <w:rPr>
          <w:rStyle w:val="67"/>
          <w:rFonts w:hint="eastAsia" w:ascii="宋体" w:hAnsi="宋体" w:eastAsia="宋体" w:cs="宋体"/>
          <w:bCs/>
          <w:color w:val="auto"/>
          <w:sz w:val="24"/>
          <w:szCs w:val="24"/>
        </w:rPr>
        <w:t>二   采购文件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_Toc58832083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2DD46637">
      <w:pPr>
        <w:pStyle w:val="45"/>
        <w:tabs>
          <w:tab w:val="right" w:leader="dot" w:pos="9628"/>
        </w:tabs>
        <w:spacing w:line="480" w:lineRule="auto"/>
        <w:rPr>
          <w:rFonts w:ascii="宋体" w:hAnsi="宋体" w:cs="宋体"/>
          <w:sz w:val="24"/>
        </w:rPr>
      </w:pPr>
      <w:r>
        <w:fldChar w:fldCharType="begin"/>
      </w:r>
      <w:r>
        <w:instrText xml:space="preserve"> HYPERLINK \l "_Toc58832084" </w:instrText>
      </w:r>
      <w:r>
        <w:fldChar w:fldCharType="separate"/>
      </w:r>
      <w:r>
        <w:rPr>
          <w:rStyle w:val="67"/>
          <w:rFonts w:hint="eastAsia" w:ascii="宋体" w:hAnsi="宋体" w:eastAsia="宋体" w:cs="宋体"/>
          <w:bCs/>
          <w:color w:val="auto"/>
          <w:sz w:val="24"/>
          <w:szCs w:val="24"/>
        </w:rPr>
        <w:t>三   磋商响应文件的编制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_Toc58832084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6E7B5047">
      <w:pPr>
        <w:pStyle w:val="45"/>
        <w:tabs>
          <w:tab w:val="right" w:leader="dot" w:pos="9628"/>
        </w:tabs>
        <w:spacing w:line="480" w:lineRule="auto"/>
        <w:rPr>
          <w:rFonts w:ascii="宋体" w:hAnsi="宋体" w:cs="宋体"/>
          <w:sz w:val="24"/>
        </w:rPr>
      </w:pPr>
      <w:r>
        <w:fldChar w:fldCharType="begin"/>
      </w:r>
      <w:r>
        <w:instrText xml:space="preserve"> HYPERLINK \l "_Toc58832085" </w:instrText>
      </w:r>
      <w:r>
        <w:fldChar w:fldCharType="separate"/>
      </w:r>
      <w:r>
        <w:rPr>
          <w:rStyle w:val="67"/>
          <w:rFonts w:hint="eastAsia" w:ascii="宋体" w:hAnsi="宋体" w:eastAsia="宋体" w:cs="宋体"/>
          <w:bCs/>
          <w:color w:val="auto"/>
          <w:sz w:val="24"/>
          <w:szCs w:val="24"/>
        </w:rPr>
        <w:t>四   磋商响应文件的递交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_Toc58832085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55E682E7">
      <w:pPr>
        <w:pStyle w:val="45"/>
        <w:tabs>
          <w:tab w:val="right" w:leader="dot" w:pos="9628"/>
        </w:tabs>
        <w:spacing w:line="480" w:lineRule="auto"/>
        <w:rPr>
          <w:rFonts w:ascii="宋体" w:hAnsi="宋体" w:cs="宋体"/>
          <w:sz w:val="24"/>
        </w:rPr>
      </w:pPr>
      <w:r>
        <w:fldChar w:fldCharType="begin"/>
      </w:r>
      <w:r>
        <w:instrText xml:space="preserve"> HYPERLINK \l "_Toc58832086" </w:instrText>
      </w:r>
      <w:r>
        <w:fldChar w:fldCharType="separate"/>
      </w:r>
      <w:r>
        <w:rPr>
          <w:rStyle w:val="67"/>
          <w:rFonts w:hint="eastAsia" w:ascii="宋体" w:hAnsi="宋体" w:eastAsia="宋体" w:cs="宋体"/>
          <w:color w:val="auto"/>
          <w:sz w:val="24"/>
          <w:szCs w:val="24"/>
        </w:rPr>
        <w:t>五   开标</w:t>
      </w:r>
      <w:bookmarkStart w:id="0" w:name="_Hlt58832094"/>
      <w:r>
        <w:rPr>
          <w:rFonts w:hint="eastAsia" w:ascii="宋体" w:hAnsi="宋体" w:cs="宋体"/>
          <w:sz w:val="24"/>
        </w:rPr>
        <w:tab/>
      </w:r>
      <w:bookmarkEnd w:id="0"/>
      <w:r>
        <w:rPr>
          <w:rFonts w:hint="eastAsia" w:ascii="宋体" w:hAnsi="宋体" w:cs="宋体"/>
          <w:sz w:val="24"/>
        </w:rPr>
        <w:fldChar w:fldCharType="begin"/>
      </w:r>
      <w:r>
        <w:rPr>
          <w:rFonts w:hint="eastAsia" w:ascii="宋体" w:hAnsi="宋体" w:cs="宋体"/>
          <w:sz w:val="24"/>
        </w:rPr>
        <w:instrText xml:space="preserve"> PAGEREF _Toc58832086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15A4196A">
      <w:pPr>
        <w:pStyle w:val="45"/>
        <w:tabs>
          <w:tab w:val="right" w:leader="dot" w:pos="9628"/>
        </w:tabs>
        <w:spacing w:line="480" w:lineRule="auto"/>
        <w:rPr>
          <w:rFonts w:ascii="宋体" w:hAnsi="宋体" w:cs="宋体"/>
          <w:sz w:val="24"/>
        </w:rPr>
      </w:pPr>
      <w:r>
        <w:fldChar w:fldCharType="begin"/>
      </w:r>
      <w:r>
        <w:instrText xml:space="preserve"> HYPERLINK \l "_Toc58832087" </w:instrText>
      </w:r>
      <w:r>
        <w:fldChar w:fldCharType="separate"/>
      </w:r>
      <w:r>
        <w:rPr>
          <w:rStyle w:val="67"/>
          <w:rFonts w:hint="eastAsia" w:ascii="宋体" w:hAnsi="宋体" w:eastAsia="宋体" w:cs="宋体"/>
          <w:bCs/>
          <w:color w:val="auto"/>
          <w:sz w:val="24"/>
          <w:szCs w:val="24"/>
        </w:rPr>
        <w:t>六   磋商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_Toc58832087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14:paraId="54D188CD">
      <w:pPr>
        <w:pStyle w:val="45"/>
        <w:tabs>
          <w:tab w:val="right" w:leader="dot" w:pos="9628"/>
        </w:tabs>
        <w:spacing w:line="480" w:lineRule="auto"/>
        <w:rPr>
          <w:rFonts w:ascii="宋体" w:hAnsi="宋体" w:cs="宋体"/>
          <w:sz w:val="24"/>
        </w:rPr>
      </w:pPr>
      <w:r>
        <w:fldChar w:fldCharType="begin"/>
      </w:r>
      <w:r>
        <w:instrText xml:space="preserve"> HYPERLINK \l "_Toc58832088" </w:instrText>
      </w:r>
      <w:r>
        <w:fldChar w:fldCharType="separate"/>
      </w:r>
      <w:r>
        <w:rPr>
          <w:rStyle w:val="67"/>
          <w:rFonts w:hint="eastAsia" w:ascii="宋体" w:hAnsi="宋体" w:eastAsia="宋体" w:cs="宋体"/>
          <w:bCs/>
          <w:color w:val="auto"/>
          <w:sz w:val="24"/>
          <w:szCs w:val="24"/>
        </w:rPr>
        <w:t>七   定标及授予合同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_Toc58832088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14:paraId="74E11560">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"_Toc58832089" </w:instrText>
      </w:r>
      <w:r>
        <w:fldChar w:fldCharType="separate"/>
      </w:r>
      <w:r>
        <w:rPr>
          <w:rStyle w:val="67"/>
          <w:rFonts w:hint="eastAsia" w:ascii="宋体" w:hAnsi="宋体" w:eastAsia="宋体" w:cs="宋体"/>
          <w:color w:val="auto"/>
          <w:sz w:val="24"/>
          <w:szCs w:val="24"/>
        </w:rPr>
        <w:t>第二部分   政府采购政策功能相关说明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_Toc58832089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sz w:val="24"/>
        </w:rPr>
        <w:fldChar w:fldCharType="end"/>
      </w:r>
    </w:p>
    <w:p w14:paraId="218C779A">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"_Toc58832090" </w:instrText>
      </w:r>
      <w:r>
        <w:fldChar w:fldCharType="separate"/>
      </w:r>
      <w:r>
        <w:rPr>
          <w:rStyle w:val="67"/>
          <w:rFonts w:hint="eastAsia" w:ascii="宋体" w:hAnsi="宋体" w:eastAsia="宋体" w:cs="宋体"/>
          <w:color w:val="auto"/>
          <w:sz w:val="24"/>
          <w:szCs w:val="24"/>
        </w:rPr>
        <w:t>第三部分   合同条款及格式</w:t>
      </w:r>
      <w:bookmarkStart w:id="1" w:name="_Hlt58914256"/>
      <w:bookmarkStart w:id="2" w:name="_Hlt58914257"/>
      <w:r>
        <w:rPr>
          <w:rFonts w:hint="eastAsia" w:ascii="宋体" w:hAnsi="宋体" w:eastAsia="宋体" w:cs="宋体"/>
          <w:sz w:val="24"/>
        </w:rPr>
        <w:tab/>
      </w:r>
      <w:bookmarkEnd w:id="1"/>
      <w:bookmarkEnd w:id="2"/>
      <w:r>
        <w:rPr>
          <w:rFonts w:hint="eastAsia" w:ascii="宋体" w:hAnsi="宋体" w:eastAsia="宋体" w:cs="宋体"/>
          <w:sz w:val="24"/>
        </w:rPr>
        <w:fldChar w:fldCharType="begin"/>
      </w:r>
      <w:r>
        <w:rPr>
          <w:rFonts w:hint="eastAsia" w:ascii="宋体" w:hAnsi="宋体" w:eastAsia="宋体" w:cs="宋体"/>
          <w:sz w:val="24"/>
        </w:rPr>
        <w:instrText xml:space="preserve"> PAGEREF _Toc58832090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fldChar w:fldCharType="end"/>
      </w:r>
    </w:p>
    <w:p w14:paraId="6404BB44">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"_Toc58832091" </w:instrText>
      </w:r>
      <w:r>
        <w:fldChar w:fldCharType="separate"/>
      </w:r>
      <w:r>
        <w:rPr>
          <w:rStyle w:val="67"/>
          <w:rFonts w:hint="eastAsia" w:ascii="宋体" w:hAnsi="宋体" w:eastAsia="宋体" w:cs="宋体"/>
          <w:color w:val="auto"/>
          <w:sz w:val="24"/>
          <w:szCs w:val="24"/>
        </w:rPr>
        <w:t>第四部分   磋商响应文件格式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_Toc58832091 \h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rPr>
        <w:fldChar w:fldCharType="end"/>
      </w:r>
    </w:p>
    <w:p w14:paraId="198AC076">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"_Toc58832092" </w:instrText>
      </w:r>
      <w:r>
        <w:fldChar w:fldCharType="separate"/>
      </w:r>
      <w:r>
        <w:rPr>
          <w:rStyle w:val="67"/>
          <w:rFonts w:hint="eastAsia" w:ascii="宋体" w:hAnsi="宋体" w:eastAsia="宋体" w:cs="宋体"/>
          <w:color w:val="auto"/>
          <w:sz w:val="24"/>
          <w:szCs w:val="24"/>
        </w:rPr>
        <w:t>第五部分   采购内容及要求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_Toc58832092 \h </w:instrText>
      </w:r>
      <w:r>
        <w:rPr>
          <w:rFonts w:hint="eastAsia" w:ascii="宋体" w:hAnsi="宋体" w:eastAsia="宋体" w:cs="宋体"/>
          <w:sz w:val="24"/>
        </w:rPr>
        <w:fldChar w:fldCharType="separate"/>
      </w:r>
      <w:r>
        <w:rPr>
          <w:rFonts w:hint="eastAsia" w:ascii="宋体" w:hAnsi="宋体" w:eastAsia="宋体" w:cs="宋体"/>
          <w:sz w:val="24"/>
        </w:rPr>
        <w:t>45</w:t>
      </w:r>
      <w:r>
        <w:rPr>
          <w:rFonts w:hint="eastAsia" w:ascii="宋体" w:hAnsi="宋体" w:eastAsia="宋体" w:cs="宋体"/>
          <w:sz w:val="24"/>
        </w:rPr>
        <w:fldChar w:fldCharType="end"/>
      </w:r>
      <w:r>
        <w:rPr>
          <w:rFonts w:hint="eastAsia" w:ascii="宋体" w:hAnsi="宋体" w:eastAsia="宋体" w:cs="宋体"/>
          <w:sz w:val="24"/>
        </w:rPr>
        <w:fldChar w:fldCharType="end"/>
      </w:r>
    </w:p>
    <w:p w14:paraId="51D53397">
      <w:pPr>
        <w:pStyle w:val="38"/>
        <w:tabs>
          <w:tab w:val="right" w:leader="dot" w:pos="9628"/>
        </w:tabs>
        <w:spacing w:line="480" w:lineRule="auto"/>
        <w:ind w:left="821" w:hanging="821"/>
        <w:rPr>
          <w:rFonts w:ascii="宋体" w:hAnsi="宋体" w:eastAsia="宋体" w:cs="宋体"/>
          <w:sz w:val="24"/>
        </w:rPr>
      </w:pPr>
      <w:r>
        <w:fldChar w:fldCharType="begin"/>
      </w:r>
      <w:r>
        <w:instrText xml:space="preserve"> HYPERLINK \l "_Toc58832093" </w:instrText>
      </w:r>
      <w:r>
        <w:fldChar w:fldCharType="separate"/>
      </w:r>
      <w:r>
        <w:rPr>
          <w:rStyle w:val="67"/>
          <w:rFonts w:hint="eastAsia" w:ascii="宋体" w:hAnsi="宋体" w:eastAsia="宋体" w:cs="宋体"/>
          <w:color w:val="auto"/>
          <w:sz w:val="24"/>
          <w:szCs w:val="24"/>
        </w:rPr>
        <w:t>第六部分   磋商原则及方法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_Toc58832093 \h </w:instrText>
      </w:r>
      <w:r>
        <w:rPr>
          <w:rFonts w:hint="eastAsia" w:ascii="宋体" w:hAnsi="宋体" w:eastAsia="宋体" w:cs="宋体"/>
          <w:sz w:val="24"/>
        </w:rPr>
        <w:fldChar w:fldCharType="separate"/>
      </w:r>
      <w:r>
        <w:rPr>
          <w:rFonts w:hint="eastAsia" w:ascii="宋体" w:hAnsi="宋体" w:eastAsia="宋体" w:cs="宋体"/>
          <w:sz w:val="24"/>
        </w:rPr>
        <w:t>62</w:t>
      </w:r>
      <w:r>
        <w:rPr>
          <w:rFonts w:hint="eastAsia" w:ascii="宋体" w:hAnsi="宋体" w:eastAsia="宋体" w:cs="宋体"/>
          <w:sz w:val="24"/>
        </w:rPr>
        <w:fldChar w:fldCharType="end"/>
      </w:r>
      <w:r>
        <w:rPr>
          <w:rFonts w:hint="eastAsia" w:ascii="宋体" w:hAnsi="宋体" w:eastAsia="宋体" w:cs="宋体"/>
          <w:sz w:val="24"/>
        </w:rPr>
        <w:fldChar w:fldCharType="end"/>
      </w:r>
    </w:p>
    <w:p w14:paraId="0E061C59">
      <w:pPr>
        <w:spacing w:line="480" w:lineRule="auto"/>
        <w:rPr>
          <w:rFonts w:ascii="宋体" w:hAnsi="宋体" w:cs="宋体"/>
          <w:b/>
          <w:bCs/>
          <w:sz w:val="24"/>
        </w:rPr>
      </w:pPr>
      <w:r>
        <w:rPr>
          <w:rFonts w:hint="eastAsia" w:ascii="宋体" w:hAnsi="宋体" w:cs="宋体"/>
          <w:sz w:val="24"/>
        </w:rPr>
        <w:fldChar w:fldCharType="end"/>
      </w:r>
    </w:p>
    <w:p w14:paraId="72112FDB">
      <w:pPr>
        <w:spacing w:line="560" w:lineRule="exact"/>
        <w:ind w:firstLine="843" w:firstLineChars="400"/>
        <w:rPr>
          <w:rFonts w:ascii="宋体" w:hAnsi="宋体" w:cs="宋体"/>
          <w:b/>
          <w:bCs/>
          <w:szCs w:val="21"/>
        </w:rPr>
      </w:pPr>
    </w:p>
    <w:p w14:paraId="4501B456">
      <w:pPr>
        <w:spacing w:line="360" w:lineRule="auto"/>
        <w:ind w:firstLine="420" w:firstLineChars="200"/>
        <w:rPr>
          <w:rFonts w:ascii="宋体" w:hAnsi="宋体" w:cs="宋体"/>
          <w:szCs w:val="21"/>
          <w:u w:val="single"/>
        </w:rPr>
      </w:pPr>
      <w:r>
        <w:rPr>
          <w:rFonts w:hint="eastAsia" w:ascii="宋体" w:hAnsi="宋体" w:cs="宋体"/>
          <w:szCs w:val="21"/>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492EBE18">
      <w:pPr>
        <w:spacing w:line="240" w:lineRule="atLeast"/>
        <w:jc w:val="center"/>
        <w:rPr>
          <w:rFonts w:ascii="宋体" w:hAnsi="宋体" w:cs="宋体"/>
          <w:b/>
          <w:szCs w:val="21"/>
        </w:rPr>
      </w:pPr>
    </w:p>
    <w:p w14:paraId="3C9228F2">
      <w:pPr>
        <w:spacing w:line="240" w:lineRule="atLeast"/>
        <w:jc w:val="center"/>
        <w:rPr>
          <w:rFonts w:ascii="宋体" w:hAnsi="宋体" w:cs="宋体"/>
          <w:b/>
          <w:szCs w:val="21"/>
        </w:rPr>
      </w:pPr>
    </w:p>
    <w:p w14:paraId="0DFA1F71">
      <w:pPr>
        <w:spacing w:line="240" w:lineRule="atLeast"/>
        <w:jc w:val="center"/>
        <w:rPr>
          <w:rFonts w:ascii="宋体" w:hAnsi="宋体" w:cs="宋体"/>
          <w:b/>
          <w:szCs w:val="21"/>
        </w:rPr>
      </w:pPr>
    </w:p>
    <w:p w14:paraId="3F4871DC">
      <w:pPr>
        <w:pStyle w:val="4"/>
        <w:ind w:firstLine="3054" w:firstLineChars="845"/>
        <w:jc w:val="both"/>
        <w:rPr>
          <w:rFonts w:ascii="宋体" w:hAnsi="宋体" w:eastAsia="宋体" w:cs="宋体"/>
          <w:bCs w:val="0"/>
          <w:kern w:val="0"/>
          <w:sz w:val="22"/>
          <w:szCs w:val="22"/>
        </w:rPr>
      </w:pPr>
      <w:bookmarkStart w:id="3" w:name="_Toc363576971"/>
      <w:bookmarkStart w:id="4" w:name="_Toc26020"/>
      <w:bookmarkStart w:id="5" w:name="_Toc361035134"/>
      <w:bookmarkStart w:id="6" w:name="_Toc445914867"/>
      <w:r>
        <w:rPr>
          <w:rFonts w:hint="eastAsia" w:ascii="宋体" w:hAnsi="宋体" w:eastAsia="宋体" w:cs="宋体"/>
          <w:sz w:val="36"/>
          <w:szCs w:val="36"/>
        </w:rPr>
        <w:br w:type="page"/>
      </w:r>
      <w:bookmarkEnd w:id="3"/>
      <w:bookmarkEnd w:id="4"/>
      <w:bookmarkEnd w:id="5"/>
      <w:bookmarkEnd w:id="6"/>
      <w:bookmarkStart w:id="7" w:name="_Toc58832080"/>
      <w:r>
        <w:rPr>
          <w:rFonts w:hint="eastAsia" w:ascii="宋体" w:hAnsi="宋体" w:eastAsia="宋体" w:cs="宋体"/>
          <w:sz w:val="36"/>
          <w:szCs w:val="36"/>
        </w:rPr>
        <w:t>供应商须知前附表</w:t>
      </w:r>
      <w:bookmarkEnd w:id="7"/>
    </w:p>
    <w:tbl>
      <w:tblPr>
        <w:tblStyle w:val="56"/>
        <w:tblW w:w="10123" w:type="dxa"/>
        <w:tblInd w:w="0" w:type="dxa"/>
        <w:tblLayout w:type="fixed"/>
        <w:tblCellMar>
          <w:top w:w="0" w:type="dxa"/>
          <w:left w:w="108" w:type="dxa"/>
          <w:bottom w:w="0" w:type="dxa"/>
          <w:right w:w="108" w:type="dxa"/>
        </w:tblCellMar>
      </w:tblPr>
      <w:tblGrid>
        <w:gridCol w:w="667"/>
        <w:gridCol w:w="2037"/>
        <w:gridCol w:w="7419"/>
      </w:tblGrid>
      <w:tr w14:paraId="04373343">
        <w:tblPrEx>
          <w:tblCellMar>
            <w:top w:w="0" w:type="dxa"/>
            <w:left w:w="108" w:type="dxa"/>
            <w:bottom w:w="0" w:type="dxa"/>
            <w:right w:w="108" w:type="dxa"/>
          </w:tblCellMar>
        </w:tblPrEx>
        <w:trPr>
          <w:trHeight w:val="765"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036447E0">
            <w:pPr>
              <w:spacing w:line="30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14:paraId="6F9AD220">
            <w:pPr>
              <w:spacing w:line="30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14:paraId="0DF1E2CA">
            <w:pPr>
              <w:spacing w:line="30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编列内容</w:t>
            </w:r>
          </w:p>
        </w:tc>
      </w:tr>
      <w:tr w14:paraId="397F44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FD427D6">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14:paraId="7B646F4A">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14:paraId="1E8D8ED3">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采购单位：温州市龙湾区人民政府办公室</w:t>
            </w:r>
          </w:p>
          <w:p w14:paraId="3810841C">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联系地址：温州市龙湾区永宁西路506号</w:t>
            </w:r>
          </w:p>
          <w:p w14:paraId="7FEBB83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联系人： 叶先生</w:t>
            </w:r>
          </w:p>
          <w:p w14:paraId="210DD4C0">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 xml:space="preserve">联系电话： </w:t>
            </w:r>
            <w:r>
              <w:rPr>
                <w:rFonts w:hint="eastAsia" w:ascii="宋体" w:hAnsi="宋体" w:cs="宋体"/>
                <w:kern w:val="0"/>
                <w:sz w:val="22"/>
                <w:szCs w:val="22"/>
                <w:highlight w:val="none"/>
                <w:lang w:val="en-US" w:eastAsia="zh-CN"/>
              </w:rPr>
              <w:t>0577-</w:t>
            </w:r>
            <w:r>
              <w:rPr>
                <w:rFonts w:hint="eastAsia" w:ascii="宋体" w:hAnsi="宋体" w:cs="宋体"/>
                <w:kern w:val="0"/>
                <w:sz w:val="22"/>
                <w:szCs w:val="22"/>
                <w:highlight w:val="none"/>
              </w:rPr>
              <w:t>86968659</w:t>
            </w:r>
          </w:p>
          <w:p w14:paraId="488EB9DE">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质疑联系人：王</w:t>
            </w:r>
            <w:r>
              <w:rPr>
                <w:rFonts w:hint="eastAsia" w:ascii="宋体" w:hAnsi="宋体" w:cs="宋体"/>
                <w:kern w:val="0"/>
                <w:sz w:val="22"/>
                <w:szCs w:val="22"/>
                <w:highlight w:val="none"/>
                <w:lang w:val="en-US" w:eastAsia="zh-CN"/>
              </w:rPr>
              <w:t>先生</w:t>
            </w:r>
            <w:r>
              <w:rPr>
                <w:rFonts w:hint="eastAsia" w:ascii="宋体" w:hAnsi="宋体" w:cs="宋体"/>
                <w:kern w:val="0"/>
                <w:sz w:val="22"/>
                <w:szCs w:val="22"/>
                <w:highlight w:val="none"/>
              </w:rPr>
              <w:t xml:space="preserve"> </w:t>
            </w:r>
          </w:p>
          <w:p w14:paraId="2144AB94">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质疑联系方式：</w:t>
            </w:r>
            <w:r>
              <w:rPr>
                <w:rFonts w:hint="eastAsia" w:ascii="宋体" w:hAnsi="宋体" w:cs="宋体"/>
                <w:kern w:val="0"/>
                <w:sz w:val="22"/>
                <w:szCs w:val="22"/>
                <w:highlight w:val="none"/>
                <w:lang w:val="en-US" w:eastAsia="zh-CN"/>
              </w:rPr>
              <w:t>0577-</w:t>
            </w:r>
            <w:r>
              <w:rPr>
                <w:rFonts w:hint="eastAsia" w:ascii="宋体" w:hAnsi="宋体" w:cs="宋体"/>
                <w:kern w:val="0"/>
                <w:sz w:val="22"/>
                <w:szCs w:val="22"/>
                <w:highlight w:val="none"/>
              </w:rPr>
              <w:t>86968682</w:t>
            </w:r>
          </w:p>
        </w:tc>
      </w:tr>
      <w:tr w14:paraId="5BF12CF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10A5392">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14:paraId="7BCBEDCC">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14:paraId="4A1410D2">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采购代理机构名称：温州市智信招标代理有限公司</w:t>
            </w:r>
          </w:p>
          <w:p w14:paraId="4550C8D2">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地 址：温州市瓯海区新桥街道高昂路1号牛山广场2号楼1409室</w:t>
            </w:r>
          </w:p>
          <w:p w14:paraId="0E190A2B">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联系人：苏先生/叶先生</w:t>
            </w:r>
          </w:p>
          <w:p w14:paraId="54E08D7C">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联系电话：13626506308/13958779970</w:t>
            </w:r>
          </w:p>
        </w:tc>
      </w:tr>
      <w:tr w14:paraId="621EDB29">
        <w:tblPrEx>
          <w:tblCellMar>
            <w:top w:w="0" w:type="dxa"/>
            <w:left w:w="108" w:type="dxa"/>
            <w:bottom w:w="0" w:type="dxa"/>
            <w:right w:w="108" w:type="dxa"/>
          </w:tblCellMar>
        </w:tblPrEx>
        <w:trPr>
          <w:trHeight w:val="828" w:hRule="atLeast"/>
        </w:trPr>
        <w:tc>
          <w:tcPr>
            <w:tcW w:w="667" w:type="dxa"/>
            <w:tcBorders>
              <w:top w:val="single" w:color="auto" w:sz="4" w:space="0"/>
              <w:left w:val="single" w:color="auto" w:sz="4" w:space="0"/>
              <w:bottom w:val="single" w:color="auto" w:sz="4" w:space="0"/>
              <w:right w:val="single" w:color="auto" w:sz="4" w:space="0"/>
            </w:tcBorders>
            <w:vAlign w:val="center"/>
          </w:tcPr>
          <w:p w14:paraId="6BCC43B1">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14:paraId="5D7CE99D">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项目名称及项目编号</w:t>
            </w:r>
          </w:p>
        </w:tc>
        <w:tc>
          <w:tcPr>
            <w:tcW w:w="7419" w:type="dxa"/>
            <w:tcBorders>
              <w:top w:val="single" w:color="auto" w:sz="4" w:space="0"/>
              <w:left w:val="single" w:color="auto" w:sz="4" w:space="0"/>
              <w:bottom w:val="single" w:color="auto" w:sz="4" w:space="0"/>
              <w:right w:val="single" w:color="auto" w:sz="4" w:space="0"/>
            </w:tcBorders>
            <w:vAlign w:val="center"/>
          </w:tcPr>
          <w:p w14:paraId="10D33245">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项目名称：2024年龙湾区一体化公共数据平台运营运维</w:t>
            </w:r>
          </w:p>
          <w:p w14:paraId="1E8757D4">
            <w:pPr>
              <w:spacing w:line="300" w:lineRule="exact"/>
              <w:rPr>
                <w:rFonts w:ascii="宋体" w:hAnsi="宋体" w:cs="宋体"/>
                <w:bCs/>
                <w:kern w:val="0"/>
                <w:sz w:val="22"/>
                <w:szCs w:val="22"/>
                <w:highlight w:val="none"/>
              </w:rPr>
            </w:pPr>
            <w:r>
              <w:rPr>
                <w:rFonts w:hint="eastAsia" w:ascii="宋体" w:hAnsi="宋体" w:cs="宋体"/>
                <w:bCs/>
                <w:kern w:val="0"/>
                <w:sz w:val="22"/>
                <w:szCs w:val="22"/>
                <w:highlight w:val="none"/>
              </w:rPr>
              <w:t xml:space="preserve">项目编号：ZXZB-F20240919-YW </w:t>
            </w:r>
          </w:p>
        </w:tc>
      </w:tr>
      <w:tr w14:paraId="6ABDC44B">
        <w:tblPrEx>
          <w:tblCellMar>
            <w:top w:w="0" w:type="dxa"/>
            <w:left w:w="108" w:type="dxa"/>
            <w:bottom w:w="0" w:type="dxa"/>
            <w:right w:w="108" w:type="dxa"/>
          </w:tblCellMar>
        </w:tblPrEx>
        <w:trPr>
          <w:trHeight w:val="965" w:hRule="atLeast"/>
        </w:trPr>
        <w:tc>
          <w:tcPr>
            <w:tcW w:w="667" w:type="dxa"/>
            <w:tcBorders>
              <w:top w:val="single" w:color="auto" w:sz="4" w:space="0"/>
              <w:left w:val="single" w:color="auto" w:sz="4" w:space="0"/>
              <w:bottom w:val="single" w:color="auto" w:sz="4" w:space="0"/>
              <w:right w:val="single" w:color="auto" w:sz="4" w:space="0"/>
            </w:tcBorders>
            <w:vAlign w:val="center"/>
          </w:tcPr>
          <w:p w14:paraId="1449C94C">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14:paraId="5AFD6713">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14:paraId="5EBE0F36">
            <w:pPr>
              <w:widowControl/>
              <w:ind w:right="60"/>
              <w:jc w:val="left"/>
              <w:rPr>
                <w:rFonts w:ascii="新宋体" w:hAnsi="新宋体" w:eastAsia="新宋体"/>
                <w:kern w:val="0"/>
                <w:sz w:val="22"/>
                <w:szCs w:val="22"/>
                <w:highlight w:val="none"/>
              </w:rPr>
            </w:pPr>
            <w:r>
              <w:rPr>
                <w:rFonts w:hint="eastAsia" w:ascii="新宋体" w:hAnsi="新宋体" w:eastAsia="新宋体"/>
                <w:kern w:val="0"/>
                <w:sz w:val="22"/>
                <w:szCs w:val="22"/>
                <w:highlight w:val="none"/>
              </w:rPr>
              <w:t>2024年龙湾区一体化公共数据平台运营运维，具体采购内容及详细技术要求以采购文件第五部分表述为准；</w:t>
            </w:r>
          </w:p>
          <w:p w14:paraId="7ED28753">
            <w:pPr>
              <w:rPr>
                <w:rFonts w:ascii="宋体" w:hAnsi="宋体" w:cs="宋体"/>
                <w:sz w:val="22"/>
                <w:szCs w:val="22"/>
                <w:highlight w:val="none"/>
              </w:rPr>
            </w:pPr>
            <w:r>
              <w:rPr>
                <w:rFonts w:hint="eastAsia" w:ascii="新宋体" w:hAnsi="新宋体" w:eastAsia="新宋体"/>
                <w:kern w:val="0"/>
                <w:sz w:val="22"/>
                <w:szCs w:val="22"/>
                <w:highlight w:val="none"/>
              </w:rPr>
              <w:t>预算金额：1</w:t>
            </w:r>
            <w:r>
              <w:rPr>
                <w:rFonts w:hint="eastAsia" w:ascii="新宋体" w:hAnsi="新宋体" w:eastAsia="新宋体"/>
                <w:kern w:val="0"/>
                <w:sz w:val="22"/>
                <w:szCs w:val="22"/>
                <w:highlight w:val="none"/>
                <w:lang w:val="en-US" w:eastAsia="zh-CN"/>
              </w:rPr>
              <w:t>62</w:t>
            </w:r>
            <w:r>
              <w:rPr>
                <w:rFonts w:hint="eastAsia" w:ascii="新宋体" w:hAnsi="新宋体" w:eastAsia="新宋体"/>
                <w:kern w:val="0"/>
                <w:sz w:val="22"/>
                <w:szCs w:val="22"/>
                <w:highlight w:val="none"/>
              </w:rPr>
              <w:t>万元。</w:t>
            </w:r>
          </w:p>
        </w:tc>
      </w:tr>
      <w:tr w14:paraId="322AB304">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324F9E3A">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14:paraId="6A85BC89">
            <w:pPr>
              <w:spacing w:line="300" w:lineRule="exact"/>
              <w:jc w:val="left"/>
              <w:rPr>
                <w:rFonts w:ascii="宋体" w:hAnsi="宋体" w:cs="宋体"/>
                <w:kern w:val="0"/>
                <w:sz w:val="22"/>
                <w:szCs w:val="22"/>
                <w:highlight w:val="none"/>
              </w:rPr>
            </w:pPr>
            <w:r>
              <w:rPr>
                <w:rFonts w:hint="eastAsia" w:ascii="宋体" w:hAnsi="宋体" w:cs="宋体"/>
                <w:sz w:val="22"/>
                <w:szCs w:val="22"/>
                <w:highlight w:val="none"/>
              </w:rPr>
              <w:t>服务期限</w:t>
            </w:r>
          </w:p>
        </w:tc>
        <w:tc>
          <w:tcPr>
            <w:tcW w:w="7419" w:type="dxa"/>
            <w:tcBorders>
              <w:top w:val="single" w:color="auto" w:sz="4" w:space="0"/>
              <w:left w:val="single" w:color="auto" w:sz="4" w:space="0"/>
              <w:bottom w:val="single" w:color="auto" w:sz="4" w:space="0"/>
              <w:right w:val="single" w:color="auto" w:sz="4" w:space="0"/>
            </w:tcBorders>
            <w:vAlign w:val="center"/>
          </w:tcPr>
          <w:p w14:paraId="28116F43">
            <w:pPr>
              <w:rPr>
                <w:rFonts w:ascii="宋体" w:hAnsi="宋体" w:cs="宋体"/>
                <w:sz w:val="22"/>
                <w:szCs w:val="22"/>
                <w:highlight w:val="none"/>
              </w:rPr>
            </w:pPr>
            <w:r>
              <w:rPr>
                <w:rFonts w:hint="eastAsia" w:ascii="宋体" w:hAnsi="宋体" w:cs="宋体"/>
                <w:sz w:val="22"/>
                <w:szCs w:val="22"/>
                <w:highlight w:val="none"/>
              </w:rPr>
              <w:t>合同签订之日起一年。</w:t>
            </w:r>
          </w:p>
        </w:tc>
      </w:tr>
      <w:tr w14:paraId="15BF923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ACE79A1">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14:paraId="70B37EF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vAlign w:val="center"/>
          </w:tcPr>
          <w:p w14:paraId="0A4091F2">
            <w:pPr>
              <w:rPr>
                <w:rFonts w:ascii="宋体" w:hAnsi="宋体" w:cs="宋体"/>
                <w:sz w:val="22"/>
                <w:szCs w:val="22"/>
                <w:highlight w:val="none"/>
                <w:lang w:val="zh-CN"/>
              </w:rPr>
            </w:pPr>
            <w:r>
              <w:rPr>
                <w:rFonts w:hint="eastAsia" w:ascii="宋体" w:hAnsi="宋体" w:cs="宋体"/>
                <w:sz w:val="22"/>
                <w:szCs w:val="22"/>
                <w:highlight w:val="none"/>
                <w:lang w:val="zh-CN"/>
              </w:rPr>
              <w:t>1.一般资格条件：</w:t>
            </w:r>
          </w:p>
          <w:p w14:paraId="15AC5395">
            <w:pPr>
              <w:rPr>
                <w:rFonts w:ascii="宋体" w:hAnsi="宋体" w:cs="宋体"/>
                <w:sz w:val="22"/>
                <w:szCs w:val="22"/>
                <w:highlight w:val="none"/>
                <w:lang w:val="zh-CN"/>
              </w:rPr>
            </w:pPr>
            <w:r>
              <w:rPr>
                <w:rFonts w:hint="eastAsia" w:ascii="宋体" w:hAnsi="宋体" w:cs="宋体"/>
                <w:sz w:val="22"/>
                <w:szCs w:val="22"/>
                <w:highlight w:val="none"/>
                <w:lang w:val="zh-CN"/>
              </w:rPr>
              <w:t>（1）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法律、行政法规规定的其他条件。</w:t>
            </w:r>
          </w:p>
          <w:p w14:paraId="14B13ADA">
            <w:pPr>
              <w:rPr>
                <w:rFonts w:ascii="宋体" w:hAnsi="宋体" w:cs="宋体"/>
                <w:sz w:val="22"/>
                <w:szCs w:val="22"/>
                <w:highlight w:val="none"/>
                <w:lang w:val="zh-CN"/>
              </w:rPr>
            </w:pPr>
            <w:r>
              <w:rPr>
                <w:rFonts w:hint="eastAsia" w:ascii="宋体" w:hAnsi="宋体" w:cs="宋体"/>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22E5131A">
            <w:pPr>
              <w:rPr>
                <w:rFonts w:ascii="宋体" w:hAnsi="宋体" w:cs="宋体"/>
                <w:sz w:val="22"/>
                <w:szCs w:val="22"/>
                <w:highlight w:val="none"/>
                <w:lang w:val="zh-CN"/>
              </w:rPr>
            </w:pPr>
            <w:r>
              <w:rPr>
                <w:rFonts w:hint="eastAsia" w:ascii="宋体" w:hAnsi="宋体" w:cs="宋体"/>
                <w:sz w:val="22"/>
                <w:szCs w:val="22"/>
                <w:highlight w:val="none"/>
                <w:lang w:val="zh-CN"/>
              </w:rPr>
              <w:t xml:space="preserve">2.落实政府采购政策需满足的资格要求： </w:t>
            </w:r>
            <w:r>
              <w:rPr>
                <w:rFonts w:hint="eastAsia" w:ascii="仿宋" w:hAnsi="仿宋"/>
                <w:sz w:val="22"/>
                <w:szCs w:val="22"/>
                <w:highlight w:val="none"/>
              </w:rPr>
              <w:t>根据《政府采购促进中小企业发展管理办法》文件规定，本项目属于服务业【软件和信息技术服务业】，供应商需为中小企业/小微企业。中小企业是指满足《政府采购促进中小企业发展管理办法》（财库〔2020〕46 号）第二条规定的企业，监狱企业、残疾人福利性单位视为中小企业</w:t>
            </w:r>
            <w:r>
              <w:rPr>
                <w:rFonts w:hint="eastAsia" w:ascii="宋体" w:hAnsi="宋体" w:cs="新宋体"/>
                <w:sz w:val="22"/>
                <w:szCs w:val="22"/>
                <w:highlight w:val="none"/>
              </w:rPr>
              <w:t>。</w:t>
            </w:r>
          </w:p>
          <w:p w14:paraId="2344F8B8">
            <w:pPr>
              <w:rPr>
                <w:rFonts w:ascii="宋体" w:hAnsi="宋体" w:cs="宋体"/>
                <w:kern w:val="0"/>
                <w:sz w:val="22"/>
                <w:szCs w:val="22"/>
                <w:highlight w:val="none"/>
                <w:lang w:val="zh-CN"/>
              </w:rPr>
            </w:pPr>
            <w:r>
              <w:rPr>
                <w:rFonts w:hint="eastAsia" w:ascii="宋体" w:hAnsi="宋体" w:cs="宋体"/>
                <w:sz w:val="22"/>
                <w:szCs w:val="22"/>
                <w:highlight w:val="none"/>
              </w:rPr>
              <w:t>3</w:t>
            </w:r>
            <w:r>
              <w:rPr>
                <w:rFonts w:hint="eastAsia" w:ascii="宋体" w:hAnsi="宋体" w:cs="宋体"/>
                <w:sz w:val="22"/>
                <w:szCs w:val="22"/>
                <w:highlight w:val="none"/>
                <w:lang w:val="zh-CN"/>
              </w:rPr>
              <w:t>.特殊资格条件：无</w:t>
            </w:r>
          </w:p>
        </w:tc>
      </w:tr>
      <w:tr w14:paraId="4E3C9D3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1AA8840">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14:paraId="0BCC142D">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vAlign w:val="center"/>
          </w:tcPr>
          <w:p w14:paraId="64859E6C">
            <w:pPr>
              <w:spacing w:line="300" w:lineRule="exact"/>
              <w:rPr>
                <w:rFonts w:ascii="宋体" w:hAnsi="宋体" w:cs="宋体"/>
                <w:kern w:val="0"/>
                <w:sz w:val="22"/>
                <w:szCs w:val="22"/>
                <w:highlight w:val="none"/>
              </w:rPr>
            </w:pPr>
            <w:r>
              <w:rPr>
                <w:rFonts w:hint="eastAsia" w:ascii="宋体" w:hAnsi="宋体" w:cs="宋体"/>
                <w:b/>
                <w:snapToGrid w:val="0"/>
                <w:sz w:val="22"/>
                <w:szCs w:val="22"/>
                <w:highlight w:val="none"/>
              </w:rPr>
              <w:sym w:font="Wingdings" w:char="00FE"/>
            </w:r>
            <w:r>
              <w:rPr>
                <w:rFonts w:hint="eastAsia" w:ascii="宋体" w:hAnsi="宋体" w:cs="宋体"/>
                <w:kern w:val="0"/>
                <w:sz w:val="22"/>
                <w:szCs w:val="22"/>
                <w:highlight w:val="none"/>
              </w:rPr>
              <w:t>不接受</w:t>
            </w:r>
          </w:p>
          <w:p w14:paraId="704E6EFF">
            <w:pPr>
              <w:spacing w:line="300" w:lineRule="exact"/>
              <w:rPr>
                <w:rFonts w:ascii="宋体" w:hAnsi="宋体" w:cs="宋体"/>
                <w:kern w:val="0"/>
                <w:sz w:val="22"/>
                <w:szCs w:val="22"/>
                <w:highlight w:val="none"/>
              </w:rPr>
            </w:pPr>
            <w:r>
              <w:rPr>
                <w:rFonts w:hint="eastAsia" w:ascii="宋体" w:hAnsi="宋体" w:cs="宋体"/>
                <w:b/>
                <w:snapToGrid w:val="0"/>
                <w:sz w:val="22"/>
                <w:szCs w:val="22"/>
                <w:highlight w:val="none"/>
              </w:rPr>
              <w:sym w:font="Wingdings" w:char="00A8"/>
            </w:r>
            <w:r>
              <w:rPr>
                <w:rFonts w:hint="eastAsia" w:ascii="宋体" w:hAnsi="宋体" w:cs="宋体"/>
                <w:kern w:val="0"/>
                <w:sz w:val="22"/>
                <w:szCs w:val="22"/>
                <w:highlight w:val="none"/>
              </w:rPr>
              <w:t>接受，应满足下列要求：</w:t>
            </w:r>
          </w:p>
        </w:tc>
      </w:tr>
      <w:tr w14:paraId="20E7717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817C428">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14:paraId="65321041">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14:paraId="68CAB245">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□组织</w:t>
            </w:r>
          </w:p>
          <w:p w14:paraId="6AC4DCCF">
            <w:pPr>
              <w:spacing w:line="300" w:lineRule="exact"/>
              <w:rPr>
                <w:rFonts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不组织，供应商自行前往项目现场进行踏勘。</w:t>
            </w:r>
          </w:p>
        </w:tc>
      </w:tr>
      <w:tr w14:paraId="2CEC3D08">
        <w:tblPrEx>
          <w:tblCellMar>
            <w:top w:w="0" w:type="dxa"/>
            <w:left w:w="108" w:type="dxa"/>
            <w:bottom w:w="0" w:type="dxa"/>
            <w:right w:w="108" w:type="dxa"/>
          </w:tblCellMar>
        </w:tblPrEx>
        <w:trPr>
          <w:trHeight w:val="828" w:hRule="atLeast"/>
        </w:trPr>
        <w:tc>
          <w:tcPr>
            <w:tcW w:w="667" w:type="dxa"/>
            <w:tcBorders>
              <w:top w:val="single" w:color="auto" w:sz="4" w:space="0"/>
              <w:left w:val="single" w:color="auto" w:sz="4" w:space="0"/>
              <w:bottom w:val="single" w:color="auto" w:sz="4" w:space="0"/>
              <w:right w:val="single" w:color="auto" w:sz="4" w:space="0"/>
            </w:tcBorders>
            <w:vAlign w:val="center"/>
          </w:tcPr>
          <w:p w14:paraId="38A13E57">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14:paraId="0014F012">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14:paraId="6D52AB9D">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□召开</w:t>
            </w:r>
          </w:p>
          <w:p w14:paraId="0FF8753D">
            <w:pPr>
              <w:spacing w:line="300" w:lineRule="exact"/>
              <w:rPr>
                <w:rFonts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不召开</w:t>
            </w:r>
          </w:p>
        </w:tc>
      </w:tr>
      <w:tr w14:paraId="693B55C3">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419EBD78">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14:paraId="0168B7BD">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磋商响应文件递交截止时间</w:t>
            </w:r>
          </w:p>
        </w:tc>
        <w:tc>
          <w:tcPr>
            <w:tcW w:w="7419" w:type="dxa"/>
            <w:tcBorders>
              <w:top w:val="single" w:color="auto" w:sz="4" w:space="0"/>
              <w:left w:val="single" w:color="auto" w:sz="4" w:space="0"/>
              <w:bottom w:val="single" w:color="auto" w:sz="4" w:space="0"/>
              <w:right w:val="single" w:color="auto" w:sz="4" w:space="0"/>
            </w:tcBorders>
            <w:vAlign w:val="center"/>
          </w:tcPr>
          <w:p w14:paraId="00D34505">
            <w:pPr>
              <w:spacing w:line="300" w:lineRule="exact"/>
              <w:rPr>
                <w:rFonts w:ascii="宋体" w:hAnsi="宋体" w:cs="宋体"/>
                <w:kern w:val="0"/>
                <w:sz w:val="22"/>
                <w:szCs w:val="22"/>
                <w:highlight w:val="none"/>
              </w:rPr>
            </w:pPr>
            <w:r>
              <w:rPr>
                <w:rFonts w:hint="eastAsia" w:ascii="宋体" w:hAnsi="宋体" w:cs="宋体"/>
                <w:sz w:val="22"/>
                <w:szCs w:val="22"/>
                <w:highlight w:val="none"/>
                <w:lang w:eastAsia="zh-CN"/>
              </w:rPr>
              <w:t>2024年11月12日</w:t>
            </w:r>
            <w:r>
              <w:rPr>
                <w:rFonts w:hint="eastAsia" w:ascii="宋体" w:hAnsi="宋体" w:cs="宋体"/>
                <w:sz w:val="22"/>
                <w:szCs w:val="22"/>
                <w:highlight w:val="none"/>
              </w:rPr>
              <w:t>09时00分</w:t>
            </w:r>
          </w:p>
        </w:tc>
      </w:tr>
      <w:tr w14:paraId="0286659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1EE11B07">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14:paraId="217A41C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14:paraId="0B7567B4">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☑允许</w:t>
            </w:r>
          </w:p>
          <w:p w14:paraId="70027F9C">
            <w:pPr>
              <w:spacing w:line="300" w:lineRule="exact"/>
              <w:rPr>
                <w:rFonts w:ascii="宋体" w:hAnsi="宋体" w:cs="宋体"/>
                <w:kern w:val="0"/>
                <w:sz w:val="22"/>
                <w:szCs w:val="22"/>
                <w:highlight w:val="none"/>
              </w:rPr>
            </w:pPr>
            <w:r>
              <w:rPr>
                <w:rFonts w:hint="eastAsia" w:ascii="宋体" w:hAnsi="宋体" w:cs="宋体"/>
                <w:bCs/>
                <w:snapToGrid w:val="0"/>
                <w:sz w:val="22"/>
                <w:szCs w:val="22"/>
                <w:highlight w:val="none"/>
              </w:rPr>
              <w:sym w:font="Wingdings" w:char="00A8"/>
            </w:r>
            <w:r>
              <w:rPr>
                <w:rFonts w:hint="eastAsia" w:ascii="宋体" w:hAnsi="宋体" w:cs="宋体"/>
                <w:kern w:val="0"/>
                <w:sz w:val="22"/>
                <w:szCs w:val="22"/>
                <w:highlight w:val="none"/>
              </w:rPr>
              <w:t>不允许</w:t>
            </w:r>
          </w:p>
        </w:tc>
      </w:tr>
      <w:tr w14:paraId="6202449E">
        <w:tblPrEx>
          <w:tblCellMar>
            <w:top w:w="0" w:type="dxa"/>
            <w:left w:w="108" w:type="dxa"/>
            <w:bottom w:w="0" w:type="dxa"/>
            <w:right w:w="108" w:type="dxa"/>
          </w:tblCellMar>
        </w:tblPrEx>
        <w:trPr>
          <w:trHeight w:val="854" w:hRule="atLeast"/>
        </w:trPr>
        <w:tc>
          <w:tcPr>
            <w:tcW w:w="667" w:type="dxa"/>
            <w:tcBorders>
              <w:top w:val="single" w:color="auto" w:sz="4" w:space="0"/>
              <w:left w:val="single" w:color="auto" w:sz="4" w:space="0"/>
              <w:bottom w:val="single" w:color="auto" w:sz="4" w:space="0"/>
              <w:right w:val="single" w:color="auto" w:sz="4" w:space="0"/>
            </w:tcBorders>
            <w:vAlign w:val="center"/>
          </w:tcPr>
          <w:p w14:paraId="0A4BE3A9">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14:paraId="64C9515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14:paraId="79AEBBA5">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4E2E08C4">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66F6F7F0">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14:paraId="723143D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磋商响应文件有效期</w:t>
            </w:r>
          </w:p>
        </w:tc>
        <w:tc>
          <w:tcPr>
            <w:tcW w:w="7419" w:type="dxa"/>
            <w:tcBorders>
              <w:top w:val="single" w:color="auto" w:sz="4" w:space="0"/>
              <w:left w:val="single" w:color="auto" w:sz="4" w:space="0"/>
              <w:bottom w:val="single" w:color="auto" w:sz="4" w:space="0"/>
              <w:right w:val="single" w:color="auto" w:sz="4" w:space="0"/>
            </w:tcBorders>
            <w:vAlign w:val="center"/>
          </w:tcPr>
          <w:p w14:paraId="1D07EE1D">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磋商响应文件自磋商响应文件递交截止时间起生效，有效期</w:t>
            </w:r>
            <w:r>
              <w:rPr>
                <w:rFonts w:hint="eastAsia" w:ascii="宋体" w:hAnsi="宋体" w:cs="宋体"/>
                <w:kern w:val="0"/>
                <w:sz w:val="22"/>
                <w:szCs w:val="22"/>
                <w:highlight w:val="none"/>
                <w:u w:val="single"/>
              </w:rPr>
              <w:t>90</w:t>
            </w:r>
            <w:r>
              <w:rPr>
                <w:rFonts w:hint="eastAsia" w:ascii="宋体" w:hAnsi="宋体" w:cs="宋体"/>
                <w:kern w:val="0"/>
                <w:sz w:val="22"/>
                <w:szCs w:val="22"/>
                <w:highlight w:val="none"/>
              </w:rPr>
              <w:t>天。</w:t>
            </w:r>
          </w:p>
        </w:tc>
      </w:tr>
      <w:tr w14:paraId="46B3B5E0">
        <w:tblPrEx>
          <w:tblCellMar>
            <w:top w:w="0" w:type="dxa"/>
            <w:left w:w="108" w:type="dxa"/>
            <w:bottom w:w="0" w:type="dxa"/>
            <w:right w:w="108" w:type="dxa"/>
          </w:tblCellMar>
        </w:tblPrEx>
        <w:trPr>
          <w:trHeight w:val="615" w:hRule="atLeast"/>
        </w:trPr>
        <w:tc>
          <w:tcPr>
            <w:tcW w:w="667" w:type="dxa"/>
            <w:tcBorders>
              <w:top w:val="single" w:color="auto" w:sz="4" w:space="0"/>
              <w:left w:val="single" w:color="auto" w:sz="4" w:space="0"/>
              <w:bottom w:val="single" w:color="auto" w:sz="4" w:space="0"/>
              <w:right w:val="single" w:color="auto" w:sz="4" w:space="0"/>
            </w:tcBorders>
            <w:vAlign w:val="center"/>
          </w:tcPr>
          <w:p w14:paraId="7514E965">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14:paraId="53D930F9">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14:paraId="171AB1C3">
            <w:pPr>
              <w:spacing w:line="300" w:lineRule="exact"/>
              <w:rPr>
                <w:rFonts w:ascii="宋体" w:hAnsi="宋体" w:cs="宋体"/>
                <w:b/>
                <w:bCs/>
                <w:kern w:val="0"/>
                <w:sz w:val="22"/>
                <w:szCs w:val="22"/>
                <w:highlight w:val="none"/>
                <w:u w:val="single"/>
              </w:rPr>
            </w:pPr>
            <w:r>
              <w:rPr>
                <w:rFonts w:hint="eastAsia" w:ascii="宋体" w:hAnsi="宋体" w:cs="宋体"/>
                <w:kern w:val="0"/>
                <w:sz w:val="22"/>
                <w:szCs w:val="22"/>
                <w:highlight w:val="none"/>
                <w:u w:val="single"/>
              </w:rPr>
              <w:t>不提交</w:t>
            </w:r>
          </w:p>
        </w:tc>
      </w:tr>
      <w:tr w14:paraId="1A219B70">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F3BF331">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15</w:t>
            </w:r>
          </w:p>
        </w:tc>
        <w:tc>
          <w:tcPr>
            <w:tcW w:w="2037" w:type="dxa"/>
            <w:tcBorders>
              <w:top w:val="single" w:color="auto" w:sz="4" w:space="0"/>
              <w:left w:val="single" w:color="auto" w:sz="4" w:space="0"/>
              <w:bottom w:val="single" w:color="auto" w:sz="4" w:space="0"/>
              <w:right w:val="single" w:color="auto" w:sz="4" w:space="0"/>
            </w:tcBorders>
            <w:vAlign w:val="center"/>
          </w:tcPr>
          <w:p w14:paraId="7A297957">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磋商响应文件形式、制作及组成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14:paraId="7747F199">
            <w:pPr>
              <w:rPr>
                <w:rFonts w:ascii="宋体" w:hAnsi="宋体" w:cs="宋体"/>
                <w:kern w:val="0"/>
                <w:sz w:val="22"/>
                <w:szCs w:val="22"/>
                <w:highlight w:val="none"/>
              </w:rPr>
            </w:pPr>
            <w:r>
              <w:rPr>
                <w:rFonts w:hint="eastAsia" w:ascii="宋体" w:hAnsi="宋体" w:cs="宋体"/>
                <w:kern w:val="0"/>
                <w:sz w:val="22"/>
                <w:szCs w:val="22"/>
                <w:highlight w:val="none"/>
              </w:rPr>
              <w:t>本项目实行网上投标。</w:t>
            </w:r>
          </w:p>
          <w:p w14:paraId="579E1A66">
            <w:pPr>
              <w:rPr>
                <w:rFonts w:ascii="宋体" w:hAnsi="宋体" w:cs="宋体"/>
                <w:kern w:val="0"/>
                <w:sz w:val="22"/>
                <w:szCs w:val="22"/>
                <w:highlight w:val="none"/>
              </w:rPr>
            </w:pPr>
            <w:r>
              <w:rPr>
                <w:rFonts w:hint="eastAsia" w:ascii="宋体" w:hAnsi="宋体" w:cs="宋体"/>
                <w:kern w:val="0"/>
                <w:sz w:val="22"/>
                <w:szCs w:val="22"/>
                <w:highlight w:val="none"/>
              </w:rPr>
              <w:t>供应商应准备电子磋商响应文件、以介质存储的数据电文形式的备份磋商响应文件：</w:t>
            </w:r>
          </w:p>
          <w:p w14:paraId="4FB41A7E">
            <w:pPr>
              <w:rPr>
                <w:rFonts w:ascii="宋体" w:hAnsi="宋体" w:cs="宋体"/>
                <w:kern w:val="0"/>
                <w:sz w:val="22"/>
                <w:szCs w:val="22"/>
                <w:highlight w:val="none"/>
              </w:rPr>
            </w:pPr>
            <w:r>
              <w:rPr>
                <w:rFonts w:hint="eastAsia" w:ascii="宋体" w:hAnsi="宋体" w:cs="宋体"/>
                <w:kern w:val="0"/>
                <w:sz w:val="22"/>
                <w:szCs w:val="22"/>
                <w:highlight w:val="none"/>
              </w:rPr>
              <w:t>（1）电子磋商响应文件，按政采云平台项目采购－电子招投标操作指南及本竞争性磋商采购文件要求递交。</w:t>
            </w:r>
          </w:p>
          <w:p w14:paraId="523A4FE3">
            <w:pPr>
              <w:rPr>
                <w:rFonts w:ascii="宋体" w:hAnsi="宋体" w:cs="宋体"/>
                <w:kern w:val="0"/>
                <w:sz w:val="22"/>
                <w:szCs w:val="22"/>
                <w:highlight w:val="none"/>
              </w:rPr>
            </w:pPr>
            <w:r>
              <w:rPr>
                <w:rFonts w:hint="eastAsia" w:ascii="宋体" w:hAnsi="宋体" w:cs="宋体"/>
                <w:kern w:val="0"/>
                <w:sz w:val="22"/>
                <w:szCs w:val="22"/>
                <w:highlight w:val="none"/>
              </w:rPr>
              <w:t>（2）以介质存储的数据电文形式的备份磋商响应文件，按政采云平台项目采购－电子招投标操作指南中上传的电子磋商响应文件格式，以U盘形式提供。数量为1份。</w:t>
            </w:r>
          </w:p>
          <w:p w14:paraId="131ED124">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磋商响应文件由资格审查资料、商务技术文件、报价文件三部分组成。</w:t>
            </w:r>
          </w:p>
        </w:tc>
      </w:tr>
      <w:tr w14:paraId="420C371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9CCA388">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16</w:t>
            </w:r>
          </w:p>
        </w:tc>
        <w:tc>
          <w:tcPr>
            <w:tcW w:w="2037" w:type="dxa"/>
            <w:tcBorders>
              <w:top w:val="single" w:color="auto" w:sz="4" w:space="0"/>
              <w:left w:val="single" w:color="auto" w:sz="4" w:space="0"/>
              <w:bottom w:val="single" w:color="auto" w:sz="4" w:space="0"/>
              <w:right w:val="single" w:color="auto" w:sz="4" w:space="0"/>
            </w:tcBorders>
            <w:vAlign w:val="center"/>
          </w:tcPr>
          <w:p w14:paraId="628FFF6A">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磋商响应文件签字或盖章要求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14:paraId="12449B1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磋商响应文件的相应位置应加盖：</w:t>
            </w:r>
          </w:p>
          <w:p w14:paraId="64F9CF3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（1）单位公章；</w:t>
            </w:r>
          </w:p>
          <w:p w14:paraId="20E4F030">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（2）法定代表人或其授权委托代理人签字或盖章（如为授权委托代理人签字或盖章的须提供法定代表人授权委托书）。</w:t>
            </w:r>
          </w:p>
          <w:p w14:paraId="7BEE643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（3）供应商单位不得以投标专用章、合同专用章等其他形式印章代替，否则视为无效印章。</w:t>
            </w:r>
          </w:p>
        </w:tc>
      </w:tr>
      <w:tr w14:paraId="4BAE7A5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44EA6C28">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17</w:t>
            </w:r>
          </w:p>
        </w:tc>
        <w:tc>
          <w:tcPr>
            <w:tcW w:w="2037" w:type="dxa"/>
            <w:tcBorders>
              <w:top w:val="single" w:color="auto" w:sz="4" w:space="0"/>
              <w:left w:val="single" w:color="auto" w:sz="4" w:space="0"/>
              <w:bottom w:val="single" w:color="auto" w:sz="4" w:space="0"/>
              <w:right w:val="single" w:color="auto" w:sz="4" w:space="0"/>
            </w:tcBorders>
            <w:vAlign w:val="center"/>
          </w:tcPr>
          <w:p w14:paraId="0F55E60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磋商响应文件的递交与接收</w:t>
            </w:r>
          </w:p>
        </w:tc>
        <w:tc>
          <w:tcPr>
            <w:tcW w:w="7419" w:type="dxa"/>
            <w:tcBorders>
              <w:top w:val="single" w:color="auto" w:sz="4" w:space="0"/>
              <w:left w:val="single" w:color="auto" w:sz="4" w:space="0"/>
              <w:bottom w:val="single" w:color="auto" w:sz="4" w:space="0"/>
              <w:right w:val="single" w:color="auto" w:sz="4" w:space="0"/>
            </w:tcBorders>
            <w:vAlign w:val="center"/>
          </w:tcPr>
          <w:p w14:paraId="544176F9">
            <w:pPr>
              <w:rPr>
                <w:rFonts w:ascii="宋体" w:hAnsi="宋体" w:cs="宋体"/>
                <w:kern w:val="0"/>
                <w:sz w:val="22"/>
                <w:szCs w:val="22"/>
                <w:highlight w:val="none"/>
              </w:rPr>
            </w:pPr>
            <w:r>
              <w:rPr>
                <w:rFonts w:hint="eastAsia" w:ascii="宋体" w:hAnsi="宋体" w:cs="宋体"/>
                <w:kern w:val="0"/>
                <w:sz w:val="22"/>
                <w:szCs w:val="22"/>
                <w:highlight w:val="none"/>
              </w:rPr>
              <w:t>（1）供应商应当在磋商响应文件递交截止时间前在政采云平台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05789213">
            <w:pPr>
              <w:rPr>
                <w:rFonts w:ascii="宋体" w:hAnsi="宋体" w:cs="宋体"/>
                <w:kern w:val="0"/>
                <w:sz w:val="22"/>
                <w:szCs w:val="22"/>
                <w:highlight w:val="none"/>
              </w:rPr>
            </w:pPr>
            <w:r>
              <w:rPr>
                <w:rFonts w:hint="eastAsia" w:ascii="宋体" w:hAnsi="宋体" w:cs="宋体"/>
                <w:kern w:val="0"/>
                <w:sz w:val="22"/>
                <w:szCs w:val="22"/>
                <w:highlight w:val="none"/>
              </w:rPr>
              <w:t>（2）供应商应当在</w:t>
            </w:r>
            <w:r>
              <w:rPr>
                <w:rFonts w:hint="eastAsia" w:ascii="宋体" w:hAnsi="宋体" w:cs="宋体"/>
                <w:sz w:val="22"/>
                <w:szCs w:val="22"/>
                <w:highlight w:val="none"/>
              </w:rPr>
              <w:t>投标截止</w:t>
            </w:r>
            <w:r>
              <w:rPr>
                <w:rFonts w:hint="eastAsia" w:ascii="宋体" w:hAnsi="宋体" w:cs="宋体"/>
                <w:kern w:val="0"/>
                <w:sz w:val="22"/>
                <w:szCs w:val="22"/>
                <w:highlight w:val="none"/>
              </w:rPr>
              <w:t>之前将以介质存储的数据电文形式的备份磋商响应文件密封送交到温州市瓯海区新桥街道高昂路1号牛山广场2号楼1409室，逾期送达或未密封将被拒收。</w:t>
            </w:r>
          </w:p>
          <w:p w14:paraId="70774893">
            <w:pPr>
              <w:rPr>
                <w:rFonts w:ascii="宋体" w:hAnsi="宋体" w:cs="宋体"/>
                <w:kern w:val="0"/>
                <w:sz w:val="22"/>
                <w:szCs w:val="22"/>
                <w:highlight w:val="none"/>
              </w:rPr>
            </w:pPr>
            <w:r>
              <w:rPr>
                <w:rFonts w:hint="eastAsia" w:ascii="宋体" w:hAnsi="宋体" w:cs="宋体"/>
                <w:kern w:val="0"/>
                <w:sz w:val="22"/>
                <w:szCs w:val="22"/>
                <w:highlight w:val="none"/>
              </w:rPr>
              <w:t>供应商递交以介质存储的数据电文形式的备份磋商响应文件时，如出现下列情况之一的，将被拒收：</w:t>
            </w:r>
          </w:p>
          <w:p w14:paraId="29AB1A99">
            <w:pPr>
              <w:rPr>
                <w:rFonts w:ascii="宋体" w:hAnsi="宋体" w:cs="宋体"/>
                <w:kern w:val="0"/>
                <w:sz w:val="22"/>
                <w:szCs w:val="22"/>
                <w:highlight w:val="none"/>
              </w:rPr>
            </w:pPr>
            <w:r>
              <w:rPr>
                <w:rFonts w:hint="eastAsia" w:ascii="宋体" w:hAnsi="宋体" w:cs="宋体"/>
                <w:kern w:val="0"/>
                <w:sz w:val="22"/>
                <w:szCs w:val="22"/>
                <w:highlight w:val="none"/>
              </w:rPr>
              <w:t>1.未按规定密封或标记的磋商响应文件；</w:t>
            </w:r>
          </w:p>
          <w:p w14:paraId="42A5DF0D">
            <w:pPr>
              <w:rPr>
                <w:rFonts w:ascii="宋体" w:hAnsi="宋体" w:cs="宋体"/>
                <w:kern w:val="0"/>
                <w:sz w:val="22"/>
                <w:szCs w:val="22"/>
                <w:highlight w:val="none"/>
              </w:rPr>
            </w:pPr>
            <w:r>
              <w:rPr>
                <w:rFonts w:hint="eastAsia" w:ascii="宋体" w:hAnsi="宋体" w:cs="宋体"/>
                <w:kern w:val="0"/>
                <w:sz w:val="22"/>
                <w:szCs w:val="22"/>
                <w:highlight w:val="none"/>
              </w:rPr>
              <w:t>2.由于包装不妥，在送交途中严重破损或失散的；</w:t>
            </w:r>
          </w:p>
          <w:p w14:paraId="669CE657">
            <w:pPr>
              <w:rPr>
                <w:rFonts w:ascii="宋体" w:hAnsi="宋体" w:cs="宋体"/>
                <w:kern w:val="0"/>
                <w:sz w:val="22"/>
                <w:szCs w:val="22"/>
                <w:highlight w:val="none"/>
              </w:rPr>
            </w:pPr>
            <w:r>
              <w:rPr>
                <w:rFonts w:hint="eastAsia" w:ascii="宋体" w:hAnsi="宋体" w:cs="宋体"/>
                <w:kern w:val="0"/>
                <w:sz w:val="22"/>
                <w:szCs w:val="22"/>
                <w:highlight w:val="none"/>
              </w:rPr>
              <w:t>3.未成功办理供应商报名手续的；</w:t>
            </w:r>
          </w:p>
          <w:p w14:paraId="0A47643D">
            <w:pPr>
              <w:rPr>
                <w:rFonts w:ascii="宋体" w:hAnsi="宋体" w:cs="宋体"/>
                <w:kern w:val="0"/>
                <w:sz w:val="22"/>
                <w:szCs w:val="22"/>
                <w:highlight w:val="none"/>
              </w:rPr>
            </w:pPr>
            <w:r>
              <w:rPr>
                <w:rFonts w:hint="eastAsia" w:ascii="宋体" w:hAnsi="宋体" w:cs="宋体"/>
                <w:kern w:val="0"/>
                <w:sz w:val="22"/>
                <w:szCs w:val="22"/>
                <w:highlight w:val="none"/>
              </w:rPr>
              <w:t>4.超过磋商响应文件递交截止时间送达的。</w:t>
            </w:r>
          </w:p>
          <w:p w14:paraId="69CF7531">
            <w:pPr>
              <w:rPr>
                <w:rFonts w:ascii="宋体" w:hAnsi="宋体" w:cs="宋体"/>
                <w:kern w:val="0"/>
                <w:sz w:val="22"/>
                <w:szCs w:val="22"/>
                <w:highlight w:val="none"/>
              </w:rPr>
            </w:pPr>
            <w:r>
              <w:rPr>
                <w:rFonts w:hint="eastAsia" w:ascii="宋体" w:hAnsi="宋体" w:cs="宋体"/>
                <w:kern w:val="0"/>
                <w:sz w:val="22"/>
                <w:szCs w:val="22"/>
                <w:highlight w:val="none"/>
              </w:rPr>
              <w:t>5.仅提供备份磋商响应文件的，投标无效。</w:t>
            </w:r>
          </w:p>
          <w:p w14:paraId="7F3C4CD6">
            <w:pPr>
              <w:rPr>
                <w:rFonts w:ascii="宋体" w:hAnsi="宋体" w:cs="宋体"/>
                <w:kern w:val="0"/>
                <w:sz w:val="22"/>
                <w:szCs w:val="22"/>
                <w:highlight w:val="none"/>
              </w:rPr>
            </w:pPr>
            <w:r>
              <w:rPr>
                <w:rFonts w:hint="eastAsia" w:ascii="宋体" w:hAnsi="宋体" w:cs="宋体"/>
                <w:kern w:val="0"/>
                <w:sz w:val="22"/>
                <w:szCs w:val="22"/>
                <w:highlight w:val="none"/>
              </w:rPr>
              <w:t>仅提供备份磋商响应文件，造成项目开标评审及磋商活动无法进行下去的，投标（磋商响应）无效，相关风险由供应商自行承担。</w:t>
            </w:r>
          </w:p>
        </w:tc>
      </w:tr>
      <w:tr w14:paraId="2C93726D">
        <w:tblPrEx>
          <w:tblCellMar>
            <w:top w:w="0" w:type="dxa"/>
            <w:left w:w="108" w:type="dxa"/>
            <w:bottom w:w="0" w:type="dxa"/>
            <w:right w:w="108" w:type="dxa"/>
          </w:tblCellMar>
        </w:tblPrEx>
        <w:trPr>
          <w:trHeight w:val="391" w:hRule="atLeast"/>
        </w:trPr>
        <w:tc>
          <w:tcPr>
            <w:tcW w:w="667" w:type="dxa"/>
            <w:tcBorders>
              <w:top w:val="single" w:color="auto" w:sz="4" w:space="0"/>
              <w:left w:val="single" w:color="auto" w:sz="4" w:space="0"/>
              <w:bottom w:val="single" w:color="auto" w:sz="4" w:space="0"/>
              <w:right w:val="single" w:color="auto" w:sz="4" w:space="0"/>
            </w:tcBorders>
            <w:vAlign w:val="center"/>
          </w:tcPr>
          <w:p w14:paraId="65B7374E">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18</w:t>
            </w:r>
          </w:p>
        </w:tc>
        <w:tc>
          <w:tcPr>
            <w:tcW w:w="2037" w:type="dxa"/>
            <w:tcBorders>
              <w:top w:val="single" w:color="auto" w:sz="4" w:space="0"/>
              <w:left w:val="single" w:color="auto" w:sz="4" w:space="0"/>
              <w:bottom w:val="single" w:color="auto" w:sz="4" w:space="0"/>
              <w:right w:val="single" w:color="auto" w:sz="4" w:space="0"/>
            </w:tcBorders>
            <w:vAlign w:val="center"/>
          </w:tcPr>
          <w:p w14:paraId="565672B7">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开标时间和评标地点</w:t>
            </w:r>
          </w:p>
        </w:tc>
        <w:tc>
          <w:tcPr>
            <w:tcW w:w="7419" w:type="dxa"/>
            <w:tcBorders>
              <w:top w:val="single" w:color="auto" w:sz="4" w:space="0"/>
              <w:left w:val="single" w:color="auto" w:sz="4" w:space="0"/>
              <w:bottom w:val="single" w:color="auto" w:sz="4" w:space="0"/>
              <w:right w:val="single" w:color="auto" w:sz="4" w:space="0"/>
            </w:tcBorders>
            <w:vAlign w:val="center"/>
          </w:tcPr>
          <w:p w14:paraId="79B1BAF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开标时间：</w:t>
            </w:r>
            <w:r>
              <w:rPr>
                <w:rFonts w:hint="eastAsia" w:ascii="宋体" w:hAnsi="宋体" w:cs="宋体"/>
                <w:kern w:val="0"/>
                <w:sz w:val="22"/>
                <w:szCs w:val="22"/>
                <w:highlight w:val="none"/>
                <w:lang w:eastAsia="zh-CN"/>
              </w:rPr>
              <w:t>2024年11月12日</w:t>
            </w:r>
            <w:r>
              <w:rPr>
                <w:rFonts w:hint="eastAsia" w:ascii="宋体" w:hAnsi="宋体" w:cs="宋体"/>
                <w:sz w:val="22"/>
                <w:szCs w:val="22"/>
                <w:highlight w:val="none"/>
              </w:rPr>
              <w:t>09时00分</w:t>
            </w:r>
          </w:p>
          <w:p w14:paraId="60F1776E">
            <w:pPr>
              <w:rPr>
                <w:rFonts w:ascii="宋体" w:hAnsi="宋体" w:cs="宋体"/>
                <w:kern w:val="0"/>
                <w:sz w:val="22"/>
                <w:szCs w:val="22"/>
                <w:highlight w:val="none"/>
              </w:rPr>
            </w:pPr>
            <w:r>
              <w:rPr>
                <w:rFonts w:hint="eastAsia" w:ascii="宋体" w:hAnsi="宋体" w:cs="宋体"/>
                <w:kern w:val="0"/>
                <w:sz w:val="22"/>
                <w:szCs w:val="22"/>
                <w:highlight w:val="none"/>
                <w:lang w:val="zh-CN"/>
              </w:rPr>
              <w:t>开标地点：</w:t>
            </w:r>
            <w:r>
              <w:rPr>
                <w:rFonts w:hint="eastAsia" w:ascii="新宋体" w:hAnsi="新宋体" w:eastAsia="新宋体" w:cs="宋体"/>
                <w:bCs/>
                <w:kern w:val="0"/>
                <w:sz w:val="22"/>
                <w:szCs w:val="22"/>
                <w:highlight w:val="none"/>
              </w:rPr>
              <w:t>政采云平台（www.zcygov.cn）在线开标</w:t>
            </w:r>
          </w:p>
          <w:p w14:paraId="6BE01E5D">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评标地点：</w:t>
            </w:r>
            <w:r>
              <w:rPr>
                <w:rFonts w:hint="eastAsia" w:ascii="新宋体" w:hAnsi="新宋体" w:eastAsia="新宋体" w:cs="宋体"/>
                <w:bCs/>
                <w:kern w:val="0"/>
                <w:sz w:val="22"/>
                <w:szCs w:val="22"/>
                <w:highlight w:val="none"/>
              </w:rPr>
              <w:t>温州市瓯海区新桥街道高昂路1号牛山广场2号楼1409室</w:t>
            </w:r>
          </w:p>
        </w:tc>
      </w:tr>
      <w:tr w14:paraId="0316ECC8">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17610509">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19</w:t>
            </w:r>
          </w:p>
        </w:tc>
        <w:tc>
          <w:tcPr>
            <w:tcW w:w="2037" w:type="dxa"/>
            <w:tcBorders>
              <w:top w:val="single" w:color="auto" w:sz="4" w:space="0"/>
              <w:left w:val="single" w:color="auto" w:sz="4" w:space="0"/>
              <w:bottom w:val="single" w:color="auto" w:sz="4" w:space="0"/>
              <w:right w:val="single" w:color="auto" w:sz="4" w:space="0"/>
            </w:tcBorders>
            <w:vAlign w:val="center"/>
          </w:tcPr>
          <w:p w14:paraId="66F0BEBF">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磋商评审程序</w:t>
            </w:r>
          </w:p>
        </w:tc>
        <w:tc>
          <w:tcPr>
            <w:tcW w:w="7419" w:type="dxa"/>
            <w:tcBorders>
              <w:top w:val="single" w:color="auto" w:sz="4" w:space="0"/>
              <w:left w:val="single" w:color="auto" w:sz="4" w:space="0"/>
              <w:bottom w:val="single" w:color="auto" w:sz="4" w:space="0"/>
              <w:right w:val="single" w:color="auto" w:sz="4" w:space="0"/>
            </w:tcBorders>
            <w:vAlign w:val="center"/>
          </w:tcPr>
          <w:p w14:paraId="787FD11F">
            <w:pPr>
              <w:rPr>
                <w:rFonts w:ascii="宋体" w:hAnsi="宋体" w:cs="宋体"/>
                <w:kern w:val="0"/>
                <w:sz w:val="22"/>
                <w:szCs w:val="22"/>
                <w:highlight w:val="none"/>
              </w:rPr>
            </w:pPr>
            <w:r>
              <w:rPr>
                <w:rFonts w:hint="eastAsia" w:ascii="宋体" w:hAnsi="宋体" w:cs="宋体"/>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14:paraId="2F553BB2">
            <w:pPr>
              <w:rPr>
                <w:rFonts w:ascii="宋体" w:hAnsi="宋体" w:cs="宋体"/>
                <w:kern w:val="0"/>
                <w:sz w:val="22"/>
                <w:szCs w:val="22"/>
                <w:highlight w:val="none"/>
              </w:rPr>
            </w:pPr>
            <w:r>
              <w:rPr>
                <w:rFonts w:hint="eastAsia" w:ascii="宋体" w:hAnsi="宋体" w:cs="宋体"/>
                <w:kern w:val="0"/>
                <w:sz w:val="22"/>
                <w:szCs w:val="22"/>
                <w:highlight w:val="none"/>
              </w:rPr>
              <w:t>2）招标代理机构对供应商进行资格审查；</w:t>
            </w:r>
          </w:p>
          <w:p w14:paraId="40809209">
            <w:pPr>
              <w:rPr>
                <w:rFonts w:ascii="宋体" w:hAnsi="宋体" w:cs="宋体"/>
                <w:kern w:val="0"/>
                <w:sz w:val="22"/>
                <w:szCs w:val="22"/>
                <w:highlight w:val="none"/>
              </w:rPr>
            </w:pPr>
            <w:r>
              <w:rPr>
                <w:rFonts w:hint="eastAsia" w:ascii="宋体" w:hAnsi="宋体" w:cs="宋体"/>
                <w:kern w:val="0"/>
                <w:sz w:val="22"/>
                <w:szCs w:val="22"/>
                <w:highlight w:val="none"/>
              </w:rPr>
              <w:t>3）磋商小组对通过资格审查的磋商响应文件进行评分；</w:t>
            </w:r>
          </w:p>
          <w:p w14:paraId="0025ACDB">
            <w:pPr>
              <w:rPr>
                <w:rFonts w:ascii="宋体" w:hAnsi="宋体" w:cs="宋体"/>
                <w:kern w:val="0"/>
                <w:sz w:val="22"/>
                <w:szCs w:val="22"/>
                <w:highlight w:val="none"/>
              </w:rPr>
            </w:pPr>
            <w:r>
              <w:rPr>
                <w:rFonts w:hint="eastAsia" w:ascii="宋体" w:hAnsi="宋体" w:cs="宋体"/>
                <w:kern w:val="0"/>
                <w:sz w:val="22"/>
                <w:szCs w:val="22"/>
                <w:highlight w:val="none"/>
              </w:rPr>
              <w:t>4）如有必要，磋商小组与供应商进行线上磋商；</w:t>
            </w:r>
          </w:p>
          <w:p w14:paraId="1F984966">
            <w:pPr>
              <w:rPr>
                <w:rFonts w:ascii="宋体" w:hAnsi="宋体" w:cs="宋体"/>
                <w:kern w:val="0"/>
                <w:sz w:val="22"/>
                <w:szCs w:val="22"/>
                <w:highlight w:val="none"/>
              </w:rPr>
            </w:pPr>
            <w:r>
              <w:rPr>
                <w:rFonts w:hint="eastAsia" w:ascii="宋体" w:hAnsi="宋体" w:cs="宋体"/>
                <w:kern w:val="0"/>
                <w:sz w:val="22"/>
                <w:szCs w:val="22"/>
                <w:highlight w:val="none"/>
              </w:rPr>
              <w:t>5）磋商小组要求供应商在规定的时间内在政采云平台提交二次（最终）报价；</w:t>
            </w:r>
          </w:p>
          <w:p w14:paraId="784FE5CE">
            <w:pPr>
              <w:tabs>
                <w:tab w:val="left" w:pos="4664"/>
              </w:tabs>
              <w:rPr>
                <w:rFonts w:ascii="宋体" w:hAnsi="宋体" w:cs="宋体"/>
                <w:kern w:val="0"/>
                <w:sz w:val="22"/>
                <w:szCs w:val="22"/>
                <w:highlight w:val="none"/>
              </w:rPr>
            </w:pPr>
            <w:r>
              <w:rPr>
                <w:rFonts w:hint="eastAsia" w:ascii="宋体" w:hAnsi="宋体" w:cs="宋体"/>
                <w:kern w:val="0"/>
                <w:sz w:val="22"/>
                <w:szCs w:val="22"/>
                <w:highlight w:val="none"/>
              </w:rPr>
              <w:t>6）在系统上公开资格审查、商务技术标及报价标评分结果；</w:t>
            </w:r>
          </w:p>
          <w:p w14:paraId="648FAA8E">
            <w:pPr>
              <w:rPr>
                <w:rFonts w:ascii="宋体" w:hAnsi="宋体" w:cs="宋体"/>
                <w:kern w:val="0"/>
                <w:sz w:val="22"/>
                <w:szCs w:val="22"/>
                <w:highlight w:val="none"/>
              </w:rPr>
            </w:pPr>
            <w:r>
              <w:rPr>
                <w:rFonts w:hint="eastAsia" w:ascii="宋体" w:hAnsi="宋体" w:cs="宋体"/>
                <w:kern w:val="0"/>
                <w:sz w:val="22"/>
                <w:szCs w:val="22"/>
                <w:highlight w:val="none"/>
              </w:rPr>
              <w:t>7）磋商小组编写磋商评审报告。</w:t>
            </w:r>
          </w:p>
          <w:p w14:paraId="12ED6FB6">
            <w:pPr>
              <w:rPr>
                <w:rFonts w:ascii="宋体" w:hAnsi="宋体" w:cs="宋体"/>
                <w:sz w:val="22"/>
                <w:szCs w:val="22"/>
                <w:highlight w:val="none"/>
              </w:rPr>
            </w:pPr>
            <w:r>
              <w:rPr>
                <w:rFonts w:hint="eastAsia" w:ascii="宋体" w:hAnsi="宋体" w:cs="宋体"/>
                <w:sz w:val="22"/>
                <w:szCs w:val="22"/>
                <w:highlight w:val="none"/>
              </w:rPr>
              <w:t>说明：政采云公司如对电子化开标及评审程序有调整的，按调整后的程序操作。</w:t>
            </w:r>
          </w:p>
        </w:tc>
      </w:tr>
      <w:tr w14:paraId="18AF61D0">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86B6DFC">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20</w:t>
            </w:r>
          </w:p>
        </w:tc>
        <w:tc>
          <w:tcPr>
            <w:tcW w:w="2037" w:type="dxa"/>
            <w:tcBorders>
              <w:top w:val="single" w:color="auto" w:sz="4" w:space="0"/>
              <w:left w:val="single" w:color="auto" w:sz="4" w:space="0"/>
              <w:bottom w:val="single" w:color="auto" w:sz="4" w:space="0"/>
              <w:right w:val="single" w:color="auto" w:sz="4" w:space="0"/>
            </w:tcBorders>
            <w:vAlign w:val="center"/>
          </w:tcPr>
          <w:p w14:paraId="2ED0213B">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磋商小组的组建</w:t>
            </w:r>
          </w:p>
        </w:tc>
        <w:tc>
          <w:tcPr>
            <w:tcW w:w="7419" w:type="dxa"/>
            <w:tcBorders>
              <w:top w:val="single" w:color="auto" w:sz="4" w:space="0"/>
              <w:left w:val="single" w:color="auto" w:sz="4" w:space="0"/>
              <w:bottom w:val="single" w:color="auto" w:sz="4" w:space="0"/>
              <w:right w:val="single" w:color="auto" w:sz="4" w:space="0"/>
            </w:tcBorders>
            <w:vAlign w:val="center"/>
          </w:tcPr>
          <w:p w14:paraId="0859CD6C">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磋商小组成员由采购人代表和有关技术性专家组成，磋商小组成员人数为3人及以上单数，</w:t>
            </w:r>
            <w:r>
              <w:rPr>
                <w:rFonts w:hint="eastAsia" w:ascii="宋体" w:hAnsi="宋体" w:cs="宋体"/>
                <w:bCs/>
                <w:sz w:val="22"/>
                <w:szCs w:val="22"/>
                <w:highlight w:val="none"/>
              </w:rPr>
              <w:t>除采购人代表外的专家将在评标专家库中随机抽取产生。</w:t>
            </w:r>
          </w:p>
        </w:tc>
      </w:tr>
      <w:tr w14:paraId="0DDAF568">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41656709">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21</w:t>
            </w:r>
          </w:p>
        </w:tc>
        <w:tc>
          <w:tcPr>
            <w:tcW w:w="2037" w:type="dxa"/>
            <w:tcBorders>
              <w:top w:val="single" w:color="auto" w:sz="4" w:space="0"/>
              <w:left w:val="single" w:color="auto" w:sz="4" w:space="0"/>
              <w:bottom w:val="single" w:color="auto" w:sz="4" w:space="0"/>
              <w:right w:val="single" w:color="auto" w:sz="4" w:space="0"/>
            </w:tcBorders>
            <w:vAlign w:val="center"/>
          </w:tcPr>
          <w:p w14:paraId="287BD266">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原 件</w:t>
            </w:r>
          </w:p>
        </w:tc>
        <w:tc>
          <w:tcPr>
            <w:tcW w:w="7419" w:type="dxa"/>
            <w:tcBorders>
              <w:top w:val="single" w:color="auto" w:sz="4" w:space="0"/>
              <w:left w:val="single" w:color="auto" w:sz="4" w:space="0"/>
              <w:bottom w:val="single" w:color="auto" w:sz="4" w:space="0"/>
              <w:right w:val="single" w:color="auto" w:sz="4" w:space="0"/>
            </w:tcBorders>
            <w:vAlign w:val="center"/>
          </w:tcPr>
          <w:p w14:paraId="5220CC6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□提交，具体要求见供应商须知</w:t>
            </w:r>
          </w:p>
          <w:p w14:paraId="27DA8092">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sym w:font="Wingdings" w:char="F0FE"/>
            </w:r>
            <w:r>
              <w:rPr>
                <w:rFonts w:hint="eastAsia" w:ascii="宋体" w:hAnsi="宋体" w:cs="宋体"/>
                <w:kern w:val="0"/>
                <w:sz w:val="22"/>
                <w:szCs w:val="22"/>
                <w:highlight w:val="none"/>
              </w:rPr>
              <w:t>不提交</w:t>
            </w:r>
          </w:p>
        </w:tc>
      </w:tr>
      <w:tr w14:paraId="57D8F16C">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78691A75">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22</w:t>
            </w:r>
          </w:p>
        </w:tc>
        <w:tc>
          <w:tcPr>
            <w:tcW w:w="2037" w:type="dxa"/>
            <w:tcBorders>
              <w:top w:val="single" w:color="auto" w:sz="4" w:space="0"/>
              <w:left w:val="single" w:color="auto" w:sz="4" w:space="0"/>
              <w:bottom w:val="single" w:color="auto" w:sz="4" w:space="0"/>
              <w:right w:val="single" w:color="auto" w:sz="4" w:space="0"/>
            </w:tcBorders>
            <w:vAlign w:val="center"/>
          </w:tcPr>
          <w:p w14:paraId="03BBD6D4">
            <w:pPr>
              <w:spacing w:line="300" w:lineRule="exact"/>
              <w:jc w:val="left"/>
              <w:rPr>
                <w:rFonts w:ascii="宋体" w:hAnsi="宋体" w:cs="宋体"/>
                <w:kern w:val="0"/>
                <w:sz w:val="22"/>
                <w:szCs w:val="22"/>
                <w:highlight w:val="none"/>
              </w:rPr>
            </w:pPr>
            <w:r>
              <w:rPr>
                <w:rFonts w:hint="eastAsia" w:ascii="宋体" w:hAnsi="宋体" w:cs="宋体"/>
                <w:kern w:val="0"/>
                <w:sz w:val="22"/>
                <w:szCs w:val="22"/>
                <w:highlight w:val="none"/>
              </w:rPr>
              <w:t>履约保证金</w:t>
            </w:r>
          </w:p>
        </w:tc>
        <w:tc>
          <w:tcPr>
            <w:tcW w:w="7419" w:type="dxa"/>
            <w:tcBorders>
              <w:top w:val="single" w:color="auto" w:sz="4" w:space="0"/>
              <w:left w:val="single" w:color="auto" w:sz="4" w:space="0"/>
              <w:bottom w:val="single" w:color="auto" w:sz="4" w:space="0"/>
              <w:right w:val="single" w:color="auto" w:sz="4" w:space="0"/>
            </w:tcBorders>
            <w:vAlign w:val="center"/>
          </w:tcPr>
          <w:p w14:paraId="07853630">
            <w:pPr>
              <w:rPr>
                <w:rFonts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sym w:font="Wingdings" w:char="00FE"/>
            </w:r>
            <w:r>
              <w:rPr>
                <w:rFonts w:hint="eastAsia" w:ascii="新宋体" w:hAnsi="新宋体" w:eastAsia="新宋体" w:cs="宋体"/>
                <w:kern w:val="0"/>
                <w:sz w:val="22"/>
                <w:szCs w:val="22"/>
                <w:highlight w:val="none"/>
              </w:rPr>
              <w:t>不需要</w:t>
            </w:r>
          </w:p>
          <w:p w14:paraId="75380F44">
            <w:pPr>
              <w:spacing w:line="300" w:lineRule="exact"/>
              <w:rPr>
                <w:rFonts w:ascii="宋体" w:hAnsi="宋体" w:cs="宋体"/>
                <w:kern w:val="0"/>
                <w:sz w:val="22"/>
                <w:szCs w:val="22"/>
                <w:highlight w:val="none"/>
              </w:rPr>
            </w:pPr>
            <w:r>
              <w:rPr>
                <w:rFonts w:hint="eastAsia" w:ascii="新宋体" w:hAnsi="新宋体" w:eastAsia="新宋体" w:cs="宋体"/>
                <w:kern w:val="0"/>
                <w:sz w:val="22"/>
                <w:szCs w:val="22"/>
                <w:highlight w:val="none"/>
              </w:rPr>
              <w:t>□需要</w:t>
            </w:r>
          </w:p>
        </w:tc>
      </w:tr>
      <w:tr w14:paraId="59369BD0">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11E73E39">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23</w:t>
            </w:r>
          </w:p>
        </w:tc>
        <w:tc>
          <w:tcPr>
            <w:tcW w:w="2037" w:type="dxa"/>
            <w:tcBorders>
              <w:top w:val="single" w:color="auto" w:sz="4" w:space="0"/>
              <w:left w:val="single" w:color="auto" w:sz="4" w:space="0"/>
              <w:bottom w:val="single" w:color="auto" w:sz="4" w:space="0"/>
              <w:right w:val="single" w:color="auto" w:sz="4" w:space="0"/>
            </w:tcBorders>
            <w:vAlign w:val="center"/>
          </w:tcPr>
          <w:p w14:paraId="2335121C">
            <w:pPr>
              <w:adjustRightInd w:val="0"/>
              <w:jc w:val="left"/>
              <w:rPr>
                <w:rFonts w:ascii="宋体" w:hAnsi="宋体" w:cs="宋体"/>
                <w:b/>
                <w:bCs/>
                <w:kern w:val="0"/>
                <w:sz w:val="22"/>
                <w:szCs w:val="22"/>
                <w:highlight w:val="none"/>
              </w:rPr>
            </w:pPr>
            <w:r>
              <w:rPr>
                <w:rFonts w:hint="eastAsia" w:ascii="宋体" w:hAnsi="宋体" w:cs="宋体"/>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vAlign w:val="center"/>
          </w:tcPr>
          <w:p w14:paraId="2B98DA15">
            <w:pPr>
              <w:spacing w:line="300" w:lineRule="exact"/>
              <w:rPr>
                <w:rFonts w:ascii="宋体" w:hAnsi="宋体"/>
                <w:kern w:val="0"/>
                <w:sz w:val="22"/>
                <w:szCs w:val="22"/>
                <w:highlight w:val="none"/>
              </w:rPr>
            </w:pPr>
            <w:r>
              <w:rPr>
                <w:rFonts w:hint="eastAsia" w:ascii="宋体" w:hAnsi="宋体"/>
                <w:kern w:val="0"/>
                <w:sz w:val="22"/>
                <w:szCs w:val="22"/>
                <w:highlight w:val="none"/>
              </w:rPr>
              <w:t>1.本项目属于预留份额专门面向中小企业/小微企业采购项目，监狱企业、残疾人福利性单位视为中小企业。</w:t>
            </w:r>
          </w:p>
          <w:p w14:paraId="4886F3EE">
            <w:pPr>
              <w:spacing w:line="300" w:lineRule="exact"/>
              <w:rPr>
                <w:rFonts w:ascii="宋体" w:hAnsi="宋体"/>
                <w:kern w:val="0"/>
                <w:sz w:val="22"/>
                <w:szCs w:val="22"/>
                <w:highlight w:val="none"/>
              </w:rPr>
            </w:pPr>
            <w:r>
              <w:rPr>
                <w:rFonts w:hint="eastAsia" w:ascii="宋体" w:hAnsi="宋体"/>
                <w:kern w:val="0"/>
                <w:sz w:val="22"/>
                <w:szCs w:val="22"/>
                <w:highlight w:val="none"/>
              </w:rPr>
              <w:t>2.中小企业/小微企业为满足转发财政部 工业和信息化部关于印发《政府采购促进中小企业发展管理办法》（财库﹝2020﹞46 号）的规定的中小企业。</w:t>
            </w:r>
          </w:p>
          <w:p w14:paraId="0F14EA37">
            <w:pPr>
              <w:spacing w:line="300" w:lineRule="exact"/>
              <w:rPr>
                <w:rFonts w:ascii="宋体" w:hAnsi="宋体"/>
                <w:kern w:val="0"/>
                <w:sz w:val="22"/>
                <w:szCs w:val="22"/>
                <w:highlight w:val="none"/>
              </w:rPr>
            </w:pPr>
            <w:r>
              <w:rPr>
                <w:rFonts w:hint="eastAsia" w:ascii="宋体" w:hAnsi="宋体"/>
                <w:kern w:val="0"/>
                <w:sz w:val="22"/>
                <w:szCs w:val="22"/>
                <w:highlight w:val="none"/>
              </w:rPr>
              <w:t>3.专门面向中小企业/小微企业采购的项目，不再执行价格评审优惠的扶持政策。</w:t>
            </w:r>
          </w:p>
          <w:p w14:paraId="4FA5E334">
            <w:pPr>
              <w:pStyle w:val="5"/>
              <w:spacing w:line="300" w:lineRule="exact"/>
              <w:ind w:firstLine="0"/>
              <w:rPr>
                <w:rFonts w:ascii="宋体" w:hAnsi="宋体"/>
                <w:sz w:val="22"/>
                <w:szCs w:val="22"/>
                <w:highlight w:val="none"/>
              </w:rPr>
            </w:pPr>
            <w:r>
              <w:rPr>
                <w:rFonts w:hint="eastAsia" w:ascii="宋体" w:hAnsi="宋体"/>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02146333">
            <w:pPr>
              <w:rPr>
                <w:rFonts w:ascii="宋体" w:hAnsi="宋体" w:cs="宋体"/>
                <w:kern w:val="0"/>
                <w:sz w:val="22"/>
                <w:szCs w:val="22"/>
                <w:highlight w:val="none"/>
              </w:rPr>
            </w:pPr>
            <w:r>
              <w:rPr>
                <w:rFonts w:hint="eastAsia" w:ascii="宋体" w:hAnsi="宋体"/>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254511F">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EADAA27">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14:paraId="5869A3DC">
            <w:pPr>
              <w:jc w:val="left"/>
              <w:rPr>
                <w:rFonts w:ascii="宋体" w:hAnsi="宋体" w:cs="宋体"/>
                <w:kern w:val="0"/>
                <w:sz w:val="22"/>
                <w:szCs w:val="22"/>
                <w:highlight w:val="none"/>
              </w:rPr>
            </w:pPr>
            <w:r>
              <w:rPr>
                <w:rFonts w:hint="eastAsia" w:ascii="宋体" w:hAnsi="宋体" w:cs="宋体"/>
                <w:sz w:val="22"/>
                <w:szCs w:val="22"/>
                <w:highlight w:val="none"/>
              </w:rPr>
              <w:t>供应商信用查询</w:t>
            </w:r>
          </w:p>
        </w:tc>
        <w:tc>
          <w:tcPr>
            <w:tcW w:w="7419" w:type="dxa"/>
            <w:tcBorders>
              <w:top w:val="single" w:color="auto" w:sz="4" w:space="0"/>
              <w:left w:val="single" w:color="auto" w:sz="4" w:space="0"/>
              <w:bottom w:val="single" w:color="auto" w:sz="4" w:space="0"/>
              <w:right w:val="single" w:color="auto" w:sz="4" w:space="0"/>
            </w:tcBorders>
            <w:vAlign w:val="center"/>
          </w:tcPr>
          <w:p w14:paraId="719DC20B">
            <w:pPr>
              <w:jc w:val="left"/>
              <w:rPr>
                <w:rFonts w:ascii="宋体" w:hAnsi="宋体" w:cs="宋体"/>
                <w:sz w:val="22"/>
                <w:szCs w:val="22"/>
                <w:highlight w:val="none"/>
              </w:rPr>
            </w:pPr>
            <w:r>
              <w:rPr>
                <w:rFonts w:hint="eastAsia" w:ascii="宋体" w:hAnsi="宋体" w:cs="宋体"/>
                <w:sz w:val="22"/>
                <w:szCs w:val="22"/>
                <w:highlight w:val="none"/>
              </w:rPr>
              <w:t>（1）供应商信用信息查询的查询渠道：“信用中国”（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5A523742">
            <w:pPr>
              <w:jc w:val="left"/>
              <w:rPr>
                <w:rFonts w:ascii="宋体" w:hAnsi="宋体" w:cs="宋体"/>
                <w:sz w:val="22"/>
                <w:szCs w:val="22"/>
                <w:highlight w:val="none"/>
              </w:rPr>
            </w:pPr>
            <w:r>
              <w:rPr>
                <w:rFonts w:hint="eastAsia" w:ascii="宋体" w:hAnsi="宋体" w:cs="宋体"/>
                <w:sz w:val="22"/>
                <w:szCs w:val="22"/>
                <w:highlight w:val="none"/>
              </w:rPr>
              <w:t>（2）供应商信用信息查询截止时点：公告发布之日起至本项目投标截止时间内任意时间。</w:t>
            </w:r>
          </w:p>
          <w:p w14:paraId="2A724083">
            <w:pPr>
              <w:jc w:val="left"/>
              <w:rPr>
                <w:rFonts w:ascii="宋体" w:hAnsi="宋体" w:cs="宋体"/>
                <w:sz w:val="22"/>
                <w:szCs w:val="22"/>
                <w:highlight w:val="none"/>
              </w:rPr>
            </w:pPr>
            <w:r>
              <w:rPr>
                <w:rFonts w:hint="eastAsia" w:ascii="宋体" w:hAnsi="宋体" w:cs="宋体"/>
                <w:sz w:val="22"/>
                <w:szCs w:val="22"/>
                <w:highlight w:val="none"/>
              </w:rPr>
              <w:t>（3）供应商信用信息查询记录和证据留存的具体方式：网页截图打印；</w:t>
            </w:r>
          </w:p>
          <w:p w14:paraId="2298A9C6">
            <w:pPr>
              <w:jc w:val="left"/>
              <w:rPr>
                <w:rFonts w:ascii="宋体" w:hAnsi="宋体" w:cs="宋体"/>
                <w:sz w:val="22"/>
                <w:szCs w:val="22"/>
                <w:highlight w:val="none"/>
              </w:rPr>
            </w:pPr>
            <w:r>
              <w:rPr>
                <w:rFonts w:hint="eastAsia" w:ascii="宋体" w:hAnsi="宋体" w:cs="宋体"/>
                <w:sz w:val="22"/>
                <w:szCs w:val="22"/>
                <w:highlight w:val="none"/>
              </w:rPr>
              <w:t>（4）信用信息的使用规则：</w:t>
            </w:r>
          </w:p>
          <w:p w14:paraId="3367AC8E">
            <w:pPr>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3A49F9D1">
            <w:pPr>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78F85A12">
            <w:pPr>
              <w:jc w:val="left"/>
              <w:rPr>
                <w:rFonts w:ascii="宋体" w:hAnsi="宋体" w:cs="宋体"/>
                <w:sz w:val="22"/>
                <w:szCs w:val="22"/>
                <w:highlight w:val="none"/>
              </w:rPr>
            </w:pPr>
            <w:r>
              <w:rPr>
                <w:rFonts w:hint="eastAsia" w:ascii="宋体" w:hAnsi="宋体" w:cs="宋体"/>
                <w:sz w:val="22"/>
                <w:szCs w:val="22"/>
                <w:highlight w:val="none"/>
              </w:rPr>
              <w:t>（5）具有以上（4）所述信息记录的供应商，其投标作无效投标处理。</w:t>
            </w:r>
          </w:p>
          <w:p w14:paraId="3BA86311">
            <w:pPr>
              <w:rPr>
                <w:rFonts w:ascii="宋体" w:hAnsi="宋体" w:cs="宋体"/>
                <w:highlight w:val="none"/>
              </w:rPr>
            </w:pPr>
            <w:r>
              <w:rPr>
                <w:rFonts w:hint="eastAsia" w:ascii="宋体" w:hAnsi="宋体" w:cs="宋体"/>
                <w:szCs w:val="21"/>
                <w:highlight w:val="none"/>
                <w:u w:val="single"/>
              </w:rPr>
              <w:t>（6）▲</w:t>
            </w:r>
            <w:r>
              <w:rPr>
                <w:rFonts w:hint="eastAsia" w:ascii="宋体" w:hAnsi="宋体" w:cs="宋体"/>
                <w:sz w:val="22"/>
                <w:szCs w:val="22"/>
                <w:highlight w:val="none"/>
                <w:u w:val="single"/>
              </w:rPr>
              <w:t>关于“信用中国”（www.creditchina.gov.cn) 信用记录网页截图相关说明</w:t>
            </w:r>
            <w:r>
              <w:rPr>
                <w:rFonts w:hint="eastAsia" w:ascii="宋体" w:hAnsi="宋体" w:cs="宋体"/>
                <w:sz w:val="22"/>
                <w:szCs w:val="22"/>
                <w:highlight w:val="none"/>
              </w:rPr>
              <w:t>：</w:t>
            </w:r>
          </w:p>
          <w:p w14:paraId="77BD6052">
            <w:pPr>
              <w:rPr>
                <w:rFonts w:ascii="宋体" w:hAnsi="宋体" w:cs="宋体"/>
                <w:bCs/>
                <w:sz w:val="22"/>
                <w:szCs w:val="22"/>
                <w:highlight w:val="none"/>
              </w:rPr>
            </w:pPr>
            <w:r>
              <w:rPr>
                <w:rFonts w:hint="eastAsia" w:ascii="宋体" w:hAnsi="宋体" w:cs="宋体"/>
                <w:bCs/>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3D8AFD48">
            <w:pPr>
              <w:rPr>
                <w:rFonts w:ascii="宋体" w:hAnsi="宋体" w:cs="宋体"/>
                <w:bCs/>
                <w:sz w:val="22"/>
                <w:szCs w:val="22"/>
                <w:highlight w:val="none"/>
              </w:rPr>
            </w:pPr>
            <w:r>
              <w:rPr>
                <w:rFonts w:hint="eastAsia" w:ascii="宋体" w:hAnsi="宋体" w:cs="宋体"/>
                <w:bCs/>
                <w:sz w:val="22"/>
                <w:szCs w:val="22"/>
                <w:highlight w:val="none"/>
              </w:rPr>
              <w:t>②若供应商在“信用中国”无数据，亦须将搜索结果页面打印，并附说明。</w:t>
            </w:r>
          </w:p>
          <w:p w14:paraId="14E21BD4">
            <w:pPr>
              <w:rPr>
                <w:rFonts w:ascii="宋体" w:hAnsi="宋体" w:cs="宋体"/>
                <w:highlight w:val="none"/>
              </w:rPr>
            </w:pPr>
            <w:r>
              <w:rPr>
                <w:rFonts w:hint="eastAsia" w:ascii="宋体" w:hAnsi="宋体" w:cs="宋体"/>
                <w:bCs/>
                <w:sz w:val="22"/>
                <w:szCs w:val="22"/>
                <w:highlight w:val="none"/>
              </w:rPr>
              <w:t>（7）具体结果以开标当日采购人或采购代理机构对</w:t>
            </w:r>
            <w:r>
              <w:rPr>
                <w:rFonts w:hint="eastAsia" w:ascii="宋体" w:hAnsi="宋体" w:cs="宋体"/>
                <w:kern w:val="0"/>
                <w:sz w:val="22"/>
                <w:szCs w:val="22"/>
                <w:highlight w:val="none"/>
              </w:rPr>
              <w:t>投标人信用查询网页的</w:t>
            </w:r>
            <w:r>
              <w:rPr>
                <w:rFonts w:hint="eastAsia" w:ascii="宋体" w:hAnsi="宋体" w:cs="宋体"/>
                <w:bCs/>
                <w:sz w:val="22"/>
                <w:szCs w:val="22"/>
                <w:highlight w:val="none"/>
              </w:rPr>
              <w:t>查询结果为准。</w:t>
            </w:r>
          </w:p>
        </w:tc>
      </w:tr>
      <w:tr w14:paraId="605350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B9454B9">
            <w:pPr>
              <w:spacing w:line="300" w:lineRule="exact"/>
              <w:jc w:val="center"/>
              <w:rPr>
                <w:rFonts w:ascii="宋体" w:hAnsi="宋体" w:cs="宋体"/>
                <w:kern w:val="0"/>
                <w:sz w:val="22"/>
                <w:szCs w:val="22"/>
                <w:highlight w:val="none"/>
              </w:rPr>
            </w:pPr>
            <w:r>
              <w:rPr>
                <w:rFonts w:hint="eastAsia" w:ascii="宋体" w:hAnsi="宋体" w:cs="宋体"/>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14:paraId="1459A620">
            <w:pPr>
              <w:jc w:val="left"/>
              <w:rPr>
                <w:rFonts w:ascii="宋体" w:hAnsi="宋体" w:cs="宋体"/>
                <w:kern w:val="0"/>
                <w:sz w:val="22"/>
                <w:szCs w:val="22"/>
                <w:highlight w:val="none"/>
              </w:rPr>
            </w:pPr>
            <w:r>
              <w:rPr>
                <w:rFonts w:hint="eastAsia" w:ascii="宋体" w:hAnsi="宋体" w:cs="宋体"/>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14:paraId="6E98AFB9">
            <w:pPr>
              <w:jc w:val="left"/>
              <w:rPr>
                <w:rFonts w:ascii="宋体" w:hAnsi="宋体" w:cs="宋体"/>
                <w:sz w:val="22"/>
                <w:szCs w:val="22"/>
                <w:highlight w:val="none"/>
              </w:rPr>
            </w:pPr>
            <w:r>
              <w:rPr>
                <w:rFonts w:hint="eastAsia" w:ascii="宋体" w:hAnsi="宋体" w:cs="宋体"/>
                <w:sz w:val="22"/>
                <w:szCs w:val="22"/>
                <w:highlight w:val="none"/>
              </w:rPr>
              <w:t>（1）成交供应商须在成交通知书发出之日起30日历天内与采购人签订合同。</w:t>
            </w:r>
          </w:p>
          <w:p w14:paraId="00387E1B">
            <w:pPr>
              <w:jc w:val="left"/>
              <w:rPr>
                <w:rFonts w:ascii="宋体" w:hAnsi="宋体" w:cs="宋体"/>
                <w:kern w:val="0"/>
                <w:sz w:val="22"/>
                <w:szCs w:val="22"/>
                <w:highlight w:val="none"/>
              </w:rPr>
            </w:pPr>
            <w:r>
              <w:rPr>
                <w:rFonts w:hint="eastAsia" w:ascii="宋体" w:hAnsi="宋体" w:cs="宋体"/>
                <w:sz w:val="22"/>
                <w:szCs w:val="22"/>
                <w:highlight w:val="none"/>
              </w:rPr>
              <w:t>（2）成交供应商与采购人签订合同后，2日历天内将合同扫描件电子版发给采购代理机构：邮箱：</w:t>
            </w:r>
            <w:r>
              <w:rPr>
                <w:rFonts w:hint="eastAsia" w:ascii="宋体" w:hAnsi="宋体" w:cs="宋体"/>
                <w:b/>
                <w:sz w:val="22"/>
                <w:szCs w:val="22"/>
                <w:highlight w:val="none"/>
                <w:u w:val="single"/>
              </w:rPr>
              <w:t>ye462978466@qq.com</w:t>
            </w:r>
            <w:r>
              <w:rPr>
                <w:rFonts w:hint="eastAsia" w:ascii="宋体" w:hAnsi="宋体" w:cs="宋体"/>
                <w:sz w:val="22"/>
                <w:szCs w:val="22"/>
                <w:highlight w:val="none"/>
              </w:rPr>
              <w:t>。</w:t>
            </w:r>
          </w:p>
        </w:tc>
      </w:tr>
      <w:tr w14:paraId="3DCD3EA0">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3F0BE26">
            <w:pPr>
              <w:jc w:val="center"/>
              <w:rPr>
                <w:rFonts w:ascii="宋体" w:hAnsi="宋体" w:cs="宋体"/>
                <w:kern w:val="0"/>
                <w:sz w:val="22"/>
                <w:szCs w:val="22"/>
                <w:highlight w:val="none"/>
              </w:rPr>
            </w:pPr>
            <w:r>
              <w:rPr>
                <w:rFonts w:hint="eastAsia" w:ascii="宋体" w:hAnsi="宋体" w:cs="宋体"/>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14:paraId="242A5C12">
            <w:pPr>
              <w:jc w:val="left"/>
              <w:rPr>
                <w:rFonts w:ascii="宋体" w:hAnsi="宋体" w:cs="宋体"/>
                <w:kern w:val="0"/>
                <w:sz w:val="22"/>
                <w:szCs w:val="22"/>
                <w:highlight w:val="none"/>
              </w:rPr>
            </w:pPr>
            <w:r>
              <w:rPr>
                <w:rFonts w:hint="eastAsia" w:ascii="宋体" w:hAnsi="宋体" w:cs="宋体"/>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14:paraId="1ABEC0FF">
            <w:pPr>
              <w:jc w:val="left"/>
              <w:rPr>
                <w:rFonts w:ascii="宋体" w:hAnsi="宋体" w:cs="宋体"/>
                <w:kern w:val="0"/>
                <w:sz w:val="22"/>
                <w:szCs w:val="22"/>
                <w:highlight w:val="none"/>
              </w:rPr>
            </w:pPr>
            <w:r>
              <w:rPr>
                <w:rFonts w:hint="eastAsia" w:ascii="宋体" w:hAnsi="宋体" w:cs="宋体"/>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14:paraId="2B7D12A8">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41178F95">
            <w:pPr>
              <w:jc w:val="center"/>
              <w:rPr>
                <w:rFonts w:ascii="宋体" w:hAnsi="宋体" w:cs="宋体"/>
                <w:kern w:val="0"/>
                <w:sz w:val="22"/>
                <w:szCs w:val="22"/>
                <w:highlight w:val="none"/>
              </w:rPr>
            </w:pPr>
            <w:r>
              <w:rPr>
                <w:rFonts w:hint="eastAsia" w:ascii="宋体" w:hAnsi="宋体" w:cs="宋体"/>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14:paraId="0A8EEEF4">
            <w:pPr>
              <w:jc w:val="left"/>
              <w:rPr>
                <w:rFonts w:ascii="宋体" w:hAnsi="宋体" w:cs="宋体"/>
                <w:kern w:val="0"/>
                <w:sz w:val="22"/>
                <w:szCs w:val="22"/>
                <w:highlight w:val="none"/>
              </w:rPr>
            </w:pPr>
            <w:r>
              <w:rPr>
                <w:rFonts w:hint="eastAsia" w:ascii="宋体" w:hAnsi="宋体" w:cs="宋体"/>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14:paraId="03C9C32F">
            <w:pPr>
              <w:rPr>
                <w:rFonts w:ascii="宋体" w:hAnsi="宋体" w:cs="宋体"/>
                <w:kern w:val="0"/>
                <w:sz w:val="22"/>
                <w:szCs w:val="22"/>
                <w:highlight w:val="none"/>
              </w:rPr>
            </w:pPr>
            <w:r>
              <w:rPr>
                <w:rFonts w:hint="eastAsia" w:ascii="宋体" w:hAnsi="宋体" w:cs="宋体"/>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C9C2D8F">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14:paraId="19BA4854">
            <w:pPr>
              <w:jc w:val="center"/>
              <w:rPr>
                <w:rFonts w:ascii="宋体" w:hAnsi="宋体" w:cs="宋体"/>
                <w:kern w:val="0"/>
                <w:sz w:val="22"/>
                <w:szCs w:val="22"/>
                <w:highlight w:val="none"/>
              </w:rPr>
            </w:pPr>
            <w:r>
              <w:rPr>
                <w:rFonts w:hint="eastAsia" w:ascii="宋体" w:hAnsi="宋体" w:cs="宋体"/>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14:paraId="1827FAE4">
            <w:pPr>
              <w:jc w:val="left"/>
              <w:rPr>
                <w:rFonts w:ascii="宋体" w:hAnsi="宋体" w:cs="宋体"/>
                <w:kern w:val="0"/>
                <w:sz w:val="22"/>
                <w:szCs w:val="22"/>
                <w:highlight w:val="none"/>
              </w:rPr>
            </w:pPr>
            <w:r>
              <w:rPr>
                <w:rFonts w:hint="eastAsia" w:ascii="宋体" w:hAnsi="宋体" w:cs="宋体"/>
                <w:kern w:val="0"/>
                <w:sz w:val="22"/>
                <w:szCs w:val="22"/>
                <w:highlight w:val="none"/>
                <w:lang w:val="zh-CN"/>
              </w:rPr>
              <w:t>电子加密磋商响应文件的解密和异常情况处理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14:paraId="3C048A22">
            <w:pPr>
              <w:autoSpaceDE w:val="0"/>
              <w:autoSpaceDN w:val="0"/>
              <w:adjustRightInd w:val="0"/>
              <w:rPr>
                <w:rFonts w:ascii="宋体" w:hAnsi="宋体" w:cs="宋体"/>
                <w:kern w:val="0"/>
                <w:sz w:val="22"/>
                <w:szCs w:val="22"/>
                <w:highlight w:val="none"/>
                <w:lang w:val="zh-CN"/>
              </w:rPr>
            </w:pPr>
            <w:r>
              <w:rPr>
                <w:rFonts w:hint="eastAsia" w:ascii="宋体" w:hAnsi="宋体" w:cs="宋体"/>
                <w:kern w:val="0"/>
                <w:sz w:val="22"/>
                <w:szCs w:val="22"/>
                <w:highlight w:val="none"/>
                <w:lang w:val="zh-CN"/>
              </w:rPr>
              <w:t>（1）开标后，采购组织机构将向各供应商发出“电子加密磋商响应文件”的解密通知，各供应商代表应当在接到解密通知后</w:t>
            </w:r>
            <w:r>
              <w:rPr>
                <w:rFonts w:hint="eastAsia" w:ascii="宋体" w:hAnsi="宋体" w:cs="宋体"/>
                <w:kern w:val="0"/>
                <w:sz w:val="22"/>
                <w:szCs w:val="22"/>
                <w:highlight w:val="none"/>
              </w:rPr>
              <w:t>30</w:t>
            </w:r>
            <w:r>
              <w:rPr>
                <w:rFonts w:hint="eastAsia" w:ascii="宋体" w:hAnsi="宋体" w:cs="宋体"/>
                <w:kern w:val="0"/>
                <w:sz w:val="22"/>
                <w:szCs w:val="22"/>
                <w:highlight w:val="none"/>
                <w:lang w:val="zh-CN"/>
              </w:rPr>
              <w:t>分钟内自行完成“电子加密磋商响应文件”的在线解密。</w:t>
            </w:r>
          </w:p>
          <w:p w14:paraId="32072CAD">
            <w:pPr>
              <w:autoSpaceDE w:val="0"/>
              <w:autoSpaceDN w:val="0"/>
              <w:adjustRightInd w:val="0"/>
              <w:rPr>
                <w:rFonts w:ascii="宋体" w:hAnsi="宋体" w:cs="宋体"/>
                <w:kern w:val="0"/>
                <w:sz w:val="22"/>
                <w:szCs w:val="22"/>
                <w:highlight w:val="none"/>
                <w:lang w:val="zh-CN"/>
              </w:rPr>
            </w:pPr>
            <w:r>
              <w:rPr>
                <w:rFonts w:hint="eastAsia" w:ascii="宋体" w:hAnsi="宋体" w:cs="宋体"/>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65B57D0B">
            <w:pPr>
              <w:rPr>
                <w:rFonts w:ascii="宋体" w:hAnsi="宋体" w:cs="宋体"/>
                <w:kern w:val="0"/>
                <w:sz w:val="22"/>
                <w:szCs w:val="22"/>
                <w:highlight w:val="none"/>
              </w:rPr>
            </w:pPr>
            <w:r>
              <w:rPr>
                <w:rFonts w:hint="eastAsia" w:ascii="宋体" w:hAnsi="宋体" w:cs="宋体"/>
                <w:kern w:val="0"/>
                <w:sz w:val="22"/>
                <w:szCs w:val="22"/>
                <w:highlight w:val="none"/>
                <w:lang w:val="zh-CN"/>
              </w:rPr>
              <w:t>（3）磋商响应文件递交截止时间前，供应商仅递交了“备份磋商响应文件”而未将电子加密磋商响应文件上传至“政采云平台”的，投标无效</w:t>
            </w:r>
            <w:r>
              <w:rPr>
                <w:rFonts w:hint="eastAsia" w:ascii="宋体" w:hAnsi="宋体" w:cs="宋体"/>
                <w:kern w:val="0"/>
                <w:sz w:val="22"/>
                <w:szCs w:val="22"/>
                <w:highlight w:val="none"/>
              </w:rPr>
              <w:t>。</w:t>
            </w:r>
          </w:p>
        </w:tc>
      </w:tr>
      <w:tr w14:paraId="0C66BC34">
        <w:tblPrEx>
          <w:tblCellMar>
            <w:top w:w="0" w:type="dxa"/>
            <w:left w:w="108" w:type="dxa"/>
            <w:bottom w:w="0" w:type="dxa"/>
            <w:right w:w="108" w:type="dxa"/>
          </w:tblCellMar>
        </w:tblPrEx>
        <w:trPr>
          <w:trHeight w:val="380" w:hRule="atLeast"/>
        </w:trPr>
        <w:tc>
          <w:tcPr>
            <w:tcW w:w="667" w:type="dxa"/>
            <w:tcBorders>
              <w:top w:val="single" w:color="auto" w:sz="4" w:space="0"/>
              <w:left w:val="single" w:color="auto" w:sz="4" w:space="0"/>
              <w:bottom w:val="single" w:color="auto" w:sz="4" w:space="0"/>
              <w:right w:val="single" w:color="auto" w:sz="4" w:space="0"/>
            </w:tcBorders>
            <w:vAlign w:val="center"/>
          </w:tcPr>
          <w:p w14:paraId="4FD96BBF">
            <w:pPr>
              <w:jc w:val="center"/>
              <w:rPr>
                <w:rFonts w:ascii="宋体" w:hAnsi="宋体" w:cs="宋体"/>
                <w:sz w:val="22"/>
                <w:szCs w:val="22"/>
                <w:highlight w:val="none"/>
              </w:rPr>
            </w:pPr>
            <w:r>
              <w:rPr>
                <w:rFonts w:hint="eastAsia" w:ascii="宋体" w:hAnsi="宋体" w:cs="宋体"/>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14:paraId="1AB7689E">
            <w:pPr>
              <w:jc w:val="center"/>
              <w:rPr>
                <w:rFonts w:ascii="宋体" w:hAnsi="宋体" w:cs="宋体"/>
                <w:sz w:val="22"/>
                <w:szCs w:val="22"/>
                <w:highlight w:val="none"/>
              </w:rPr>
            </w:pPr>
            <w:r>
              <w:rPr>
                <w:rFonts w:hint="eastAsia" w:ascii="宋体" w:hAnsi="宋体" w:cs="宋体"/>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14:paraId="6A571701">
            <w:pPr>
              <w:rPr>
                <w:rFonts w:ascii="新宋体" w:hAnsi="新宋体" w:eastAsia="新宋体" w:cs="宋体"/>
                <w:sz w:val="22"/>
                <w:szCs w:val="22"/>
                <w:highlight w:val="none"/>
              </w:rPr>
            </w:pPr>
            <w:r>
              <w:rPr>
                <w:rFonts w:hint="eastAsia" w:ascii="新宋体" w:hAnsi="新宋体" w:eastAsia="新宋体" w:cs="宋体"/>
                <w:sz w:val="22"/>
                <w:szCs w:val="22"/>
                <w:highlight w:val="none"/>
              </w:rPr>
              <w:t>（1）采购代理服务费按固定金额人民币壹万元整收取，</w:t>
            </w:r>
            <w:r>
              <w:rPr>
                <w:rFonts w:hint="eastAsia" w:ascii="新宋体" w:hAnsi="新宋体" w:eastAsia="新宋体" w:cs="新宋体"/>
                <w:sz w:val="22"/>
                <w:szCs w:val="22"/>
                <w:highlight w:val="none"/>
              </w:rPr>
              <w:t>验收服务费按固定金额6000元整计取（如有），</w:t>
            </w:r>
            <w:r>
              <w:rPr>
                <w:rFonts w:hint="eastAsia" w:ascii="新宋体" w:hAnsi="新宋体" w:eastAsia="新宋体" w:cs="宋体"/>
                <w:sz w:val="22"/>
                <w:szCs w:val="22"/>
                <w:highlight w:val="none"/>
              </w:rPr>
              <w:t>由中标供应商在领取中标通知书时向招标代理机构进行支付，该服务费须综合考虑在投标报价中</w:t>
            </w:r>
            <w:r>
              <w:rPr>
                <w:rFonts w:hint="eastAsia" w:ascii="新宋体" w:hAnsi="新宋体" w:eastAsia="新宋体" w:cs="宋体"/>
                <w:b/>
                <w:bCs/>
                <w:sz w:val="22"/>
                <w:szCs w:val="22"/>
                <w:highlight w:val="none"/>
              </w:rPr>
              <w:t>。</w:t>
            </w:r>
          </w:p>
          <w:p w14:paraId="62502EDE">
            <w:pPr>
              <w:rPr>
                <w:rFonts w:ascii="宋体" w:hAnsi="宋体" w:cs="新宋体"/>
                <w:sz w:val="22"/>
                <w:szCs w:val="22"/>
                <w:highlight w:val="none"/>
              </w:rPr>
            </w:pPr>
            <w:r>
              <w:rPr>
                <w:rFonts w:hint="eastAsia" w:ascii="新宋体" w:hAnsi="新宋体" w:eastAsia="新宋体" w:cs="宋体"/>
                <w:sz w:val="22"/>
                <w:szCs w:val="22"/>
                <w:highlight w:val="none"/>
              </w:rPr>
              <w:t>（2）采购代理服务费可以是现金、支票或汇票。</w:t>
            </w:r>
          </w:p>
          <w:p w14:paraId="32AFE237">
            <w:pPr>
              <w:rPr>
                <w:rFonts w:ascii="宋体" w:hAnsi="宋体"/>
                <w:sz w:val="22"/>
                <w:szCs w:val="22"/>
                <w:highlight w:val="none"/>
              </w:rPr>
            </w:pPr>
            <w:r>
              <w:rPr>
                <w:rFonts w:hint="eastAsia" w:ascii="宋体" w:hAnsi="宋体"/>
                <w:sz w:val="22"/>
                <w:szCs w:val="22"/>
                <w:highlight w:val="none"/>
              </w:rPr>
              <w:t>（3）收款账户户名：温州市智信招标代理有限公司</w:t>
            </w:r>
          </w:p>
          <w:p w14:paraId="46D8BA71">
            <w:pPr>
              <w:ind w:firstLine="550" w:firstLineChars="250"/>
              <w:rPr>
                <w:rFonts w:ascii="宋体" w:hAnsi="宋体"/>
                <w:sz w:val="22"/>
                <w:szCs w:val="22"/>
                <w:highlight w:val="none"/>
              </w:rPr>
            </w:pPr>
            <w:r>
              <w:rPr>
                <w:rFonts w:hint="eastAsia" w:ascii="宋体" w:hAnsi="宋体"/>
                <w:sz w:val="22"/>
                <w:szCs w:val="22"/>
                <w:highlight w:val="none"/>
              </w:rPr>
              <w:t>收款账号：333504140018800009390</w:t>
            </w:r>
          </w:p>
          <w:p w14:paraId="437493A6">
            <w:pPr>
              <w:rPr>
                <w:rFonts w:ascii="宋体" w:hAnsi="宋体" w:cs="宋体"/>
                <w:b/>
                <w:bCs/>
                <w:kern w:val="0"/>
                <w:sz w:val="22"/>
                <w:szCs w:val="22"/>
                <w:highlight w:val="none"/>
              </w:rPr>
            </w:pPr>
            <w:r>
              <w:rPr>
                <w:rFonts w:hint="eastAsia" w:ascii="宋体" w:hAnsi="宋体"/>
                <w:sz w:val="22"/>
                <w:szCs w:val="22"/>
                <w:highlight w:val="none"/>
              </w:rPr>
              <w:t>开户行：交通银行温州分行瓯海支行</w:t>
            </w:r>
          </w:p>
        </w:tc>
      </w:tr>
      <w:tr w14:paraId="1A729011">
        <w:tblPrEx>
          <w:tblCellMar>
            <w:top w:w="0" w:type="dxa"/>
            <w:left w:w="108" w:type="dxa"/>
            <w:bottom w:w="0" w:type="dxa"/>
            <w:right w:w="108" w:type="dxa"/>
          </w:tblCellMar>
        </w:tblPrEx>
        <w:trPr>
          <w:trHeight w:val="949" w:hRule="atLeast"/>
        </w:trPr>
        <w:tc>
          <w:tcPr>
            <w:tcW w:w="667" w:type="dxa"/>
            <w:tcBorders>
              <w:top w:val="single" w:color="auto" w:sz="4" w:space="0"/>
              <w:left w:val="single" w:color="auto" w:sz="4" w:space="0"/>
              <w:bottom w:val="single" w:color="auto" w:sz="4" w:space="0"/>
              <w:right w:val="single" w:color="auto" w:sz="4" w:space="0"/>
            </w:tcBorders>
            <w:vAlign w:val="center"/>
          </w:tcPr>
          <w:p w14:paraId="226D64F6">
            <w:pPr>
              <w:jc w:val="center"/>
              <w:rPr>
                <w:rFonts w:ascii="宋体" w:hAnsi="宋体" w:cs="宋体"/>
                <w:sz w:val="22"/>
                <w:szCs w:val="22"/>
                <w:highlight w:val="none"/>
              </w:rPr>
            </w:pPr>
            <w:r>
              <w:rPr>
                <w:rFonts w:hint="eastAsia" w:ascii="宋体" w:hAnsi="宋体" w:cs="宋体"/>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14:paraId="6C8C520E">
            <w:pPr>
              <w:jc w:val="center"/>
              <w:rPr>
                <w:rFonts w:ascii="宋体" w:hAnsi="宋体" w:cs="宋体"/>
                <w:sz w:val="22"/>
                <w:szCs w:val="22"/>
                <w:highlight w:val="none"/>
              </w:rPr>
            </w:pPr>
            <w:r>
              <w:rPr>
                <w:rFonts w:hint="eastAsia" w:ascii="宋体" w:hAnsi="宋体" w:cs="宋体"/>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vAlign w:val="center"/>
          </w:tcPr>
          <w:p w14:paraId="6C71906D">
            <w:pPr>
              <w:rPr>
                <w:rFonts w:ascii="宋体" w:hAnsi="宋体" w:cs="宋体"/>
                <w:sz w:val="22"/>
                <w:szCs w:val="22"/>
                <w:highlight w:val="none"/>
              </w:rPr>
            </w:pPr>
            <w:r>
              <w:rPr>
                <w:rFonts w:hint="eastAsia" w:ascii="宋体" w:hAnsi="宋体" w:cs="宋体"/>
                <w:sz w:val="22"/>
                <w:szCs w:val="22"/>
                <w:highlight w:val="none"/>
              </w:rPr>
              <w:t>服务类   所属行业：</w:t>
            </w:r>
            <w:r>
              <w:rPr>
                <w:rFonts w:hint="eastAsia" w:ascii="新宋体" w:hAnsi="新宋体" w:eastAsia="新宋体" w:cs="新宋体"/>
                <w:sz w:val="22"/>
                <w:szCs w:val="22"/>
                <w:highlight w:val="none"/>
              </w:rPr>
              <w:t>软件和信息技术服务业</w:t>
            </w:r>
          </w:p>
        </w:tc>
      </w:tr>
    </w:tbl>
    <w:p w14:paraId="2CBCCC1E">
      <w:pPr>
        <w:pStyle w:val="4"/>
        <w:rPr>
          <w:rFonts w:ascii="宋体" w:hAnsi="宋体" w:eastAsia="宋体" w:cs="宋体"/>
          <w:sz w:val="36"/>
          <w:szCs w:val="36"/>
        </w:rPr>
      </w:pPr>
      <w:r>
        <w:rPr>
          <w:rFonts w:hint="eastAsia" w:ascii="宋体" w:hAnsi="宋体" w:eastAsia="宋体" w:cs="宋体"/>
          <w:sz w:val="36"/>
          <w:szCs w:val="36"/>
        </w:rPr>
        <w:br w:type="page"/>
      </w:r>
      <w:bookmarkStart w:id="8" w:name="_Toc58832081"/>
      <w:r>
        <w:rPr>
          <w:rFonts w:hint="eastAsia" w:ascii="宋体" w:hAnsi="宋体" w:eastAsia="宋体" w:cs="宋体"/>
          <w:sz w:val="36"/>
          <w:szCs w:val="36"/>
        </w:rPr>
        <w:t>第一部分    供应商须知</w:t>
      </w:r>
      <w:bookmarkEnd w:id="8"/>
    </w:p>
    <w:p w14:paraId="1C689A1F">
      <w:pPr>
        <w:spacing w:before="100" w:beforeAutospacing="1" w:after="100" w:afterAutospacing="1" w:line="440" w:lineRule="exact"/>
        <w:jc w:val="center"/>
        <w:outlineLvl w:val="1"/>
        <w:rPr>
          <w:rFonts w:ascii="宋体" w:hAnsi="宋体" w:cs="宋体"/>
          <w:b/>
          <w:bCs/>
          <w:sz w:val="22"/>
          <w:szCs w:val="22"/>
        </w:rPr>
      </w:pPr>
      <w:bookmarkStart w:id="9" w:name="_Toc22689"/>
      <w:bookmarkStart w:id="10" w:name="_Toc58832082"/>
      <w:bookmarkStart w:id="11" w:name="_Toc57626724"/>
      <w:bookmarkStart w:id="12" w:name="_Toc221356886"/>
      <w:bookmarkStart w:id="13" w:name="_Toc393699549"/>
      <w:r>
        <w:rPr>
          <w:rFonts w:hint="eastAsia" w:ascii="宋体" w:hAnsi="宋体" w:cs="宋体"/>
          <w:b/>
          <w:bCs/>
          <w:sz w:val="22"/>
          <w:szCs w:val="22"/>
        </w:rPr>
        <w:t>一   说 明</w:t>
      </w:r>
      <w:bookmarkEnd w:id="9"/>
      <w:bookmarkEnd w:id="10"/>
      <w:bookmarkEnd w:id="11"/>
    </w:p>
    <w:p w14:paraId="21583346">
      <w:pPr>
        <w:tabs>
          <w:tab w:val="left" w:pos="360"/>
        </w:tabs>
        <w:spacing w:line="360" w:lineRule="auto"/>
        <w:rPr>
          <w:rFonts w:ascii="宋体" w:hAnsi="宋体" w:cs="宋体"/>
          <w:sz w:val="22"/>
          <w:szCs w:val="22"/>
        </w:rPr>
      </w:pPr>
      <w:bookmarkStart w:id="14" w:name="_Toc25973"/>
      <w:r>
        <w:rPr>
          <w:rFonts w:hint="eastAsia" w:ascii="宋体" w:hAnsi="宋体" w:cs="宋体"/>
          <w:sz w:val="22"/>
          <w:szCs w:val="22"/>
        </w:rPr>
        <w:t>1.本次采购是根据</w:t>
      </w:r>
      <w:r>
        <w:rPr>
          <w:rFonts w:hint="eastAsia" w:ascii="宋体" w:hAnsi="宋体" w:cs="宋体"/>
          <w:kern w:val="0"/>
          <w:sz w:val="22"/>
          <w:szCs w:val="22"/>
        </w:rPr>
        <w:t>《中华人民共和国政府采购法》《</w:t>
      </w:r>
      <w:r>
        <w:rPr>
          <w:rFonts w:hint="eastAsia" w:ascii="宋体" w:hAnsi="宋体" w:cs="宋体"/>
          <w:sz w:val="22"/>
          <w:szCs w:val="22"/>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0127CDCC">
      <w:pPr>
        <w:tabs>
          <w:tab w:val="left" w:pos="360"/>
        </w:tabs>
        <w:spacing w:line="360" w:lineRule="auto"/>
        <w:rPr>
          <w:rFonts w:ascii="宋体" w:hAnsi="宋体" w:cs="宋体"/>
          <w:sz w:val="22"/>
          <w:szCs w:val="22"/>
        </w:rPr>
      </w:pPr>
      <w:r>
        <w:rPr>
          <w:rFonts w:hint="eastAsia" w:ascii="宋体" w:hAnsi="宋体" w:cs="宋体"/>
          <w:sz w:val="22"/>
          <w:szCs w:val="22"/>
        </w:rPr>
        <w:t>2.合格供应商要求以本项目公告及供应商须知前附表表述为准。</w:t>
      </w:r>
    </w:p>
    <w:p w14:paraId="7268672C">
      <w:pPr>
        <w:spacing w:line="360" w:lineRule="auto"/>
        <w:rPr>
          <w:rFonts w:ascii="宋体" w:hAnsi="宋体" w:cs="宋体"/>
          <w:sz w:val="22"/>
          <w:szCs w:val="22"/>
        </w:rPr>
      </w:pPr>
      <w:r>
        <w:rPr>
          <w:rFonts w:hint="eastAsia" w:ascii="宋体" w:hAnsi="宋体" w:cs="宋体"/>
          <w:sz w:val="22"/>
          <w:szCs w:val="22"/>
        </w:rPr>
        <w:t>3.供应商代表</w:t>
      </w:r>
    </w:p>
    <w:p w14:paraId="008F3D7A">
      <w:pPr>
        <w:spacing w:line="360" w:lineRule="auto"/>
        <w:ind w:firstLine="440" w:firstLineChars="200"/>
        <w:rPr>
          <w:rFonts w:ascii="宋体" w:hAnsi="宋体" w:cs="宋体"/>
          <w:sz w:val="22"/>
          <w:szCs w:val="22"/>
        </w:rPr>
      </w:pPr>
      <w:r>
        <w:rPr>
          <w:rFonts w:hint="eastAsia" w:ascii="宋体" w:hAnsi="宋体" w:cs="宋体"/>
          <w:sz w:val="22"/>
          <w:szCs w:val="22"/>
        </w:rPr>
        <w:t>指全权代表供应商参加投标活动并签署磋商响应文件的人。如果供应商代表不是法定代表人，须持有《法定代表人授权书》见附件五。</w:t>
      </w:r>
    </w:p>
    <w:p w14:paraId="6A0403FF">
      <w:pPr>
        <w:spacing w:line="360" w:lineRule="auto"/>
        <w:rPr>
          <w:rFonts w:ascii="宋体" w:hAnsi="宋体" w:cs="宋体"/>
          <w:sz w:val="22"/>
          <w:szCs w:val="22"/>
        </w:rPr>
      </w:pPr>
      <w:r>
        <w:rPr>
          <w:rFonts w:hint="eastAsia" w:ascii="宋体" w:hAnsi="宋体" w:cs="宋体"/>
          <w:sz w:val="22"/>
          <w:szCs w:val="22"/>
        </w:rPr>
        <w:t>4.磋商响应费用</w:t>
      </w:r>
    </w:p>
    <w:p w14:paraId="40EC6FAB">
      <w:pPr>
        <w:spacing w:line="360" w:lineRule="auto"/>
        <w:ind w:firstLine="440" w:firstLineChars="200"/>
        <w:rPr>
          <w:rFonts w:ascii="宋体" w:hAnsi="宋体" w:cs="宋体"/>
          <w:sz w:val="22"/>
          <w:szCs w:val="22"/>
        </w:rPr>
      </w:pPr>
      <w:r>
        <w:rPr>
          <w:rFonts w:hint="eastAsia" w:ascii="宋体" w:hAnsi="宋体" w:cs="宋体"/>
          <w:sz w:val="22"/>
          <w:szCs w:val="22"/>
        </w:rPr>
        <w:t>供应商应承担所有与准备和参加投标有关费用，不论投标的结果如何，采购人及采购代理机构均无义务和责任承担这些费用。</w:t>
      </w:r>
    </w:p>
    <w:p w14:paraId="52F0FEE9">
      <w:pPr>
        <w:spacing w:before="100" w:beforeAutospacing="1" w:after="100" w:afterAutospacing="1" w:line="440" w:lineRule="exact"/>
        <w:jc w:val="center"/>
        <w:outlineLvl w:val="1"/>
        <w:rPr>
          <w:rFonts w:ascii="宋体" w:hAnsi="宋体" w:cs="宋体"/>
          <w:b/>
          <w:bCs/>
          <w:sz w:val="22"/>
          <w:szCs w:val="22"/>
        </w:rPr>
      </w:pPr>
      <w:bookmarkStart w:id="15" w:name="_Toc58832083"/>
      <w:bookmarkStart w:id="16" w:name="_Toc57626725"/>
      <w:r>
        <w:rPr>
          <w:rFonts w:hint="eastAsia" w:ascii="宋体" w:hAnsi="宋体" w:cs="宋体"/>
          <w:b/>
          <w:bCs/>
          <w:sz w:val="22"/>
          <w:szCs w:val="22"/>
        </w:rPr>
        <w:t>二   采购文件</w:t>
      </w:r>
      <w:bookmarkEnd w:id="14"/>
      <w:bookmarkEnd w:id="15"/>
      <w:bookmarkEnd w:id="16"/>
    </w:p>
    <w:p w14:paraId="7E374A9D">
      <w:pPr>
        <w:tabs>
          <w:tab w:val="left" w:pos="540"/>
        </w:tabs>
        <w:spacing w:line="440" w:lineRule="exact"/>
        <w:rPr>
          <w:rFonts w:ascii="宋体" w:hAnsi="宋体" w:cs="宋体"/>
          <w:sz w:val="22"/>
          <w:szCs w:val="22"/>
        </w:rPr>
      </w:pPr>
      <w:r>
        <w:rPr>
          <w:rFonts w:hint="eastAsia" w:ascii="宋体" w:hAnsi="宋体" w:cs="宋体"/>
          <w:sz w:val="22"/>
          <w:szCs w:val="22"/>
        </w:rPr>
        <w:t>5.采购文件由采购文件目录所列内容及相关资料组成。</w:t>
      </w:r>
    </w:p>
    <w:p w14:paraId="6627CF01">
      <w:pPr>
        <w:tabs>
          <w:tab w:val="left" w:pos="540"/>
        </w:tabs>
        <w:spacing w:line="440" w:lineRule="exact"/>
        <w:rPr>
          <w:rFonts w:ascii="宋体" w:hAnsi="宋体" w:cs="宋体"/>
          <w:sz w:val="22"/>
          <w:szCs w:val="22"/>
        </w:rPr>
      </w:pPr>
      <w:r>
        <w:rPr>
          <w:rFonts w:hint="eastAsia" w:ascii="宋体" w:hAnsi="宋体" w:cs="宋体"/>
          <w:sz w:val="22"/>
          <w:szCs w:val="22"/>
        </w:rPr>
        <w:t>6.质疑</w:t>
      </w:r>
    </w:p>
    <w:p w14:paraId="6ABD2777">
      <w:pPr>
        <w:tabs>
          <w:tab w:val="left" w:pos="540"/>
        </w:tabs>
        <w:spacing w:line="440" w:lineRule="exact"/>
        <w:rPr>
          <w:rFonts w:ascii="宋体" w:hAnsi="宋体" w:cs="宋体"/>
          <w:spacing w:val="6"/>
          <w:sz w:val="22"/>
        </w:rPr>
      </w:pPr>
      <w:r>
        <w:rPr>
          <w:rFonts w:hint="eastAsia" w:ascii="宋体" w:hAnsi="宋体" w:cs="宋体"/>
          <w:sz w:val="22"/>
          <w:szCs w:val="22"/>
        </w:rPr>
        <w:t>6.1</w:t>
      </w:r>
      <w:r>
        <w:rPr>
          <w:rFonts w:hint="eastAsia" w:ascii="宋体" w:hAnsi="宋体" w:cs="宋体"/>
          <w:spacing w:val="6"/>
          <w:sz w:val="22"/>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6CBF42F">
      <w:pPr>
        <w:tabs>
          <w:tab w:val="left" w:pos="540"/>
        </w:tabs>
        <w:spacing w:line="440" w:lineRule="exact"/>
        <w:rPr>
          <w:rFonts w:ascii="宋体" w:hAnsi="宋体" w:cs="宋体"/>
          <w:spacing w:val="6"/>
          <w:sz w:val="22"/>
        </w:rPr>
      </w:pPr>
      <w:r>
        <w:rPr>
          <w:rFonts w:hint="eastAsia" w:ascii="宋体" w:hAnsi="宋体" w:cs="宋体"/>
          <w:spacing w:val="6"/>
          <w:sz w:val="22"/>
        </w:rPr>
        <w:t>6.2供应商提出质疑应当提交质疑函和必要的证明材料，质疑函范本请到“浙江政府采购网下载专区”下载，质疑函内容及签署等相关要求请参看《政府采购质疑和投诉办法》相关规定。</w:t>
      </w:r>
    </w:p>
    <w:p w14:paraId="5C92043B">
      <w:pPr>
        <w:tabs>
          <w:tab w:val="left" w:pos="540"/>
        </w:tabs>
        <w:spacing w:line="440" w:lineRule="exact"/>
        <w:rPr>
          <w:rFonts w:ascii="宋体" w:hAnsi="宋体" w:cs="宋体"/>
          <w:spacing w:val="6"/>
          <w:sz w:val="22"/>
        </w:rPr>
      </w:pPr>
      <w:r>
        <w:rPr>
          <w:rFonts w:hint="eastAsia" w:ascii="宋体" w:hAnsi="宋体" w:cs="宋体"/>
          <w:spacing w:val="6"/>
          <w:sz w:val="22"/>
        </w:rPr>
        <w:t>6.3提出质疑的供应商应当是参与本项目采购活动的供应商。供应商在法定质疑期内一次性提出针对同一采购程序环节的质疑。</w:t>
      </w:r>
    </w:p>
    <w:p w14:paraId="16FDC868">
      <w:pPr>
        <w:tabs>
          <w:tab w:val="left" w:pos="540"/>
        </w:tabs>
        <w:spacing w:line="440" w:lineRule="exact"/>
        <w:rPr>
          <w:rFonts w:ascii="宋体" w:hAnsi="宋体" w:cs="宋体"/>
          <w:spacing w:val="6"/>
          <w:sz w:val="22"/>
        </w:rPr>
      </w:pPr>
      <w:r>
        <w:rPr>
          <w:rFonts w:hint="eastAsia" w:ascii="宋体" w:hAnsi="宋体" w:cs="宋体"/>
          <w:spacing w:val="6"/>
          <w:sz w:val="22"/>
        </w:rPr>
        <w:t>6.4根据《政府采购质疑和投诉办法》第三十七条的规定，投诉人在全国范围12个月内三次以上投诉查无实据的，由财政部门列入不良行为记录名单。</w:t>
      </w:r>
    </w:p>
    <w:p w14:paraId="27346473">
      <w:pPr>
        <w:tabs>
          <w:tab w:val="left" w:pos="540"/>
          <w:tab w:val="left" w:pos="2385"/>
        </w:tabs>
        <w:spacing w:line="440" w:lineRule="exact"/>
        <w:rPr>
          <w:rFonts w:ascii="宋体" w:hAnsi="宋体" w:cs="宋体"/>
          <w:spacing w:val="6"/>
          <w:sz w:val="22"/>
        </w:rPr>
      </w:pPr>
      <w:r>
        <w:rPr>
          <w:rFonts w:hint="eastAsia" w:ascii="宋体" w:hAnsi="宋体" w:cs="宋体"/>
          <w:spacing w:val="6"/>
          <w:sz w:val="22"/>
        </w:rPr>
        <w:t>7.投诉</w:t>
      </w:r>
      <w:r>
        <w:rPr>
          <w:rFonts w:hint="eastAsia" w:ascii="宋体" w:hAnsi="宋体" w:cs="宋体"/>
          <w:spacing w:val="6"/>
          <w:sz w:val="22"/>
        </w:rPr>
        <w:tab/>
      </w:r>
    </w:p>
    <w:p w14:paraId="624E5D21">
      <w:pPr>
        <w:tabs>
          <w:tab w:val="left" w:pos="540"/>
        </w:tabs>
        <w:spacing w:line="440" w:lineRule="exact"/>
        <w:rPr>
          <w:rFonts w:ascii="宋体" w:hAnsi="宋体" w:cs="宋体"/>
          <w:sz w:val="22"/>
          <w:szCs w:val="22"/>
        </w:rPr>
      </w:pPr>
      <w:r>
        <w:rPr>
          <w:rFonts w:hint="eastAsia" w:ascii="宋体" w:hAnsi="宋体" w:cs="宋体"/>
          <w:spacing w:val="6"/>
          <w:sz w:val="22"/>
        </w:rPr>
        <w:t>7.1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7958934">
      <w:pPr>
        <w:tabs>
          <w:tab w:val="left" w:pos="540"/>
        </w:tabs>
        <w:spacing w:line="440" w:lineRule="exact"/>
        <w:rPr>
          <w:rFonts w:ascii="宋体" w:hAnsi="宋体" w:cs="宋体"/>
          <w:sz w:val="22"/>
          <w:szCs w:val="22"/>
        </w:rPr>
      </w:pPr>
      <w:r>
        <w:rPr>
          <w:rFonts w:hint="eastAsia" w:ascii="宋体" w:hAnsi="宋体" w:cs="宋体"/>
          <w:sz w:val="22"/>
          <w:szCs w:val="22"/>
        </w:rPr>
        <w:t>8.采购文件的澄清或修改</w:t>
      </w:r>
    </w:p>
    <w:p w14:paraId="12A89F40">
      <w:pPr>
        <w:spacing w:line="440" w:lineRule="exact"/>
        <w:rPr>
          <w:rFonts w:ascii="宋体" w:hAnsi="宋体" w:cs="宋体"/>
          <w:spacing w:val="6"/>
          <w:sz w:val="22"/>
        </w:rPr>
      </w:pPr>
      <w:r>
        <w:rPr>
          <w:rFonts w:hint="eastAsia" w:ascii="宋体" w:hAnsi="宋体" w:cs="宋体"/>
          <w:spacing w:val="6"/>
          <w:sz w:val="22"/>
        </w:rPr>
        <w:t>8.1采购人或者采购代理机构可以对已发出的采购文件进行必要的澄清或者修改。澄清或者修改</w:t>
      </w:r>
      <w:r>
        <w:rPr>
          <w:rFonts w:hint="eastAsia" w:ascii="宋体" w:hAnsi="宋体" w:cs="宋体"/>
          <w:bCs/>
          <w:spacing w:val="6"/>
        </w:rPr>
        <w:t>在浙江政府采购网上发布公告，同时政采云系统会向所有已按采购文件规定方式获取采购文件的潜在供应商发送更正提醒信息，潜在供应商请自行到浙江政府采购网上下载公告附件，潜在供应商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澄清或者修改的内容为采购文件的组成部分。</w:t>
      </w:r>
    </w:p>
    <w:p w14:paraId="2136FB1E">
      <w:pPr>
        <w:spacing w:line="440" w:lineRule="exact"/>
        <w:rPr>
          <w:rFonts w:ascii="宋体" w:hAnsi="宋体" w:cs="宋体"/>
          <w:spacing w:val="6"/>
          <w:sz w:val="22"/>
        </w:rPr>
      </w:pPr>
      <w:r>
        <w:rPr>
          <w:rFonts w:hint="eastAsia" w:ascii="宋体" w:hAnsi="宋体" w:cs="宋体"/>
          <w:spacing w:val="6"/>
          <w:sz w:val="22"/>
        </w:rPr>
        <w:t>8.2澄清或者修改的内容可能影响磋商响应文件编制的，采购人或者采购代理机构应当在磋商响应文件递交截止时间至少5日前，以书面形式（</w:t>
      </w:r>
      <w:r>
        <w:rPr>
          <w:rFonts w:hint="eastAsia" w:ascii="宋体" w:hAnsi="宋体" w:cs="宋体"/>
          <w:bCs/>
          <w:spacing w:val="6"/>
        </w:rPr>
        <w:t>在浙江政府采购网上发布公告</w:t>
      </w:r>
      <w:r>
        <w:rPr>
          <w:rFonts w:hint="eastAsia" w:ascii="宋体" w:hAnsi="宋体" w:cs="宋体"/>
          <w:spacing w:val="6"/>
          <w:sz w:val="22"/>
        </w:rPr>
        <w:t>）通知所有获取采购文件的潜在供应商；不足5日的，采购人或者采购代理机构应当顺延提交磋商响应文件的截止时间。</w:t>
      </w:r>
    </w:p>
    <w:p w14:paraId="350DBF0F">
      <w:pPr>
        <w:spacing w:line="360" w:lineRule="auto"/>
        <w:rPr>
          <w:rFonts w:ascii="宋体" w:hAnsi="宋体" w:cs="宋体"/>
          <w:sz w:val="22"/>
          <w:szCs w:val="22"/>
        </w:rPr>
      </w:pPr>
      <w:r>
        <w:rPr>
          <w:rFonts w:hint="eastAsia" w:ascii="宋体" w:hAnsi="宋体" w:cs="宋体"/>
          <w:spacing w:val="6"/>
          <w:sz w:val="22"/>
        </w:rPr>
        <w:t>8.3采购文件如有补充更正均见“政采云”（http://www.zcygov.cn）。供应商须在开标前一日自行查看是否有补充更正文件，并按补充更正文件要求投标，否则责任自负。</w:t>
      </w:r>
    </w:p>
    <w:p w14:paraId="13CCEC7F">
      <w:pPr>
        <w:spacing w:before="100" w:beforeAutospacing="1" w:after="100" w:afterAutospacing="1" w:line="440" w:lineRule="exact"/>
        <w:jc w:val="center"/>
        <w:outlineLvl w:val="1"/>
        <w:rPr>
          <w:rFonts w:ascii="宋体" w:hAnsi="宋体" w:cs="宋体"/>
          <w:b/>
          <w:bCs/>
          <w:sz w:val="22"/>
          <w:szCs w:val="22"/>
        </w:rPr>
      </w:pPr>
      <w:bookmarkStart w:id="17" w:name="_Toc57626726"/>
      <w:bookmarkStart w:id="18" w:name="_Toc4093"/>
      <w:bookmarkStart w:id="19" w:name="_Toc58832084"/>
      <w:r>
        <w:rPr>
          <w:rFonts w:hint="eastAsia" w:ascii="宋体" w:hAnsi="宋体" w:cs="宋体"/>
          <w:b/>
          <w:bCs/>
          <w:sz w:val="22"/>
          <w:szCs w:val="22"/>
        </w:rPr>
        <w:t>三   磋商响应文件的编制</w:t>
      </w:r>
      <w:bookmarkEnd w:id="17"/>
      <w:bookmarkEnd w:id="18"/>
      <w:bookmarkEnd w:id="19"/>
    </w:p>
    <w:p w14:paraId="5E02D91E">
      <w:pPr>
        <w:spacing w:line="440" w:lineRule="exact"/>
        <w:contextualSpacing/>
        <w:rPr>
          <w:rFonts w:ascii="宋体" w:hAnsi="宋体" w:cs="宋体"/>
          <w:bCs/>
          <w:sz w:val="22"/>
          <w:szCs w:val="22"/>
        </w:rPr>
      </w:pPr>
      <w:r>
        <w:rPr>
          <w:rFonts w:hint="eastAsia" w:ascii="宋体" w:hAnsi="宋体" w:cs="宋体"/>
          <w:bCs/>
          <w:sz w:val="22"/>
          <w:szCs w:val="22"/>
        </w:rPr>
        <w:t>9.磋商响应文件的形式和效力</w:t>
      </w:r>
    </w:p>
    <w:p w14:paraId="111CB50B">
      <w:pPr>
        <w:tabs>
          <w:tab w:val="left" w:pos="360"/>
        </w:tabs>
        <w:spacing w:line="440" w:lineRule="exact"/>
        <w:contextualSpacing/>
        <w:rPr>
          <w:rFonts w:ascii="宋体" w:hAnsi="宋体" w:cs="宋体"/>
          <w:bCs/>
          <w:sz w:val="22"/>
          <w:szCs w:val="22"/>
        </w:rPr>
      </w:pPr>
      <w:r>
        <w:rPr>
          <w:rFonts w:hint="eastAsia" w:ascii="宋体" w:hAnsi="宋体" w:cs="宋体"/>
          <w:bCs/>
          <w:sz w:val="22"/>
          <w:szCs w:val="22"/>
        </w:rPr>
        <w:t>9.1磋商响应文件分为电子磋商响应文件以及备份磋商响应文件，备份文件分为以介质存储的数据电文形式的备份磋商响应文件。</w:t>
      </w:r>
    </w:p>
    <w:p w14:paraId="3BEA7305">
      <w:pPr>
        <w:tabs>
          <w:tab w:val="left" w:pos="360"/>
        </w:tabs>
        <w:spacing w:line="440" w:lineRule="exact"/>
        <w:contextualSpacing/>
        <w:rPr>
          <w:rFonts w:ascii="宋体" w:hAnsi="宋体" w:cs="宋体"/>
          <w:bCs/>
          <w:sz w:val="22"/>
          <w:szCs w:val="22"/>
        </w:rPr>
      </w:pPr>
      <w:r>
        <w:rPr>
          <w:rFonts w:hint="eastAsia" w:ascii="宋体" w:hAnsi="宋体" w:cs="宋体"/>
          <w:bCs/>
          <w:sz w:val="22"/>
          <w:szCs w:val="22"/>
        </w:rPr>
        <w:t>9.2电子磋商响应文件，按“政采云供应商项目采购－电子招投标操作指南”及本采购文件要求制作、加密并递交。</w:t>
      </w:r>
    </w:p>
    <w:p w14:paraId="26527575">
      <w:pPr>
        <w:tabs>
          <w:tab w:val="left" w:pos="360"/>
        </w:tabs>
        <w:spacing w:line="440" w:lineRule="exact"/>
        <w:contextualSpacing/>
        <w:rPr>
          <w:rFonts w:ascii="宋体" w:hAnsi="宋体" w:cs="宋体"/>
          <w:bCs/>
          <w:sz w:val="22"/>
          <w:szCs w:val="22"/>
        </w:rPr>
      </w:pPr>
      <w:r>
        <w:rPr>
          <w:rFonts w:hint="eastAsia" w:ascii="宋体" w:hAnsi="宋体" w:cs="宋体"/>
          <w:bCs/>
          <w:sz w:val="22"/>
          <w:szCs w:val="22"/>
        </w:rPr>
        <w:t>9.3以介质存储的数据电文形式的备份磋商响应文件，即电子磋商响应文件按“政采云供应商项目采购－电子招投标操作指南”制作的备份文件。</w:t>
      </w:r>
    </w:p>
    <w:p w14:paraId="6F1C5232">
      <w:pPr>
        <w:tabs>
          <w:tab w:val="left" w:pos="360"/>
        </w:tabs>
        <w:spacing w:line="440" w:lineRule="exact"/>
        <w:contextualSpacing/>
        <w:rPr>
          <w:rFonts w:ascii="宋体" w:hAnsi="宋体" w:cs="宋体"/>
          <w:bCs/>
          <w:sz w:val="22"/>
          <w:szCs w:val="22"/>
        </w:rPr>
      </w:pPr>
      <w:r>
        <w:rPr>
          <w:rFonts w:hint="eastAsia" w:ascii="宋体" w:hAnsi="宋体" w:cs="宋体"/>
          <w:bCs/>
          <w:sz w:val="22"/>
          <w:szCs w:val="22"/>
        </w:rPr>
        <w:t>9.4磋商响应文件的效力</w:t>
      </w:r>
    </w:p>
    <w:p w14:paraId="07B7B368">
      <w:pPr>
        <w:tabs>
          <w:tab w:val="left" w:pos="360"/>
        </w:tabs>
        <w:spacing w:line="440" w:lineRule="exact"/>
        <w:ind w:firstLine="440" w:firstLineChars="200"/>
        <w:contextualSpacing/>
        <w:rPr>
          <w:rFonts w:ascii="宋体" w:hAnsi="宋体" w:cs="宋体"/>
          <w:bCs/>
          <w:sz w:val="22"/>
          <w:szCs w:val="22"/>
        </w:rPr>
      </w:pPr>
      <w:r>
        <w:rPr>
          <w:rFonts w:hint="eastAsia" w:ascii="宋体" w:hAnsi="宋体" w:cs="宋体"/>
          <w:bCs/>
          <w:sz w:val="22"/>
          <w:szCs w:val="22"/>
        </w:rPr>
        <w:t>磋商响应文件的启用，按先后顺位分别为电子磋商响应文件、以介质存储的数据电文形式的备份磋商响应文件。在下一顺位的磋商响应文件启用时，前一顺位的磋商响应文件自动失效。</w:t>
      </w:r>
    </w:p>
    <w:p w14:paraId="39571005">
      <w:pPr>
        <w:tabs>
          <w:tab w:val="left" w:pos="540"/>
        </w:tabs>
        <w:spacing w:line="440" w:lineRule="exact"/>
        <w:contextualSpacing/>
        <w:rPr>
          <w:rFonts w:ascii="宋体" w:hAnsi="宋体" w:cs="宋体"/>
          <w:bCs/>
          <w:sz w:val="22"/>
          <w:szCs w:val="22"/>
        </w:rPr>
      </w:pPr>
      <w:r>
        <w:rPr>
          <w:rFonts w:hint="eastAsia" w:ascii="宋体" w:hAnsi="宋体" w:cs="宋体"/>
          <w:bCs/>
          <w:sz w:val="22"/>
          <w:szCs w:val="22"/>
        </w:rPr>
        <w:t>10.磋商响应文件的构成：</w:t>
      </w:r>
    </w:p>
    <w:p w14:paraId="754C1553">
      <w:pPr>
        <w:tabs>
          <w:tab w:val="left" w:pos="360"/>
        </w:tabs>
        <w:spacing w:line="440" w:lineRule="exact"/>
        <w:contextualSpacing/>
        <w:rPr>
          <w:rFonts w:ascii="宋体" w:hAnsi="宋体" w:cs="宋体"/>
          <w:sz w:val="22"/>
          <w:szCs w:val="22"/>
        </w:rPr>
      </w:pPr>
      <w:r>
        <w:rPr>
          <w:rFonts w:hint="eastAsia" w:ascii="宋体" w:hAnsi="宋体" w:cs="宋体"/>
          <w:sz w:val="22"/>
          <w:szCs w:val="22"/>
        </w:rPr>
        <w:t>10.1 磋商响应文件包括资格审查资料、商务技术文件、报价文件三部分。</w:t>
      </w:r>
    </w:p>
    <w:p w14:paraId="211C9350">
      <w:pPr>
        <w:spacing w:line="440" w:lineRule="exact"/>
        <w:contextualSpacing/>
        <w:rPr>
          <w:rFonts w:ascii="宋体" w:hAnsi="宋体" w:cs="宋体"/>
          <w:sz w:val="22"/>
          <w:szCs w:val="22"/>
        </w:rPr>
      </w:pPr>
      <w:r>
        <w:rPr>
          <w:rFonts w:hint="eastAsia" w:ascii="宋体" w:hAnsi="宋体" w:cs="宋体"/>
          <w:sz w:val="22"/>
          <w:szCs w:val="22"/>
        </w:rPr>
        <w:t>10.1.1 磋商响应文件资格审查资料须包括下列部分：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7243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vAlign w:val="center"/>
          </w:tcPr>
          <w:p w14:paraId="23CC12E0">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9115" w:type="dxa"/>
            <w:vAlign w:val="center"/>
          </w:tcPr>
          <w:p w14:paraId="1D0893F3">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内 容</w:t>
            </w:r>
          </w:p>
        </w:tc>
      </w:tr>
      <w:tr w14:paraId="1308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060B3DE8">
            <w:pPr>
              <w:overflowPunct w:val="0"/>
              <w:spacing w:line="430" w:lineRule="exact"/>
              <w:jc w:val="center"/>
              <w:rPr>
                <w:rFonts w:ascii="新宋体" w:hAnsi="新宋体" w:eastAsia="新宋体" w:cs="新宋体"/>
                <w:bCs/>
                <w:sz w:val="22"/>
                <w:szCs w:val="22"/>
              </w:rPr>
            </w:pPr>
            <w:bookmarkStart w:id="20" w:name="_Hlk16667472"/>
            <w:r>
              <w:rPr>
                <w:rFonts w:hint="eastAsia" w:ascii="新宋体" w:hAnsi="新宋体" w:eastAsia="新宋体" w:cs="新宋体"/>
                <w:bCs/>
                <w:sz w:val="22"/>
                <w:szCs w:val="22"/>
              </w:rPr>
              <w:t>1</w:t>
            </w:r>
          </w:p>
        </w:tc>
        <w:tc>
          <w:tcPr>
            <w:tcW w:w="9115" w:type="dxa"/>
            <w:tcBorders>
              <w:top w:val="single" w:color="auto" w:sz="4" w:space="0"/>
              <w:left w:val="single" w:color="auto" w:sz="4" w:space="0"/>
              <w:bottom w:val="single" w:color="auto" w:sz="4" w:space="0"/>
              <w:right w:val="single" w:color="auto" w:sz="4" w:space="0"/>
            </w:tcBorders>
            <w:vAlign w:val="center"/>
          </w:tcPr>
          <w:p w14:paraId="0ACFE602">
            <w:pPr>
              <w:rPr>
                <w:rFonts w:ascii="新宋体" w:hAnsi="新宋体" w:eastAsia="新宋体" w:cs="楷体"/>
                <w:kern w:val="0"/>
                <w:sz w:val="22"/>
                <w:szCs w:val="22"/>
              </w:rPr>
            </w:pPr>
            <w:r>
              <w:rPr>
                <w:rFonts w:hint="eastAsia" w:ascii="新宋体" w:hAnsi="新宋体" w:eastAsia="新宋体" w:cs="楷体"/>
                <w:kern w:val="0"/>
                <w:sz w:val="22"/>
                <w:szCs w:val="22"/>
              </w:rPr>
              <w:t>法定代表人（单位负责人）授权书和被授权人有效身份证明。</w:t>
            </w:r>
          </w:p>
        </w:tc>
      </w:tr>
      <w:tr w14:paraId="579E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9500F7D">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2</w:t>
            </w:r>
          </w:p>
        </w:tc>
        <w:tc>
          <w:tcPr>
            <w:tcW w:w="9115" w:type="dxa"/>
            <w:tcBorders>
              <w:top w:val="single" w:color="auto" w:sz="4" w:space="0"/>
              <w:left w:val="single" w:color="auto" w:sz="4" w:space="0"/>
              <w:bottom w:val="single" w:color="auto" w:sz="4" w:space="0"/>
              <w:right w:val="single" w:color="auto" w:sz="4" w:space="0"/>
            </w:tcBorders>
            <w:vAlign w:val="center"/>
          </w:tcPr>
          <w:p w14:paraId="4E70BFE2">
            <w:pPr>
              <w:rPr>
                <w:rFonts w:ascii="新宋体" w:hAnsi="新宋体" w:eastAsia="新宋体" w:cs="楷体"/>
                <w:kern w:val="0"/>
                <w:sz w:val="22"/>
                <w:szCs w:val="22"/>
              </w:rPr>
            </w:pPr>
            <w:r>
              <w:rPr>
                <w:rFonts w:hint="eastAsia" w:ascii="新宋体" w:hAnsi="新宋体" w:eastAsia="新宋体" w:cs="楷体"/>
                <w:kern w:val="0"/>
                <w:sz w:val="22"/>
                <w:szCs w:val="22"/>
              </w:rPr>
              <w:t>营业执照（或事业法人登记证书或其他工商等登记证明材料）。</w:t>
            </w:r>
          </w:p>
        </w:tc>
      </w:tr>
      <w:tr w14:paraId="6598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ECE0242">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3</w:t>
            </w:r>
          </w:p>
        </w:tc>
        <w:tc>
          <w:tcPr>
            <w:tcW w:w="9115" w:type="dxa"/>
            <w:tcBorders>
              <w:top w:val="single" w:color="auto" w:sz="4" w:space="0"/>
              <w:left w:val="single" w:color="auto" w:sz="4" w:space="0"/>
              <w:bottom w:val="single" w:color="auto" w:sz="4" w:space="0"/>
              <w:right w:val="single" w:color="auto" w:sz="4" w:space="0"/>
            </w:tcBorders>
            <w:vAlign w:val="center"/>
          </w:tcPr>
          <w:p w14:paraId="7D93B9BE">
            <w:pPr>
              <w:rPr>
                <w:rFonts w:ascii="新宋体" w:hAnsi="新宋体" w:eastAsia="新宋体" w:cs="楷体"/>
                <w:kern w:val="0"/>
                <w:sz w:val="22"/>
                <w:szCs w:val="22"/>
              </w:rPr>
            </w:pPr>
            <w:r>
              <w:rPr>
                <w:rFonts w:hint="eastAsia" w:ascii="新宋体" w:hAnsi="新宋体" w:eastAsia="新宋体" w:cs="楷体"/>
                <w:kern w:val="0"/>
                <w:sz w:val="22"/>
                <w:szCs w:val="22"/>
              </w:rPr>
              <w:t>中小企业声明函（或监狱企业声明函、残疾人福利性单位声明函）（采购文件第二部分相关附件）</w:t>
            </w:r>
          </w:p>
        </w:tc>
      </w:tr>
      <w:tr w14:paraId="75BA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738FC2A">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4</w:t>
            </w:r>
          </w:p>
        </w:tc>
        <w:tc>
          <w:tcPr>
            <w:tcW w:w="9115" w:type="dxa"/>
            <w:tcBorders>
              <w:top w:val="single" w:color="auto" w:sz="4" w:space="0"/>
              <w:left w:val="single" w:color="auto" w:sz="4" w:space="0"/>
              <w:bottom w:val="single" w:color="auto" w:sz="4" w:space="0"/>
              <w:right w:val="single" w:color="auto" w:sz="4" w:space="0"/>
            </w:tcBorders>
            <w:vAlign w:val="center"/>
          </w:tcPr>
          <w:p w14:paraId="59C9BDBD">
            <w:pPr>
              <w:rPr>
                <w:rFonts w:ascii="新宋体" w:hAnsi="新宋体" w:eastAsia="新宋体"/>
                <w:bCs/>
                <w:kern w:val="0"/>
                <w:sz w:val="22"/>
                <w:szCs w:val="22"/>
              </w:rPr>
            </w:pPr>
            <w:r>
              <w:rPr>
                <w:rFonts w:hint="eastAsia" w:ascii="新宋体" w:hAnsi="新宋体" w:eastAsia="新宋体" w:cs="宋体"/>
                <w:kern w:val="0"/>
                <w:sz w:val="22"/>
                <w:szCs w:val="22"/>
              </w:rPr>
              <w:t>资格条件承诺函</w:t>
            </w:r>
          </w:p>
        </w:tc>
      </w:tr>
      <w:tr w14:paraId="4612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09B4BB86">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5</w:t>
            </w:r>
          </w:p>
        </w:tc>
        <w:tc>
          <w:tcPr>
            <w:tcW w:w="9115" w:type="dxa"/>
            <w:tcBorders>
              <w:top w:val="single" w:color="auto" w:sz="4" w:space="0"/>
              <w:left w:val="single" w:color="auto" w:sz="4" w:space="0"/>
              <w:bottom w:val="single" w:color="auto" w:sz="4" w:space="0"/>
              <w:right w:val="single" w:color="auto" w:sz="4" w:space="0"/>
            </w:tcBorders>
            <w:vAlign w:val="center"/>
          </w:tcPr>
          <w:p w14:paraId="50CF3C3E">
            <w:pPr>
              <w:rPr>
                <w:rFonts w:ascii="新宋体" w:hAnsi="新宋体" w:eastAsia="新宋体" w:cs="楷体"/>
                <w:kern w:val="0"/>
                <w:sz w:val="22"/>
                <w:szCs w:val="22"/>
              </w:rPr>
            </w:pPr>
            <w:r>
              <w:rPr>
                <w:rFonts w:hint="eastAsia" w:ascii="新宋体" w:hAnsi="新宋体" w:eastAsia="新宋体" w:cs="新宋体"/>
                <w:bCs/>
                <w:sz w:val="22"/>
                <w:szCs w:val="22"/>
              </w:rPr>
              <w:t>申请材料真实性声明</w:t>
            </w:r>
          </w:p>
        </w:tc>
      </w:tr>
      <w:bookmarkEnd w:id="20"/>
    </w:tbl>
    <w:p w14:paraId="7E4B55B7">
      <w:pPr>
        <w:spacing w:line="430" w:lineRule="exact"/>
        <w:rPr>
          <w:rFonts w:ascii="宋体" w:hAnsi="宋体" w:cs="宋体"/>
          <w:b/>
          <w:bCs/>
          <w:sz w:val="22"/>
          <w:szCs w:val="22"/>
        </w:rPr>
      </w:pPr>
      <w:r>
        <w:rPr>
          <w:rFonts w:hint="eastAsia" w:ascii="宋体" w:hAnsi="宋体" w:cs="宋体"/>
          <w:b/>
          <w:bCs/>
          <w:sz w:val="22"/>
          <w:szCs w:val="22"/>
        </w:rPr>
        <w:t>备注：</w:t>
      </w:r>
    </w:p>
    <w:p w14:paraId="7135F9BC">
      <w:pPr>
        <w:numPr>
          <w:ilvl w:val="0"/>
          <w:numId w:val="4"/>
        </w:numPr>
        <w:spacing w:line="430" w:lineRule="exact"/>
        <w:rPr>
          <w:rFonts w:ascii="宋体" w:hAnsi="宋体" w:cs="宋体"/>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468C823D">
      <w:pPr>
        <w:numPr>
          <w:ilvl w:val="0"/>
          <w:numId w:val="4"/>
        </w:numPr>
        <w:spacing w:line="430" w:lineRule="exact"/>
        <w:rPr>
          <w:rFonts w:ascii="宋体" w:hAnsi="宋体" w:cs="宋体"/>
        </w:rPr>
      </w:pPr>
      <w:r>
        <w:rPr>
          <w:rFonts w:hint="eastAsia" w:ascii="宋体" w:hAnsi="宋体" w:cs="宋体"/>
          <w:sz w:val="22"/>
          <w:szCs w:val="22"/>
        </w:rPr>
        <w:t>以上所需的各种证书、证件、证明、执照若系复印件，须在复印件上加盖供应商有效的公章。</w:t>
      </w:r>
    </w:p>
    <w:p w14:paraId="2B8ECF94">
      <w:pPr>
        <w:spacing w:line="430" w:lineRule="exact"/>
        <w:rPr>
          <w:rFonts w:ascii="宋体" w:hAnsi="宋体" w:cs="宋体"/>
          <w:sz w:val="22"/>
          <w:szCs w:val="22"/>
        </w:rPr>
      </w:pPr>
      <w:r>
        <w:rPr>
          <w:rFonts w:hint="eastAsia" w:ascii="宋体" w:hAnsi="宋体" w:cs="宋体"/>
          <w:sz w:val="22"/>
          <w:szCs w:val="22"/>
        </w:rPr>
        <w:t>10.1.2 磋商响应文件商务技术标应包括下列部分：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159D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9542719">
            <w:pPr>
              <w:jc w:val="center"/>
              <w:rPr>
                <w:rFonts w:eastAsia="新宋体"/>
                <w:b/>
                <w:sz w:val="22"/>
                <w:szCs w:val="22"/>
              </w:rPr>
            </w:pPr>
            <w:r>
              <w:rPr>
                <w:rFonts w:hint="eastAsia" w:eastAsia="新宋体"/>
                <w:b/>
                <w:sz w:val="22"/>
                <w:szCs w:val="22"/>
              </w:rPr>
              <w:t>序号</w:t>
            </w:r>
          </w:p>
        </w:tc>
        <w:tc>
          <w:tcPr>
            <w:tcW w:w="9109" w:type="dxa"/>
            <w:vAlign w:val="center"/>
          </w:tcPr>
          <w:p w14:paraId="7A94D69F">
            <w:pPr>
              <w:jc w:val="center"/>
              <w:rPr>
                <w:rFonts w:eastAsia="新宋体"/>
                <w:b/>
                <w:sz w:val="22"/>
                <w:szCs w:val="22"/>
              </w:rPr>
            </w:pPr>
            <w:r>
              <w:rPr>
                <w:rFonts w:hint="eastAsia" w:eastAsia="新宋体"/>
                <w:b/>
                <w:sz w:val="22"/>
                <w:szCs w:val="22"/>
              </w:rPr>
              <w:t>内容</w:t>
            </w:r>
          </w:p>
        </w:tc>
      </w:tr>
      <w:tr w14:paraId="365D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BC24C44">
            <w:pPr>
              <w:jc w:val="center"/>
              <w:rPr>
                <w:rFonts w:eastAsia="新宋体"/>
                <w:sz w:val="22"/>
                <w:szCs w:val="22"/>
              </w:rPr>
            </w:pPr>
            <w:r>
              <w:rPr>
                <w:rFonts w:hint="eastAsia" w:eastAsia="新宋体"/>
                <w:sz w:val="22"/>
                <w:szCs w:val="22"/>
              </w:rPr>
              <w:t>1</w:t>
            </w:r>
          </w:p>
        </w:tc>
        <w:tc>
          <w:tcPr>
            <w:tcW w:w="9109" w:type="dxa"/>
            <w:vAlign w:val="center"/>
          </w:tcPr>
          <w:p w14:paraId="7A2AB109">
            <w:pPr>
              <w:rPr>
                <w:rFonts w:eastAsia="新宋体"/>
                <w:b/>
                <w:sz w:val="22"/>
                <w:szCs w:val="22"/>
              </w:rPr>
            </w:pPr>
            <w:r>
              <w:rPr>
                <w:rFonts w:hint="eastAsia" w:eastAsia="新宋体"/>
                <w:sz w:val="22"/>
                <w:szCs w:val="22"/>
              </w:rPr>
              <w:t>投标函</w:t>
            </w:r>
          </w:p>
        </w:tc>
      </w:tr>
      <w:tr w14:paraId="564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FBD82CE">
            <w:pPr>
              <w:jc w:val="center"/>
              <w:rPr>
                <w:rFonts w:eastAsia="新宋体"/>
                <w:sz w:val="22"/>
                <w:szCs w:val="22"/>
              </w:rPr>
            </w:pPr>
            <w:r>
              <w:rPr>
                <w:rFonts w:hint="eastAsia" w:eastAsia="新宋体"/>
                <w:sz w:val="22"/>
                <w:szCs w:val="22"/>
              </w:rPr>
              <w:t>2</w:t>
            </w:r>
          </w:p>
        </w:tc>
        <w:tc>
          <w:tcPr>
            <w:tcW w:w="9109" w:type="dxa"/>
            <w:vAlign w:val="center"/>
          </w:tcPr>
          <w:p w14:paraId="312B75F9">
            <w:pPr>
              <w:rPr>
                <w:rFonts w:eastAsia="新宋体"/>
                <w:sz w:val="22"/>
                <w:szCs w:val="22"/>
              </w:rPr>
            </w:pPr>
            <w:r>
              <w:rPr>
                <w:rFonts w:hint="eastAsia" w:eastAsia="新宋体"/>
                <w:sz w:val="22"/>
                <w:szCs w:val="22"/>
              </w:rPr>
              <w:t>技术要求应答表、商务条款偏离表</w:t>
            </w:r>
          </w:p>
        </w:tc>
      </w:tr>
      <w:tr w14:paraId="6859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183B08B">
            <w:pPr>
              <w:jc w:val="center"/>
              <w:rPr>
                <w:rFonts w:ascii="宋体" w:hAnsi="宋体" w:cs="宋体"/>
                <w:sz w:val="22"/>
                <w:szCs w:val="22"/>
              </w:rPr>
            </w:pPr>
            <w:r>
              <w:rPr>
                <w:rFonts w:hint="eastAsia" w:ascii="宋体" w:hAnsi="宋体" w:cs="宋体"/>
                <w:sz w:val="22"/>
                <w:szCs w:val="22"/>
              </w:rPr>
              <w:t>3</w:t>
            </w:r>
          </w:p>
        </w:tc>
        <w:tc>
          <w:tcPr>
            <w:tcW w:w="9109" w:type="dxa"/>
            <w:vAlign w:val="center"/>
          </w:tcPr>
          <w:p w14:paraId="51DAC643">
            <w:pPr>
              <w:tabs>
                <w:tab w:val="left" w:pos="5355"/>
              </w:tabs>
              <w:rPr>
                <w:rFonts w:ascii="宋体" w:hAnsi="宋体" w:cs="宋体"/>
                <w:sz w:val="22"/>
                <w:szCs w:val="22"/>
              </w:rPr>
            </w:pPr>
            <w:r>
              <w:rPr>
                <w:rFonts w:hint="eastAsia" w:ascii="宋体" w:hAnsi="宋体" w:cs="宋体"/>
                <w:sz w:val="22"/>
                <w:szCs w:val="22"/>
              </w:rPr>
              <w:t>投标人综合情况</w:t>
            </w:r>
          </w:p>
        </w:tc>
      </w:tr>
      <w:tr w14:paraId="632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4068FA5">
            <w:pPr>
              <w:jc w:val="center"/>
              <w:rPr>
                <w:rFonts w:ascii="宋体" w:hAnsi="宋体" w:cs="宋体"/>
                <w:sz w:val="22"/>
                <w:szCs w:val="22"/>
              </w:rPr>
            </w:pPr>
            <w:r>
              <w:rPr>
                <w:rFonts w:hint="eastAsia" w:ascii="宋体" w:hAnsi="宋体" w:cs="宋体"/>
                <w:sz w:val="22"/>
                <w:szCs w:val="22"/>
              </w:rPr>
              <w:t>4</w:t>
            </w:r>
          </w:p>
        </w:tc>
        <w:tc>
          <w:tcPr>
            <w:tcW w:w="9109" w:type="dxa"/>
            <w:vAlign w:val="center"/>
          </w:tcPr>
          <w:p w14:paraId="36456685">
            <w:pPr>
              <w:tabs>
                <w:tab w:val="left" w:pos="5355"/>
              </w:tabs>
              <w:rPr>
                <w:rFonts w:ascii="宋体" w:hAnsi="宋体" w:cs="宋体"/>
                <w:sz w:val="22"/>
                <w:szCs w:val="22"/>
              </w:rPr>
            </w:pPr>
            <w:r>
              <w:rPr>
                <w:rFonts w:hint="eastAsia" w:ascii="宋体" w:hAnsi="宋体" w:cs="宋体"/>
                <w:sz w:val="22"/>
                <w:szCs w:val="22"/>
              </w:rPr>
              <w:t>项目技术方案</w:t>
            </w:r>
          </w:p>
        </w:tc>
      </w:tr>
      <w:tr w14:paraId="5BC8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ED52152">
            <w:pPr>
              <w:jc w:val="center"/>
              <w:rPr>
                <w:rFonts w:ascii="宋体" w:hAnsi="宋体" w:cs="宋体"/>
                <w:sz w:val="22"/>
                <w:szCs w:val="22"/>
              </w:rPr>
            </w:pPr>
            <w:r>
              <w:rPr>
                <w:rFonts w:hint="eastAsia" w:ascii="宋体" w:hAnsi="宋体" w:cs="宋体"/>
                <w:sz w:val="22"/>
                <w:szCs w:val="22"/>
              </w:rPr>
              <w:t>5</w:t>
            </w:r>
          </w:p>
        </w:tc>
        <w:tc>
          <w:tcPr>
            <w:tcW w:w="9109" w:type="dxa"/>
            <w:vAlign w:val="center"/>
          </w:tcPr>
          <w:p w14:paraId="592CF3DC">
            <w:pPr>
              <w:tabs>
                <w:tab w:val="left" w:pos="5355"/>
              </w:tabs>
              <w:rPr>
                <w:rFonts w:ascii="宋体" w:hAnsi="宋体" w:cs="宋体"/>
                <w:sz w:val="22"/>
                <w:szCs w:val="22"/>
              </w:rPr>
            </w:pPr>
            <w:r>
              <w:rPr>
                <w:rFonts w:hint="eastAsia" w:ascii="宋体" w:hAnsi="宋体" w:cs="宋体"/>
                <w:sz w:val="22"/>
                <w:szCs w:val="22"/>
              </w:rPr>
              <w:t>业绩</w:t>
            </w:r>
          </w:p>
        </w:tc>
      </w:tr>
      <w:tr w14:paraId="2257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vAlign w:val="center"/>
          </w:tcPr>
          <w:p w14:paraId="40E02224">
            <w:pPr>
              <w:jc w:val="center"/>
              <w:rPr>
                <w:rFonts w:ascii="宋体" w:hAnsi="宋体" w:cs="宋体"/>
                <w:sz w:val="22"/>
                <w:szCs w:val="22"/>
              </w:rPr>
            </w:pPr>
            <w:r>
              <w:rPr>
                <w:rFonts w:hint="eastAsia" w:ascii="宋体" w:hAnsi="宋体" w:cs="宋体"/>
                <w:sz w:val="22"/>
                <w:szCs w:val="22"/>
              </w:rPr>
              <w:t>6</w:t>
            </w:r>
          </w:p>
        </w:tc>
        <w:tc>
          <w:tcPr>
            <w:tcW w:w="9109" w:type="dxa"/>
            <w:vAlign w:val="center"/>
          </w:tcPr>
          <w:p w14:paraId="113D8E7E">
            <w:pPr>
              <w:tabs>
                <w:tab w:val="left" w:pos="5355"/>
              </w:tabs>
              <w:rPr>
                <w:rFonts w:ascii="宋体" w:hAnsi="宋体" w:cs="宋体"/>
                <w:sz w:val="22"/>
                <w:szCs w:val="22"/>
              </w:rPr>
            </w:pPr>
            <w:r>
              <w:rPr>
                <w:rFonts w:hint="eastAsia" w:ascii="宋体" w:hAnsi="宋体" w:cs="宋体"/>
                <w:sz w:val="22"/>
                <w:szCs w:val="22"/>
              </w:rPr>
              <w:t>项目团队成员</w:t>
            </w:r>
          </w:p>
        </w:tc>
      </w:tr>
      <w:tr w14:paraId="2DF5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vAlign w:val="center"/>
          </w:tcPr>
          <w:p w14:paraId="0A9227BB">
            <w:pPr>
              <w:jc w:val="center"/>
              <w:rPr>
                <w:rFonts w:ascii="宋体" w:hAnsi="宋体" w:cs="宋体"/>
                <w:sz w:val="22"/>
                <w:szCs w:val="22"/>
              </w:rPr>
            </w:pPr>
            <w:r>
              <w:rPr>
                <w:rFonts w:hint="eastAsia" w:ascii="宋体" w:hAnsi="宋体" w:cs="宋体"/>
                <w:sz w:val="22"/>
                <w:szCs w:val="22"/>
              </w:rPr>
              <w:t>7</w:t>
            </w:r>
          </w:p>
        </w:tc>
        <w:tc>
          <w:tcPr>
            <w:tcW w:w="9109" w:type="dxa"/>
            <w:vAlign w:val="center"/>
          </w:tcPr>
          <w:p w14:paraId="5891509A">
            <w:pPr>
              <w:tabs>
                <w:tab w:val="left" w:pos="5355"/>
              </w:tabs>
              <w:rPr>
                <w:rFonts w:ascii="宋体" w:hAnsi="宋体" w:cs="宋体"/>
                <w:sz w:val="22"/>
                <w:szCs w:val="22"/>
              </w:rPr>
            </w:pPr>
            <w:r>
              <w:rPr>
                <w:rFonts w:hint="eastAsia" w:ascii="宋体" w:hAnsi="宋体" w:cs="宋体"/>
                <w:sz w:val="22"/>
                <w:szCs w:val="22"/>
              </w:rPr>
              <w:t>技术服务力量</w:t>
            </w:r>
          </w:p>
        </w:tc>
      </w:tr>
      <w:tr w14:paraId="7CCA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8E6FC12">
            <w:pPr>
              <w:jc w:val="center"/>
              <w:rPr>
                <w:rFonts w:ascii="宋体" w:hAnsi="宋体" w:cs="宋体"/>
                <w:sz w:val="22"/>
                <w:szCs w:val="22"/>
              </w:rPr>
            </w:pPr>
            <w:r>
              <w:rPr>
                <w:rFonts w:hint="eastAsia" w:ascii="宋体" w:hAnsi="宋体" w:cs="宋体"/>
                <w:sz w:val="22"/>
                <w:szCs w:val="22"/>
              </w:rPr>
              <w:t>8</w:t>
            </w:r>
          </w:p>
        </w:tc>
        <w:tc>
          <w:tcPr>
            <w:tcW w:w="9109" w:type="dxa"/>
            <w:shd w:val="clear" w:color="auto" w:fill="auto"/>
            <w:vAlign w:val="center"/>
          </w:tcPr>
          <w:p w14:paraId="0F673DB5">
            <w:pPr>
              <w:rPr>
                <w:rFonts w:ascii="宋体" w:hAnsi="宋体" w:cs="宋体"/>
                <w:sz w:val="22"/>
                <w:szCs w:val="22"/>
              </w:rPr>
            </w:pPr>
            <w:r>
              <w:rPr>
                <w:rFonts w:hint="eastAsia" w:ascii="宋体" w:hAnsi="宋体" w:cs="宋体"/>
                <w:sz w:val="22"/>
                <w:szCs w:val="22"/>
              </w:rPr>
              <w:t>资信证明文件（本部分为技术资信分评分内容，各供应商参照评分标准根据自身情况提供）</w:t>
            </w:r>
          </w:p>
        </w:tc>
      </w:tr>
      <w:tr w14:paraId="792D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0B15923">
            <w:pPr>
              <w:jc w:val="center"/>
              <w:rPr>
                <w:rFonts w:ascii="宋体" w:hAnsi="宋体" w:cs="宋体"/>
                <w:sz w:val="22"/>
                <w:szCs w:val="22"/>
              </w:rPr>
            </w:pPr>
            <w:r>
              <w:rPr>
                <w:rFonts w:hint="eastAsia" w:ascii="宋体" w:hAnsi="宋体" w:cs="宋体"/>
                <w:sz w:val="22"/>
                <w:szCs w:val="22"/>
              </w:rPr>
              <w:t>9</w:t>
            </w:r>
          </w:p>
        </w:tc>
        <w:tc>
          <w:tcPr>
            <w:tcW w:w="9109" w:type="dxa"/>
            <w:shd w:val="clear" w:color="auto" w:fill="auto"/>
            <w:vAlign w:val="center"/>
          </w:tcPr>
          <w:p w14:paraId="4D0EC371">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2903A93E">
      <w:pPr>
        <w:spacing w:line="430" w:lineRule="exact"/>
        <w:rPr>
          <w:rFonts w:ascii="宋体" w:hAnsi="宋体" w:cs="宋体"/>
          <w:b/>
          <w:sz w:val="22"/>
          <w:szCs w:val="22"/>
        </w:rPr>
      </w:pPr>
      <w:r>
        <w:rPr>
          <w:rFonts w:hint="eastAsia" w:ascii="宋体" w:hAnsi="宋体" w:cs="宋体"/>
          <w:b/>
          <w:sz w:val="22"/>
          <w:szCs w:val="22"/>
        </w:rPr>
        <w:t>备注：</w:t>
      </w:r>
    </w:p>
    <w:p w14:paraId="68EAAAF5">
      <w:pPr>
        <w:numPr>
          <w:ilvl w:val="0"/>
          <w:numId w:val="5"/>
        </w:numPr>
        <w:spacing w:line="430" w:lineRule="exact"/>
        <w:rPr>
          <w:rFonts w:ascii="宋体" w:hAnsi="宋体" w:cs="宋体"/>
        </w:rPr>
      </w:pPr>
      <w:r>
        <w:rPr>
          <w:rFonts w:hint="eastAsia" w:ascii="宋体" w:hAnsi="宋体" w:cs="宋体"/>
          <w:sz w:val="22"/>
          <w:szCs w:val="22"/>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2EA732AD">
      <w:pPr>
        <w:numPr>
          <w:ilvl w:val="0"/>
          <w:numId w:val="5"/>
        </w:numPr>
        <w:spacing w:line="430" w:lineRule="exact"/>
        <w:rPr>
          <w:rFonts w:ascii="宋体" w:hAnsi="宋体" w:cs="宋体"/>
          <w:sz w:val="22"/>
          <w:szCs w:val="22"/>
        </w:rPr>
      </w:pPr>
      <w:r>
        <w:rPr>
          <w:rFonts w:hint="eastAsia" w:ascii="宋体" w:hAnsi="宋体" w:cs="宋体"/>
          <w:sz w:val="22"/>
          <w:szCs w:val="22"/>
        </w:rPr>
        <w:t>以上所需的各种证书、证件、证明等若系复印件，须在复印件上加盖供应商有效的公章。</w:t>
      </w:r>
    </w:p>
    <w:p w14:paraId="5C36881F">
      <w:pPr>
        <w:tabs>
          <w:tab w:val="left" w:pos="5355"/>
        </w:tabs>
        <w:rPr>
          <w:rFonts w:ascii="宋体" w:hAnsi="宋体" w:cs="宋体"/>
          <w:sz w:val="22"/>
          <w:szCs w:val="22"/>
        </w:rPr>
      </w:pPr>
      <w:r>
        <w:rPr>
          <w:rFonts w:hint="eastAsia" w:ascii="宋体" w:hAnsi="宋体" w:cs="宋体"/>
          <w:sz w:val="22"/>
          <w:szCs w:val="22"/>
        </w:rPr>
        <w:t>10.1.3 磋商响应文件报价标应包括下列部分：</w:t>
      </w:r>
    </w:p>
    <w:bookmarkEnd w:id="12"/>
    <w:tbl>
      <w:tblPr>
        <w:tblStyle w:val="56"/>
        <w:tblW w:w="9854" w:type="dxa"/>
        <w:tblInd w:w="0" w:type="dxa"/>
        <w:tblLayout w:type="fixed"/>
        <w:tblCellMar>
          <w:top w:w="0" w:type="dxa"/>
          <w:left w:w="108" w:type="dxa"/>
          <w:bottom w:w="0" w:type="dxa"/>
          <w:right w:w="108" w:type="dxa"/>
        </w:tblCellMar>
      </w:tblPr>
      <w:tblGrid>
        <w:gridCol w:w="966"/>
        <w:gridCol w:w="8888"/>
      </w:tblGrid>
      <w:tr w14:paraId="5E626B6F">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BF4471">
            <w:pPr>
              <w:autoSpaceDE w:val="0"/>
              <w:autoSpaceDN w:val="0"/>
              <w:adjustRightInd w:val="0"/>
              <w:jc w:val="center"/>
              <w:rPr>
                <w:rFonts w:ascii="宋体" w:hAnsi="宋体" w:cs="宋体"/>
                <w:b/>
                <w:bCs/>
                <w:kern w:val="0"/>
                <w:sz w:val="22"/>
                <w:szCs w:val="22"/>
                <w:lang w:val="zh-CN"/>
              </w:rPr>
            </w:pPr>
            <w:r>
              <w:rPr>
                <w:rFonts w:hint="eastAsia" w:ascii="宋体" w:hAnsi="宋体" w:cs="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B21E1F">
            <w:pPr>
              <w:autoSpaceDE w:val="0"/>
              <w:autoSpaceDN w:val="0"/>
              <w:adjustRightInd w:val="0"/>
              <w:jc w:val="center"/>
              <w:rPr>
                <w:rFonts w:ascii="宋体" w:hAnsi="宋体" w:cs="宋体"/>
                <w:b/>
                <w:bCs/>
                <w:kern w:val="0"/>
                <w:sz w:val="22"/>
                <w:szCs w:val="22"/>
                <w:lang w:val="zh-CN"/>
              </w:rPr>
            </w:pPr>
            <w:r>
              <w:rPr>
                <w:rFonts w:hint="eastAsia" w:ascii="宋体" w:hAnsi="宋体" w:cs="宋体"/>
                <w:b/>
                <w:bCs/>
                <w:kern w:val="0"/>
                <w:sz w:val="22"/>
                <w:szCs w:val="22"/>
                <w:lang w:val="zh-CN"/>
              </w:rPr>
              <w:t>内容</w:t>
            </w:r>
          </w:p>
        </w:tc>
      </w:tr>
      <w:tr w14:paraId="2324B1AF">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4E56D4">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910594">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开标一览表</w:t>
            </w:r>
          </w:p>
        </w:tc>
      </w:tr>
      <w:tr w14:paraId="4C5275B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385DC2">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CF4310">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分项报价表</w:t>
            </w:r>
          </w:p>
        </w:tc>
      </w:tr>
    </w:tbl>
    <w:p w14:paraId="40262576">
      <w:pPr>
        <w:spacing w:line="440" w:lineRule="exact"/>
        <w:ind w:left="330" w:hanging="330" w:hangingChars="150"/>
        <w:rPr>
          <w:rFonts w:ascii="新宋体" w:hAnsi="新宋体" w:eastAsia="新宋体"/>
          <w:sz w:val="22"/>
          <w:szCs w:val="22"/>
        </w:rPr>
      </w:pPr>
      <w:r>
        <w:rPr>
          <w:rFonts w:hint="eastAsia" w:ascii="新宋体" w:hAnsi="新宋体" w:eastAsia="新宋体"/>
          <w:sz w:val="22"/>
          <w:szCs w:val="22"/>
        </w:rPr>
        <w:t>11.磋商响应文件编制</w:t>
      </w:r>
    </w:p>
    <w:p w14:paraId="6086D4C2">
      <w:pPr>
        <w:tabs>
          <w:tab w:val="left" w:pos="360"/>
        </w:tabs>
        <w:spacing w:line="460" w:lineRule="exact"/>
        <w:rPr>
          <w:rFonts w:ascii="宋体" w:hAnsi="宋体" w:cs="宋体"/>
          <w:sz w:val="22"/>
          <w:szCs w:val="22"/>
        </w:rPr>
      </w:pPr>
      <w:r>
        <w:rPr>
          <w:rFonts w:hint="eastAsia" w:ascii="宋体" w:hAnsi="宋体" w:cs="宋体"/>
          <w:sz w:val="22"/>
          <w:szCs w:val="22"/>
        </w:rPr>
        <w:t>11.1本项目通过“政采云平台（www.zcygov.cn）”实行在线投标响应（电子投标）。供应商应通过“政采云电子交易客户端”，并按照本采购文件和“政采云平台”的要求编制并加密磋商响应文件。</w:t>
      </w:r>
    </w:p>
    <w:p w14:paraId="68ED3E6F">
      <w:pPr>
        <w:tabs>
          <w:tab w:val="left" w:pos="360"/>
        </w:tabs>
        <w:spacing w:line="460" w:lineRule="exact"/>
        <w:rPr>
          <w:rFonts w:ascii="宋体" w:hAnsi="宋体" w:cs="宋体"/>
          <w:sz w:val="22"/>
          <w:szCs w:val="22"/>
        </w:rPr>
      </w:pPr>
      <w:r>
        <w:rPr>
          <w:rFonts w:hint="eastAsia" w:ascii="宋体" w:hAnsi="宋体" w:cs="宋体"/>
          <w:sz w:val="22"/>
          <w:szCs w:val="22"/>
        </w:rPr>
        <w:t>11.2供应商应当按照本章节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31BBD089">
      <w:pPr>
        <w:tabs>
          <w:tab w:val="left" w:pos="360"/>
        </w:tabs>
        <w:spacing w:line="460" w:lineRule="exact"/>
        <w:rPr>
          <w:rFonts w:ascii="宋体" w:hAnsi="宋体" w:cs="宋体"/>
          <w:sz w:val="22"/>
          <w:szCs w:val="22"/>
        </w:rPr>
      </w:pPr>
      <w:r>
        <w:rPr>
          <w:rFonts w:hint="eastAsia" w:ascii="宋体" w:hAnsi="宋体" w:cs="宋体"/>
          <w:sz w:val="22"/>
          <w:szCs w:val="22"/>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14:paraId="0307AEC0">
      <w:pPr>
        <w:tabs>
          <w:tab w:val="left" w:pos="360"/>
        </w:tabs>
        <w:spacing w:line="460" w:lineRule="exact"/>
        <w:rPr>
          <w:rFonts w:ascii="宋体" w:hAnsi="宋体" w:cs="宋体"/>
          <w:sz w:val="22"/>
          <w:szCs w:val="22"/>
        </w:rPr>
      </w:pPr>
      <w:r>
        <w:rPr>
          <w:rFonts w:hint="eastAsia" w:ascii="宋体" w:hAnsi="宋体" w:cs="宋体"/>
          <w:sz w:val="22"/>
          <w:szCs w:val="22"/>
        </w:rPr>
        <w:t>11.4磋商响应文件内容不完整、编排混乱导致磋商响应文件被误读、漏读或者查找不到相关内容的，是供应商的责任。</w:t>
      </w:r>
    </w:p>
    <w:p w14:paraId="34DD2203">
      <w:pPr>
        <w:tabs>
          <w:tab w:val="left" w:pos="360"/>
        </w:tabs>
        <w:spacing w:line="460" w:lineRule="exact"/>
        <w:rPr>
          <w:rFonts w:ascii="宋体" w:hAnsi="宋体" w:cs="宋体"/>
          <w:sz w:val="22"/>
          <w:szCs w:val="22"/>
        </w:rPr>
      </w:pPr>
      <w:r>
        <w:rPr>
          <w:rFonts w:hint="eastAsia" w:ascii="宋体" w:hAnsi="宋体" w:cs="宋体"/>
          <w:sz w:val="22"/>
          <w:szCs w:val="22"/>
        </w:rPr>
        <w:t>11.5磋商响应文件因字迹潦草或表达不清所引起的后果由供应商负责。</w:t>
      </w:r>
    </w:p>
    <w:p w14:paraId="6A1B91F7">
      <w:pPr>
        <w:tabs>
          <w:tab w:val="left" w:pos="360"/>
        </w:tabs>
        <w:spacing w:line="460" w:lineRule="exact"/>
        <w:rPr>
          <w:rFonts w:ascii="宋体" w:hAnsi="宋体" w:cs="宋体"/>
          <w:sz w:val="22"/>
          <w:szCs w:val="22"/>
        </w:rPr>
      </w:pPr>
      <w:r>
        <w:rPr>
          <w:rFonts w:hint="eastAsia" w:ascii="宋体" w:hAnsi="宋体" w:cs="宋体"/>
          <w:sz w:val="22"/>
          <w:szCs w:val="22"/>
        </w:rPr>
        <w:t>11.6 供应商没有按照本章节 “磋商响应文件组成”要求提供全部资料，或者没有仔细阅读采购文件，或者没有对采购文件在各方面的要求做出实质性响应是供应商的风险，由此造成的一切后果由供应商自行承担。</w:t>
      </w:r>
    </w:p>
    <w:p w14:paraId="133BDCF9">
      <w:pPr>
        <w:spacing w:line="440" w:lineRule="exact"/>
        <w:ind w:left="330" w:hanging="330" w:hangingChars="150"/>
        <w:rPr>
          <w:rFonts w:ascii="宋体" w:hAnsi="宋体" w:cs="宋体"/>
          <w:sz w:val="22"/>
          <w:szCs w:val="22"/>
        </w:rPr>
      </w:pPr>
      <w:r>
        <w:rPr>
          <w:rFonts w:hint="eastAsia" w:ascii="宋体" w:hAnsi="宋体" w:cs="宋体"/>
          <w:sz w:val="22"/>
          <w:szCs w:val="22"/>
        </w:rPr>
        <w:t>12.磋商响应文件的签章</w:t>
      </w:r>
    </w:p>
    <w:p w14:paraId="5114C61D">
      <w:pPr>
        <w:tabs>
          <w:tab w:val="left" w:pos="360"/>
        </w:tabs>
        <w:spacing w:line="460" w:lineRule="exact"/>
        <w:rPr>
          <w:rFonts w:ascii="宋体" w:hAnsi="宋体" w:cs="宋体"/>
          <w:sz w:val="22"/>
          <w:szCs w:val="22"/>
        </w:rPr>
      </w:pPr>
      <w:r>
        <w:rPr>
          <w:rFonts w:hint="eastAsia" w:ascii="宋体" w:hAnsi="宋体" w:cs="宋体"/>
          <w:sz w:val="22"/>
          <w:szCs w:val="22"/>
        </w:rPr>
        <w:t>12.1磋商响应文件的签章要求：供应商须知前附表第17款；</w:t>
      </w:r>
    </w:p>
    <w:p w14:paraId="6C7B6B69">
      <w:pPr>
        <w:tabs>
          <w:tab w:val="left" w:pos="360"/>
        </w:tabs>
        <w:spacing w:line="460" w:lineRule="exact"/>
        <w:rPr>
          <w:rFonts w:ascii="宋体" w:hAnsi="宋体" w:cs="宋体"/>
          <w:sz w:val="22"/>
          <w:szCs w:val="22"/>
        </w:rPr>
      </w:pPr>
      <w:r>
        <w:rPr>
          <w:rFonts w:hint="eastAsia" w:ascii="宋体" w:hAnsi="宋体" w:cs="宋体"/>
          <w:sz w:val="22"/>
          <w:szCs w:val="22"/>
        </w:rPr>
        <w:t>12.2磋商响应文件应由供应商法定代表人或其授权代表签章（电子签章），同时加盖供应商公章（电子签章）。</w:t>
      </w:r>
    </w:p>
    <w:p w14:paraId="2753616F">
      <w:pPr>
        <w:tabs>
          <w:tab w:val="left" w:pos="360"/>
        </w:tabs>
        <w:spacing w:line="460" w:lineRule="exact"/>
        <w:rPr>
          <w:rFonts w:ascii="宋体" w:hAnsi="宋体" w:cs="宋体"/>
          <w:sz w:val="22"/>
          <w:szCs w:val="22"/>
        </w:rPr>
      </w:pPr>
      <w:r>
        <w:rPr>
          <w:rFonts w:hint="eastAsia" w:ascii="宋体" w:hAnsi="宋体" w:cs="宋体"/>
          <w:sz w:val="22"/>
          <w:szCs w:val="22"/>
        </w:rPr>
        <w:t>12.3电子签章操作指南详见采购公告附件《供应商项目采购－电子招投标操作指南》。</w:t>
      </w:r>
    </w:p>
    <w:p w14:paraId="4C209652">
      <w:pPr>
        <w:spacing w:line="440" w:lineRule="exact"/>
        <w:ind w:left="330" w:hanging="330" w:hangingChars="150"/>
        <w:rPr>
          <w:rFonts w:ascii="宋体" w:hAnsi="宋体" w:cs="宋体"/>
          <w:sz w:val="22"/>
          <w:szCs w:val="22"/>
        </w:rPr>
      </w:pPr>
      <w:r>
        <w:rPr>
          <w:rFonts w:hint="eastAsia" w:ascii="宋体" w:hAnsi="宋体" w:cs="宋体"/>
          <w:sz w:val="22"/>
          <w:szCs w:val="22"/>
        </w:rPr>
        <w:t>13.磋商响应文件的形式</w:t>
      </w:r>
    </w:p>
    <w:p w14:paraId="22691C4B">
      <w:pPr>
        <w:tabs>
          <w:tab w:val="left" w:pos="360"/>
        </w:tabs>
        <w:spacing w:line="460" w:lineRule="exact"/>
        <w:rPr>
          <w:rFonts w:ascii="宋体" w:hAnsi="宋体" w:cs="宋体"/>
          <w:sz w:val="22"/>
          <w:szCs w:val="22"/>
        </w:rPr>
      </w:pPr>
      <w:r>
        <w:rPr>
          <w:rFonts w:hint="eastAsia" w:ascii="宋体" w:hAnsi="宋体" w:cs="宋体"/>
          <w:sz w:val="22"/>
          <w:szCs w:val="22"/>
        </w:rPr>
        <w:t>13.1磋商响应文件的形式：见供应商须知前附表第18款；</w:t>
      </w:r>
    </w:p>
    <w:p w14:paraId="31C21EC4">
      <w:pPr>
        <w:tabs>
          <w:tab w:val="left" w:pos="360"/>
        </w:tabs>
        <w:spacing w:line="460" w:lineRule="exact"/>
        <w:rPr>
          <w:rFonts w:ascii="宋体" w:hAnsi="宋体" w:cs="宋体"/>
          <w:sz w:val="22"/>
          <w:szCs w:val="22"/>
        </w:rPr>
      </w:pPr>
      <w:r>
        <w:rPr>
          <w:rFonts w:hint="eastAsia" w:ascii="宋体" w:hAnsi="宋体" w:cs="宋体"/>
          <w:sz w:val="22"/>
          <w:szCs w:val="22"/>
        </w:rPr>
        <w:t>13.2“电子加密磋商响应文件”：“电子加密磋商响应文件”是指通过“政采云电子交易客户端”完成磋商响应文件编制后生成并加密的数据电文形式的磋商响应文件。</w:t>
      </w:r>
    </w:p>
    <w:p w14:paraId="5BA65315">
      <w:pPr>
        <w:tabs>
          <w:tab w:val="left" w:pos="360"/>
        </w:tabs>
        <w:spacing w:line="460" w:lineRule="exact"/>
        <w:rPr>
          <w:rFonts w:ascii="宋体" w:hAnsi="宋体" w:cs="宋体"/>
          <w:sz w:val="24"/>
        </w:rPr>
      </w:pPr>
      <w:r>
        <w:rPr>
          <w:rFonts w:hint="eastAsia" w:ascii="宋体" w:hAnsi="宋体" w:cs="宋体"/>
          <w:sz w:val="22"/>
          <w:szCs w:val="22"/>
        </w:rPr>
        <w:t>13.3“备份磋商响应文件”：“备份磋商响应文件”是指与“电子加密磋商响应文件”同时生成的数据电文形式的电子文件（备份标书），其他方式编制的“备份磋商响应文件”视为无效的“备份磋商响应文件”。</w:t>
      </w:r>
    </w:p>
    <w:p w14:paraId="7471E06D">
      <w:pPr>
        <w:spacing w:line="440" w:lineRule="exact"/>
        <w:ind w:left="330" w:hanging="330" w:hangingChars="150"/>
        <w:rPr>
          <w:rFonts w:ascii="宋体" w:hAnsi="宋体" w:cs="宋体"/>
          <w:sz w:val="22"/>
          <w:szCs w:val="22"/>
        </w:rPr>
      </w:pPr>
      <w:r>
        <w:rPr>
          <w:rFonts w:hint="eastAsia" w:ascii="宋体" w:hAnsi="宋体" w:cs="宋体"/>
          <w:sz w:val="22"/>
          <w:szCs w:val="22"/>
        </w:rPr>
        <w:t>14.磋商响应文件的份数</w:t>
      </w:r>
    </w:p>
    <w:p w14:paraId="5202B9C6">
      <w:pPr>
        <w:tabs>
          <w:tab w:val="left" w:pos="5355"/>
        </w:tabs>
        <w:spacing w:line="430" w:lineRule="exact"/>
        <w:rPr>
          <w:rFonts w:ascii="宋体" w:hAnsi="宋体" w:cs="宋体"/>
          <w:sz w:val="22"/>
          <w:szCs w:val="22"/>
        </w:rPr>
      </w:pPr>
      <w:r>
        <w:rPr>
          <w:rFonts w:hint="eastAsia" w:ascii="宋体" w:hAnsi="宋体" w:cs="宋体"/>
          <w:sz w:val="22"/>
          <w:szCs w:val="22"/>
        </w:rPr>
        <w:t>14.1磋商响应文件的份数：见供应商须知前附表第19款。</w:t>
      </w:r>
    </w:p>
    <w:p w14:paraId="5DC24798">
      <w:pPr>
        <w:tabs>
          <w:tab w:val="left" w:pos="540"/>
        </w:tabs>
        <w:spacing w:line="460" w:lineRule="exact"/>
        <w:rPr>
          <w:rFonts w:ascii="宋体" w:hAnsi="宋体" w:cs="宋体"/>
          <w:sz w:val="22"/>
          <w:szCs w:val="22"/>
        </w:rPr>
      </w:pPr>
      <w:r>
        <w:rPr>
          <w:rFonts w:hint="eastAsia" w:ascii="宋体" w:hAnsi="宋体" w:cs="宋体"/>
          <w:bCs/>
          <w:sz w:val="22"/>
          <w:szCs w:val="22"/>
        </w:rPr>
        <w:t>15.投标报价</w:t>
      </w:r>
    </w:p>
    <w:p w14:paraId="405C67D6">
      <w:pPr>
        <w:tabs>
          <w:tab w:val="left" w:pos="540"/>
        </w:tabs>
        <w:spacing w:line="460" w:lineRule="exact"/>
        <w:rPr>
          <w:rFonts w:ascii="宋体" w:hAnsi="宋体" w:cs="宋体"/>
          <w:sz w:val="22"/>
          <w:szCs w:val="22"/>
        </w:rPr>
      </w:pPr>
      <w:r>
        <w:rPr>
          <w:rFonts w:hint="eastAsia" w:ascii="宋体" w:hAnsi="宋体" w:cs="宋体"/>
          <w:sz w:val="22"/>
          <w:szCs w:val="22"/>
        </w:rPr>
        <w:t>15.1 供应商应报出本项目内容所包含的所有单价和总价，并且报出价格组成表，对于供应商价格组成表中未列出的项目或没有填写单价和总价的项目，在合同执行时采购人将不予支付，并认为这些项目费用已包括在投标报价内。</w:t>
      </w:r>
    </w:p>
    <w:p w14:paraId="3EEB7BCF">
      <w:pPr>
        <w:tabs>
          <w:tab w:val="left" w:pos="540"/>
        </w:tabs>
        <w:spacing w:line="460" w:lineRule="exact"/>
        <w:rPr>
          <w:rFonts w:ascii="宋体" w:hAnsi="宋体" w:cs="宋体"/>
          <w:sz w:val="22"/>
          <w:szCs w:val="22"/>
        </w:rPr>
      </w:pPr>
      <w:r>
        <w:rPr>
          <w:rFonts w:hint="eastAsia" w:ascii="宋体" w:hAnsi="宋体" w:cs="宋体"/>
          <w:sz w:val="22"/>
          <w:szCs w:val="22"/>
        </w:rPr>
        <w:t xml:space="preserve">15.2 </w:t>
      </w:r>
      <w:r>
        <w:rPr>
          <w:rFonts w:hint="eastAsia" w:ascii="新宋体" w:hAnsi="新宋体" w:eastAsia="新宋体"/>
          <w:sz w:val="22"/>
          <w:szCs w:val="22"/>
        </w:rPr>
        <w:t>投标总报价应是中标人在正确地完全履行合同义务后采购人应支付给中标人所有的货物及服务价款，实行固定费用总包干，投标人应根据上述因素自行考虑含入投标总价，否则由此而引起的一切费用均视为已包括在投标报价中</w:t>
      </w:r>
      <w:r>
        <w:rPr>
          <w:rFonts w:hint="eastAsia" w:ascii="宋体" w:hAnsi="宋体" w:cs="宋体"/>
          <w:sz w:val="22"/>
          <w:szCs w:val="22"/>
        </w:rPr>
        <w:t>。</w:t>
      </w:r>
    </w:p>
    <w:p w14:paraId="38DA04D8">
      <w:pPr>
        <w:tabs>
          <w:tab w:val="left" w:pos="540"/>
        </w:tabs>
        <w:spacing w:line="460" w:lineRule="exact"/>
        <w:rPr>
          <w:rFonts w:ascii="宋体" w:hAnsi="宋体" w:cs="宋体"/>
          <w:sz w:val="22"/>
          <w:szCs w:val="22"/>
        </w:rPr>
      </w:pPr>
      <w:r>
        <w:rPr>
          <w:rFonts w:hint="eastAsia" w:ascii="宋体" w:hAnsi="宋体" w:cs="宋体"/>
          <w:sz w:val="22"/>
          <w:szCs w:val="22"/>
        </w:rPr>
        <w:t>15.3 供应商须认真阅读、充分理解采购文件，如有疑问可在询疑截止时间前送达（或传真）采购代理机构，采购代理机构将会统一解答。任何因对本项目采购文件理解不清、产生歧义等由此产生的费用，视作包含在投标总价中。</w:t>
      </w:r>
    </w:p>
    <w:p w14:paraId="5CB6EF4B">
      <w:pPr>
        <w:tabs>
          <w:tab w:val="left" w:pos="540"/>
        </w:tabs>
        <w:spacing w:line="460" w:lineRule="exact"/>
        <w:rPr>
          <w:rFonts w:ascii="宋体" w:hAnsi="宋体" w:cs="宋体"/>
          <w:sz w:val="22"/>
          <w:szCs w:val="22"/>
        </w:rPr>
      </w:pPr>
      <w:r>
        <w:rPr>
          <w:rFonts w:hint="eastAsia" w:ascii="宋体" w:hAnsi="宋体" w:cs="宋体"/>
          <w:sz w:val="22"/>
          <w:szCs w:val="22"/>
        </w:rPr>
        <w:t>15.4 供应商必须按第三部分附件的开标一览表（统一格式）、投标分项报价表（统一格式）的内容填写单价、合价及其他事项，并由法定代表人或授权代表签署。</w:t>
      </w:r>
    </w:p>
    <w:p w14:paraId="59C84728">
      <w:pPr>
        <w:tabs>
          <w:tab w:val="left" w:pos="540"/>
        </w:tabs>
        <w:spacing w:line="460" w:lineRule="exact"/>
        <w:rPr>
          <w:rFonts w:ascii="宋体" w:hAnsi="宋体" w:cs="宋体"/>
          <w:b/>
          <w:sz w:val="22"/>
          <w:szCs w:val="22"/>
        </w:rPr>
      </w:pPr>
      <w:r>
        <w:rPr>
          <w:rFonts w:hint="eastAsia" w:ascii="宋体" w:hAnsi="宋体" w:cs="宋体"/>
          <w:sz w:val="22"/>
          <w:szCs w:val="22"/>
        </w:rPr>
        <w:t>15.5 所有投标报价均以人民币报价。</w:t>
      </w:r>
    </w:p>
    <w:p w14:paraId="7789D5E3">
      <w:pPr>
        <w:tabs>
          <w:tab w:val="left" w:pos="540"/>
        </w:tabs>
        <w:spacing w:line="460" w:lineRule="exact"/>
        <w:rPr>
          <w:rFonts w:ascii="宋体" w:hAnsi="宋体" w:cs="宋体"/>
          <w:sz w:val="22"/>
          <w:szCs w:val="22"/>
        </w:rPr>
      </w:pPr>
      <w:r>
        <w:rPr>
          <w:rFonts w:hint="eastAsia" w:ascii="宋体" w:hAnsi="宋体" w:cs="宋体"/>
          <w:sz w:val="22"/>
          <w:szCs w:val="22"/>
        </w:rPr>
        <w:t>15.6 采购人不接受任何选择报价，对每一项货物/服务只允许一个报价。</w:t>
      </w:r>
    </w:p>
    <w:p w14:paraId="66965B65">
      <w:pPr>
        <w:tabs>
          <w:tab w:val="left" w:pos="540"/>
        </w:tabs>
        <w:spacing w:line="460" w:lineRule="exact"/>
        <w:rPr>
          <w:rFonts w:ascii="宋体" w:hAnsi="宋体" w:cs="宋体"/>
          <w:sz w:val="22"/>
          <w:szCs w:val="22"/>
        </w:rPr>
      </w:pPr>
      <w:r>
        <w:rPr>
          <w:rFonts w:hint="eastAsia" w:ascii="宋体" w:hAnsi="宋体" w:cs="宋体"/>
          <w:sz w:val="22"/>
          <w:szCs w:val="22"/>
        </w:rPr>
        <w:t>15.7 采购人要求分类报价是为了方便评标，但在任何情况下不限制采购人以其认为最合适的条款、条件签订合同的权利。</w:t>
      </w:r>
    </w:p>
    <w:p w14:paraId="1377057F">
      <w:pPr>
        <w:tabs>
          <w:tab w:val="left" w:pos="540"/>
        </w:tabs>
        <w:spacing w:line="440" w:lineRule="exact"/>
        <w:rPr>
          <w:rFonts w:ascii="宋体" w:hAnsi="宋体" w:cs="宋体"/>
          <w:sz w:val="22"/>
          <w:szCs w:val="22"/>
        </w:rPr>
      </w:pPr>
      <w:r>
        <w:rPr>
          <w:rFonts w:hint="eastAsia" w:ascii="宋体" w:hAnsi="宋体" w:cs="宋体"/>
          <w:sz w:val="22"/>
          <w:szCs w:val="22"/>
        </w:rPr>
        <w:t>15.8 报价是成交的一个重要因素，但最低报价不是成交的唯一依据。</w:t>
      </w:r>
    </w:p>
    <w:p w14:paraId="047D7671">
      <w:pPr>
        <w:tabs>
          <w:tab w:val="left" w:pos="-180"/>
          <w:tab w:val="left" w:pos="180"/>
          <w:tab w:val="left" w:pos="360"/>
        </w:tabs>
        <w:spacing w:line="440" w:lineRule="exact"/>
        <w:ind w:left="660" w:hanging="660" w:hangingChars="300"/>
        <w:rPr>
          <w:rFonts w:ascii="宋体" w:hAnsi="宋体" w:cs="宋体"/>
          <w:bCs/>
          <w:sz w:val="22"/>
          <w:szCs w:val="22"/>
        </w:rPr>
      </w:pPr>
      <w:r>
        <w:rPr>
          <w:rFonts w:hint="eastAsia" w:ascii="宋体" w:hAnsi="宋体" w:cs="宋体"/>
          <w:bCs/>
          <w:sz w:val="22"/>
          <w:szCs w:val="22"/>
        </w:rPr>
        <w:t>16. 供应商如发生下列情况之一，将上报同级政府采购监督管理部门，追究其责任：</w:t>
      </w:r>
    </w:p>
    <w:p w14:paraId="0B61A071">
      <w:pPr>
        <w:tabs>
          <w:tab w:val="left" w:pos="540"/>
        </w:tabs>
        <w:spacing w:line="440" w:lineRule="exact"/>
        <w:ind w:firstLine="565" w:firstLineChars="257"/>
        <w:rPr>
          <w:rFonts w:ascii="宋体" w:hAnsi="宋体" w:cs="宋体"/>
          <w:bCs/>
          <w:sz w:val="22"/>
          <w:szCs w:val="22"/>
        </w:rPr>
      </w:pPr>
      <w:r>
        <w:rPr>
          <w:rFonts w:hint="eastAsia" w:ascii="宋体" w:hAnsi="宋体" w:cs="宋体"/>
          <w:bCs/>
          <w:sz w:val="22"/>
          <w:szCs w:val="22"/>
        </w:rPr>
        <w:t>（1）供应商在采购文件规定的磋商响应文件有效期内撤回投标；</w:t>
      </w:r>
    </w:p>
    <w:p w14:paraId="1C435D24">
      <w:pPr>
        <w:tabs>
          <w:tab w:val="left" w:pos="540"/>
        </w:tabs>
        <w:spacing w:line="440" w:lineRule="exact"/>
        <w:ind w:firstLine="565" w:firstLineChars="257"/>
        <w:rPr>
          <w:rFonts w:ascii="宋体" w:hAnsi="宋体" w:cs="宋体"/>
          <w:bCs/>
          <w:sz w:val="22"/>
          <w:szCs w:val="22"/>
        </w:rPr>
      </w:pPr>
      <w:r>
        <w:rPr>
          <w:rFonts w:hint="eastAsia" w:ascii="宋体" w:hAnsi="宋体" w:cs="宋体"/>
          <w:bCs/>
          <w:sz w:val="22"/>
          <w:szCs w:val="22"/>
        </w:rPr>
        <w:t>（2）成交供应商未按成交通知书中规定的时间与采购人签订合同；</w:t>
      </w:r>
    </w:p>
    <w:p w14:paraId="7CE0DDCD">
      <w:pPr>
        <w:tabs>
          <w:tab w:val="left" w:pos="540"/>
        </w:tabs>
        <w:spacing w:line="440" w:lineRule="exact"/>
        <w:ind w:firstLine="565" w:firstLineChars="257"/>
        <w:rPr>
          <w:rFonts w:ascii="宋体" w:hAnsi="宋体" w:cs="宋体"/>
          <w:bCs/>
          <w:sz w:val="22"/>
          <w:szCs w:val="22"/>
        </w:rPr>
      </w:pPr>
      <w:r>
        <w:rPr>
          <w:rFonts w:hint="eastAsia" w:ascii="宋体" w:hAnsi="宋体" w:cs="宋体"/>
          <w:bCs/>
          <w:sz w:val="22"/>
          <w:szCs w:val="22"/>
        </w:rPr>
        <w:t>（3）供应商在采购文件中提供虚假技术指标及参数，经磋商小组确认属实的。</w:t>
      </w:r>
    </w:p>
    <w:p w14:paraId="19E1CE9E">
      <w:pPr>
        <w:tabs>
          <w:tab w:val="left" w:pos="540"/>
        </w:tabs>
        <w:spacing w:line="440" w:lineRule="exact"/>
        <w:ind w:left="567" w:leftChars="269" w:hanging="2"/>
        <w:rPr>
          <w:rFonts w:ascii="宋体" w:hAnsi="宋体" w:cs="宋体"/>
          <w:bCs/>
          <w:sz w:val="22"/>
          <w:szCs w:val="22"/>
        </w:rPr>
      </w:pPr>
      <w:r>
        <w:rPr>
          <w:rFonts w:hint="eastAsia" w:ascii="宋体" w:hAnsi="宋体" w:cs="宋体"/>
          <w:bCs/>
          <w:sz w:val="22"/>
          <w:szCs w:val="22"/>
        </w:rPr>
        <w:t>（4）经同级政府采购监督管理部门审查认定供应商有违反《中华人民共和国政府采购法》等有关法律法规的行为。</w:t>
      </w:r>
    </w:p>
    <w:p w14:paraId="17DAA0C5">
      <w:pPr>
        <w:tabs>
          <w:tab w:val="left" w:pos="-180"/>
          <w:tab w:val="left" w:pos="180"/>
          <w:tab w:val="left" w:pos="360"/>
        </w:tabs>
        <w:spacing w:line="440" w:lineRule="exact"/>
        <w:rPr>
          <w:rFonts w:ascii="宋体" w:hAnsi="宋体" w:cs="宋体"/>
          <w:bCs/>
          <w:sz w:val="22"/>
          <w:szCs w:val="22"/>
        </w:rPr>
      </w:pPr>
      <w:r>
        <w:rPr>
          <w:rFonts w:hint="eastAsia" w:ascii="宋体" w:hAnsi="宋体" w:cs="宋体"/>
          <w:bCs/>
          <w:sz w:val="22"/>
          <w:szCs w:val="22"/>
        </w:rPr>
        <w:t>17. 磋商响应文件有效期</w:t>
      </w:r>
    </w:p>
    <w:p w14:paraId="6AAF43D8">
      <w:pPr>
        <w:tabs>
          <w:tab w:val="left" w:pos="540"/>
          <w:tab w:val="left" w:pos="992"/>
        </w:tabs>
        <w:autoSpaceDE w:val="0"/>
        <w:autoSpaceDN w:val="0"/>
        <w:adjustRightInd w:val="0"/>
        <w:spacing w:line="460" w:lineRule="atLeast"/>
        <w:rPr>
          <w:rFonts w:ascii="宋体" w:hAnsi="宋体" w:cs="宋体"/>
          <w:kern w:val="0"/>
          <w:sz w:val="22"/>
          <w:szCs w:val="22"/>
        </w:rPr>
      </w:pPr>
      <w:r>
        <w:rPr>
          <w:rFonts w:hint="eastAsia" w:ascii="宋体" w:hAnsi="宋体" w:cs="宋体"/>
          <w:kern w:val="0"/>
          <w:sz w:val="22"/>
          <w:szCs w:val="22"/>
        </w:rPr>
        <w:t>17.1 自开标之日起 90天内投标应保持有效。磋商响应文件有效期短于这个规定期限的投标将视为非响应性投标而予以拒绝。</w:t>
      </w:r>
    </w:p>
    <w:p w14:paraId="5D1A57E3">
      <w:pPr>
        <w:spacing w:line="440" w:lineRule="exact"/>
        <w:ind w:left="2"/>
        <w:rPr>
          <w:rFonts w:ascii="宋体" w:hAnsi="宋体" w:cs="宋体"/>
          <w:sz w:val="22"/>
          <w:szCs w:val="22"/>
        </w:rPr>
      </w:pPr>
      <w:r>
        <w:rPr>
          <w:rFonts w:hint="eastAsia" w:ascii="宋体" w:hAnsi="宋体" w:cs="宋体"/>
          <w:kern w:val="0"/>
          <w:sz w:val="22"/>
          <w:szCs w:val="22"/>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5EC0C1A9">
      <w:pPr>
        <w:spacing w:before="100" w:beforeAutospacing="1" w:after="100" w:afterAutospacing="1" w:line="440" w:lineRule="exact"/>
        <w:jc w:val="center"/>
        <w:outlineLvl w:val="1"/>
        <w:rPr>
          <w:rFonts w:ascii="宋体" w:hAnsi="宋体" w:cs="宋体"/>
          <w:b/>
          <w:bCs/>
          <w:sz w:val="22"/>
          <w:szCs w:val="22"/>
        </w:rPr>
      </w:pPr>
      <w:bookmarkStart w:id="21" w:name="_Toc57626727"/>
      <w:bookmarkStart w:id="22" w:name="_Toc58832085"/>
      <w:bookmarkStart w:id="23" w:name="_Toc18954"/>
      <w:bookmarkStart w:id="24" w:name="_Toc38618585"/>
      <w:r>
        <w:rPr>
          <w:rFonts w:hint="eastAsia" w:ascii="宋体" w:hAnsi="宋体" w:cs="宋体"/>
          <w:b/>
          <w:bCs/>
          <w:sz w:val="22"/>
          <w:szCs w:val="22"/>
        </w:rPr>
        <w:t>四   磋商响应文件的递交</w:t>
      </w:r>
      <w:bookmarkEnd w:id="21"/>
      <w:bookmarkEnd w:id="22"/>
      <w:bookmarkEnd w:id="23"/>
      <w:bookmarkEnd w:id="24"/>
    </w:p>
    <w:p w14:paraId="61D02747">
      <w:pPr>
        <w:tabs>
          <w:tab w:val="left" w:pos="540"/>
        </w:tabs>
        <w:spacing w:line="460" w:lineRule="exact"/>
        <w:rPr>
          <w:rFonts w:ascii="宋体" w:hAnsi="宋体" w:cs="宋体"/>
          <w:kern w:val="0"/>
          <w:sz w:val="22"/>
          <w:szCs w:val="22"/>
        </w:rPr>
      </w:pPr>
      <w:bookmarkStart w:id="25" w:name="_Toc10467"/>
      <w:r>
        <w:rPr>
          <w:rFonts w:hint="eastAsia" w:ascii="宋体" w:hAnsi="宋体" w:cs="宋体"/>
          <w:kern w:val="0"/>
          <w:sz w:val="22"/>
          <w:szCs w:val="22"/>
        </w:rPr>
        <w:t>18. 磋商响应文件的递交</w:t>
      </w:r>
    </w:p>
    <w:p w14:paraId="07E5206A">
      <w:pPr>
        <w:tabs>
          <w:tab w:val="left" w:pos="540"/>
        </w:tabs>
        <w:spacing w:line="460" w:lineRule="exact"/>
        <w:rPr>
          <w:rFonts w:ascii="宋体" w:hAnsi="宋体" w:cs="宋体"/>
          <w:kern w:val="0"/>
          <w:sz w:val="22"/>
          <w:szCs w:val="22"/>
        </w:rPr>
      </w:pPr>
      <w:r>
        <w:rPr>
          <w:rFonts w:hint="eastAsia" w:ascii="宋体" w:hAnsi="宋体" w:cs="宋体"/>
          <w:kern w:val="0"/>
          <w:sz w:val="22"/>
          <w:szCs w:val="22"/>
        </w:rPr>
        <w:t>18.1磋商响应文件的上传、递交：见供应商须知前附表。</w:t>
      </w:r>
    </w:p>
    <w:p w14:paraId="08011A5E">
      <w:pPr>
        <w:tabs>
          <w:tab w:val="left" w:pos="540"/>
        </w:tabs>
        <w:spacing w:line="460" w:lineRule="exact"/>
        <w:rPr>
          <w:rFonts w:ascii="宋体" w:hAnsi="宋体" w:cs="宋体"/>
          <w:kern w:val="0"/>
          <w:sz w:val="22"/>
          <w:szCs w:val="22"/>
        </w:rPr>
      </w:pPr>
      <w:r>
        <w:rPr>
          <w:rFonts w:hint="eastAsia" w:ascii="宋体" w:hAnsi="宋体" w:cs="宋体"/>
          <w:kern w:val="0"/>
          <w:sz w:val="22"/>
          <w:szCs w:val="22"/>
        </w:rPr>
        <w:t>19. “电子加密磋商响应文件”解密和异常情况处理。</w:t>
      </w:r>
    </w:p>
    <w:p w14:paraId="13AA11D3">
      <w:pPr>
        <w:tabs>
          <w:tab w:val="left" w:pos="540"/>
        </w:tabs>
        <w:spacing w:line="460" w:lineRule="exact"/>
        <w:rPr>
          <w:rFonts w:ascii="宋体" w:hAnsi="宋体" w:cs="宋体"/>
          <w:kern w:val="0"/>
          <w:sz w:val="22"/>
          <w:szCs w:val="22"/>
        </w:rPr>
      </w:pPr>
      <w:r>
        <w:rPr>
          <w:rFonts w:hint="eastAsia" w:ascii="宋体" w:hAnsi="宋体" w:cs="宋体"/>
          <w:kern w:val="0"/>
          <w:sz w:val="22"/>
          <w:szCs w:val="22"/>
        </w:rPr>
        <w:t>19.1“电子加密磋商响应文件”解密：见供应商须知前附表。</w:t>
      </w:r>
    </w:p>
    <w:p w14:paraId="6E40F854">
      <w:pPr>
        <w:tabs>
          <w:tab w:val="left" w:pos="540"/>
        </w:tabs>
        <w:spacing w:line="460" w:lineRule="exact"/>
        <w:rPr>
          <w:rFonts w:ascii="宋体" w:hAnsi="宋体" w:cs="宋体"/>
          <w:kern w:val="0"/>
          <w:sz w:val="22"/>
          <w:szCs w:val="22"/>
        </w:rPr>
      </w:pPr>
      <w:r>
        <w:rPr>
          <w:rFonts w:hint="eastAsia" w:ascii="宋体" w:hAnsi="宋体" w:cs="宋体"/>
          <w:kern w:val="0"/>
          <w:sz w:val="22"/>
          <w:szCs w:val="22"/>
        </w:rPr>
        <w:t>20. 磋商响应文件的补充、修改或撤回</w:t>
      </w:r>
    </w:p>
    <w:p w14:paraId="562B63E0">
      <w:pPr>
        <w:tabs>
          <w:tab w:val="left" w:pos="540"/>
        </w:tabs>
        <w:spacing w:line="460" w:lineRule="exact"/>
        <w:rPr>
          <w:rFonts w:ascii="宋体" w:hAnsi="宋体" w:cs="宋体"/>
          <w:kern w:val="0"/>
          <w:sz w:val="22"/>
          <w:szCs w:val="22"/>
        </w:rPr>
      </w:pPr>
      <w:r>
        <w:rPr>
          <w:rFonts w:hint="eastAsia" w:ascii="宋体" w:hAnsi="宋体" w:cs="宋体"/>
          <w:kern w:val="0"/>
          <w:sz w:val="22"/>
          <w:szCs w:val="22"/>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716A9337">
      <w:pPr>
        <w:tabs>
          <w:tab w:val="left" w:pos="540"/>
        </w:tabs>
        <w:spacing w:line="460" w:lineRule="exact"/>
        <w:rPr>
          <w:rFonts w:ascii="宋体" w:hAnsi="宋体" w:cs="宋体"/>
          <w:kern w:val="0"/>
          <w:sz w:val="22"/>
          <w:szCs w:val="22"/>
        </w:rPr>
      </w:pPr>
      <w:r>
        <w:rPr>
          <w:rFonts w:hint="eastAsia" w:ascii="宋体" w:hAnsi="宋体" w:cs="宋体"/>
          <w:kern w:val="0"/>
          <w:sz w:val="22"/>
          <w:szCs w:val="22"/>
        </w:rPr>
        <w:t>20.2磋商响应文件递交截止时间后，供应商不得撤回、修改磋商响应文件。</w:t>
      </w:r>
    </w:p>
    <w:p w14:paraId="0DA33FF7">
      <w:pPr>
        <w:tabs>
          <w:tab w:val="left" w:pos="540"/>
        </w:tabs>
        <w:spacing w:line="460" w:lineRule="exact"/>
        <w:rPr>
          <w:rFonts w:ascii="宋体" w:hAnsi="宋体" w:cs="宋体"/>
          <w:kern w:val="0"/>
          <w:sz w:val="22"/>
          <w:szCs w:val="22"/>
        </w:rPr>
      </w:pPr>
      <w:r>
        <w:rPr>
          <w:rFonts w:hint="eastAsia" w:ascii="宋体" w:hAnsi="宋体" w:cs="宋体"/>
          <w:kern w:val="0"/>
          <w:sz w:val="22"/>
          <w:szCs w:val="22"/>
        </w:rPr>
        <w:t>21. 磋商响应文件的备选方案</w:t>
      </w:r>
    </w:p>
    <w:p w14:paraId="62EC9BEE">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21.1供应商不得递交任何的投标备选（替代）方案，否则其磋商响应文件将作无效标处理。与“电子加密磋商响应文件”同时生成的“备份磋商响应文件”不是投标备选（替代）方案。</w:t>
      </w:r>
    </w:p>
    <w:p w14:paraId="6541EF94">
      <w:pPr>
        <w:spacing w:before="100" w:beforeAutospacing="1" w:after="100" w:afterAutospacing="1" w:line="440" w:lineRule="exact"/>
        <w:jc w:val="center"/>
        <w:outlineLvl w:val="1"/>
        <w:rPr>
          <w:rFonts w:ascii="宋体" w:hAnsi="宋体" w:cs="宋体"/>
          <w:b/>
          <w:bCs/>
          <w:sz w:val="22"/>
          <w:szCs w:val="22"/>
        </w:rPr>
      </w:pPr>
      <w:bookmarkStart w:id="26" w:name="_Toc222114880"/>
      <w:bookmarkStart w:id="27" w:name="_Toc239145355"/>
      <w:bookmarkStart w:id="28" w:name="_Toc38618586"/>
      <w:bookmarkStart w:id="29" w:name="_Toc221374627"/>
      <w:bookmarkStart w:id="30" w:name="_Toc221356952"/>
      <w:bookmarkStart w:id="31" w:name="_Toc221423620"/>
      <w:bookmarkStart w:id="32" w:name="_Toc221356888"/>
      <w:bookmarkStart w:id="33" w:name="_Toc241404203"/>
      <w:bookmarkStart w:id="34" w:name="_Toc58832086"/>
      <w:bookmarkStart w:id="35" w:name="_Toc38203957"/>
      <w:bookmarkStart w:id="36" w:name="_Toc57626728"/>
      <w:bookmarkStart w:id="37" w:name="_Toc265529384"/>
      <w:bookmarkStart w:id="38" w:name="_Toc223715999"/>
      <w:r>
        <w:rPr>
          <w:rFonts w:hint="eastAsia" w:ascii="宋体" w:hAnsi="宋体" w:cs="宋体"/>
          <w:b/>
          <w:bCs/>
          <w:sz w:val="22"/>
          <w:szCs w:val="22"/>
        </w:rPr>
        <w:t>五   开标</w:t>
      </w:r>
      <w:bookmarkEnd w:id="26"/>
      <w:bookmarkEnd w:id="27"/>
      <w:bookmarkEnd w:id="28"/>
      <w:bookmarkEnd w:id="29"/>
      <w:bookmarkEnd w:id="30"/>
      <w:bookmarkEnd w:id="31"/>
      <w:bookmarkEnd w:id="32"/>
      <w:bookmarkEnd w:id="33"/>
      <w:bookmarkEnd w:id="34"/>
      <w:bookmarkEnd w:id="35"/>
      <w:bookmarkEnd w:id="36"/>
      <w:bookmarkEnd w:id="37"/>
      <w:bookmarkEnd w:id="38"/>
    </w:p>
    <w:p w14:paraId="49B7F0D8">
      <w:pPr>
        <w:tabs>
          <w:tab w:val="left" w:pos="540"/>
        </w:tabs>
        <w:spacing w:line="460" w:lineRule="exact"/>
        <w:rPr>
          <w:rFonts w:ascii="宋体" w:hAnsi="宋体" w:cs="宋体"/>
          <w:kern w:val="0"/>
          <w:sz w:val="22"/>
          <w:szCs w:val="22"/>
        </w:rPr>
      </w:pPr>
      <w:r>
        <w:rPr>
          <w:rFonts w:hint="eastAsia" w:ascii="宋体" w:hAnsi="宋体" w:cs="宋体"/>
          <w:kern w:val="0"/>
          <w:sz w:val="22"/>
          <w:szCs w:val="22"/>
        </w:rPr>
        <w:t>22. 开标形式</w:t>
      </w:r>
    </w:p>
    <w:p w14:paraId="0E78B563">
      <w:pPr>
        <w:tabs>
          <w:tab w:val="left" w:pos="540"/>
        </w:tabs>
        <w:spacing w:line="460" w:lineRule="exact"/>
        <w:rPr>
          <w:rFonts w:ascii="宋体" w:hAnsi="宋体" w:cs="宋体"/>
          <w:kern w:val="0"/>
          <w:sz w:val="22"/>
          <w:szCs w:val="22"/>
        </w:rPr>
      </w:pPr>
      <w:r>
        <w:rPr>
          <w:rFonts w:hint="eastAsia" w:ascii="宋体" w:hAnsi="宋体" w:cs="宋体"/>
          <w:kern w:val="0"/>
          <w:sz w:val="22"/>
          <w:szCs w:val="22"/>
        </w:rPr>
        <w:t>22.1 采购组织机构将按照采购文件规定的时间通过“政采云平台”组织开标、开启磋商响应文件，所有供应商均应当准时在线参加。</w:t>
      </w:r>
    </w:p>
    <w:p w14:paraId="1D07705E">
      <w:pPr>
        <w:tabs>
          <w:tab w:val="left" w:pos="540"/>
        </w:tabs>
        <w:spacing w:line="460" w:lineRule="exact"/>
        <w:rPr>
          <w:rFonts w:ascii="宋体" w:hAnsi="宋体" w:cs="宋体"/>
          <w:kern w:val="0"/>
          <w:sz w:val="22"/>
          <w:szCs w:val="22"/>
        </w:rPr>
      </w:pPr>
      <w:r>
        <w:rPr>
          <w:rFonts w:hint="eastAsia" w:ascii="宋体" w:hAnsi="宋体" w:cs="宋体"/>
          <w:kern w:val="0"/>
          <w:sz w:val="22"/>
          <w:szCs w:val="22"/>
        </w:rPr>
        <w:t>23. 开标准备</w:t>
      </w:r>
    </w:p>
    <w:p w14:paraId="48D19052">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23.1开标的准备工作由采购组织机构负责落实。</w:t>
      </w:r>
    </w:p>
    <w:p w14:paraId="79EAA3AA">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57523F55">
      <w:pPr>
        <w:tabs>
          <w:tab w:val="left" w:pos="540"/>
        </w:tabs>
        <w:spacing w:line="460" w:lineRule="exact"/>
        <w:rPr>
          <w:rFonts w:ascii="宋体" w:hAnsi="宋体" w:cs="宋体"/>
          <w:kern w:val="0"/>
          <w:sz w:val="22"/>
          <w:szCs w:val="22"/>
        </w:rPr>
      </w:pPr>
      <w:r>
        <w:rPr>
          <w:rFonts w:hint="eastAsia" w:ascii="宋体" w:hAnsi="宋体" w:cs="宋体"/>
          <w:kern w:val="0"/>
          <w:sz w:val="22"/>
          <w:szCs w:val="22"/>
        </w:rPr>
        <w:t>24.开标流程（三阶段）</w:t>
      </w:r>
    </w:p>
    <w:p w14:paraId="67BE545C">
      <w:pPr>
        <w:tabs>
          <w:tab w:val="left" w:pos="540"/>
        </w:tabs>
        <w:spacing w:line="460" w:lineRule="exact"/>
        <w:rPr>
          <w:rFonts w:ascii="宋体" w:hAnsi="宋体" w:cs="宋体"/>
          <w:kern w:val="0"/>
          <w:sz w:val="22"/>
          <w:szCs w:val="22"/>
        </w:rPr>
      </w:pPr>
      <w:r>
        <w:rPr>
          <w:rFonts w:hint="eastAsia" w:ascii="宋体" w:hAnsi="宋体" w:cs="宋体"/>
          <w:kern w:val="0"/>
          <w:sz w:val="22"/>
          <w:szCs w:val="22"/>
        </w:rPr>
        <w:t>24.1开标第一阶段</w:t>
      </w:r>
    </w:p>
    <w:p w14:paraId="0D9C256D">
      <w:pPr>
        <w:tabs>
          <w:tab w:val="left" w:pos="540"/>
        </w:tabs>
        <w:spacing w:line="460" w:lineRule="exact"/>
        <w:rPr>
          <w:rFonts w:ascii="宋体" w:hAnsi="宋体" w:cs="宋体"/>
          <w:kern w:val="0"/>
          <w:sz w:val="22"/>
          <w:szCs w:val="22"/>
        </w:rPr>
      </w:pPr>
      <w:r>
        <w:rPr>
          <w:rFonts w:hint="eastAsia" w:ascii="宋体" w:hAnsi="宋体" w:cs="宋体"/>
          <w:kern w:val="0"/>
          <w:sz w:val="22"/>
          <w:szCs w:val="22"/>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751D4AEE">
      <w:pPr>
        <w:tabs>
          <w:tab w:val="left" w:pos="540"/>
        </w:tabs>
        <w:spacing w:line="460" w:lineRule="exact"/>
        <w:rPr>
          <w:rFonts w:ascii="宋体" w:hAnsi="宋体" w:cs="宋体"/>
          <w:kern w:val="0"/>
          <w:sz w:val="22"/>
          <w:szCs w:val="22"/>
        </w:rPr>
      </w:pPr>
      <w:r>
        <w:rPr>
          <w:rFonts w:hint="eastAsia" w:ascii="宋体" w:hAnsi="宋体" w:cs="宋体"/>
          <w:kern w:val="0"/>
          <w:sz w:val="22"/>
          <w:szCs w:val="22"/>
        </w:rPr>
        <w:t>（2）磋商响应文件解密结束，各供应商签署《政府采购活动现场确认声明书》（见附件）后将扫描件发送至采购代理机构邮箱：</w:t>
      </w:r>
      <w:r>
        <w:rPr>
          <w:rFonts w:hint="eastAsia" w:ascii="宋体" w:hAnsi="宋体" w:cs="宋体"/>
          <w:sz w:val="22"/>
          <w:szCs w:val="22"/>
          <w:u w:val="single"/>
        </w:rPr>
        <w:t>ye462978466@qq.com</w:t>
      </w:r>
      <w:r>
        <w:rPr>
          <w:rFonts w:hint="eastAsia" w:ascii="宋体" w:hAnsi="宋体" w:cs="宋体"/>
          <w:kern w:val="0"/>
          <w:sz w:val="22"/>
          <w:szCs w:val="22"/>
        </w:rPr>
        <w:t>；</w:t>
      </w:r>
    </w:p>
    <w:p w14:paraId="2DB59AFB">
      <w:pPr>
        <w:tabs>
          <w:tab w:val="left" w:pos="540"/>
        </w:tabs>
        <w:spacing w:line="460" w:lineRule="exact"/>
        <w:rPr>
          <w:rFonts w:ascii="宋体" w:hAnsi="宋体" w:cs="宋体"/>
          <w:kern w:val="0"/>
          <w:sz w:val="22"/>
          <w:szCs w:val="22"/>
        </w:rPr>
      </w:pPr>
      <w:r>
        <w:rPr>
          <w:rFonts w:hint="eastAsia" w:ascii="宋体" w:hAnsi="宋体" w:cs="宋体"/>
          <w:kern w:val="0"/>
          <w:sz w:val="22"/>
          <w:szCs w:val="22"/>
        </w:rPr>
        <w:t>（3）开启磋商响应文件，进入资格审查；</w:t>
      </w:r>
    </w:p>
    <w:p w14:paraId="1DAC56F1">
      <w:pPr>
        <w:tabs>
          <w:tab w:val="left" w:pos="540"/>
        </w:tabs>
        <w:spacing w:line="460" w:lineRule="exact"/>
        <w:rPr>
          <w:rFonts w:ascii="宋体" w:hAnsi="宋体" w:cs="宋体"/>
          <w:kern w:val="0"/>
          <w:sz w:val="22"/>
          <w:szCs w:val="22"/>
        </w:rPr>
      </w:pPr>
      <w:r>
        <w:rPr>
          <w:rFonts w:hint="eastAsia" w:ascii="宋体" w:hAnsi="宋体" w:cs="宋体"/>
          <w:kern w:val="0"/>
          <w:sz w:val="22"/>
          <w:szCs w:val="22"/>
        </w:rPr>
        <w:t>（4）开启资格审查通过的供应商的商务技术文件进入符合性审查、商务技术评审；</w:t>
      </w:r>
    </w:p>
    <w:p w14:paraId="7693869E">
      <w:pPr>
        <w:tabs>
          <w:tab w:val="left" w:pos="540"/>
        </w:tabs>
        <w:spacing w:line="460" w:lineRule="exact"/>
        <w:rPr>
          <w:rFonts w:ascii="宋体" w:hAnsi="宋体" w:cs="宋体"/>
          <w:kern w:val="0"/>
          <w:sz w:val="22"/>
          <w:szCs w:val="22"/>
        </w:rPr>
      </w:pPr>
      <w:r>
        <w:rPr>
          <w:rFonts w:hint="eastAsia" w:ascii="宋体" w:hAnsi="宋体" w:cs="宋体"/>
          <w:kern w:val="0"/>
          <w:sz w:val="22"/>
          <w:szCs w:val="22"/>
        </w:rPr>
        <w:t>（5）第一阶段开标结束。</w:t>
      </w:r>
    </w:p>
    <w:p w14:paraId="31600C10">
      <w:pPr>
        <w:tabs>
          <w:tab w:val="left" w:pos="540"/>
        </w:tabs>
        <w:spacing w:line="460" w:lineRule="exact"/>
        <w:rPr>
          <w:rFonts w:ascii="宋体" w:hAnsi="宋体" w:cs="宋体"/>
          <w:kern w:val="0"/>
          <w:sz w:val="22"/>
          <w:szCs w:val="22"/>
        </w:rPr>
      </w:pPr>
      <w:r>
        <w:rPr>
          <w:rFonts w:hint="eastAsia" w:ascii="宋体" w:hAnsi="宋体" w:cs="宋体"/>
          <w:kern w:val="0"/>
          <w:sz w:val="22"/>
          <w:szCs w:val="22"/>
        </w:rPr>
        <w:t>备注：开标大会的第一阶段结束后，采购人或采购代理机构将对依法对供应商的资格进行审查，资格审查结束后进入符合性审查和商务技术文件的评审工作，具体见本章节“供应商资格审查”相关规定。</w:t>
      </w:r>
    </w:p>
    <w:p w14:paraId="5A876A68">
      <w:pPr>
        <w:tabs>
          <w:tab w:val="left" w:pos="540"/>
        </w:tabs>
        <w:spacing w:line="460" w:lineRule="exact"/>
        <w:rPr>
          <w:rFonts w:ascii="宋体" w:hAnsi="宋体" w:cs="宋体"/>
          <w:kern w:val="0"/>
          <w:sz w:val="22"/>
          <w:szCs w:val="22"/>
        </w:rPr>
      </w:pPr>
      <w:r>
        <w:rPr>
          <w:rFonts w:hint="eastAsia" w:ascii="宋体" w:hAnsi="宋体" w:cs="宋体"/>
          <w:kern w:val="0"/>
          <w:sz w:val="22"/>
          <w:szCs w:val="22"/>
        </w:rPr>
        <w:t>24.2开标大会第二阶段</w:t>
      </w:r>
    </w:p>
    <w:p w14:paraId="334C887F">
      <w:pPr>
        <w:tabs>
          <w:tab w:val="left" w:pos="540"/>
        </w:tabs>
        <w:spacing w:line="460" w:lineRule="exact"/>
        <w:rPr>
          <w:rFonts w:ascii="宋体" w:hAnsi="宋体" w:cs="宋体"/>
          <w:kern w:val="0"/>
          <w:sz w:val="22"/>
          <w:szCs w:val="22"/>
        </w:rPr>
      </w:pPr>
      <w:r>
        <w:rPr>
          <w:rFonts w:hint="eastAsia" w:ascii="宋体" w:hAnsi="宋体" w:cs="宋体"/>
          <w:kern w:val="0"/>
          <w:sz w:val="22"/>
          <w:szCs w:val="22"/>
        </w:rPr>
        <w:t>（1）符合性审查、商务技术文件的评审结束后，举行开标大会第二阶段会议。首先在“政采云平台”系统平台上公布符合性审查、商务技术评审无效供应商名称及理由；公布经商务技术评审后有效供应商的名单。</w:t>
      </w:r>
    </w:p>
    <w:p w14:paraId="78F92AF0">
      <w:pPr>
        <w:tabs>
          <w:tab w:val="left" w:pos="540"/>
        </w:tabs>
        <w:spacing w:line="460" w:lineRule="exact"/>
        <w:rPr>
          <w:rFonts w:ascii="宋体" w:hAnsi="宋体" w:cs="宋体"/>
          <w:kern w:val="0"/>
          <w:sz w:val="22"/>
          <w:szCs w:val="22"/>
        </w:rPr>
      </w:pPr>
      <w:r>
        <w:rPr>
          <w:rFonts w:hint="eastAsia" w:ascii="宋体" w:hAnsi="宋体" w:cs="宋体"/>
          <w:kern w:val="0"/>
          <w:sz w:val="22"/>
          <w:szCs w:val="22"/>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5AD53DDE">
      <w:pPr>
        <w:tabs>
          <w:tab w:val="left" w:pos="540"/>
        </w:tabs>
        <w:spacing w:line="460" w:lineRule="exact"/>
        <w:rPr>
          <w:rFonts w:ascii="宋体" w:hAnsi="宋体" w:cs="宋体"/>
          <w:kern w:val="0"/>
          <w:sz w:val="22"/>
          <w:szCs w:val="22"/>
        </w:rPr>
      </w:pPr>
      <w:r>
        <w:rPr>
          <w:rFonts w:hint="eastAsia" w:ascii="宋体" w:hAnsi="宋体" w:cs="宋体"/>
          <w:kern w:val="0"/>
          <w:sz w:val="22"/>
          <w:szCs w:val="22"/>
        </w:rPr>
        <w:t>24.3开标第三阶段</w:t>
      </w:r>
    </w:p>
    <w:p w14:paraId="2FDCB5E1">
      <w:pPr>
        <w:tabs>
          <w:tab w:val="left" w:pos="540"/>
        </w:tabs>
        <w:spacing w:line="460" w:lineRule="exact"/>
        <w:rPr>
          <w:rFonts w:ascii="宋体" w:hAnsi="宋体" w:cs="宋体"/>
          <w:kern w:val="0"/>
          <w:sz w:val="22"/>
          <w:szCs w:val="22"/>
        </w:rPr>
      </w:pPr>
      <w:r>
        <w:rPr>
          <w:rFonts w:hint="eastAsia" w:ascii="宋体" w:hAnsi="宋体" w:cs="宋体"/>
          <w:kern w:val="0"/>
          <w:sz w:val="22"/>
          <w:szCs w:val="22"/>
        </w:rPr>
        <w:t>（1）供应商在规定的时间内在政采云平台提交二次（最终）报价；</w:t>
      </w:r>
    </w:p>
    <w:p w14:paraId="1E1BF723">
      <w:pPr>
        <w:tabs>
          <w:tab w:val="left" w:pos="540"/>
        </w:tabs>
        <w:spacing w:line="460" w:lineRule="exact"/>
        <w:rPr>
          <w:rFonts w:ascii="宋体" w:hAnsi="宋体" w:cs="宋体"/>
          <w:kern w:val="0"/>
          <w:sz w:val="22"/>
          <w:szCs w:val="22"/>
        </w:rPr>
      </w:pPr>
      <w:r>
        <w:rPr>
          <w:rFonts w:hint="eastAsia" w:ascii="宋体" w:hAnsi="宋体" w:cs="宋体"/>
          <w:kern w:val="0"/>
          <w:sz w:val="22"/>
          <w:szCs w:val="22"/>
        </w:rPr>
        <w:t>（2）开启供应商的二次（最终）报价文件，公布二次（最终）报价有关内容，同时当场制作开标记录，供应商在线进行确认。开标结束后，由磋商小组对报价的合理性、准确性等进行审查核实。</w:t>
      </w:r>
    </w:p>
    <w:p w14:paraId="30E80A86">
      <w:pPr>
        <w:tabs>
          <w:tab w:val="left" w:pos="540"/>
        </w:tabs>
        <w:spacing w:line="460" w:lineRule="exact"/>
        <w:rPr>
          <w:rFonts w:ascii="宋体" w:hAnsi="宋体" w:cs="宋体"/>
          <w:kern w:val="0"/>
          <w:sz w:val="22"/>
          <w:szCs w:val="22"/>
        </w:rPr>
      </w:pPr>
      <w:r>
        <w:rPr>
          <w:rFonts w:hint="eastAsia" w:ascii="宋体" w:hAnsi="宋体" w:cs="宋体"/>
          <w:kern w:val="0"/>
          <w:sz w:val="22"/>
          <w:szCs w:val="22"/>
        </w:rPr>
        <w:t>▲特别说明：如遇“政采云平台”电子化开标或评审程序调整的，按调整后程序执行。</w:t>
      </w:r>
    </w:p>
    <w:p w14:paraId="241962CD">
      <w:pPr>
        <w:tabs>
          <w:tab w:val="left" w:pos="540"/>
        </w:tabs>
        <w:spacing w:line="460" w:lineRule="exact"/>
        <w:rPr>
          <w:rFonts w:ascii="宋体" w:hAnsi="宋体" w:cs="宋体"/>
          <w:kern w:val="0"/>
          <w:sz w:val="22"/>
          <w:szCs w:val="22"/>
        </w:rPr>
      </w:pPr>
      <w:bookmarkStart w:id="39" w:name="_Toc24550037"/>
      <w:bookmarkStart w:id="40" w:name="_Toc33194393"/>
      <w:r>
        <w:rPr>
          <w:rFonts w:hint="eastAsia" w:ascii="宋体" w:hAnsi="宋体" w:cs="宋体"/>
          <w:kern w:val="0"/>
          <w:sz w:val="22"/>
          <w:szCs w:val="22"/>
        </w:rPr>
        <w:t>25. 供应商资格审查</w:t>
      </w:r>
      <w:bookmarkEnd w:id="39"/>
      <w:bookmarkEnd w:id="40"/>
    </w:p>
    <w:p w14:paraId="60614CF8">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1F8AC70F">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25.2供应商提交的资格审查材料无法证明其符合采购文件规定的“供应商资格要求”的，采购人或采购代理机构将对其做资格审查不通过处理（无效投标），并不再将其投标提交磋商小组进行后续评审。</w:t>
      </w:r>
    </w:p>
    <w:p w14:paraId="7E982824">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25.3单位负责人为同一人或者存在直接控股、管理关系的不同供应商参加同一合同项下的政府采购活动的，相关供应商均作资格无效处理。</w:t>
      </w:r>
    </w:p>
    <w:p w14:paraId="4EBF37A0">
      <w:pPr>
        <w:spacing w:before="100" w:beforeAutospacing="1" w:after="100" w:afterAutospacing="1" w:line="440" w:lineRule="exact"/>
        <w:jc w:val="center"/>
        <w:outlineLvl w:val="1"/>
        <w:rPr>
          <w:rFonts w:ascii="宋体" w:hAnsi="宋体" w:cs="宋体"/>
          <w:b/>
          <w:bCs/>
          <w:sz w:val="22"/>
          <w:szCs w:val="22"/>
        </w:rPr>
      </w:pPr>
      <w:bookmarkStart w:id="41" w:name="_Toc58832087"/>
      <w:bookmarkStart w:id="42" w:name="_Toc38618587"/>
      <w:bookmarkStart w:id="43" w:name="_Toc57626729"/>
      <w:r>
        <w:rPr>
          <w:rFonts w:hint="eastAsia" w:ascii="宋体" w:hAnsi="宋体" w:cs="宋体"/>
          <w:b/>
          <w:bCs/>
          <w:sz w:val="22"/>
          <w:szCs w:val="22"/>
        </w:rPr>
        <w:t>六   磋商</w:t>
      </w:r>
      <w:bookmarkEnd w:id="25"/>
      <w:bookmarkEnd w:id="41"/>
      <w:bookmarkEnd w:id="42"/>
      <w:bookmarkEnd w:id="43"/>
    </w:p>
    <w:p w14:paraId="44F8987C">
      <w:pPr>
        <w:spacing w:line="460" w:lineRule="exact"/>
        <w:rPr>
          <w:rFonts w:ascii="宋体" w:hAnsi="宋体" w:cs="宋体"/>
          <w:sz w:val="22"/>
          <w:szCs w:val="22"/>
        </w:rPr>
      </w:pPr>
      <w:r>
        <w:rPr>
          <w:rFonts w:hint="eastAsia" w:ascii="宋体" w:hAnsi="宋体" w:cs="宋体"/>
          <w:sz w:val="22"/>
          <w:szCs w:val="22"/>
        </w:rPr>
        <w:t>26.磋商小组</w:t>
      </w:r>
    </w:p>
    <w:p w14:paraId="5159B25F">
      <w:pPr>
        <w:spacing w:line="460" w:lineRule="exact"/>
        <w:ind w:firstLine="440" w:firstLineChars="200"/>
        <w:rPr>
          <w:rFonts w:ascii="宋体" w:hAnsi="宋体" w:cs="宋体"/>
          <w:sz w:val="22"/>
          <w:szCs w:val="22"/>
        </w:rPr>
      </w:pPr>
      <w:r>
        <w:rPr>
          <w:rFonts w:hint="eastAsia" w:ascii="宋体" w:hAnsi="宋体" w:cs="宋体"/>
          <w:kern w:val="0"/>
          <w:sz w:val="22"/>
          <w:szCs w:val="22"/>
        </w:rPr>
        <w:t>采购人按照《中华人民共和国政府采购法》等有关法律、法规的规定组建磋商小组，磋商小组成员由采购人代表和有关技术、经济等方面的专家组成，成员人数为3人及以上，除采购人代表外的专家将在评标专家库中随机抽取产生。</w:t>
      </w:r>
    </w:p>
    <w:p w14:paraId="431D581C">
      <w:pPr>
        <w:spacing w:line="460" w:lineRule="exact"/>
        <w:rPr>
          <w:rFonts w:ascii="宋体" w:hAnsi="宋体" w:cs="宋体"/>
          <w:sz w:val="22"/>
          <w:szCs w:val="22"/>
        </w:rPr>
      </w:pPr>
      <w:r>
        <w:rPr>
          <w:rFonts w:hint="eastAsia" w:ascii="宋体" w:hAnsi="宋体" w:cs="宋体"/>
          <w:sz w:val="22"/>
          <w:szCs w:val="22"/>
        </w:rPr>
        <w:t>27.磋商评审过程的保密性</w:t>
      </w:r>
    </w:p>
    <w:p w14:paraId="03673B41">
      <w:pPr>
        <w:spacing w:line="460" w:lineRule="exact"/>
        <w:ind w:firstLine="440" w:firstLineChars="200"/>
        <w:rPr>
          <w:rFonts w:ascii="宋体" w:hAnsi="宋体" w:cs="宋体"/>
          <w:sz w:val="22"/>
          <w:szCs w:val="22"/>
        </w:rPr>
      </w:pPr>
      <w:r>
        <w:rPr>
          <w:rFonts w:hint="eastAsia" w:ascii="宋体" w:hAnsi="宋体" w:cs="宋体"/>
          <w:sz w:val="22"/>
          <w:szCs w:val="22"/>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7A2D9D41">
      <w:pPr>
        <w:spacing w:line="460" w:lineRule="exact"/>
        <w:rPr>
          <w:rFonts w:ascii="宋体" w:hAnsi="宋体" w:cs="宋体"/>
          <w:sz w:val="22"/>
          <w:szCs w:val="22"/>
        </w:rPr>
      </w:pPr>
      <w:r>
        <w:rPr>
          <w:rFonts w:hint="eastAsia" w:ascii="宋体" w:hAnsi="宋体" w:cs="宋体"/>
          <w:sz w:val="22"/>
          <w:szCs w:val="22"/>
        </w:rPr>
        <w:t>28.磋商和评审</w:t>
      </w:r>
    </w:p>
    <w:p w14:paraId="17DAAB76">
      <w:pPr>
        <w:spacing w:line="460" w:lineRule="exact"/>
        <w:rPr>
          <w:rFonts w:ascii="宋体" w:hAnsi="宋体" w:cs="宋体"/>
          <w:kern w:val="0"/>
          <w:sz w:val="22"/>
          <w:szCs w:val="22"/>
        </w:rPr>
      </w:pPr>
      <w:r>
        <w:rPr>
          <w:rFonts w:hint="eastAsia" w:ascii="宋体" w:hAnsi="宋体" w:cs="宋体"/>
          <w:kern w:val="0"/>
          <w:sz w:val="22"/>
          <w:szCs w:val="22"/>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14:paraId="60161D4B">
      <w:pPr>
        <w:spacing w:line="460" w:lineRule="exact"/>
        <w:rPr>
          <w:rFonts w:ascii="宋体" w:hAnsi="宋体" w:cs="宋体"/>
          <w:kern w:val="0"/>
          <w:sz w:val="22"/>
          <w:szCs w:val="22"/>
        </w:rPr>
      </w:pPr>
      <w:r>
        <w:rPr>
          <w:rFonts w:hint="eastAsia" w:ascii="宋体" w:hAnsi="宋体" w:cs="宋体"/>
          <w:kern w:val="0"/>
          <w:sz w:val="22"/>
          <w:szCs w:val="22"/>
        </w:rPr>
        <w:t>28.2磋商响应文件的澄清</w:t>
      </w:r>
    </w:p>
    <w:p w14:paraId="24B6ED4B">
      <w:pPr>
        <w:spacing w:line="460" w:lineRule="exact"/>
        <w:rPr>
          <w:rFonts w:ascii="宋体" w:hAnsi="宋体" w:cs="宋体"/>
          <w:sz w:val="22"/>
          <w:szCs w:val="22"/>
        </w:rPr>
      </w:pPr>
      <w:r>
        <w:rPr>
          <w:rFonts w:hint="eastAsia" w:ascii="宋体" w:hAnsi="宋体" w:cs="宋体"/>
          <w:kern w:val="0"/>
          <w:sz w:val="22"/>
          <w:szCs w:val="22"/>
        </w:rPr>
        <w:t>（1）磋商评审过程中供应商有义务对磋商小组提出就磋商响应文件中含义不明确、同类问题表述不</w:t>
      </w:r>
      <w:r>
        <w:rPr>
          <w:rFonts w:hint="eastAsia" w:ascii="宋体" w:hAnsi="宋体" w:cs="宋体"/>
          <w:sz w:val="22"/>
          <w:szCs w:val="22"/>
        </w:rPr>
        <w:t>一致或者有明显的文字和计算错误的内容进行澄清、说明，或者纠正。并在磋商结束前，对澄清、说明或者纠正的相关内容在政采云平台以书面形式进行最终确认，并由磋商供应商代表签字（签章），但不得改变磋商响应文件的实质性内容。供应商的澄清、说明或者更正应当由法定代表人或其授权代表签字或者加盖公章（CA电子公章）。</w:t>
      </w:r>
    </w:p>
    <w:p w14:paraId="34641C7A">
      <w:pPr>
        <w:spacing w:line="460" w:lineRule="exact"/>
        <w:rPr>
          <w:rFonts w:ascii="宋体" w:hAnsi="宋体" w:cs="宋体"/>
          <w:kern w:val="0"/>
          <w:sz w:val="22"/>
          <w:szCs w:val="22"/>
        </w:rPr>
      </w:pPr>
      <w:r>
        <w:rPr>
          <w:rFonts w:hint="eastAsia" w:ascii="宋体" w:hAnsi="宋体" w:cs="宋体"/>
          <w:sz w:val="22"/>
          <w:szCs w:val="22"/>
        </w:rPr>
        <w:t>（2）</w:t>
      </w:r>
      <w:r>
        <w:rPr>
          <w:rFonts w:hint="eastAsia" w:ascii="宋体" w:hAnsi="宋体" w:cs="宋体"/>
          <w:kern w:val="0"/>
          <w:sz w:val="22"/>
          <w:szCs w:val="22"/>
        </w:rPr>
        <w:t>若磋商响应文件中所提交的证书、证明等材料若出现已过有效期、时间或其他主要信息不明确，且供应商书面澄清（书面澄清仅限在磋商响应文件递交截止时间前所提交磋商响应文件及相关材料中未被磋商小组审查出的内容）亦不明确的，评审过程中将不予认可，不再寻求外部证据（外部证据包括供应商在澄清过程中申请补交的证明材料或网络查询结果等非磋商响应文件本身内容）。</w:t>
      </w:r>
    </w:p>
    <w:p w14:paraId="2AF1D605">
      <w:pPr>
        <w:spacing w:line="460" w:lineRule="exact"/>
        <w:rPr>
          <w:rFonts w:ascii="宋体" w:hAnsi="宋体" w:cs="宋体"/>
          <w:sz w:val="22"/>
          <w:szCs w:val="22"/>
        </w:rPr>
      </w:pPr>
      <w:r>
        <w:rPr>
          <w:rFonts w:hint="eastAsia" w:ascii="宋体" w:hAnsi="宋体" w:cs="宋体"/>
          <w:kern w:val="0"/>
          <w:sz w:val="22"/>
          <w:szCs w:val="22"/>
        </w:rPr>
        <w:t>（3）</w:t>
      </w:r>
      <w:r>
        <w:rPr>
          <w:rFonts w:hint="eastAsia" w:ascii="宋体" w:hAnsi="宋体" w:cs="宋体"/>
          <w:sz w:val="22"/>
          <w:szCs w:val="22"/>
        </w:rPr>
        <w:t>如果供应商代表拒绝按磋商小组要求在“政采云平台”作出在线回复且无其他有效回复方式的，磋商小组可以否决其磋商响应文件。</w:t>
      </w:r>
    </w:p>
    <w:p w14:paraId="7809DE8C">
      <w:pPr>
        <w:spacing w:line="460" w:lineRule="exact"/>
        <w:rPr>
          <w:rFonts w:ascii="宋体" w:hAnsi="宋体" w:cs="宋体"/>
          <w:sz w:val="22"/>
          <w:szCs w:val="22"/>
        </w:rPr>
      </w:pPr>
      <w:r>
        <w:rPr>
          <w:rFonts w:hint="eastAsia" w:ascii="宋体" w:hAnsi="宋体" w:cs="宋体"/>
          <w:sz w:val="22"/>
          <w:szCs w:val="22"/>
        </w:rPr>
        <w:t>28.3</w:t>
      </w:r>
      <w:r>
        <w:rPr>
          <w:rFonts w:hint="eastAsia" w:ascii="宋体" w:hAnsi="宋体" w:cs="宋体"/>
          <w:sz w:val="22"/>
          <w:szCs w:val="22"/>
          <w:u w:val="single"/>
        </w:rPr>
        <w:t>▲经澄清后，若偏差仍存在，且不可接受，磋商供应商则被认为是“没有实质性响应采购文件要求”，其磋商不进入下一步评审</w:t>
      </w:r>
      <w:r>
        <w:rPr>
          <w:rFonts w:hint="eastAsia" w:ascii="宋体" w:hAnsi="宋体" w:cs="宋体"/>
          <w:sz w:val="22"/>
          <w:szCs w:val="22"/>
        </w:rPr>
        <w:t>。</w:t>
      </w:r>
    </w:p>
    <w:p w14:paraId="0AB702B8">
      <w:pPr>
        <w:spacing w:line="460" w:lineRule="exact"/>
        <w:rPr>
          <w:rFonts w:ascii="宋体" w:hAnsi="宋体" w:cs="宋体"/>
          <w:sz w:val="22"/>
          <w:szCs w:val="22"/>
        </w:rPr>
      </w:pPr>
      <w:r>
        <w:rPr>
          <w:rFonts w:hint="eastAsia" w:ascii="宋体" w:hAnsi="宋体" w:cs="宋体"/>
          <w:sz w:val="22"/>
          <w:szCs w:val="22"/>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C9C5890">
      <w:pPr>
        <w:spacing w:line="460" w:lineRule="exact"/>
        <w:rPr>
          <w:rFonts w:ascii="宋体" w:hAnsi="宋体" w:cs="宋体"/>
          <w:sz w:val="22"/>
          <w:szCs w:val="22"/>
        </w:rPr>
      </w:pPr>
      <w:r>
        <w:rPr>
          <w:rFonts w:hint="eastAsia" w:ascii="宋体" w:hAnsi="宋体" w:cs="宋体"/>
          <w:sz w:val="22"/>
          <w:szCs w:val="22"/>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4E7F1EF9">
      <w:pPr>
        <w:spacing w:line="460" w:lineRule="exact"/>
        <w:rPr>
          <w:rFonts w:ascii="宋体" w:hAnsi="宋体" w:cs="宋体"/>
          <w:sz w:val="22"/>
          <w:szCs w:val="22"/>
        </w:rPr>
      </w:pPr>
      <w:r>
        <w:rPr>
          <w:rFonts w:hint="eastAsia" w:ascii="宋体" w:hAnsi="宋体" w:cs="宋体"/>
          <w:sz w:val="22"/>
          <w:szCs w:val="22"/>
        </w:rPr>
        <w:t>28.6在磋商过程中，磋商供应商不得向磋商小组成员询问磋商情况，不得进行旨在影响磋商结果的活动，否则将取消其磋商资格。</w:t>
      </w:r>
    </w:p>
    <w:p w14:paraId="02CADA03">
      <w:pPr>
        <w:spacing w:line="460" w:lineRule="exact"/>
        <w:rPr>
          <w:rFonts w:ascii="宋体" w:hAnsi="宋体" w:cs="宋体"/>
          <w:sz w:val="22"/>
          <w:szCs w:val="22"/>
        </w:rPr>
      </w:pPr>
      <w:r>
        <w:rPr>
          <w:rFonts w:hint="eastAsia" w:ascii="宋体" w:hAnsi="宋体" w:cs="宋体"/>
          <w:sz w:val="22"/>
          <w:szCs w:val="22"/>
        </w:rPr>
        <w:t>28.7在磋商过程中，磋商小组成员不得与磋商供应商私下交换意见，在竞争性磋商结束后，凡与磋商情况有接触的人不得将磋商情况扩散出磋商小组成员外。</w:t>
      </w:r>
    </w:p>
    <w:p w14:paraId="4DD8903F">
      <w:pPr>
        <w:spacing w:line="460" w:lineRule="exact"/>
        <w:rPr>
          <w:rFonts w:ascii="宋体" w:hAnsi="宋体" w:cs="宋体"/>
          <w:sz w:val="22"/>
          <w:szCs w:val="22"/>
        </w:rPr>
      </w:pPr>
      <w:r>
        <w:rPr>
          <w:rFonts w:hint="eastAsia" w:ascii="宋体" w:hAnsi="宋体" w:cs="宋体"/>
          <w:sz w:val="22"/>
          <w:szCs w:val="22"/>
        </w:rPr>
        <w:t>28.8磋商结束后，磋商小组将要求磋商供应商在规定的时间内，统一进行最后报价，最后报价不得高于一次报价（磋商小组另有决议的除外）。</w:t>
      </w:r>
    </w:p>
    <w:p w14:paraId="2FCFC6DC">
      <w:pPr>
        <w:spacing w:line="460" w:lineRule="exact"/>
        <w:rPr>
          <w:rFonts w:ascii="宋体" w:hAnsi="宋体" w:cs="宋体"/>
          <w:sz w:val="22"/>
          <w:szCs w:val="22"/>
        </w:rPr>
      </w:pPr>
      <w:r>
        <w:rPr>
          <w:rFonts w:hint="eastAsia" w:ascii="宋体" w:hAnsi="宋体" w:cs="宋体"/>
          <w:sz w:val="22"/>
          <w:szCs w:val="22"/>
        </w:rPr>
        <w:t xml:space="preserve">29.▲ </w:t>
      </w:r>
      <w:r>
        <w:rPr>
          <w:rFonts w:hint="eastAsia" w:ascii="宋体" w:hAnsi="宋体" w:cs="宋体"/>
          <w:sz w:val="22"/>
          <w:szCs w:val="22"/>
          <w:u w:val="single"/>
        </w:rPr>
        <w:t>在磋商响应文件的评审过程中，有下列情况之一的，经磋商小组认定后按无效标处理</w:t>
      </w:r>
      <w:r>
        <w:rPr>
          <w:rFonts w:hint="eastAsia" w:ascii="宋体" w:hAnsi="宋体" w:cs="宋体"/>
          <w:sz w:val="22"/>
          <w:szCs w:val="22"/>
        </w:rPr>
        <w:t>：</w:t>
      </w:r>
    </w:p>
    <w:p w14:paraId="69CDEB25">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磋商响应文件未按采购文件的要求签章的；</w:t>
      </w:r>
    </w:p>
    <w:p w14:paraId="5E36317F">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授权代表没有法定代表人合法、有效委托的；</w:t>
      </w:r>
    </w:p>
    <w:p w14:paraId="64AD9C4B">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未按采购文件要求提供资格审查资料原件扫描件的；</w:t>
      </w:r>
    </w:p>
    <w:p w14:paraId="6723DA87">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电子磋商响应文件解密失败的，且未在规定时间内提交备份磋商响应文件的；</w:t>
      </w:r>
    </w:p>
    <w:p w14:paraId="143C903E">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磋商响应文件内容不全或关键字迹模糊无法辨认的。</w:t>
      </w:r>
    </w:p>
    <w:p w14:paraId="0BC23D95">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供应商递交两份或多份内容不同的磋商响应文件，或在一份磋商响应文件中对同一项目报价有两个或多个报价，且未声明哪一个有效（大小写不一致的除外）。</w:t>
      </w:r>
    </w:p>
    <w:p w14:paraId="02420245">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磋商响应文件附有采购人不能接受的条件；</w:t>
      </w:r>
    </w:p>
    <w:p w14:paraId="4F75FB29">
      <w:pPr>
        <w:numPr>
          <w:ilvl w:val="0"/>
          <w:numId w:val="6"/>
        </w:numPr>
        <w:spacing w:line="440" w:lineRule="exact"/>
        <w:ind w:firstLine="399" w:firstLineChars="190"/>
        <w:rPr>
          <w:rFonts w:ascii="宋体" w:hAnsi="宋体" w:cs="宋体"/>
          <w:bCs/>
          <w:szCs w:val="21"/>
        </w:rPr>
      </w:pPr>
      <w:r>
        <w:rPr>
          <w:rFonts w:hint="eastAsia" w:ascii="宋体" w:hAnsi="宋体" w:cs="宋体"/>
          <w:bCs/>
          <w:szCs w:val="21"/>
        </w:rPr>
        <w:t>供应商联合体投标的；</w:t>
      </w:r>
    </w:p>
    <w:p w14:paraId="52C90979">
      <w:pPr>
        <w:numPr>
          <w:ilvl w:val="0"/>
          <w:numId w:val="6"/>
        </w:numPr>
        <w:spacing w:line="440" w:lineRule="exact"/>
        <w:ind w:firstLine="418" w:firstLineChars="190"/>
        <w:rPr>
          <w:rFonts w:ascii="宋体" w:hAnsi="宋体" w:cs="宋体"/>
          <w:bCs/>
          <w:sz w:val="22"/>
          <w:szCs w:val="22"/>
        </w:rPr>
      </w:pPr>
      <w:r>
        <w:rPr>
          <w:rFonts w:hint="eastAsia" w:ascii="宋体" w:hAnsi="宋体" w:cs="宋体"/>
          <w:bCs/>
          <w:sz w:val="22"/>
          <w:szCs w:val="22"/>
        </w:rPr>
        <w:t>磋商响应文件采用总价让利或百分比让利等让利方式报价；</w:t>
      </w:r>
    </w:p>
    <w:p w14:paraId="6BD9B8A4">
      <w:pPr>
        <w:numPr>
          <w:ilvl w:val="0"/>
          <w:numId w:val="6"/>
        </w:numPr>
        <w:spacing w:line="440" w:lineRule="exact"/>
        <w:ind w:firstLine="418" w:firstLineChars="190"/>
        <w:rPr>
          <w:rFonts w:ascii="宋体" w:hAnsi="宋体" w:cs="宋体"/>
          <w:bCs/>
          <w:sz w:val="22"/>
          <w:szCs w:val="22"/>
        </w:rPr>
      </w:pPr>
      <w:r>
        <w:rPr>
          <w:rFonts w:hint="eastAsia" w:ascii="宋体" w:hAnsi="宋体" w:cs="宋体"/>
          <w:bCs/>
          <w:sz w:val="22"/>
          <w:szCs w:val="22"/>
        </w:rPr>
        <w:t>供应商报价超过项目预算金额的；</w:t>
      </w:r>
    </w:p>
    <w:p w14:paraId="10878D82">
      <w:pPr>
        <w:numPr>
          <w:ilvl w:val="0"/>
          <w:numId w:val="6"/>
        </w:numPr>
        <w:spacing w:line="440" w:lineRule="exact"/>
        <w:ind w:firstLine="418" w:firstLineChars="190"/>
        <w:rPr>
          <w:rFonts w:ascii="宋体" w:hAnsi="宋体" w:cs="宋体"/>
          <w:bCs/>
          <w:sz w:val="22"/>
          <w:szCs w:val="22"/>
        </w:rPr>
      </w:pPr>
      <w:r>
        <w:rPr>
          <w:rFonts w:hint="eastAsia" w:ascii="宋体" w:hAnsi="宋体" w:cs="宋体"/>
          <w:bCs/>
          <w:sz w:val="22"/>
          <w:szCs w:val="22"/>
        </w:rPr>
        <w:t>磋商小组认定不符合法律、法规和采购文件中规定的其他实质性要求的。</w:t>
      </w:r>
    </w:p>
    <w:p w14:paraId="43CBD350">
      <w:pPr>
        <w:pStyle w:val="53"/>
        <w:numPr>
          <w:ilvl w:val="0"/>
          <w:numId w:val="6"/>
        </w:numPr>
        <w:spacing w:after="0" w:line="440" w:lineRule="exact"/>
        <w:ind w:firstLine="418" w:firstLineChars="190"/>
        <w:rPr>
          <w:rFonts w:ascii="宋体" w:hAnsi="宋体" w:cs="宋体"/>
          <w:b w:val="0"/>
          <w:bCs/>
          <w:sz w:val="22"/>
          <w:szCs w:val="22"/>
        </w:rPr>
      </w:pPr>
      <w:r>
        <w:rPr>
          <w:rFonts w:hint="eastAsia" w:ascii="宋体" w:hAnsi="宋体" w:cs="宋体"/>
          <w:b w:val="0"/>
          <w:bCs/>
          <w:sz w:val="22"/>
          <w:szCs w:val="22"/>
        </w:rPr>
        <w:t>不同供应商的电子投标（响应）文件上传的IP地址、MAC地址、硬盘序列号等硬件信息相同且无法合理解释的；</w:t>
      </w:r>
    </w:p>
    <w:p w14:paraId="022FB972">
      <w:pPr>
        <w:pStyle w:val="53"/>
        <w:numPr>
          <w:ilvl w:val="0"/>
          <w:numId w:val="6"/>
        </w:numPr>
        <w:spacing w:after="0" w:line="440" w:lineRule="exact"/>
        <w:ind w:firstLine="418" w:firstLineChars="190"/>
        <w:rPr>
          <w:b w:val="0"/>
          <w:bCs/>
          <w:sz w:val="22"/>
          <w:szCs w:val="22"/>
        </w:rPr>
      </w:pPr>
      <w:r>
        <w:rPr>
          <w:rFonts w:hint="eastAsia" w:ascii="宋体" w:hAnsi="宋体" w:cs="宋体"/>
          <w:b w:val="0"/>
          <w:bCs/>
          <w:sz w:val="22"/>
          <w:szCs w:val="22"/>
        </w:rPr>
        <w:t>不同供应商的电子投标（响应）文件上传时的手机号信息相同且无法合理解释的。</w:t>
      </w:r>
    </w:p>
    <w:p w14:paraId="62639864">
      <w:pPr>
        <w:spacing w:line="460" w:lineRule="exact"/>
        <w:rPr>
          <w:rFonts w:ascii="宋体" w:hAnsi="宋体" w:cs="宋体"/>
          <w:sz w:val="22"/>
          <w:szCs w:val="22"/>
        </w:rPr>
      </w:pPr>
      <w:r>
        <w:rPr>
          <w:rFonts w:hint="eastAsia" w:ascii="宋体" w:hAnsi="宋体" w:cs="宋体"/>
          <w:kern w:val="0"/>
          <w:sz w:val="22"/>
          <w:szCs w:val="22"/>
          <w:u w:val="single"/>
        </w:rPr>
        <w:t>30.有下列情形之一的，视为供应商串通投标，其磋商响应文件无效</w:t>
      </w:r>
      <w:r>
        <w:rPr>
          <w:rFonts w:hint="eastAsia" w:ascii="宋体" w:hAnsi="宋体" w:cs="宋体"/>
          <w:kern w:val="0"/>
          <w:sz w:val="22"/>
          <w:szCs w:val="22"/>
        </w:rPr>
        <w:t>：</w:t>
      </w:r>
    </w:p>
    <w:p w14:paraId="5ADF96C9">
      <w:pPr>
        <w:numPr>
          <w:ilvl w:val="0"/>
          <w:numId w:val="7"/>
        </w:numPr>
        <w:spacing w:line="440" w:lineRule="exact"/>
        <w:ind w:firstLine="399" w:firstLineChars="190"/>
        <w:rPr>
          <w:rFonts w:ascii="宋体" w:hAnsi="宋体" w:cs="宋体"/>
          <w:bCs/>
          <w:szCs w:val="21"/>
        </w:rPr>
      </w:pPr>
      <w:r>
        <w:rPr>
          <w:rFonts w:hint="eastAsia" w:ascii="宋体" w:hAnsi="宋体" w:cs="宋体"/>
          <w:bCs/>
          <w:szCs w:val="21"/>
        </w:rPr>
        <w:t>不同供应商的磋商响应文件由同一单位或者个人编制；</w:t>
      </w:r>
    </w:p>
    <w:p w14:paraId="1CF2D7B8">
      <w:pPr>
        <w:numPr>
          <w:ilvl w:val="0"/>
          <w:numId w:val="7"/>
        </w:numPr>
        <w:spacing w:line="440" w:lineRule="exact"/>
        <w:ind w:firstLine="399" w:firstLineChars="190"/>
        <w:rPr>
          <w:rFonts w:ascii="宋体" w:hAnsi="宋体" w:cs="宋体"/>
          <w:bCs/>
          <w:szCs w:val="21"/>
        </w:rPr>
      </w:pPr>
      <w:r>
        <w:rPr>
          <w:rFonts w:hint="eastAsia" w:ascii="宋体" w:hAnsi="宋体" w:cs="宋体"/>
          <w:bCs/>
          <w:szCs w:val="21"/>
        </w:rPr>
        <w:t>不同供应商委托同一单位或者个人办理投标事宜；</w:t>
      </w:r>
    </w:p>
    <w:p w14:paraId="0783D29E">
      <w:pPr>
        <w:numPr>
          <w:ilvl w:val="0"/>
          <w:numId w:val="7"/>
        </w:numPr>
        <w:spacing w:line="440" w:lineRule="exact"/>
        <w:ind w:firstLine="399" w:firstLineChars="190"/>
        <w:rPr>
          <w:rFonts w:ascii="宋体" w:hAnsi="宋体" w:cs="宋体"/>
          <w:bCs/>
          <w:szCs w:val="21"/>
        </w:rPr>
      </w:pPr>
      <w:r>
        <w:rPr>
          <w:rFonts w:hint="eastAsia" w:ascii="宋体" w:hAnsi="宋体" w:cs="宋体"/>
          <w:bCs/>
          <w:szCs w:val="21"/>
        </w:rPr>
        <w:t>不同供应商的磋商响应文件载明的项目管理成员或者联系人员为同一人；</w:t>
      </w:r>
    </w:p>
    <w:p w14:paraId="5FBE8397">
      <w:pPr>
        <w:numPr>
          <w:ilvl w:val="0"/>
          <w:numId w:val="7"/>
        </w:numPr>
        <w:spacing w:line="440" w:lineRule="exact"/>
        <w:ind w:firstLine="399" w:firstLineChars="190"/>
        <w:rPr>
          <w:rFonts w:ascii="宋体" w:hAnsi="宋体" w:cs="宋体"/>
          <w:bCs/>
          <w:szCs w:val="21"/>
        </w:rPr>
      </w:pPr>
      <w:r>
        <w:rPr>
          <w:rFonts w:hint="eastAsia" w:ascii="宋体" w:hAnsi="宋体" w:cs="宋体"/>
          <w:bCs/>
          <w:szCs w:val="21"/>
        </w:rPr>
        <w:t>不同供应商的磋商响应文件异常一致或者投标报价呈规律性差异；</w:t>
      </w:r>
    </w:p>
    <w:p w14:paraId="06FAADFB">
      <w:pPr>
        <w:numPr>
          <w:ilvl w:val="0"/>
          <w:numId w:val="7"/>
        </w:numPr>
        <w:spacing w:line="440" w:lineRule="exact"/>
        <w:ind w:firstLine="399" w:firstLineChars="190"/>
        <w:rPr>
          <w:rFonts w:ascii="宋体" w:hAnsi="宋体" w:cs="宋体"/>
          <w:bCs/>
          <w:szCs w:val="21"/>
        </w:rPr>
      </w:pPr>
      <w:r>
        <w:rPr>
          <w:rFonts w:hint="eastAsia" w:ascii="宋体" w:hAnsi="宋体" w:cs="宋体"/>
          <w:bCs/>
          <w:szCs w:val="21"/>
        </w:rPr>
        <w:t>不同供应商的磋商响应文件相互混装；</w:t>
      </w:r>
    </w:p>
    <w:p w14:paraId="5DBF8334">
      <w:pPr>
        <w:spacing w:line="460" w:lineRule="exact"/>
        <w:rPr>
          <w:rFonts w:ascii="宋体" w:hAnsi="宋体" w:cs="宋体"/>
          <w:sz w:val="22"/>
          <w:szCs w:val="22"/>
        </w:rPr>
      </w:pPr>
      <w:r>
        <w:rPr>
          <w:rFonts w:hint="eastAsia" w:ascii="宋体" w:hAnsi="宋体" w:cs="宋体"/>
          <w:sz w:val="22"/>
          <w:szCs w:val="22"/>
        </w:rPr>
        <w:t>31.推荐成交候选供应商</w:t>
      </w:r>
    </w:p>
    <w:p w14:paraId="63E1F8B0">
      <w:pPr>
        <w:spacing w:line="460" w:lineRule="exact"/>
        <w:rPr>
          <w:rFonts w:ascii="宋体" w:hAnsi="宋体" w:cs="宋体"/>
          <w:sz w:val="22"/>
          <w:szCs w:val="22"/>
        </w:rPr>
      </w:pPr>
      <w:r>
        <w:rPr>
          <w:rFonts w:hint="eastAsia" w:ascii="宋体" w:hAnsi="宋体" w:cs="宋体"/>
          <w:sz w:val="22"/>
          <w:szCs w:val="22"/>
        </w:rPr>
        <w:t>31.1 本项目采购由磋商小组向采购人推荐成交候选供应商。</w:t>
      </w:r>
    </w:p>
    <w:p w14:paraId="4E5121A8">
      <w:pPr>
        <w:spacing w:line="460" w:lineRule="exact"/>
        <w:rPr>
          <w:rFonts w:ascii="宋体" w:hAnsi="宋体" w:cs="宋体"/>
          <w:sz w:val="22"/>
          <w:szCs w:val="22"/>
        </w:rPr>
      </w:pPr>
      <w:r>
        <w:rPr>
          <w:rFonts w:hint="eastAsia" w:ascii="宋体" w:hAnsi="宋体" w:cs="宋体"/>
          <w:sz w:val="22"/>
          <w:szCs w:val="22"/>
        </w:rPr>
        <w:t>31.2 磋商小组根据综合评审情况，按照评审得分由高到低顺序，推荐综合得分前两名的供应商为成交候选供应商及成交备选供应商（得分相同最终报价低的排序前位；得分且最终报价相同的，运营实施方案得分最高的供应商推荐为成交候选供应商）。</w:t>
      </w:r>
    </w:p>
    <w:p w14:paraId="2B247017">
      <w:pPr>
        <w:spacing w:line="460" w:lineRule="exact"/>
        <w:rPr>
          <w:rFonts w:ascii="宋体" w:hAnsi="宋体" w:cs="宋体"/>
          <w:sz w:val="22"/>
          <w:szCs w:val="22"/>
        </w:rPr>
      </w:pPr>
      <w:r>
        <w:rPr>
          <w:rFonts w:hint="eastAsia" w:ascii="宋体" w:hAnsi="宋体" w:cs="宋体"/>
          <w:sz w:val="22"/>
          <w:szCs w:val="22"/>
        </w:rPr>
        <w:t>32.在磋商过程中符合竞争要求的供应商或者最终报价未超过采购预算的供应商不足3家：</w:t>
      </w:r>
    </w:p>
    <w:p w14:paraId="5B42643E">
      <w:pPr>
        <w:numPr>
          <w:ilvl w:val="0"/>
          <w:numId w:val="8"/>
        </w:numPr>
        <w:spacing w:line="440" w:lineRule="exact"/>
        <w:ind w:firstLine="418" w:firstLineChars="190"/>
        <w:rPr>
          <w:rFonts w:ascii="宋体" w:hAnsi="宋体" w:cs="宋体"/>
          <w:sz w:val="22"/>
          <w:szCs w:val="22"/>
        </w:rPr>
      </w:pPr>
      <w:r>
        <w:rPr>
          <w:rFonts w:hint="eastAsia" w:ascii="宋体" w:hAnsi="宋体" w:cs="宋体"/>
          <w:sz w:val="22"/>
          <w:szCs w:val="22"/>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14:paraId="0E8F3B8C">
      <w:pPr>
        <w:numPr>
          <w:ilvl w:val="0"/>
          <w:numId w:val="8"/>
        </w:numPr>
        <w:spacing w:line="440" w:lineRule="exact"/>
        <w:ind w:firstLine="418" w:firstLineChars="190"/>
        <w:rPr>
          <w:rFonts w:ascii="宋体" w:hAnsi="宋体" w:cs="宋体"/>
          <w:sz w:val="22"/>
          <w:szCs w:val="22"/>
        </w:rPr>
      </w:pPr>
      <w:r>
        <w:rPr>
          <w:rFonts w:hint="eastAsia" w:ascii="宋体" w:hAnsi="宋体" w:cs="宋体"/>
          <w:sz w:val="22"/>
          <w:szCs w:val="22"/>
        </w:rPr>
        <w:t>磋商过程中符合竞争要求的供应商或者最终报价未超过采购预算的供应商仅有1家，本项目流标，应重新组织采购流程。</w:t>
      </w:r>
    </w:p>
    <w:p w14:paraId="47C8F397">
      <w:pPr>
        <w:spacing w:line="460" w:lineRule="exact"/>
        <w:rPr>
          <w:rFonts w:ascii="宋体" w:hAnsi="宋体" w:cs="宋体"/>
          <w:sz w:val="22"/>
          <w:szCs w:val="22"/>
        </w:rPr>
      </w:pPr>
      <w:r>
        <w:rPr>
          <w:rFonts w:hint="eastAsia" w:ascii="宋体" w:hAnsi="宋体" w:cs="宋体"/>
          <w:sz w:val="22"/>
          <w:szCs w:val="22"/>
        </w:rPr>
        <w:t>33.采购人、采购代理机构及磋商小组不向落选的供应商解释落选原因，也不公布评审磋商过程中的相关细节，不退还磋商响应文件。</w:t>
      </w:r>
    </w:p>
    <w:p w14:paraId="78AE60DB">
      <w:pPr>
        <w:tabs>
          <w:tab w:val="left" w:pos="1365"/>
        </w:tabs>
        <w:spacing w:line="460" w:lineRule="exact"/>
        <w:ind w:left="550" w:hanging="550" w:hangingChars="250"/>
        <w:rPr>
          <w:rFonts w:ascii="宋体" w:hAnsi="宋体" w:cs="宋体"/>
          <w:sz w:val="22"/>
          <w:szCs w:val="22"/>
        </w:rPr>
      </w:pPr>
      <w:r>
        <w:rPr>
          <w:rFonts w:hint="eastAsia" w:ascii="宋体" w:hAnsi="宋体" w:cs="宋体"/>
          <w:kern w:val="0"/>
          <w:sz w:val="22"/>
          <w:szCs w:val="22"/>
        </w:rPr>
        <w:t>34. 评标细则详见“磋商原则及方法”</w:t>
      </w:r>
      <w:r>
        <w:rPr>
          <w:rFonts w:hint="eastAsia" w:ascii="宋体" w:hAnsi="宋体" w:cs="宋体"/>
          <w:sz w:val="22"/>
          <w:szCs w:val="22"/>
        </w:rPr>
        <w:t>。</w:t>
      </w:r>
    </w:p>
    <w:p w14:paraId="4E121037">
      <w:pPr>
        <w:spacing w:line="460" w:lineRule="exact"/>
        <w:rPr>
          <w:rFonts w:ascii="宋体" w:hAnsi="宋体" w:cs="宋体"/>
          <w:kern w:val="0"/>
          <w:sz w:val="22"/>
          <w:szCs w:val="22"/>
        </w:rPr>
      </w:pPr>
      <w:r>
        <w:rPr>
          <w:rFonts w:hint="eastAsia" w:ascii="宋体" w:hAnsi="宋体" w:cs="宋体"/>
          <w:kern w:val="0"/>
          <w:sz w:val="22"/>
          <w:szCs w:val="22"/>
        </w:rPr>
        <w:t>35. 可中止电子交易活动的情形</w:t>
      </w:r>
    </w:p>
    <w:p w14:paraId="675EF5C5">
      <w:pPr>
        <w:spacing w:line="460" w:lineRule="exact"/>
        <w:rPr>
          <w:rFonts w:ascii="宋体" w:hAnsi="宋体" w:cs="宋体"/>
          <w:kern w:val="0"/>
          <w:sz w:val="22"/>
          <w:szCs w:val="22"/>
        </w:rPr>
      </w:pPr>
      <w:r>
        <w:rPr>
          <w:rFonts w:hint="eastAsia" w:ascii="宋体" w:hAnsi="宋体" w:cs="宋体"/>
          <w:kern w:val="0"/>
          <w:sz w:val="22"/>
          <w:szCs w:val="22"/>
        </w:rPr>
        <w:t>35.1采购过程中出现以下情形，导致电子交易平台无法正常运行，或者无法保证电子交易的公平、公正和安全时，采购组织机构可中止电子交易活动：</w:t>
      </w:r>
    </w:p>
    <w:p w14:paraId="625FFF18">
      <w:pPr>
        <w:numPr>
          <w:ilvl w:val="2"/>
          <w:numId w:val="9"/>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电子交易平台发生故障而无法登录访问的；</w:t>
      </w:r>
    </w:p>
    <w:p w14:paraId="589E3D3A">
      <w:pPr>
        <w:numPr>
          <w:ilvl w:val="2"/>
          <w:numId w:val="9"/>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14:paraId="598C9154">
      <w:pPr>
        <w:numPr>
          <w:ilvl w:val="2"/>
          <w:numId w:val="9"/>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电子交易平台发现严重安全漏洞，有潜在泄密危险的；</w:t>
      </w:r>
    </w:p>
    <w:p w14:paraId="2AECE042">
      <w:pPr>
        <w:numPr>
          <w:ilvl w:val="2"/>
          <w:numId w:val="9"/>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病毒发作导致不能进行正常操作的；</w:t>
      </w:r>
    </w:p>
    <w:p w14:paraId="5AB09215">
      <w:pPr>
        <w:numPr>
          <w:ilvl w:val="2"/>
          <w:numId w:val="9"/>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其他无法保证电子交易的公平、公正和安全的情况。</w:t>
      </w:r>
    </w:p>
    <w:p w14:paraId="4B5C7DF3">
      <w:pPr>
        <w:spacing w:line="460" w:lineRule="exact"/>
        <w:rPr>
          <w:rFonts w:ascii="宋体" w:hAnsi="宋体" w:cs="宋体"/>
          <w:sz w:val="22"/>
          <w:szCs w:val="22"/>
        </w:rPr>
      </w:pPr>
      <w:r>
        <w:rPr>
          <w:rFonts w:hint="eastAsia" w:ascii="宋体" w:hAnsi="宋体" w:cs="宋体"/>
          <w:kern w:val="0"/>
          <w:sz w:val="22"/>
          <w:szCs w:val="22"/>
        </w:rPr>
        <w:t>35.2出现前款规定情形，不影响采购公平、公正性的，采购组织机构可以待上述情形消除后继续组织电子交易活动；影响或可能影响采购公平、公正性的，应当重新采购。</w:t>
      </w:r>
    </w:p>
    <w:p w14:paraId="75843429">
      <w:pPr>
        <w:spacing w:before="100" w:beforeAutospacing="1" w:after="100" w:afterAutospacing="1" w:line="440" w:lineRule="exact"/>
        <w:jc w:val="center"/>
        <w:outlineLvl w:val="1"/>
        <w:rPr>
          <w:rFonts w:ascii="宋体" w:hAnsi="宋体" w:cs="宋体"/>
          <w:b/>
          <w:bCs/>
          <w:sz w:val="22"/>
          <w:szCs w:val="22"/>
        </w:rPr>
      </w:pPr>
      <w:bookmarkStart w:id="44" w:name="_Toc58832088"/>
      <w:bookmarkStart w:id="45" w:name="_Toc57626730"/>
      <w:bookmarkStart w:id="46" w:name="_Toc30604"/>
      <w:bookmarkStart w:id="47" w:name="_Toc38618588"/>
      <w:r>
        <w:rPr>
          <w:rFonts w:hint="eastAsia" w:ascii="宋体" w:hAnsi="宋体" w:cs="宋体"/>
          <w:b/>
          <w:bCs/>
          <w:sz w:val="22"/>
          <w:szCs w:val="22"/>
        </w:rPr>
        <w:t>七   定标及授予合同</w:t>
      </w:r>
      <w:bookmarkEnd w:id="44"/>
      <w:bookmarkEnd w:id="45"/>
      <w:bookmarkEnd w:id="46"/>
      <w:bookmarkEnd w:id="47"/>
    </w:p>
    <w:p w14:paraId="1AF9D8B0">
      <w:pPr>
        <w:tabs>
          <w:tab w:val="left" w:pos="540"/>
        </w:tabs>
        <w:spacing w:line="440" w:lineRule="exact"/>
        <w:rPr>
          <w:rFonts w:ascii="宋体" w:hAnsi="宋体" w:cs="宋体"/>
          <w:bCs/>
          <w:sz w:val="22"/>
          <w:szCs w:val="22"/>
        </w:rPr>
      </w:pPr>
      <w:r>
        <w:rPr>
          <w:rFonts w:hint="eastAsia" w:ascii="宋体" w:hAnsi="宋体" w:cs="宋体"/>
          <w:bCs/>
          <w:sz w:val="22"/>
          <w:szCs w:val="22"/>
        </w:rPr>
        <w:t>36. 确定成交供应商</w:t>
      </w:r>
    </w:p>
    <w:p w14:paraId="50403C3E">
      <w:pPr>
        <w:tabs>
          <w:tab w:val="left" w:pos="540"/>
        </w:tabs>
        <w:spacing w:line="440" w:lineRule="exact"/>
        <w:rPr>
          <w:rFonts w:ascii="宋体" w:hAnsi="宋体" w:cs="宋体"/>
          <w:sz w:val="22"/>
          <w:szCs w:val="22"/>
        </w:rPr>
      </w:pPr>
      <w:r>
        <w:rPr>
          <w:rFonts w:hint="eastAsia" w:ascii="宋体" w:hAnsi="宋体" w:cs="宋体"/>
          <w:sz w:val="22"/>
          <w:szCs w:val="22"/>
        </w:rPr>
        <w:t>36.1采购人自收到评标报告之日起5个工作日内，在评标报告确定的成交候选供应商名单中按顺序确定成交供应商。</w:t>
      </w:r>
    </w:p>
    <w:p w14:paraId="04B2F032">
      <w:pPr>
        <w:tabs>
          <w:tab w:val="left" w:pos="540"/>
        </w:tabs>
        <w:spacing w:line="440" w:lineRule="exact"/>
        <w:rPr>
          <w:rFonts w:ascii="宋体" w:hAnsi="宋体" w:cs="宋体"/>
          <w:sz w:val="22"/>
          <w:szCs w:val="22"/>
        </w:rPr>
      </w:pPr>
      <w:r>
        <w:rPr>
          <w:rFonts w:hint="eastAsia" w:ascii="宋体" w:hAnsi="宋体" w:cs="宋体"/>
          <w:sz w:val="22"/>
          <w:szCs w:val="22"/>
        </w:rPr>
        <w:t>36.2成交供应商确定之日起2个工作日内，在“政采云”平台上公示成交结果，采购结果公示期限为1个工作日。</w:t>
      </w:r>
    </w:p>
    <w:p w14:paraId="020708FE">
      <w:pPr>
        <w:tabs>
          <w:tab w:val="left" w:pos="540"/>
        </w:tabs>
        <w:spacing w:line="440" w:lineRule="exact"/>
        <w:rPr>
          <w:rFonts w:ascii="宋体" w:hAnsi="宋体" w:cs="宋体"/>
          <w:sz w:val="22"/>
          <w:szCs w:val="22"/>
        </w:rPr>
      </w:pPr>
      <w:r>
        <w:rPr>
          <w:rFonts w:hint="eastAsia" w:ascii="宋体" w:hAnsi="宋体" w:cs="宋体"/>
          <w:sz w:val="22"/>
          <w:szCs w:val="22"/>
        </w:rPr>
        <w:t>36.3在公告成交结果的同时，采购人向成交供应商发出成交通知书。</w:t>
      </w:r>
    </w:p>
    <w:p w14:paraId="19B23162">
      <w:pPr>
        <w:tabs>
          <w:tab w:val="left" w:pos="540"/>
        </w:tabs>
        <w:spacing w:line="440" w:lineRule="exact"/>
        <w:rPr>
          <w:rFonts w:ascii="宋体" w:hAnsi="宋体" w:cs="宋体"/>
          <w:sz w:val="22"/>
          <w:szCs w:val="22"/>
        </w:rPr>
      </w:pPr>
      <w:r>
        <w:rPr>
          <w:rFonts w:hint="eastAsia" w:ascii="宋体" w:hAnsi="宋体" w:cs="宋体"/>
          <w:sz w:val="22"/>
          <w:szCs w:val="22"/>
        </w:rPr>
        <w:t>36.4各供应商对评标结果如有异议，可在成交结果公示之日起7个工作日内以书面形式向采购人进行署名投诉或提出质疑，但需对投诉或质疑内容的真实性承担法律责任。</w:t>
      </w:r>
    </w:p>
    <w:p w14:paraId="6C127040">
      <w:pPr>
        <w:tabs>
          <w:tab w:val="left" w:pos="540"/>
        </w:tabs>
        <w:spacing w:line="440" w:lineRule="exact"/>
        <w:rPr>
          <w:rFonts w:ascii="宋体" w:hAnsi="宋体" w:cs="宋体"/>
          <w:bCs/>
          <w:sz w:val="22"/>
          <w:szCs w:val="22"/>
        </w:rPr>
      </w:pPr>
      <w:r>
        <w:rPr>
          <w:rFonts w:hint="eastAsia" w:ascii="宋体" w:hAnsi="宋体" w:cs="宋体"/>
          <w:bCs/>
          <w:sz w:val="22"/>
          <w:szCs w:val="22"/>
        </w:rPr>
        <w:t>37. 签订合同</w:t>
      </w:r>
    </w:p>
    <w:p w14:paraId="721C99DF">
      <w:pPr>
        <w:tabs>
          <w:tab w:val="left" w:pos="540"/>
        </w:tabs>
        <w:spacing w:line="440" w:lineRule="exact"/>
        <w:rPr>
          <w:rFonts w:ascii="宋体" w:hAnsi="宋体" w:cs="宋体"/>
          <w:sz w:val="22"/>
          <w:szCs w:val="22"/>
        </w:rPr>
      </w:pPr>
      <w:r>
        <w:rPr>
          <w:rFonts w:hint="eastAsia" w:ascii="宋体" w:hAnsi="宋体" w:cs="宋体"/>
          <w:sz w:val="22"/>
          <w:szCs w:val="22"/>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08449CD2">
      <w:pPr>
        <w:tabs>
          <w:tab w:val="left" w:pos="540"/>
        </w:tabs>
        <w:spacing w:line="440" w:lineRule="exact"/>
        <w:rPr>
          <w:rFonts w:ascii="宋体" w:hAnsi="宋体" w:cs="宋体"/>
          <w:sz w:val="22"/>
          <w:szCs w:val="22"/>
        </w:rPr>
      </w:pPr>
      <w:r>
        <w:rPr>
          <w:rFonts w:hint="eastAsia" w:ascii="宋体" w:hAnsi="宋体" w:cs="宋体"/>
          <w:sz w:val="22"/>
          <w:szCs w:val="22"/>
        </w:rPr>
        <w:t>37.2采购文件、成交供应商的磋商响应文件及投标修改文件、评标过程中有关澄清文件及经双方签字的询标纪要（承诺）和成交通知书均作为合同附件。</w:t>
      </w:r>
    </w:p>
    <w:p w14:paraId="68E9E2A1">
      <w:pPr>
        <w:tabs>
          <w:tab w:val="left" w:pos="540"/>
        </w:tabs>
        <w:spacing w:line="440" w:lineRule="exact"/>
        <w:rPr>
          <w:rFonts w:ascii="宋体" w:hAnsi="宋体" w:cs="宋体"/>
          <w:sz w:val="22"/>
          <w:szCs w:val="22"/>
        </w:rPr>
      </w:pPr>
      <w:r>
        <w:rPr>
          <w:rFonts w:hint="eastAsia" w:ascii="宋体" w:hAnsi="宋体" w:cs="宋体"/>
          <w:sz w:val="22"/>
          <w:szCs w:val="22"/>
        </w:rPr>
        <w:t>37.3拒签合同的责任</w:t>
      </w:r>
    </w:p>
    <w:p w14:paraId="3BFAC0D6">
      <w:pPr>
        <w:tabs>
          <w:tab w:val="left" w:pos="540"/>
        </w:tabs>
        <w:spacing w:line="440" w:lineRule="exact"/>
        <w:rPr>
          <w:rFonts w:ascii="宋体" w:hAnsi="宋体" w:cs="宋体"/>
          <w:sz w:val="22"/>
          <w:szCs w:val="22"/>
        </w:rPr>
      </w:pPr>
      <w:r>
        <w:rPr>
          <w:rFonts w:hint="eastAsia" w:ascii="宋体" w:hAnsi="宋体" w:cs="宋体"/>
          <w:sz w:val="22"/>
          <w:szCs w:val="22"/>
        </w:rPr>
        <w:t>37.4成交供应商在规定时间内（30日历天）借故否认已经承诺的条件、拒签合同，以投标违约处理，其投标保证金不予退回，并赔偿采购人由此造成的直接经济损失；采购人重新组织采购的，所需费用由原成交供应商承担。</w:t>
      </w:r>
    </w:p>
    <w:p w14:paraId="3D1C95DF">
      <w:pPr>
        <w:spacing w:line="460" w:lineRule="exact"/>
        <w:rPr>
          <w:rFonts w:ascii="宋体" w:hAnsi="宋体" w:cs="宋体"/>
          <w:sz w:val="22"/>
          <w:szCs w:val="22"/>
        </w:rPr>
      </w:pPr>
      <w:r>
        <w:rPr>
          <w:rFonts w:hint="eastAsia" w:ascii="宋体" w:hAnsi="宋体" w:cs="宋体"/>
          <w:sz w:val="22"/>
          <w:szCs w:val="22"/>
        </w:rPr>
        <w:t>38.成交供应商有以下情况的，则采购人有权决定是否将其成交资格转交成交备选供应商或重新组织项目采购流程：</w:t>
      </w:r>
    </w:p>
    <w:p w14:paraId="2DD56A00">
      <w:pPr>
        <w:numPr>
          <w:ilvl w:val="0"/>
          <w:numId w:val="10"/>
        </w:numPr>
        <w:spacing w:line="440" w:lineRule="exact"/>
        <w:ind w:firstLine="418" w:firstLineChars="190"/>
        <w:rPr>
          <w:rFonts w:ascii="宋体" w:hAnsi="宋体" w:cs="宋体"/>
          <w:bCs/>
          <w:sz w:val="22"/>
          <w:szCs w:val="22"/>
          <w:lang w:val="zh-CN"/>
        </w:rPr>
      </w:pPr>
      <w:r>
        <w:rPr>
          <w:rFonts w:hint="eastAsia" w:ascii="宋体" w:hAnsi="宋体" w:cs="宋体"/>
          <w:bCs/>
          <w:sz w:val="22"/>
          <w:szCs w:val="22"/>
          <w:lang w:val="zh-CN"/>
        </w:rPr>
        <w:t>成交供应商主动放弃成交资格；</w:t>
      </w:r>
    </w:p>
    <w:p w14:paraId="0B24F6B1">
      <w:pPr>
        <w:numPr>
          <w:ilvl w:val="0"/>
          <w:numId w:val="10"/>
        </w:numPr>
        <w:spacing w:line="440" w:lineRule="exact"/>
        <w:ind w:firstLine="418" w:firstLineChars="190"/>
        <w:rPr>
          <w:rFonts w:ascii="宋体" w:hAnsi="宋体" w:cs="宋体"/>
          <w:bCs/>
          <w:sz w:val="22"/>
          <w:szCs w:val="22"/>
          <w:lang w:val="zh-CN"/>
        </w:rPr>
      </w:pPr>
      <w:r>
        <w:rPr>
          <w:rFonts w:hint="eastAsia" w:ascii="宋体" w:hAnsi="宋体" w:cs="宋体"/>
          <w:bCs/>
          <w:sz w:val="22"/>
          <w:szCs w:val="22"/>
          <w:lang w:val="zh-CN"/>
        </w:rPr>
        <w:t>成交供应商因不可抗力提出不能履行合同；</w:t>
      </w:r>
    </w:p>
    <w:p w14:paraId="3E2C5CBF">
      <w:pPr>
        <w:numPr>
          <w:ilvl w:val="0"/>
          <w:numId w:val="10"/>
        </w:numPr>
        <w:spacing w:line="440" w:lineRule="exact"/>
        <w:ind w:firstLine="418" w:firstLineChars="190"/>
        <w:rPr>
          <w:rFonts w:ascii="宋体" w:hAnsi="宋体" w:cs="宋体"/>
          <w:bCs/>
          <w:sz w:val="22"/>
          <w:szCs w:val="22"/>
          <w:lang w:val="zh-CN"/>
        </w:rPr>
      </w:pPr>
      <w:r>
        <w:rPr>
          <w:rFonts w:hint="eastAsia" w:ascii="宋体" w:hAnsi="宋体" w:cs="宋体"/>
          <w:bCs/>
          <w:sz w:val="22"/>
          <w:szCs w:val="22"/>
          <w:lang w:val="zh-CN"/>
        </w:rPr>
        <w:t>成交供应商未能在规定时间内与采购人签订合同；</w:t>
      </w:r>
    </w:p>
    <w:p w14:paraId="46224339">
      <w:pPr>
        <w:numPr>
          <w:ilvl w:val="0"/>
          <w:numId w:val="10"/>
        </w:numPr>
        <w:spacing w:line="440" w:lineRule="exact"/>
        <w:ind w:firstLine="418" w:firstLineChars="190"/>
        <w:rPr>
          <w:rFonts w:ascii="宋体" w:hAnsi="宋体" w:cs="宋体"/>
          <w:bCs/>
          <w:sz w:val="22"/>
          <w:szCs w:val="22"/>
        </w:rPr>
      </w:pPr>
      <w:r>
        <w:rPr>
          <w:rFonts w:hint="eastAsia" w:ascii="宋体" w:hAnsi="宋体" w:cs="宋体"/>
          <w:bCs/>
          <w:sz w:val="22"/>
          <w:szCs w:val="22"/>
          <w:lang w:val="zh-CN"/>
        </w:rPr>
        <w:t>经质疑，采购人审查后，成交供应商确实在本次采购活动中存在违法违规行为或其他原因使质疑成立的。</w:t>
      </w:r>
    </w:p>
    <w:p w14:paraId="6497EC2C">
      <w:pPr>
        <w:spacing w:line="460" w:lineRule="exact"/>
        <w:rPr>
          <w:rFonts w:ascii="宋体" w:hAnsi="宋体" w:cs="宋体"/>
          <w:sz w:val="22"/>
          <w:szCs w:val="22"/>
        </w:rPr>
      </w:pPr>
      <w:r>
        <w:rPr>
          <w:rFonts w:hint="eastAsia" w:ascii="宋体" w:hAnsi="宋体" w:cs="宋体"/>
          <w:sz w:val="22"/>
          <w:szCs w:val="22"/>
        </w:rPr>
        <w:t>39.未详尽事宜，遵照有关法律法规及规范性文件的规定执行。</w:t>
      </w:r>
    </w:p>
    <w:p w14:paraId="6A97B156">
      <w:pPr>
        <w:pStyle w:val="387"/>
        <w:spacing w:line="500" w:lineRule="exact"/>
        <w:ind w:firstLine="0" w:firstLineChars="0"/>
        <w:jc w:val="center"/>
        <w:rPr>
          <w:rFonts w:hAnsi="宋体" w:cs="宋体"/>
          <w:bCs/>
          <w:sz w:val="24"/>
          <w:szCs w:val="24"/>
        </w:rPr>
      </w:pPr>
      <w:r>
        <w:rPr>
          <w:rFonts w:hint="eastAsia" w:hAnsi="宋体" w:cs="宋体"/>
          <w:b/>
          <w:sz w:val="24"/>
          <w:szCs w:val="24"/>
        </w:rPr>
        <w:br w:type="page"/>
      </w:r>
      <w:r>
        <w:rPr>
          <w:rFonts w:hint="eastAsia" w:hAnsi="宋体" w:cs="宋体"/>
          <w:bCs/>
          <w:sz w:val="24"/>
          <w:szCs w:val="24"/>
        </w:rPr>
        <w:t>政府采购活动现场确认声明书</w:t>
      </w:r>
    </w:p>
    <w:p w14:paraId="69C18C98">
      <w:pPr>
        <w:pStyle w:val="387"/>
        <w:spacing w:line="500" w:lineRule="exact"/>
        <w:ind w:firstLine="440"/>
        <w:rPr>
          <w:rFonts w:hAnsi="宋体" w:cs="宋体"/>
          <w:bCs/>
          <w:sz w:val="22"/>
          <w:szCs w:val="22"/>
        </w:rPr>
      </w:pPr>
      <w:r>
        <w:rPr>
          <w:rFonts w:hint="eastAsia" w:hAnsi="宋体" w:cs="宋体"/>
          <w:bCs/>
          <w:sz w:val="22"/>
          <w:szCs w:val="22"/>
        </w:rPr>
        <w:t>温州市智信招标代理有限公司</w:t>
      </w:r>
      <w:r>
        <w:rPr>
          <w:rFonts w:hint="eastAsia" w:hAnsi="宋体" w:cs="宋体"/>
          <w:bCs/>
          <w:kern w:val="0"/>
          <w:sz w:val="22"/>
          <w:szCs w:val="22"/>
        </w:rPr>
        <w:t>：</w:t>
      </w:r>
    </w:p>
    <w:p w14:paraId="53CEE896">
      <w:pPr>
        <w:pStyle w:val="387"/>
        <w:spacing w:line="480" w:lineRule="exact"/>
        <w:ind w:firstLine="464"/>
        <w:rPr>
          <w:rFonts w:hAnsi="宋体" w:cs="宋体"/>
          <w:spacing w:val="6"/>
          <w:sz w:val="22"/>
          <w:szCs w:val="22"/>
        </w:rPr>
      </w:pPr>
      <w:r>
        <w:rPr>
          <w:rFonts w:hint="eastAsia" w:hAnsi="宋体" w:cs="宋体"/>
          <w:spacing w:val="6"/>
          <w:sz w:val="22"/>
          <w:szCs w:val="22"/>
        </w:rPr>
        <w:t>本人经由</w:t>
      </w:r>
      <w:r>
        <w:rPr>
          <w:rFonts w:hint="eastAsia" w:hAnsi="宋体" w:cs="宋体"/>
          <w:spacing w:val="6"/>
          <w:sz w:val="22"/>
          <w:szCs w:val="22"/>
          <w:u w:val="single"/>
        </w:rPr>
        <w:t xml:space="preserve">                  （单位）</w:t>
      </w:r>
      <w:r>
        <w:rPr>
          <w:rFonts w:hint="eastAsia" w:hAnsi="宋体" w:cs="宋体"/>
          <w:spacing w:val="6"/>
          <w:sz w:val="22"/>
          <w:szCs w:val="22"/>
        </w:rPr>
        <w:t>负责人</w:t>
      </w:r>
      <w:r>
        <w:rPr>
          <w:rFonts w:hint="eastAsia" w:hAnsi="宋体" w:cs="宋体"/>
          <w:spacing w:val="6"/>
          <w:sz w:val="22"/>
          <w:szCs w:val="22"/>
          <w:u w:val="single"/>
        </w:rPr>
        <w:t xml:space="preserve">        （姓名）</w:t>
      </w:r>
      <w:r>
        <w:rPr>
          <w:rFonts w:hint="eastAsia" w:hAnsi="宋体" w:cs="宋体"/>
          <w:spacing w:val="6"/>
          <w:sz w:val="22"/>
          <w:szCs w:val="22"/>
        </w:rPr>
        <w:t>合法授权参加</w:t>
      </w:r>
      <w:r>
        <w:rPr>
          <w:rFonts w:hint="eastAsia" w:hAnsi="宋体" w:cs="宋体"/>
          <w:spacing w:val="6"/>
          <w:sz w:val="22"/>
          <w:szCs w:val="22"/>
          <w:u w:val="single"/>
        </w:rPr>
        <w:t xml:space="preserve">                  </w:t>
      </w:r>
      <w:r>
        <w:rPr>
          <w:rFonts w:hint="eastAsia" w:hAnsi="宋体" w:cs="宋体"/>
          <w:spacing w:val="6"/>
          <w:sz w:val="22"/>
          <w:szCs w:val="22"/>
        </w:rPr>
        <w:t>）项目（编号：</w:t>
      </w:r>
      <w:r>
        <w:rPr>
          <w:rFonts w:hint="eastAsia" w:hAnsi="宋体" w:cs="宋体"/>
          <w:spacing w:val="6"/>
          <w:sz w:val="22"/>
          <w:szCs w:val="22"/>
          <w:u w:val="single"/>
        </w:rPr>
        <w:t xml:space="preserve">             </w:t>
      </w:r>
      <w:r>
        <w:rPr>
          <w:rFonts w:hint="eastAsia" w:hAnsi="宋体" w:cs="宋体"/>
          <w:spacing w:val="6"/>
          <w:sz w:val="22"/>
          <w:szCs w:val="22"/>
        </w:rPr>
        <w:t xml:space="preserve">）政府采购活动，经与本单位法人代表（负责人）联系确认，现就有关公平竞争事项郑重声明如下： </w:t>
      </w:r>
    </w:p>
    <w:p w14:paraId="5A29012E">
      <w:pPr>
        <w:pStyle w:val="386"/>
        <w:widowControl/>
        <w:numPr>
          <w:ilvl w:val="0"/>
          <w:numId w:val="11"/>
        </w:numPr>
        <w:snapToGrid w:val="0"/>
        <w:spacing w:line="480" w:lineRule="exact"/>
        <w:ind w:firstLine="415" w:firstLineChars="189"/>
        <w:rPr>
          <w:rFonts w:ascii="宋体" w:hAnsi="宋体" w:cs="宋体"/>
          <w:kern w:val="0"/>
          <w:sz w:val="22"/>
          <w:szCs w:val="22"/>
        </w:rPr>
      </w:pPr>
      <w:r>
        <w:rPr>
          <w:rFonts w:hint="eastAsia" w:ascii="宋体" w:hAnsi="宋体" w:cs="宋体"/>
          <w:kern w:val="0"/>
          <w:sz w:val="22"/>
          <w:szCs w:val="22"/>
        </w:rPr>
        <w:t>本单位与采购人之间 □不存在利害关系 □存在下列利害关系：</w:t>
      </w:r>
    </w:p>
    <w:p w14:paraId="1F511ABB">
      <w:pPr>
        <w:pStyle w:val="387"/>
        <w:spacing w:line="480" w:lineRule="exact"/>
        <w:ind w:firstLine="464"/>
        <w:rPr>
          <w:rFonts w:hAnsi="宋体" w:cs="宋体"/>
          <w:spacing w:val="6"/>
          <w:sz w:val="22"/>
          <w:szCs w:val="22"/>
        </w:rPr>
      </w:pPr>
      <w:r>
        <w:rPr>
          <w:rFonts w:hint="eastAsia" w:hAnsi="宋体" w:cs="宋体"/>
          <w:spacing w:val="6"/>
          <w:sz w:val="22"/>
          <w:szCs w:val="22"/>
        </w:rPr>
        <w:t>A.投资关系    B.行政隶属关系    C.业务指导关系</w:t>
      </w:r>
    </w:p>
    <w:p w14:paraId="68C37AF7">
      <w:pPr>
        <w:pStyle w:val="387"/>
        <w:spacing w:line="480" w:lineRule="exact"/>
        <w:ind w:firstLine="464"/>
        <w:rPr>
          <w:rFonts w:hAnsi="宋体" w:cs="宋体"/>
          <w:spacing w:val="6"/>
          <w:sz w:val="22"/>
          <w:szCs w:val="22"/>
        </w:rPr>
      </w:pPr>
      <w:r>
        <w:rPr>
          <w:rFonts w:hint="eastAsia" w:hAnsi="宋体" w:cs="宋体"/>
          <w:spacing w:val="6"/>
          <w:sz w:val="22"/>
          <w:szCs w:val="22"/>
        </w:rPr>
        <w:t>D.其他可能影响采购公正的利害关系（如有，请如实说明）</w:t>
      </w:r>
      <w:r>
        <w:rPr>
          <w:rFonts w:hint="eastAsia" w:hAnsi="宋体" w:cs="宋体"/>
          <w:spacing w:val="6"/>
          <w:sz w:val="22"/>
          <w:szCs w:val="22"/>
          <w:u w:val="single"/>
        </w:rPr>
        <w:t xml:space="preserve">                 </w:t>
      </w:r>
      <w:r>
        <w:rPr>
          <w:rFonts w:hint="eastAsia" w:hAnsi="宋体" w:cs="宋体"/>
          <w:spacing w:val="6"/>
          <w:sz w:val="22"/>
          <w:szCs w:val="22"/>
        </w:rPr>
        <w:t>。</w:t>
      </w:r>
    </w:p>
    <w:p w14:paraId="6462C6A1">
      <w:pPr>
        <w:pStyle w:val="386"/>
        <w:widowControl/>
        <w:numPr>
          <w:ilvl w:val="0"/>
          <w:numId w:val="11"/>
        </w:numPr>
        <w:snapToGrid w:val="0"/>
        <w:spacing w:line="480" w:lineRule="exact"/>
        <w:ind w:firstLine="415" w:firstLineChars="189"/>
        <w:rPr>
          <w:rFonts w:ascii="宋体" w:hAnsi="宋体" w:cs="宋体"/>
          <w:kern w:val="0"/>
          <w:sz w:val="22"/>
          <w:szCs w:val="22"/>
        </w:rPr>
      </w:pPr>
      <w:r>
        <w:rPr>
          <w:rFonts w:hint="eastAsia" w:ascii="宋体" w:hAnsi="宋体" w:cs="宋体"/>
          <w:kern w:val="0"/>
          <w:sz w:val="22"/>
          <w:szCs w:val="22"/>
        </w:rPr>
        <w:t xml:space="preserve"> 现已清楚知道参加本项目采购活动的其他所有供应商名称，本单位 □与其他所有供应商之间均不存在利害关系 □与</w:t>
      </w:r>
      <w:r>
        <w:rPr>
          <w:rFonts w:hint="eastAsia" w:ascii="宋体" w:hAnsi="宋体" w:cs="宋体"/>
          <w:kern w:val="0"/>
          <w:sz w:val="22"/>
          <w:szCs w:val="22"/>
          <w:u w:val="single"/>
        </w:rPr>
        <w:t xml:space="preserve">           </w:t>
      </w:r>
      <w:r>
        <w:rPr>
          <w:rFonts w:hint="eastAsia" w:ascii="宋体" w:hAnsi="宋体" w:cs="宋体"/>
          <w:kern w:val="0"/>
          <w:sz w:val="22"/>
          <w:szCs w:val="22"/>
        </w:rPr>
        <w:t>（供应商名称）之间存在下列利害关系：</w:t>
      </w:r>
    </w:p>
    <w:p w14:paraId="0E86B2CF">
      <w:pPr>
        <w:pStyle w:val="387"/>
        <w:spacing w:line="480" w:lineRule="exact"/>
        <w:ind w:firstLine="464"/>
        <w:rPr>
          <w:rFonts w:hAnsi="宋体" w:cs="宋体"/>
          <w:spacing w:val="6"/>
          <w:sz w:val="22"/>
          <w:szCs w:val="22"/>
        </w:rPr>
      </w:pPr>
      <w:r>
        <w:rPr>
          <w:rFonts w:hint="eastAsia" w:hAnsi="宋体" w:cs="宋体"/>
          <w:spacing w:val="6"/>
          <w:sz w:val="22"/>
          <w:szCs w:val="22"/>
        </w:rPr>
        <w:t>A.法定代表人或负责人或实际控制人是同一人</w:t>
      </w:r>
    </w:p>
    <w:p w14:paraId="204165EE">
      <w:pPr>
        <w:pStyle w:val="387"/>
        <w:spacing w:line="480" w:lineRule="exact"/>
        <w:ind w:firstLine="464"/>
        <w:rPr>
          <w:rFonts w:hAnsi="宋体" w:cs="宋体"/>
          <w:spacing w:val="6"/>
          <w:sz w:val="22"/>
          <w:szCs w:val="22"/>
        </w:rPr>
      </w:pPr>
      <w:r>
        <w:rPr>
          <w:rFonts w:hint="eastAsia" w:hAnsi="宋体" w:cs="宋体"/>
          <w:spacing w:val="6"/>
          <w:sz w:val="22"/>
          <w:szCs w:val="22"/>
        </w:rPr>
        <w:t>B.法定代表人或负责人或实际控制人是夫妻关系</w:t>
      </w:r>
    </w:p>
    <w:p w14:paraId="64FF4009">
      <w:pPr>
        <w:pStyle w:val="387"/>
        <w:spacing w:line="480" w:lineRule="exact"/>
        <w:ind w:firstLine="464"/>
        <w:rPr>
          <w:rFonts w:hAnsi="宋体" w:cs="宋体"/>
          <w:spacing w:val="6"/>
          <w:sz w:val="22"/>
          <w:szCs w:val="22"/>
        </w:rPr>
      </w:pPr>
      <w:r>
        <w:rPr>
          <w:rFonts w:hint="eastAsia" w:hAnsi="宋体" w:cs="宋体"/>
          <w:spacing w:val="6"/>
          <w:sz w:val="22"/>
          <w:szCs w:val="22"/>
        </w:rPr>
        <w:t>C.法定代表人或负责人或实际控制人是直系血亲关系</w:t>
      </w:r>
    </w:p>
    <w:p w14:paraId="0D9143D9">
      <w:pPr>
        <w:pStyle w:val="387"/>
        <w:spacing w:line="480" w:lineRule="exact"/>
        <w:ind w:firstLine="464"/>
        <w:rPr>
          <w:rFonts w:hAnsi="宋体" w:cs="宋体"/>
          <w:spacing w:val="6"/>
          <w:sz w:val="22"/>
          <w:szCs w:val="22"/>
        </w:rPr>
      </w:pPr>
      <w:r>
        <w:rPr>
          <w:rFonts w:hint="eastAsia" w:hAnsi="宋体" w:cs="宋体"/>
          <w:spacing w:val="6"/>
          <w:sz w:val="22"/>
          <w:szCs w:val="22"/>
        </w:rPr>
        <w:t>D.法定代表人或负责人或实际控制人存在三代以内旁系血亲关系</w:t>
      </w:r>
    </w:p>
    <w:p w14:paraId="40BA0EC2">
      <w:pPr>
        <w:pStyle w:val="387"/>
        <w:spacing w:line="480" w:lineRule="exact"/>
        <w:ind w:firstLine="464"/>
        <w:rPr>
          <w:rFonts w:hAnsi="宋体" w:cs="宋体"/>
          <w:spacing w:val="6"/>
          <w:sz w:val="22"/>
          <w:szCs w:val="22"/>
        </w:rPr>
      </w:pPr>
      <w:r>
        <w:rPr>
          <w:rFonts w:hint="eastAsia" w:hAnsi="宋体" w:cs="宋体"/>
          <w:spacing w:val="6"/>
          <w:sz w:val="22"/>
          <w:szCs w:val="22"/>
        </w:rPr>
        <w:t>E.法定代表人或负责人或实际控制人存在近姻亲关系</w:t>
      </w:r>
    </w:p>
    <w:p w14:paraId="294B7013">
      <w:pPr>
        <w:pStyle w:val="387"/>
        <w:spacing w:line="480" w:lineRule="exact"/>
        <w:ind w:firstLine="464"/>
        <w:rPr>
          <w:rFonts w:hAnsi="宋体" w:cs="宋体"/>
          <w:spacing w:val="6"/>
          <w:sz w:val="22"/>
          <w:szCs w:val="22"/>
        </w:rPr>
      </w:pPr>
      <w:r>
        <w:rPr>
          <w:rFonts w:hint="eastAsia" w:hAnsi="宋体" w:cs="宋体"/>
          <w:spacing w:val="6"/>
          <w:sz w:val="22"/>
          <w:szCs w:val="22"/>
        </w:rPr>
        <w:t>F.法定代表人或负责人或实际控制人存在股份控制或实际控制关系</w:t>
      </w:r>
    </w:p>
    <w:p w14:paraId="69AC5B9C">
      <w:pPr>
        <w:pStyle w:val="387"/>
        <w:spacing w:line="480" w:lineRule="exact"/>
        <w:ind w:firstLine="464"/>
        <w:rPr>
          <w:rFonts w:hAnsi="宋体" w:cs="宋体"/>
          <w:spacing w:val="6"/>
          <w:sz w:val="22"/>
          <w:szCs w:val="22"/>
        </w:rPr>
      </w:pPr>
      <w:r>
        <w:rPr>
          <w:rFonts w:hint="eastAsia" w:hAnsi="宋体" w:cs="宋体"/>
          <w:spacing w:val="6"/>
          <w:sz w:val="22"/>
          <w:szCs w:val="22"/>
        </w:rPr>
        <w:t>G.存在共同直接或间接投资设立子公司、联营企业和合营企业情况</w:t>
      </w:r>
    </w:p>
    <w:p w14:paraId="5194D77D">
      <w:pPr>
        <w:pStyle w:val="387"/>
        <w:spacing w:line="480" w:lineRule="exact"/>
        <w:ind w:firstLine="464"/>
        <w:rPr>
          <w:rFonts w:hAnsi="宋体" w:cs="宋体"/>
          <w:spacing w:val="6"/>
          <w:sz w:val="22"/>
          <w:szCs w:val="22"/>
        </w:rPr>
      </w:pPr>
      <w:r>
        <w:rPr>
          <w:rFonts w:hint="eastAsia" w:hAnsi="宋体" w:cs="宋体"/>
          <w:spacing w:val="6"/>
          <w:sz w:val="22"/>
          <w:szCs w:val="22"/>
        </w:rPr>
        <w:t>H.存在分级代理或代销关系、同一生产制造商关系、管理关系、重要业务（占主营业务收入50%以上）或重要财务往来关系（如融资）等其他实质性控制关系</w:t>
      </w:r>
    </w:p>
    <w:p w14:paraId="20B5923B">
      <w:pPr>
        <w:pStyle w:val="387"/>
        <w:spacing w:line="480" w:lineRule="exact"/>
        <w:ind w:firstLine="440"/>
        <w:rPr>
          <w:rFonts w:hAnsi="宋体" w:cs="宋体"/>
          <w:spacing w:val="6"/>
          <w:sz w:val="22"/>
          <w:szCs w:val="22"/>
        </w:rPr>
      </w:pPr>
      <w:r>
        <w:rPr>
          <w:rFonts w:hint="eastAsia" w:hAnsi="宋体" w:cs="宋体"/>
          <w:sz w:val="22"/>
          <w:szCs w:val="22"/>
        </w:rPr>
        <w:t>I</w:t>
      </w:r>
      <w:r>
        <w:rPr>
          <w:rFonts w:hint="eastAsia" w:hAnsi="宋体" w:cs="宋体"/>
          <w:kern w:val="0"/>
          <w:sz w:val="22"/>
          <w:szCs w:val="22"/>
        </w:rPr>
        <w:t>.</w:t>
      </w:r>
      <w:r>
        <w:rPr>
          <w:rFonts w:hint="eastAsia" w:hAnsi="宋体" w:cs="宋体"/>
          <w:sz w:val="22"/>
          <w:szCs w:val="22"/>
        </w:rPr>
        <w:t>其他利害关系情况</w:t>
      </w:r>
      <w:r>
        <w:rPr>
          <w:rFonts w:hint="eastAsia" w:hAnsi="宋体" w:cs="宋体"/>
          <w:kern w:val="0"/>
          <w:sz w:val="22"/>
          <w:szCs w:val="22"/>
        </w:rPr>
        <w:t>。</w:t>
      </w:r>
    </w:p>
    <w:p w14:paraId="21D4F692">
      <w:pPr>
        <w:pStyle w:val="386"/>
        <w:widowControl/>
        <w:numPr>
          <w:ilvl w:val="0"/>
          <w:numId w:val="12"/>
        </w:numPr>
        <w:snapToGrid w:val="0"/>
        <w:spacing w:line="480" w:lineRule="exact"/>
        <w:ind w:firstLine="415" w:firstLineChars="189"/>
        <w:rPr>
          <w:rFonts w:ascii="宋体" w:hAnsi="宋体" w:cs="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严格遵守政府采购法律法规和现场纪律。</w:t>
      </w:r>
    </w:p>
    <w:p w14:paraId="327D8DA9">
      <w:pPr>
        <w:pStyle w:val="386"/>
        <w:widowControl/>
        <w:numPr>
          <w:ilvl w:val="0"/>
          <w:numId w:val="12"/>
        </w:numPr>
        <w:snapToGrid w:val="0"/>
        <w:spacing w:line="480" w:lineRule="exact"/>
        <w:ind w:firstLine="415" w:firstLineChars="189"/>
        <w:rPr>
          <w:rFonts w:ascii="宋体" w:hAnsi="宋体" w:cs="宋体"/>
          <w:kern w:val="0"/>
          <w:sz w:val="22"/>
          <w:szCs w:val="22"/>
        </w:rPr>
      </w:pPr>
      <w:r>
        <w:rPr>
          <w:rFonts w:hint="eastAsia" w:ascii="宋体" w:hAnsi="宋体" w:cs="宋体"/>
          <w:kern w:val="0"/>
          <w:sz w:val="22"/>
          <w:szCs w:val="22"/>
        </w:rPr>
        <w:t>我发现供应商之间存在或可能存在上述第二条第</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项利害关系。</w:t>
      </w:r>
    </w:p>
    <w:p w14:paraId="32BB5A50">
      <w:pPr>
        <w:pStyle w:val="387"/>
        <w:spacing w:line="500" w:lineRule="exact"/>
        <w:ind w:firstLine="440"/>
        <w:rPr>
          <w:rFonts w:hAnsi="宋体" w:cs="宋体"/>
          <w:sz w:val="22"/>
          <w:szCs w:val="22"/>
        </w:rPr>
      </w:pPr>
    </w:p>
    <w:p w14:paraId="414E791A">
      <w:pPr>
        <w:pStyle w:val="387"/>
        <w:spacing w:line="500" w:lineRule="exact"/>
        <w:ind w:firstLine="440"/>
        <w:rPr>
          <w:rFonts w:hAnsi="宋体" w:cs="宋体"/>
          <w:sz w:val="22"/>
          <w:szCs w:val="22"/>
          <w:u w:val="single"/>
        </w:rPr>
      </w:pPr>
      <w:r>
        <w:rPr>
          <w:rFonts w:hint="eastAsia" w:hAnsi="宋体" w:cs="宋体"/>
          <w:sz w:val="22"/>
          <w:szCs w:val="22"/>
        </w:rPr>
        <w:t>供应商代表签字：</w:t>
      </w:r>
    </w:p>
    <w:p w14:paraId="7A417416">
      <w:pPr>
        <w:spacing w:line="440" w:lineRule="exact"/>
        <w:jc w:val="right"/>
        <w:rPr>
          <w:rFonts w:ascii="宋体" w:hAnsi="宋体" w:cs="宋体"/>
          <w:sz w:val="22"/>
          <w:szCs w:val="22"/>
        </w:rPr>
      </w:pP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14:paraId="0456A1D9">
      <w:pPr>
        <w:spacing w:line="440" w:lineRule="exact"/>
        <w:jc w:val="right"/>
        <w:rPr>
          <w:rFonts w:ascii="宋体" w:hAnsi="宋体" w:cs="宋体"/>
          <w:sz w:val="22"/>
          <w:szCs w:val="22"/>
        </w:rPr>
      </w:pPr>
    </w:p>
    <w:p w14:paraId="54C2A74B">
      <w:pPr>
        <w:spacing w:line="440" w:lineRule="exact"/>
        <w:jc w:val="right"/>
        <w:rPr>
          <w:rFonts w:ascii="宋体" w:hAnsi="宋体" w:cs="宋体"/>
          <w:b/>
          <w:bCs/>
          <w:sz w:val="22"/>
          <w:szCs w:val="22"/>
        </w:rPr>
      </w:pPr>
      <w:r>
        <w:rPr>
          <w:rFonts w:hint="eastAsia" w:ascii="宋体" w:hAnsi="宋体" w:cs="宋体"/>
          <w:sz w:val="22"/>
          <w:szCs w:val="22"/>
        </w:rPr>
        <w:t xml:space="preserve"> 年  月  日</w:t>
      </w:r>
    </w:p>
    <w:p w14:paraId="08798CEC">
      <w:pPr>
        <w:pStyle w:val="51"/>
        <w:ind w:firstLine="1732" w:firstLineChars="784"/>
        <w:jc w:val="both"/>
        <w:rPr>
          <w:rFonts w:ascii="宋体" w:hAnsi="宋体" w:cs="宋体"/>
          <w:kern w:val="2"/>
          <w:sz w:val="36"/>
          <w:szCs w:val="36"/>
        </w:rPr>
      </w:pPr>
      <w:r>
        <w:rPr>
          <w:rFonts w:hint="eastAsia" w:ascii="宋体" w:hAnsi="宋体" w:cs="宋体"/>
          <w:sz w:val="22"/>
          <w:szCs w:val="22"/>
        </w:rPr>
        <w:br w:type="page"/>
      </w:r>
      <w:bookmarkStart w:id="48" w:name="_Toc495955195"/>
      <w:bookmarkStart w:id="49" w:name="_Toc497985017"/>
      <w:bookmarkStart w:id="50" w:name="_Toc8508"/>
      <w:r>
        <w:rPr>
          <w:rFonts w:hint="eastAsia" w:ascii="宋体" w:hAnsi="宋体" w:cs="宋体"/>
          <w:kern w:val="2"/>
          <w:sz w:val="36"/>
          <w:szCs w:val="36"/>
        </w:rPr>
        <w:t xml:space="preserve">  </w:t>
      </w:r>
      <w:bookmarkStart w:id="51" w:name="_Toc58832089"/>
      <w:bookmarkStart w:id="52" w:name="_Toc21348"/>
      <w:r>
        <w:rPr>
          <w:rFonts w:hint="eastAsia" w:ascii="宋体" w:hAnsi="宋体" w:cs="宋体"/>
          <w:sz w:val="36"/>
          <w:szCs w:val="36"/>
        </w:rPr>
        <w:t xml:space="preserve">第二部分   </w:t>
      </w:r>
      <w:r>
        <w:rPr>
          <w:rFonts w:hint="eastAsia" w:ascii="宋体" w:hAnsi="宋体" w:cs="宋体"/>
          <w:kern w:val="2"/>
          <w:sz w:val="36"/>
          <w:szCs w:val="36"/>
        </w:rPr>
        <w:t>政府采购政策功能相关说明</w:t>
      </w:r>
      <w:bookmarkEnd w:id="48"/>
      <w:bookmarkEnd w:id="49"/>
      <w:bookmarkEnd w:id="50"/>
      <w:bookmarkEnd w:id="51"/>
      <w:bookmarkEnd w:id="52"/>
    </w:p>
    <w:p w14:paraId="0DA31A6C">
      <w:pPr>
        <w:jc w:val="left"/>
        <w:rPr>
          <w:rFonts w:ascii="宋体" w:hAnsi="宋体" w:cs="宋体"/>
          <w:b/>
          <w:sz w:val="22"/>
        </w:rPr>
      </w:pPr>
    </w:p>
    <w:p w14:paraId="3F3FB79D">
      <w:pPr>
        <w:jc w:val="center"/>
        <w:rPr>
          <w:rFonts w:ascii="宋体" w:hAnsi="宋体" w:cs="宋体"/>
          <w:b/>
          <w:bCs/>
          <w:sz w:val="28"/>
          <w:szCs w:val="28"/>
        </w:rPr>
      </w:pPr>
      <w:r>
        <w:rPr>
          <w:rFonts w:hint="eastAsia" w:ascii="宋体" w:hAnsi="宋体" w:cs="宋体"/>
          <w:b/>
          <w:bCs/>
          <w:sz w:val="28"/>
          <w:szCs w:val="28"/>
        </w:rPr>
        <w:t>小、微企业（含监狱企业、残疾人福利性单位）扶持政策说明</w:t>
      </w:r>
    </w:p>
    <w:p w14:paraId="3085D040">
      <w:pPr>
        <w:spacing w:line="440" w:lineRule="atLeast"/>
        <w:jc w:val="left"/>
        <w:rPr>
          <w:rFonts w:ascii="宋体" w:hAnsi="宋体" w:cs="宋体"/>
          <w:b/>
          <w:bCs/>
          <w:sz w:val="22"/>
        </w:rPr>
      </w:pPr>
      <w:r>
        <w:rPr>
          <w:rFonts w:hint="eastAsia" w:ascii="宋体" w:hAnsi="宋体" w:cs="宋体"/>
          <w:b/>
          <w:bCs/>
          <w:sz w:val="22"/>
        </w:rPr>
        <w:t>1.文件依据</w:t>
      </w:r>
    </w:p>
    <w:p w14:paraId="053798F1">
      <w:pPr>
        <w:spacing w:line="440" w:lineRule="atLeast"/>
        <w:ind w:firstLine="440" w:firstLineChars="200"/>
        <w:jc w:val="left"/>
        <w:rPr>
          <w:rFonts w:ascii="宋体" w:hAnsi="宋体" w:cs="宋体"/>
          <w:bCs/>
          <w:sz w:val="22"/>
        </w:rPr>
      </w:pPr>
      <w:r>
        <w:rPr>
          <w:rFonts w:hint="eastAsia" w:ascii="宋体" w:hAnsi="宋体" w:cs="宋体"/>
          <w:bCs/>
          <w:sz w:val="22"/>
        </w:rPr>
        <w:t>（1）关于印发《政府采购促进中小企业发展管理办法》的通知（财库[2020]46号）及财政部关于进一步加大政府采购支持中小企业力度的通知（财库〔2022〕19号）文件。</w:t>
      </w:r>
    </w:p>
    <w:p w14:paraId="4BB04B27">
      <w:pPr>
        <w:spacing w:line="440" w:lineRule="atLeast"/>
        <w:ind w:firstLine="440" w:firstLineChars="200"/>
        <w:jc w:val="left"/>
        <w:rPr>
          <w:rFonts w:ascii="宋体" w:hAnsi="宋体" w:cs="宋体"/>
          <w:bCs/>
          <w:sz w:val="22"/>
        </w:rPr>
      </w:pPr>
      <w:r>
        <w:rPr>
          <w:rFonts w:hint="eastAsia" w:ascii="宋体" w:hAnsi="宋体" w:cs="宋体"/>
          <w:bCs/>
          <w:sz w:val="22"/>
        </w:rPr>
        <w:t>（2）浙江省财政厅《关于开展政府采购供应商网上注册登记和诚信管理工作的通知》（浙财采监〔2010〕8号）</w:t>
      </w:r>
    </w:p>
    <w:p w14:paraId="391CA5CA">
      <w:pPr>
        <w:spacing w:line="440" w:lineRule="atLeast"/>
        <w:ind w:firstLine="440" w:firstLineChars="200"/>
        <w:jc w:val="left"/>
        <w:rPr>
          <w:rFonts w:ascii="宋体" w:hAnsi="宋体" w:cs="宋体"/>
          <w:bCs/>
          <w:sz w:val="22"/>
        </w:rPr>
      </w:pPr>
      <w:r>
        <w:rPr>
          <w:rFonts w:hint="eastAsia" w:ascii="宋体" w:hAnsi="宋体" w:cs="宋体"/>
          <w:bCs/>
          <w:sz w:val="22"/>
        </w:rPr>
        <w:t>（3）《工业和信息化部、国家统计局、国家发展和改革委员会、财政部关于印发中小企业划型标准规定的通知》（工信部联企业[2011]300号）</w:t>
      </w:r>
    </w:p>
    <w:p w14:paraId="4B01ABB1">
      <w:pPr>
        <w:spacing w:line="440" w:lineRule="atLeast"/>
        <w:ind w:firstLine="440" w:firstLineChars="200"/>
        <w:jc w:val="left"/>
        <w:rPr>
          <w:rFonts w:ascii="宋体" w:hAnsi="宋体" w:cs="宋体"/>
          <w:bCs/>
          <w:sz w:val="22"/>
        </w:rPr>
      </w:pPr>
      <w:r>
        <w:rPr>
          <w:rFonts w:hint="eastAsia" w:ascii="宋体" w:hAnsi="宋体" w:cs="宋体"/>
          <w:bCs/>
          <w:sz w:val="22"/>
        </w:rPr>
        <w:t>（4）财政部、司法部《关于政府采购支持监狱企业发展有关问题的通知》（财库〔2014〕68号）</w:t>
      </w:r>
    </w:p>
    <w:p w14:paraId="5C8D156B">
      <w:pPr>
        <w:spacing w:line="440" w:lineRule="atLeast"/>
        <w:ind w:firstLine="440" w:firstLineChars="200"/>
        <w:jc w:val="left"/>
        <w:rPr>
          <w:rFonts w:ascii="宋体" w:hAnsi="宋体" w:cs="宋体"/>
          <w:bCs/>
          <w:sz w:val="22"/>
        </w:rPr>
      </w:pPr>
      <w:r>
        <w:rPr>
          <w:rFonts w:hint="eastAsia" w:ascii="宋体" w:hAnsi="宋体" w:cs="宋体"/>
          <w:bCs/>
          <w:sz w:val="22"/>
        </w:rPr>
        <w:t>（5）《财政部 民政部 中国残疾人联合会关于促进残疾人就业政府采购政策的通知》（财库〔2017〕 141号）</w:t>
      </w:r>
    </w:p>
    <w:p w14:paraId="3F04B74E">
      <w:pPr>
        <w:spacing w:line="440" w:lineRule="atLeast"/>
        <w:ind w:firstLine="440" w:firstLineChars="200"/>
        <w:jc w:val="left"/>
        <w:rPr>
          <w:rFonts w:ascii="宋体" w:hAnsi="宋体" w:cs="宋体"/>
          <w:bCs/>
          <w:sz w:val="22"/>
        </w:rPr>
      </w:pPr>
      <w:r>
        <w:rPr>
          <w:rFonts w:hint="eastAsia" w:ascii="宋体" w:hAnsi="宋体" w:cs="宋体"/>
          <w:bCs/>
          <w:sz w:val="22"/>
        </w:rPr>
        <w:t>（6）《浙江省财政厅  浙江省经济和信息化委员会关于简化中小企业类别确认流程有关事项的通知》（浙财采监〔2018〕2号）</w:t>
      </w:r>
    </w:p>
    <w:p w14:paraId="6F1CFA26">
      <w:pPr>
        <w:spacing w:line="440" w:lineRule="atLeast"/>
        <w:jc w:val="left"/>
        <w:rPr>
          <w:rFonts w:ascii="宋体" w:hAnsi="宋体" w:cs="宋体"/>
          <w:b/>
          <w:bCs/>
          <w:sz w:val="22"/>
        </w:rPr>
      </w:pPr>
      <w:r>
        <w:rPr>
          <w:rFonts w:hint="eastAsia" w:ascii="宋体" w:hAnsi="宋体" w:cs="宋体"/>
          <w:b/>
          <w:bCs/>
          <w:sz w:val="22"/>
        </w:rPr>
        <w:t>2.供应商提供的货物、工程或者服务符合下列情形的，享受中小企业扶持政策：</w:t>
      </w:r>
    </w:p>
    <w:p w14:paraId="2034CB9F">
      <w:pPr>
        <w:spacing w:line="440" w:lineRule="atLeast"/>
        <w:ind w:firstLine="440" w:firstLineChars="200"/>
        <w:jc w:val="left"/>
        <w:rPr>
          <w:rFonts w:ascii="宋体" w:hAnsi="宋体" w:cs="宋体"/>
          <w:bCs/>
          <w:sz w:val="22"/>
        </w:rPr>
      </w:pPr>
      <w:r>
        <w:rPr>
          <w:rFonts w:hint="eastAsia" w:ascii="宋体" w:hAnsi="宋体" w:cs="宋体"/>
          <w:bCs/>
          <w:sz w:val="22"/>
        </w:rPr>
        <w:t>（1）在货物采购项目中，货物由中小企业制造，即货物由中小企业生产且使用该中小企业商号或者注册商标；</w:t>
      </w:r>
    </w:p>
    <w:p w14:paraId="5B91D21C">
      <w:pPr>
        <w:spacing w:line="440" w:lineRule="atLeast"/>
        <w:ind w:firstLine="440" w:firstLineChars="200"/>
        <w:jc w:val="left"/>
        <w:rPr>
          <w:rFonts w:ascii="宋体" w:hAnsi="宋体" w:cs="宋体"/>
          <w:bCs/>
          <w:sz w:val="22"/>
        </w:rPr>
      </w:pPr>
      <w:r>
        <w:rPr>
          <w:rFonts w:hint="eastAsia" w:ascii="宋体" w:hAnsi="宋体" w:cs="宋体"/>
          <w:bCs/>
          <w:sz w:val="22"/>
        </w:rPr>
        <w:t>（2）在工程采购项目中，工程由中小企业承建，即工程施工单位为中小企业；</w:t>
      </w:r>
    </w:p>
    <w:p w14:paraId="61ABB3F2">
      <w:pPr>
        <w:spacing w:line="440" w:lineRule="atLeast"/>
        <w:ind w:firstLine="440" w:firstLineChars="200"/>
        <w:jc w:val="left"/>
        <w:rPr>
          <w:rFonts w:ascii="宋体" w:hAnsi="宋体" w:cs="宋体"/>
          <w:bCs/>
          <w:sz w:val="22"/>
        </w:rPr>
      </w:pPr>
      <w:r>
        <w:rPr>
          <w:rFonts w:hint="eastAsia" w:ascii="宋体" w:hAnsi="宋体" w:cs="宋体"/>
          <w:bCs/>
          <w:sz w:val="22"/>
        </w:rPr>
        <w:t>（3）在服务采购项目中，服务由中小企业承接，即提供服务的人员为中小企业依照《中华人民共和国劳动合同法》订立劳动合同的从业人员。</w:t>
      </w:r>
    </w:p>
    <w:p w14:paraId="5A294421">
      <w:pPr>
        <w:spacing w:line="440" w:lineRule="atLeast"/>
        <w:jc w:val="left"/>
        <w:rPr>
          <w:rFonts w:ascii="宋体" w:hAnsi="宋体" w:cs="宋体"/>
          <w:b/>
          <w:bCs/>
          <w:sz w:val="22"/>
        </w:rPr>
      </w:pPr>
      <w:r>
        <w:rPr>
          <w:rFonts w:hint="eastAsia" w:ascii="宋体" w:hAnsi="宋体" w:cs="宋体"/>
          <w:b/>
          <w:bCs/>
          <w:sz w:val="22"/>
        </w:rPr>
        <w:t>3.小微企业（含监狱企业、残疾人福利性单位）评审扶持政策</w:t>
      </w:r>
    </w:p>
    <w:p w14:paraId="721E98A6">
      <w:pPr>
        <w:spacing w:line="440" w:lineRule="atLeast"/>
        <w:ind w:firstLine="440" w:firstLineChars="200"/>
        <w:jc w:val="left"/>
        <w:rPr>
          <w:rFonts w:ascii="宋体" w:hAnsi="宋体" w:cs="宋体"/>
          <w:bCs/>
          <w:sz w:val="22"/>
        </w:rPr>
      </w:pPr>
      <w:r>
        <w:rPr>
          <w:rFonts w:hint="eastAsia" w:ascii="宋体" w:hAnsi="宋体" w:cs="宋体"/>
          <w:bCs/>
          <w:sz w:val="22"/>
        </w:rPr>
        <w:t>（1）本项目对小型企业和微型企业（含监狱企业、残疾人福利性单位）的投标报价给予20%的扣除，用扣除后的价格参与评审。</w:t>
      </w:r>
    </w:p>
    <w:p w14:paraId="22A7DFD3">
      <w:pPr>
        <w:spacing w:line="440" w:lineRule="atLeast"/>
        <w:ind w:firstLine="440" w:firstLineChars="200"/>
        <w:jc w:val="left"/>
        <w:rPr>
          <w:rFonts w:ascii="宋体" w:hAnsi="宋体" w:cs="宋体"/>
          <w:bCs/>
          <w:sz w:val="22"/>
        </w:rPr>
      </w:pPr>
      <w:r>
        <w:rPr>
          <w:rFonts w:hint="eastAsia" w:ascii="宋体" w:hAnsi="宋体" w:cs="宋体"/>
          <w:bCs/>
          <w:sz w:val="22"/>
        </w:rPr>
        <w:t>（2）在货物采购项目中，供应商提供的货物既有中小企业制造货物，也有大型企业制造货物的，不享受中小企业扶持政策。</w:t>
      </w:r>
    </w:p>
    <w:p w14:paraId="74AEC496">
      <w:pPr>
        <w:spacing w:line="440" w:lineRule="atLeast"/>
        <w:ind w:firstLine="440" w:firstLineChars="200"/>
        <w:jc w:val="left"/>
        <w:rPr>
          <w:rFonts w:ascii="宋体" w:hAnsi="宋体" w:cs="宋体"/>
          <w:bCs/>
          <w:sz w:val="22"/>
        </w:rPr>
      </w:pPr>
      <w:r>
        <w:rPr>
          <w:rFonts w:hint="eastAsia" w:ascii="宋体" w:hAnsi="宋体" w:cs="宋体"/>
          <w:bCs/>
          <w:sz w:val="22"/>
        </w:rPr>
        <w:t>（3）以联合体形式参加政府采购活动，联合体各方均为中小企业的，联合体视同中小企业。其中，联合体各方均为小微企业的，联合体视同小微企业。</w:t>
      </w:r>
    </w:p>
    <w:p w14:paraId="085E8B79">
      <w:pPr>
        <w:spacing w:line="440" w:lineRule="atLeast"/>
        <w:ind w:firstLine="440" w:firstLineChars="200"/>
        <w:jc w:val="left"/>
        <w:rPr>
          <w:rFonts w:ascii="宋体" w:hAnsi="宋体" w:cs="宋体"/>
        </w:rPr>
      </w:pPr>
      <w:r>
        <w:rPr>
          <w:rFonts w:hint="eastAsia" w:ascii="宋体" w:hAnsi="宋体" w:cs="宋体"/>
          <w:bCs/>
          <w:sz w:val="22"/>
        </w:rPr>
        <w:t>（4）对于联合体协议或者分包意向协议约定小微企业合同份额占到合同总金额30%以上的，对其投标报价给予6%的扣除，用扣除后的价格参与评审。</w:t>
      </w:r>
    </w:p>
    <w:p w14:paraId="27334D44">
      <w:pPr>
        <w:spacing w:line="440" w:lineRule="atLeast"/>
        <w:jc w:val="left"/>
        <w:rPr>
          <w:rFonts w:ascii="宋体" w:hAnsi="宋体" w:cs="宋体"/>
          <w:b/>
          <w:bCs/>
          <w:sz w:val="22"/>
        </w:rPr>
      </w:pPr>
      <w:r>
        <w:rPr>
          <w:rFonts w:hint="eastAsia" w:ascii="宋体" w:hAnsi="宋体" w:cs="宋体"/>
          <w:b/>
          <w:bCs/>
          <w:sz w:val="22"/>
          <w:u w:val="single"/>
        </w:rPr>
        <w:t>4.享受小微企业价格扣除应提供以下证明材料（磋商响应文件报价文件中，不提供的不享受价格扣除）</w:t>
      </w:r>
      <w:r>
        <w:rPr>
          <w:rFonts w:hint="eastAsia" w:ascii="宋体" w:hAnsi="宋体" w:cs="宋体"/>
          <w:b/>
          <w:bCs/>
          <w:sz w:val="22"/>
        </w:rPr>
        <w:t>：</w:t>
      </w:r>
    </w:p>
    <w:p w14:paraId="0402DBEE">
      <w:pPr>
        <w:spacing w:line="440" w:lineRule="atLeast"/>
        <w:ind w:firstLine="440" w:firstLineChars="200"/>
        <w:jc w:val="left"/>
        <w:rPr>
          <w:rFonts w:ascii="宋体" w:hAnsi="宋体" w:cs="宋体"/>
          <w:bCs/>
          <w:sz w:val="22"/>
        </w:rPr>
      </w:pPr>
      <w:r>
        <w:rPr>
          <w:rFonts w:hint="eastAsia" w:ascii="宋体" w:hAnsi="宋体" w:cs="宋体"/>
          <w:bCs/>
          <w:sz w:val="22"/>
        </w:rPr>
        <w:t>（1）《中小企业声明函》（原件，加盖供应商公章，格式见附件1）</w:t>
      </w:r>
    </w:p>
    <w:p w14:paraId="5BD44891">
      <w:pPr>
        <w:spacing w:line="440" w:lineRule="atLeast"/>
        <w:jc w:val="left"/>
        <w:rPr>
          <w:rFonts w:ascii="宋体" w:hAnsi="宋体" w:cs="宋体"/>
          <w:bCs/>
          <w:sz w:val="22"/>
        </w:rPr>
      </w:pPr>
      <w:r>
        <w:rPr>
          <w:rFonts w:hint="eastAsia" w:ascii="宋体" w:hAnsi="宋体" w:cs="宋体"/>
          <w:bCs/>
          <w:sz w:val="22"/>
        </w:rPr>
        <w:t>5.</w:t>
      </w:r>
      <w:r>
        <w:rPr>
          <w:rFonts w:hint="eastAsia" w:ascii="宋体" w:hAnsi="宋体" w:cs="宋体"/>
          <w:b/>
          <w:bCs/>
          <w:sz w:val="22"/>
          <w:u w:val="single"/>
        </w:rPr>
        <w:t>享受监狱企业价格扣除应提供以下证明材料（磋商响应文件报价文件中，不提供的不享受价格扣除）</w:t>
      </w:r>
      <w:r>
        <w:rPr>
          <w:rFonts w:hint="eastAsia" w:ascii="宋体" w:hAnsi="宋体" w:cs="宋体"/>
          <w:bCs/>
          <w:sz w:val="22"/>
        </w:rPr>
        <w:t>：</w:t>
      </w:r>
    </w:p>
    <w:p w14:paraId="7EC32552">
      <w:pPr>
        <w:spacing w:line="440" w:lineRule="atLeast"/>
        <w:ind w:firstLine="440" w:firstLineChars="200"/>
        <w:jc w:val="left"/>
        <w:rPr>
          <w:rFonts w:ascii="宋体" w:hAnsi="宋体" w:cs="宋体"/>
          <w:bCs/>
          <w:sz w:val="22"/>
        </w:rPr>
      </w:pPr>
      <w:r>
        <w:rPr>
          <w:rFonts w:hint="eastAsia" w:ascii="宋体" w:hAnsi="宋体" w:cs="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6028A52D">
      <w:pPr>
        <w:spacing w:line="440" w:lineRule="atLeast"/>
        <w:jc w:val="left"/>
        <w:rPr>
          <w:rFonts w:ascii="宋体" w:hAnsi="宋体" w:cs="宋体"/>
          <w:bCs/>
          <w:sz w:val="22"/>
        </w:rPr>
      </w:pPr>
      <w:r>
        <w:rPr>
          <w:rFonts w:hint="eastAsia" w:ascii="宋体" w:hAnsi="宋体" w:cs="宋体"/>
          <w:bCs/>
          <w:sz w:val="22"/>
        </w:rPr>
        <w:t>6.</w:t>
      </w:r>
      <w:r>
        <w:rPr>
          <w:rFonts w:hint="eastAsia" w:ascii="宋体" w:hAnsi="宋体" w:cs="宋体"/>
          <w:b/>
          <w:bCs/>
          <w:sz w:val="22"/>
          <w:u w:val="single"/>
        </w:rPr>
        <w:t>享受残疾人福利性单位价格扣除应提供以下证明材料（磋商响应文件报价文件中，不提供的不享受价格扣除）</w:t>
      </w:r>
      <w:r>
        <w:rPr>
          <w:rFonts w:hint="eastAsia" w:ascii="宋体" w:hAnsi="宋体" w:cs="宋体"/>
          <w:bCs/>
          <w:sz w:val="22"/>
        </w:rPr>
        <w:t>：</w:t>
      </w:r>
    </w:p>
    <w:p w14:paraId="23A21A4B">
      <w:pPr>
        <w:spacing w:line="440" w:lineRule="atLeast"/>
        <w:ind w:firstLine="440" w:firstLineChars="200"/>
        <w:jc w:val="left"/>
        <w:rPr>
          <w:rFonts w:ascii="宋体" w:hAnsi="宋体" w:cs="宋体"/>
          <w:bCs/>
          <w:sz w:val="22"/>
        </w:rPr>
      </w:pPr>
      <w:r>
        <w:rPr>
          <w:rFonts w:hint="eastAsia" w:ascii="宋体" w:hAnsi="宋体" w:cs="宋体"/>
          <w:bCs/>
          <w:sz w:val="22"/>
        </w:rPr>
        <w:t>（1）残疾人福利性单位声明函（附件2）；</w:t>
      </w:r>
    </w:p>
    <w:p w14:paraId="2BA7582B">
      <w:pPr>
        <w:spacing w:line="440" w:lineRule="atLeast"/>
        <w:jc w:val="left"/>
        <w:rPr>
          <w:rFonts w:ascii="宋体" w:hAnsi="宋体" w:cs="宋体"/>
          <w:bCs/>
          <w:sz w:val="22"/>
        </w:rPr>
      </w:pPr>
      <w:r>
        <w:rPr>
          <w:rFonts w:hint="eastAsia" w:ascii="宋体" w:hAnsi="宋体" w:cs="宋体"/>
          <w:bCs/>
          <w:sz w:val="22"/>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扣除。</w:t>
      </w:r>
    </w:p>
    <w:p w14:paraId="6ABB31E5">
      <w:pPr>
        <w:pStyle w:val="265"/>
        <w:spacing w:before="120"/>
        <w:ind w:firstLine="0"/>
        <w:rPr>
          <w:rFonts w:ascii="宋体" w:hAnsi="宋体" w:cs="宋体"/>
        </w:rPr>
      </w:pPr>
      <w:r>
        <w:rPr>
          <w:rFonts w:hint="eastAsia" w:ascii="宋体" w:hAnsi="宋体" w:cs="宋体"/>
          <w:b/>
          <w:sz w:val="22"/>
        </w:rPr>
        <w:t>8.享受扶持政策获得政府采购合同的，小微企业不得将合同分包给大中型企业，中型企业不得将合同分包给大型企业</w:t>
      </w:r>
    </w:p>
    <w:p w14:paraId="5BE3DCE4">
      <w:pPr>
        <w:pStyle w:val="265"/>
        <w:spacing w:before="120"/>
        <w:rPr>
          <w:rFonts w:ascii="宋体" w:hAnsi="宋体" w:cs="宋体"/>
        </w:rPr>
      </w:pPr>
    </w:p>
    <w:p w14:paraId="6CDE0678">
      <w:pPr>
        <w:pStyle w:val="265"/>
        <w:spacing w:before="120"/>
        <w:rPr>
          <w:rFonts w:ascii="宋体" w:hAnsi="宋体" w:cs="宋体"/>
        </w:rPr>
      </w:pPr>
    </w:p>
    <w:p w14:paraId="79D38822">
      <w:pPr>
        <w:pStyle w:val="265"/>
        <w:spacing w:before="120"/>
        <w:rPr>
          <w:rFonts w:ascii="宋体" w:hAnsi="宋体" w:cs="宋体"/>
        </w:rPr>
      </w:pPr>
    </w:p>
    <w:p w14:paraId="306741BC">
      <w:pPr>
        <w:pStyle w:val="265"/>
        <w:spacing w:before="120"/>
        <w:rPr>
          <w:rFonts w:ascii="宋体" w:hAnsi="宋体" w:cs="宋体"/>
        </w:rPr>
      </w:pPr>
    </w:p>
    <w:p w14:paraId="066AD793">
      <w:pPr>
        <w:pStyle w:val="265"/>
        <w:spacing w:before="120"/>
        <w:rPr>
          <w:rFonts w:ascii="宋体" w:hAnsi="宋体" w:cs="宋体"/>
        </w:rPr>
      </w:pPr>
    </w:p>
    <w:p w14:paraId="49208C2B">
      <w:pPr>
        <w:pStyle w:val="265"/>
        <w:spacing w:before="120"/>
        <w:rPr>
          <w:rFonts w:ascii="宋体" w:hAnsi="宋体" w:cs="宋体"/>
        </w:rPr>
      </w:pPr>
    </w:p>
    <w:p w14:paraId="33BA4928">
      <w:pPr>
        <w:widowControl/>
        <w:spacing w:before="100" w:beforeAutospacing="1" w:after="100" w:afterAutospacing="1" w:line="440" w:lineRule="atLeast"/>
        <w:jc w:val="left"/>
        <w:rPr>
          <w:rFonts w:ascii="宋体" w:hAnsi="宋体" w:cs="宋体"/>
          <w:b/>
          <w:sz w:val="24"/>
        </w:rPr>
      </w:pPr>
      <w:r>
        <w:rPr>
          <w:rFonts w:hint="eastAsia" w:ascii="宋体" w:hAnsi="宋体" w:cs="宋体"/>
          <w:bCs/>
          <w:sz w:val="22"/>
          <w:szCs w:val="22"/>
        </w:rPr>
        <w:br w:type="page"/>
      </w:r>
      <w:r>
        <w:rPr>
          <w:rFonts w:hint="eastAsia" w:ascii="宋体" w:hAnsi="宋体" w:cs="宋体"/>
          <w:b/>
          <w:sz w:val="24"/>
        </w:rPr>
        <w:t>附件1：</w:t>
      </w:r>
    </w:p>
    <w:p w14:paraId="083197E5">
      <w:pPr>
        <w:widowControl/>
        <w:spacing w:before="100" w:beforeAutospacing="1" w:after="100" w:afterAutospacing="1" w:line="440" w:lineRule="atLeast"/>
        <w:jc w:val="center"/>
        <w:rPr>
          <w:rFonts w:ascii="宋体" w:hAnsi="宋体" w:cs="宋体"/>
          <w:b/>
          <w:sz w:val="24"/>
        </w:rPr>
      </w:pPr>
      <w:r>
        <w:rPr>
          <w:rFonts w:hint="eastAsia" w:ascii="宋体" w:hAnsi="宋体" w:cs="宋体"/>
          <w:b/>
          <w:bCs/>
          <w:sz w:val="24"/>
        </w:rPr>
        <w:t>中小企业声明函（货物）</w:t>
      </w:r>
    </w:p>
    <w:p w14:paraId="74B73E43">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采购活动，提供的货物全部由符合政策要求的中小企业制造。相关企业（含联合体中的中小企业、签订分包意向协议的中小企业）的具体情况如下：</w:t>
      </w:r>
    </w:p>
    <w:p w14:paraId="16B06039">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；制造商为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14:paraId="5EC4EAE7">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；制造商为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14:paraId="45C129D9">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w:t>
      </w:r>
    </w:p>
    <w:p w14:paraId="46D68C6A">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14:paraId="2B771A90">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本企业对上述声明内容的真实性负责。如有虚假，将依法承担相应责任。</w:t>
      </w:r>
    </w:p>
    <w:p w14:paraId="37FE380E">
      <w:pPr>
        <w:widowControl/>
        <w:spacing w:before="100" w:beforeAutospacing="1" w:after="100" w:afterAutospacing="1" w:line="440" w:lineRule="atLeast"/>
        <w:ind w:firstLine="5669" w:firstLineChars="2577"/>
        <w:jc w:val="left"/>
        <w:rPr>
          <w:rFonts w:ascii="宋体" w:hAnsi="宋体" w:cs="宋体"/>
          <w:bCs/>
          <w:sz w:val="22"/>
          <w:szCs w:val="22"/>
        </w:rPr>
      </w:pPr>
      <w:r>
        <w:rPr>
          <w:rFonts w:hint="eastAsia" w:ascii="宋体" w:hAnsi="宋体" w:cs="宋体"/>
          <w:bCs/>
          <w:sz w:val="22"/>
          <w:szCs w:val="22"/>
        </w:rPr>
        <w:t>企业名称（盖章）：</w:t>
      </w:r>
    </w:p>
    <w:p w14:paraId="7F3DF0A1">
      <w:pPr>
        <w:widowControl/>
        <w:spacing w:before="100" w:beforeAutospacing="1" w:after="100" w:afterAutospacing="1" w:line="440" w:lineRule="atLeast"/>
        <w:ind w:firstLine="5669" w:firstLineChars="2577"/>
        <w:jc w:val="left"/>
        <w:rPr>
          <w:rFonts w:ascii="宋体" w:hAnsi="宋体" w:cs="宋体"/>
          <w:bCs/>
          <w:sz w:val="22"/>
          <w:szCs w:val="22"/>
        </w:rPr>
      </w:pPr>
      <w:r>
        <w:rPr>
          <w:rFonts w:hint="eastAsia" w:ascii="宋体" w:hAnsi="宋体" w:cs="宋体"/>
          <w:bCs/>
          <w:sz w:val="22"/>
          <w:szCs w:val="22"/>
        </w:rPr>
        <w:t>日 期：</w:t>
      </w:r>
    </w:p>
    <w:p w14:paraId="763ED01B">
      <w:pPr>
        <w:widowControl/>
        <w:tabs>
          <w:tab w:val="left" w:pos="312"/>
        </w:tabs>
        <w:spacing w:before="100" w:beforeAutospacing="1" w:after="100" w:afterAutospacing="1" w:line="440" w:lineRule="atLeast"/>
        <w:jc w:val="left"/>
        <w:rPr>
          <w:rFonts w:ascii="宋体" w:hAnsi="宋体" w:cs="宋体"/>
          <w:bCs/>
          <w:sz w:val="18"/>
          <w:szCs w:val="18"/>
        </w:rPr>
      </w:pPr>
    </w:p>
    <w:p w14:paraId="03F1BACE">
      <w:pPr>
        <w:widowControl/>
        <w:tabs>
          <w:tab w:val="left" w:pos="312"/>
        </w:tabs>
        <w:spacing w:before="100" w:beforeAutospacing="1" w:after="100" w:afterAutospacing="1" w:line="440" w:lineRule="atLeast"/>
        <w:jc w:val="left"/>
        <w:rPr>
          <w:rFonts w:ascii="宋体" w:hAnsi="宋体" w:cs="宋体"/>
          <w:bCs/>
          <w:sz w:val="18"/>
          <w:szCs w:val="18"/>
        </w:rPr>
      </w:pPr>
    </w:p>
    <w:p w14:paraId="2F9F0960">
      <w:pPr>
        <w:widowControl/>
        <w:tabs>
          <w:tab w:val="left" w:pos="312"/>
        </w:tabs>
        <w:spacing w:before="100" w:beforeAutospacing="1" w:after="100" w:afterAutospacing="1" w:line="440" w:lineRule="atLeast"/>
        <w:jc w:val="left"/>
        <w:rPr>
          <w:rFonts w:ascii="宋体" w:hAnsi="宋体" w:cs="宋体"/>
          <w:bCs/>
          <w:sz w:val="18"/>
          <w:szCs w:val="18"/>
        </w:rPr>
      </w:pPr>
    </w:p>
    <w:p w14:paraId="16C53587">
      <w:pPr>
        <w:widowControl/>
        <w:tabs>
          <w:tab w:val="left" w:pos="312"/>
        </w:tabs>
        <w:spacing w:before="100" w:beforeAutospacing="1" w:after="100" w:afterAutospacing="1" w:line="440" w:lineRule="atLeast"/>
        <w:jc w:val="left"/>
        <w:rPr>
          <w:rFonts w:ascii="宋体" w:hAnsi="宋体" w:cs="宋体"/>
          <w:bCs/>
          <w:sz w:val="18"/>
          <w:szCs w:val="18"/>
        </w:rPr>
      </w:pPr>
    </w:p>
    <w:p w14:paraId="57E53EE9">
      <w:pPr>
        <w:widowControl/>
        <w:tabs>
          <w:tab w:val="left" w:pos="312"/>
        </w:tabs>
        <w:spacing w:before="100" w:beforeAutospacing="1" w:after="100" w:afterAutospacing="1" w:line="440" w:lineRule="atLeast"/>
        <w:jc w:val="left"/>
        <w:rPr>
          <w:rFonts w:ascii="宋体" w:hAnsi="宋体" w:cs="宋体"/>
          <w:bCs/>
          <w:sz w:val="18"/>
          <w:szCs w:val="18"/>
        </w:rPr>
      </w:pPr>
      <w:r>
        <w:rPr>
          <w:rFonts w:hint="eastAsia" w:ascii="宋体" w:hAnsi="宋体" w:cs="宋体"/>
          <w:bCs/>
          <w:sz w:val="18"/>
          <w:szCs w:val="18"/>
        </w:rPr>
        <w:t>注1.从业人员、营业收入、资产总额填报上一年度数据，无上一年度数据的新成立企业可不填报。</w:t>
      </w:r>
    </w:p>
    <w:p w14:paraId="2D596DB1">
      <w:pPr>
        <w:widowControl/>
        <w:spacing w:before="100" w:beforeAutospacing="1" w:after="100" w:afterAutospacing="1" w:line="440" w:lineRule="atLeast"/>
        <w:jc w:val="center"/>
        <w:rPr>
          <w:rFonts w:ascii="宋体" w:hAnsi="宋体" w:cs="宋体"/>
          <w:b/>
          <w:sz w:val="24"/>
        </w:rPr>
      </w:pPr>
      <w:r>
        <w:rPr>
          <w:rFonts w:hint="eastAsia" w:ascii="宋体" w:hAnsi="宋体" w:cs="宋体"/>
          <w:b/>
          <w:sz w:val="24"/>
        </w:rPr>
        <w:br w:type="page"/>
      </w:r>
      <w:r>
        <w:rPr>
          <w:rFonts w:hint="eastAsia" w:ascii="宋体" w:hAnsi="宋体" w:cs="宋体"/>
          <w:b/>
          <w:bCs/>
          <w:sz w:val="24"/>
        </w:rPr>
        <w:t>中小企业声明函（工程、服务）</w:t>
      </w:r>
    </w:p>
    <w:p w14:paraId="20EEA95A">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429AB8EB">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14:paraId="79F42A6A">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14:paraId="7EBFFB53">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w:t>
      </w:r>
    </w:p>
    <w:p w14:paraId="4350FA1A">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14:paraId="596B396E">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本企业对上述声明内容的真实性负责。如有虚假，将依法承担相应责任。</w:t>
      </w:r>
    </w:p>
    <w:p w14:paraId="6A5F6DAC">
      <w:pPr>
        <w:widowControl/>
        <w:spacing w:line="500" w:lineRule="atLeast"/>
        <w:ind w:firstLine="5669" w:firstLineChars="2577"/>
        <w:jc w:val="left"/>
        <w:rPr>
          <w:rFonts w:ascii="宋体" w:hAnsi="宋体" w:cs="宋体"/>
          <w:bCs/>
          <w:sz w:val="22"/>
          <w:szCs w:val="22"/>
        </w:rPr>
      </w:pPr>
      <w:r>
        <w:rPr>
          <w:rFonts w:hint="eastAsia" w:ascii="宋体" w:hAnsi="宋体" w:cs="宋体"/>
          <w:bCs/>
          <w:sz w:val="22"/>
          <w:szCs w:val="22"/>
        </w:rPr>
        <w:t>企业名称（盖章）：</w:t>
      </w:r>
    </w:p>
    <w:p w14:paraId="08FA688B">
      <w:pPr>
        <w:widowControl/>
        <w:spacing w:line="500" w:lineRule="atLeast"/>
        <w:ind w:firstLine="5669" w:firstLineChars="2577"/>
        <w:jc w:val="left"/>
        <w:rPr>
          <w:rFonts w:ascii="宋体" w:hAnsi="宋体" w:cs="宋体"/>
          <w:bCs/>
          <w:sz w:val="22"/>
          <w:szCs w:val="22"/>
        </w:rPr>
      </w:pPr>
      <w:r>
        <w:rPr>
          <w:rFonts w:hint="eastAsia" w:ascii="宋体" w:hAnsi="宋体" w:cs="宋体"/>
          <w:bCs/>
          <w:sz w:val="22"/>
          <w:szCs w:val="22"/>
        </w:rPr>
        <w:t>日 期：</w:t>
      </w:r>
    </w:p>
    <w:p w14:paraId="114B5178">
      <w:pPr>
        <w:widowControl/>
        <w:tabs>
          <w:tab w:val="left" w:pos="312"/>
        </w:tabs>
        <w:spacing w:before="100" w:beforeAutospacing="1" w:after="100" w:afterAutospacing="1" w:line="440" w:lineRule="atLeast"/>
        <w:jc w:val="left"/>
        <w:rPr>
          <w:rFonts w:ascii="宋体" w:hAnsi="宋体" w:cs="宋体"/>
          <w:bCs/>
          <w:sz w:val="18"/>
          <w:szCs w:val="18"/>
        </w:rPr>
      </w:pPr>
    </w:p>
    <w:p w14:paraId="68F17430">
      <w:pPr>
        <w:widowControl/>
        <w:tabs>
          <w:tab w:val="left" w:pos="312"/>
        </w:tabs>
        <w:spacing w:before="100" w:beforeAutospacing="1" w:after="100" w:afterAutospacing="1" w:line="440" w:lineRule="atLeast"/>
        <w:jc w:val="left"/>
        <w:rPr>
          <w:rFonts w:ascii="宋体" w:hAnsi="宋体" w:cs="宋体"/>
          <w:bCs/>
          <w:sz w:val="18"/>
          <w:szCs w:val="18"/>
        </w:rPr>
      </w:pPr>
    </w:p>
    <w:p w14:paraId="131AA41B">
      <w:pPr>
        <w:widowControl/>
        <w:tabs>
          <w:tab w:val="left" w:pos="312"/>
        </w:tabs>
        <w:spacing w:before="100" w:beforeAutospacing="1" w:after="100" w:afterAutospacing="1" w:line="440" w:lineRule="atLeast"/>
        <w:jc w:val="left"/>
        <w:rPr>
          <w:rFonts w:ascii="宋体" w:hAnsi="宋体" w:cs="宋体"/>
          <w:bCs/>
          <w:sz w:val="18"/>
          <w:szCs w:val="18"/>
        </w:rPr>
      </w:pPr>
    </w:p>
    <w:p w14:paraId="5B8B402A">
      <w:pPr>
        <w:widowControl/>
        <w:tabs>
          <w:tab w:val="left" w:pos="312"/>
        </w:tabs>
        <w:spacing w:before="100" w:beforeAutospacing="1" w:after="100" w:afterAutospacing="1" w:line="440" w:lineRule="atLeast"/>
        <w:jc w:val="left"/>
        <w:rPr>
          <w:rFonts w:ascii="宋体" w:hAnsi="宋体" w:cs="宋体"/>
          <w:bCs/>
          <w:sz w:val="18"/>
          <w:szCs w:val="18"/>
        </w:rPr>
      </w:pPr>
    </w:p>
    <w:p w14:paraId="39B1C137">
      <w:pPr>
        <w:widowControl/>
        <w:spacing w:before="100" w:beforeAutospacing="1" w:after="100" w:afterAutospacing="1" w:line="440" w:lineRule="atLeast"/>
        <w:jc w:val="left"/>
        <w:rPr>
          <w:rFonts w:ascii="宋体" w:hAnsi="宋体" w:cs="宋体"/>
          <w:b/>
          <w:sz w:val="24"/>
        </w:rPr>
      </w:pPr>
      <w:r>
        <w:rPr>
          <w:rFonts w:hint="eastAsia" w:ascii="宋体" w:hAnsi="宋体" w:cs="宋体"/>
          <w:bCs/>
          <w:sz w:val="18"/>
          <w:szCs w:val="18"/>
        </w:rPr>
        <w:t>注1.从业人员、营业收入、资产总额填报上一年度数据，无上一年度数据的新成立企业可不填报。</w:t>
      </w:r>
    </w:p>
    <w:p w14:paraId="3ABB4843">
      <w:pPr>
        <w:widowControl/>
        <w:spacing w:before="100" w:beforeAutospacing="1" w:after="100" w:afterAutospacing="1" w:line="440" w:lineRule="atLeast"/>
        <w:jc w:val="left"/>
        <w:rPr>
          <w:rFonts w:ascii="宋体" w:hAnsi="宋体" w:cs="宋体"/>
          <w:b/>
          <w:sz w:val="24"/>
        </w:rPr>
      </w:pPr>
      <w:r>
        <w:rPr>
          <w:rFonts w:hint="eastAsia" w:ascii="宋体" w:hAnsi="宋体" w:cs="宋体"/>
          <w:b/>
          <w:sz w:val="24"/>
        </w:rPr>
        <w:br w:type="page"/>
      </w:r>
      <w:r>
        <w:rPr>
          <w:rFonts w:hint="eastAsia" w:ascii="宋体" w:hAnsi="宋体" w:cs="宋体"/>
          <w:b/>
          <w:sz w:val="24"/>
        </w:rPr>
        <w:t>附件2</w:t>
      </w:r>
    </w:p>
    <w:p w14:paraId="46051B47">
      <w:pPr>
        <w:widowControl/>
        <w:spacing w:before="100" w:beforeAutospacing="1" w:after="100" w:afterAutospacing="1" w:line="440" w:lineRule="atLeast"/>
        <w:jc w:val="center"/>
        <w:rPr>
          <w:rFonts w:ascii="宋体" w:hAnsi="宋体" w:cs="宋体"/>
          <w:b/>
          <w:bCs/>
          <w:sz w:val="24"/>
        </w:rPr>
      </w:pPr>
      <w:bookmarkStart w:id="53" w:name="OLE_LINK13"/>
      <w:bookmarkStart w:id="54" w:name="OLE_LINK14"/>
      <w:r>
        <w:rPr>
          <w:rFonts w:hint="eastAsia" w:ascii="宋体" w:hAnsi="宋体" w:cs="宋体"/>
          <w:b/>
          <w:bCs/>
          <w:sz w:val="24"/>
        </w:rPr>
        <w:t>残疾人福利性单位声明函</w:t>
      </w:r>
      <w:bookmarkEnd w:id="53"/>
      <w:bookmarkEnd w:id="54"/>
    </w:p>
    <w:p w14:paraId="166ED96A">
      <w:pPr>
        <w:spacing w:line="588" w:lineRule="exact"/>
        <w:rPr>
          <w:rFonts w:ascii="宋体" w:hAnsi="宋体" w:cs="宋体"/>
          <w:b/>
          <w:spacing w:val="6"/>
          <w:sz w:val="30"/>
          <w:szCs w:val="30"/>
        </w:rPr>
      </w:pPr>
    </w:p>
    <w:p w14:paraId="6214A99D">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7F352D">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13E997BD">
      <w:pPr>
        <w:spacing w:line="588" w:lineRule="exact"/>
        <w:ind w:firstLine="464" w:firstLineChars="200"/>
        <w:rPr>
          <w:rFonts w:ascii="宋体" w:hAnsi="宋体" w:cs="宋体"/>
          <w:spacing w:val="6"/>
          <w:sz w:val="22"/>
          <w:szCs w:val="22"/>
        </w:rPr>
      </w:pPr>
    </w:p>
    <w:p w14:paraId="4D3F70C5">
      <w:pPr>
        <w:tabs>
          <w:tab w:val="left" w:pos="4860"/>
        </w:tabs>
        <w:spacing w:line="588" w:lineRule="exact"/>
        <w:ind w:right="1560" w:firstLine="464" w:firstLineChars="200"/>
        <w:rPr>
          <w:rFonts w:ascii="宋体" w:hAnsi="宋体" w:cs="宋体"/>
          <w:spacing w:val="6"/>
          <w:sz w:val="22"/>
          <w:szCs w:val="22"/>
        </w:rPr>
      </w:pPr>
    </w:p>
    <w:p w14:paraId="7D81B6DC">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供应商全称（盖章）：</w:t>
      </w:r>
    </w:p>
    <w:p w14:paraId="5646A920">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日  期：</w:t>
      </w:r>
    </w:p>
    <w:p w14:paraId="300C2E5C">
      <w:pPr>
        <w:tabs>
          <w:tab w:val="left" w:pos="4860"/>
        </w:tabs>
        <w:spacing w:line="588" w:lineRule="exact"/>
        <w:ind w:right="1560" w:firstLine="464" w:firstLineChars="200"/>
        <w:jc w:val="center"/>
        <w:rPr>
          <w:rFonts w:ascii="宋体" w:hAnsi="宋体" w:cs="宋体"/>
          <w:spacing w:val="6"/>
          <w:sz w:val="22"/>
          <w:szCs w:val="22"/>
        </w:rPr>
      </w:pPr>
    </w:p>
    <w:p w14:paraId="5B947B34">
      <w:pPr>
        <w:tabs>
          <w:tab w:val="left" w:pos="4860"/>
        </w:tabs>
        <w:spacing w:line="588" w:lineRule="exact"/>
        <w:ind w:right="1560" w:firstLine="464" w:firstLineChars="200"/>
        <w:jc w:val="center"/>
        <w:rPr>
          <w:rFonts w:ascii="宋体" w:hAnsi="宋体" w:cs="宋体"/>
          <w:spacing w:val="6"/>
          <w:sz w:val="22"/>
          <w:szCs w:val="22"/>
        </w:rPr>
      </w:pPr>
    </w:p>
    <w:p w14:paraId="5E729EAE">
      <w:pPr>
        <w:tabs>
          <w:tab w:val="left" w:pos="4860"/>
        </w:tabs>
        <w:spacing w:line="588" w:lineRule="exact"/>
        <w:ind w:right="1560"/>
        <w:jc w:val="left"/>
        <w:rPr>
          <w:rFonts w:ascii="宋体" w:hAnsi="宋体" w:cs="宋体"/>
          <w:b/>
          <w:sz w:val="22"/>
          <w:szCs w:val="22"/>
        </w:rPr>
      </w:pPr>
      <w:r>
        <w:rPr>
          <w:rFonts w:hint="eastAsia" w:ascii="宋体" w:hAnsi="宋体" w:cs="宋体"/>
          <w:b/>
          <w:sz w:val="22"/>
          <w:szCs w:val="22"/>
        </w:rPr>
        <w:t>备注说明：</w:t>
      </w:r>
    </w:p>
    <w:p w14:paraId="3248AB7F">
      <w:pPr>
        <w:numPr>
          <w:ilvl w:val="2"/>
          <w:numId w:val="13"/>
        </w:numPr>
        <w:tabs>
          <w:tab w:val="left" w:pos="0"/>
        </w:tabs>
        <w:spacing w:line="588" w:lineRule="exact"/>
        <w:ind w:left="0" w:right="114" w:firstLine="0"/>
        <w:jc w:val="left"/>
        <w:rPr>
          <w:rFonts w:ascii="宋体" w:hAnsi="宋体" w:cs="宋体"/>
          <w:sz w:val="22"/>
          <w:szCs w:val="22"/>
        </w:rPr>
      </w:pPr>
      <w:r>
        <w:rPr>
          <w:rFonts w:hint="eastAsia" w:ascii="宋体" w:hAnsi="宋体" w:cs="宋体"/>
          <w:sz w:val="22"/>
          <w:szCs w:val="22"/>
        </w:rPr>
        <w:t>如中标，将在中标公示中将此残疾人福利性单位声明函予以公示，接受社会监督。</w:t>
      </w:r>
    </w:p>
    <w:p w14:paraId="27B11EDF">
      <w:pPr>
        <w:numPr>
          <w:ilvl w:val="2"/>
          <w:numId w:val="13"/>
        </w:numPr>
        <w:tabs>
          <w:tab w:val="left" w:pos="0"/>
        </w:tabs>
        <w:spacing w:line="588" w:lineRule="exact"/>
        <w:ind w:left="0" w:right="114" w:firstLine="0"/>
        <w:jc w:val="left"/>
        <w:rPr>
          <w:rFonts w:ascii="宋体" w:hAnsi="宋体" w:cs="宋体"/>
          <w:sz w:val="22"/>
          <w:szCs w:val="22"/>
        </w:rPr>
      </w:pPr>
      <w:r>
        <w:rPr>
          <w:rFonts w:hint="eastAsia" w:ascii="宋体" w:hAnsi="宋体" w:cs="宋体"/>
          <w:sz w:val="22"/>
          <w:szCs w:val="22"/>
        </w:rPr>
        <w:t>供应商提供的《残疾人福利性单位声明函》与事实不符的，依照《政府采购法》第七十七条第一款的规定追究法律责任。</w:t>
      </w:r>
    </w:p>
    <w:p w14:paraId="398466EF">
      <w:pPr>
        <w:tabs>
          <w:tab w:val="left" w:pos="4860"/>
        </w:tabs>
        <w:spacing w:line="588" w:lineRule="exact"/>
        <w:ind w:right="1560"/>
        <w:jc w:val="left"/>
        <w:rPr>
          <w:rFonts w:ascii="宋体" w:hAnsi="宋体" w:cs="宋体"/>
          <w:sz w:val="22"/>
          <w:szCs w:val="22"/>
        </w:rPr>
      </w:pPr>
    </w:p>
    <w:p w14:paraId="559E9212">
      <w:pPr>
        <w:pStyle w:val="51"/>
        <w:rPr>
          <w:rFonts w:ascii="宋体" w:hAnsi="宋体" w:cs="宋体"/>
          <w:sz w:val="22"/>
          <w:szCs w:val="22"/>
        </w:rPr>
      </w:pPr>
    </w:p>
    <w:p w14:paraId="5F9DA34B">
      <w:pPr>
        <w:spacing w:line="440" w:lineRule="exact"/>
        <w:rPr>
          <w:rFonts w:ascii="宋体" w:hAnsi="宋体" w:cs="宋体"/>
          <w:b/>
          <w:bCs/>
          <w:sz w:val="22"/>
          <w:szCs w:val="22"/>
        </w:rPr>
      </w:pPr>
    </w:p>
    <w:p w14:paraId="65707589">
      <w:pPr>
        <w:spacing w:line="440" w:lineRule="atLeast"/>
        <w:rPr>
          <w:rFonts w:ascii="宋体" w:hAnsi="宋体" w:cs="宋体"/>
          <w:b/>
          <w:sz w:val="24"/>
        </w:rPr>
      </w:pPr>
    </w:p>
    <w:p w14:paraId="0C5FBE1F">
      <w:pPr>
        <w:pStyle w:val="4"/>
        <w:rPr>
          <w:rFonts w:ascii="宋体" w:hAnsi="宋体" w:eastAsia="宋体" w:cs="宋体"/>
          <w:sz w:val="36"/>
          <w:szCs w:val="36"/>
        </w:rPr>
      </w:pPr>
      <w:r>
        <w:rPr>
          <w:rFonts w:hint="eastAsia" w:ascii="宋体" w:hAnsi="宋体" w:eastAsia="宋体" w:cs="宋体"/>
          <w:sz w:val="36"/>
          <w:szCs w:val="36"/>
        </w:rPr>
        <w:br w:type="page"/>
      </w:r>
      <w:bookmarkStart w:id="55" w:name="_Toc58832090"/>
      <w:r>
        <w:rPr>
          <w:rFonts w:hint="eastAsia" w:ascii="宋体" w:hAnsi="宋体" w:eastAsia="宋体" w:cs="宋体"/>
          <w:sz w:val="36"/>
          <w:szCs w:val="36"/>
        </w:rPr>
        <w:t>第三部分   合同条款及格式</w:t>
      </w:r>
      <w:bookmarkEnd w:id="55"/>
    </w:p>
    <w:p w14:paraId="445E40AA">
      <w:pPr>
        <w:rPr>
          <w:rFonts w:ascii="宋体" w:hAnsi="宋体" w:cs="宋体"/>
        </w:rPr>
      </w:pPr>
    </w:p>
    <w:p w14:paraId="2471D94A">
      <w:pPr>
        <w:widowControl/>
        <w:snapToGrid w:val="0"/>
        <w:spacing w:line="420" w:lineRule="atLeast"/>
        <w:jc w:val="left"/>
        <w:rPr>
          <w:rFonts w:ascii="宋体" w:cs="宋体"/>
          <w:bCs/>
          <w:sz w:val="22"/>
          <w:szCs w:val="22"/>
        </w:rPr>
      </w:pPr>
      <w:bookmarkStart w:id="56" w:name="_Toc221356955"/>
      <w:bookmarkStart w:id="57" w:name="_Toc221423623"/>
      <w:bookmarkStart w:id="58" w:name="_Toc246996253"/>
      <w:bookmarkStart w:id="59" w:name="_Toc223716002"/>
      <w:bookmarkStart w:id="60" w:name="_Toc152042388"/>
      <w:bookmarkStart w:id="61" w:name="_Toc247085768"/>
      <w:bookmarkStart w:id="62" w:name="_Toc152045610"/>
      <w:bookmarkStart w:id="63" w:name="_Toc239145358"/>
      <w:bookmarkStart w:id="64" w:name="_Toc144974578"/>
      <w:bookmarkStart w:id="65" w:name="_Toc221356891"/>
      <w:bookmarkStart w:id="66" w:name="_Toc296602498"/>
      <w:bookmarkStart w:id="67" w:name="_Toc179632628"/>
      <w:bookmarkStart w:id="68" w:name="_Toc265529387"/>
      <w:bookmarkStart w:id="69" w:name="_Toc221374630"/>
      <w:bookmarkStart w:id="70" w:name="_Toc222114883"/>
      <w:bookmarkStart w:id="71" w:name="_Toc246996996"/>
      <w:bookmarkStart w:id="72" w:name="_Toc241404206"/>
      <w:r>
        <w:rPr>
          <w:rFonts w:ascii="宋体" w:cs="宋体"/>
          <w:bCs/>
          <w:sz w:val="22"/>
          <w:szCs w:val="22"/>
        </w:rPr>
        <w:t>项目合同编号：</w:t>
      </w:r>
      <w:r>
        <w:rPr>
          <w:rFonts w:ascii="宋体"/>
          <w:bCs/>
          <w:sz w:val="22"/>
          <w:szCs w:val="22"/>
        </w:rPr>
        <w:t xml:space="preserve">                       </w:t>
      </w:r>
      <w:r>
        <w:rPr>
          <w:rFonts w:hint="eastAsia" w:ascii="宋体"/>
          <w:bCs/>
          <w:sz w:val="22"/>
          <w:szCs w:val="22"/>
        </w:rPr>
        <w:t xml:space="preserve">                      </w:t>
      </w:r>
      <w:r>
        <w:rPr>
          <w:rFonts w:ascii="宋体"/>
          <w:bCs/>
          <w:sz w:val="22"/>
          <w:szCs w:val="22"/>
        </w:rPr>
        <w:t xml:space="preserve">  </w:t>
      </w:r>
      <w:r>
        <w:rPr>
          <w:rFonts w:hint="eastAsia" w:ascii="宋体" w:cs="宋体"/>
          <w:bCs/>
          <w:sz w:val="22"/>
          <w:szCs w:val="22"/>
        </w:rPr>
        <w:t>密级：</w:t>
      </w:r>
    </w:p>
    <w:p w14:paraId="6A262007">
      <w:pPr>
        <w:widowControl/>
        <w:tabs>
          <w:tab w:val="left" w:pos="5810"/>
        </w:tabs>
        <w:snapToGrid w:val="0"/>
        <w:spacing w:line="420" w:lineRule="atLeast"/>
        <w:jc w:val="left"/>
        <w:rPr>
          <w:rFonts w:ascii="宋体" w:cs="宋体"/>
          <w:bCs/>
          <w:sz w:val="32"/>
        </w:rPr>
      </w:pPr>
      <w:r>
        <w:rPr>
          <w:rFonts w:ascii="宋体" w:cs="宋体"/>
          <w:bCs/>
          <w:sz w:val="32"/>
        </w:rPr>
        <w:tab/>
      </w:r>
    </w:p>
    <w:p w14:paraId="2C6FDF87">
      <w:pPr>
        <w:spacing w:line="360" w:lineRule="exact"/>
        <w:rPr>
          <w:rFonts w:ascii="仿宋" w:hAnsi="仿宋" w:eastAsia="仿宋"/>
          <w:bCs/>
          <w:sz w:val="28"/>
          <w:szCs w:val="28"/>
        </w:rPr>
      </w:pPr>
    </w:p>
    <w:p w14:paraId="3239F753">
      <w:pPr>
        <w:spacing w:line="360" w:lineRule="exact"/>
        <w:rPr>
          <w:rFonts w:ascii="仿宋" w:hAnsi="仿宋" w:eastAsia="仿宋"/>
          <w:bCs/>
          <w:sz w:val="28"/>
          <w:szCs w:val="28"/>
        </w:rPr>
      </w:pPr>
    </w:p>
    <w:p w14:paraId="7F072E31">
      <w:pPr>
        <w:spacing w:line="360" w:lineRule="exact"/>
        <w:rPr>
          <w:rFonts w:ascii="仿宋" w:hAnsi="仿宋" w:eastAsia="仿宋"/>
          <w:bCs/>
          <w:sz w:val="28"/>
          <w:szCs w:val="28"/>
        </w:rPr>
      </w:pPr>
      <w:r>
        <w:rPr>
          <w:rFonts w:hint="eastAsia" w:ascii="宋体" w:hAnsi="宋体" w:cs="宋体"/>
          <w:bCs/>
          <w:sz w:val="22"/>
          <w:szCs w:val="22"/>
        </w:rPr>
        <w:t>特别提示：</w:t>
      </w:r>
      <w:r>
        <w:rPr>
          <w:rFonts w:hint="eastAsia" w:ascii="宋体" w:hAnsi="宋体" w:cs="宋体"/>
          <w:bCs/>
          <w:sz w:val="22"/>
          <w:szCs w:val="22"/>
          <w:u w:val="single"/>
        </w:rPr>
        <w:t>本合同作为示范文本，具体以正式签订合同为准，合同条款的具体内容应严格按照招标文件、投标文件、采购结果及中标人的承诺来拟订</w:t>
      </w:r>
      <w:r>
        <w:rPr>
          <w:rFonts w:hint="eastAsia" w:ascii="宋体" w:hAnsi="宋体" w:cs="宋体"/>
          <w:bCs/>
          <w:sz w:val="22"/>
          <w:szCs w:val="22"/>
        </w:rPr>
        <w:t xml:space="preserve">  </w:t>
      </w:r>
    </w:p>
    <w:p w14:paraId="26A49F22">
      <w:pPr>
        <w:spacing w:line="360" w:lineRule="exact"/>
        <w:rPr>
          <w:rFonts w:ascii="仿宋" w:hAnsi="仿宋" w:eastAsia="仿宋"/>
          <w:bCs/>
          <w:sz w:val="28"/>
          <w:szCs w:val="28"/>
        </w:rPr>
      </w:pPr>
    </w:p>
    <w:p w14:paraId="00AF83C5">
      <w:pPr>
        <w:spacing w:line="360" w:lineRule="exact"/>
        <w:rPr>
          <w:rFonts w:ascii="仿宋" w:hAnsi="仿宋" w:eastAsia="仿宋"/>
          <w:bCs/>
          <w:sz w:val="28"/>
          <w:szCs w:val="28"/>
        </w:rPr>
      </w:pPr>
    </w:p>
    <w:p w14:paraId="1C566A5C">
      <w:pPr>
        <w:rPr>
          <w:rFonts w:ascii="仿宋" w:hAnsi="仿宋" w:eastAsia="仿宋"/>
          <w:bCs/>
          <w:sz w:val="28"/>
          <w:szCs w:val="28"/>
        </w:rPr>
      </w:pPr>
    </w:p>
    <w:p w14:paraId="41A48B72">
      <w:pPr>
        <w:widowControl/>
        <w:snapToGrid w:val="0"/>
        <w:spacing w:line="420" w:lineRule="atLeast"/>
        <w:jc w:val="center"/>
        <w:rPr>
          <w:rFonts w:ascii="方正小标宋简体" w:hAnsi="仿宋" w:eastAsia="方正小标宋简体"/>
          <w:bCs/>
          <w:sz w:val="40"/>
          <w:szCs w:val="40"/>
        </w:rPr>
      </w:pPr>
      <w:r>
        <w:rPr>
          <w:rFonts w:hint="eastAsia" w:ascii="宋体" w:cs="宋体"/>
          <w:bCs/>
          <w:sz w:val="48"/>
          <w:szCs w:val="48"/>
        </w:rPr>
        <w:t>2024年龙湾区一体化公共数据平台运营运维合同</w:t>
      </w:r>
    </w:p>
    <w:p w14:paraId="182F98C9">
      <w:pPr>
        <w:rPr>
          <w:rFonts w:ascii="仿宋" w:hAnsi="仿宋" w:eastAsia="仿宋"/>
          <w:bCs/>
          <w:sz w:val="28"/>
          <w:szCs w:val="28"/>
        </w:rPr>
      </w:pPr>
    </w:p>
    <w:p w14:paraId="28A1DC98">
      <w:pPr>
        <w:rPr>
          <w:rFonts w:ascii="仿宋" w:hAnsi="仿宋" w:eastAsia="仿宋"/>
          <w:bCs/>
          <w:sz w:val="28"/>
          <w:szCs w:val="28"/>
        </w:rPr>
      </w:pPr>
    </w:p>
    <w:p w14:paraId="42EEE788">
      <w:pPr>
        <w:rPr>
          <w:rFonts w:ascii="仿宋" w:hAnsi="仿宋" w:eastAsia="仿宋"/>
          <w:bCs/>
          <w:sz w:val="28"/>
          <w:szCs w:val="28"/>
        </w:rPr>
      </w:pPr>
    </w:p>
    <w:p w14:paraId="2ECC95B2">
      <w:pPr>
        <w:pStyle w:val="53"/>
        <w:ind w:firstLine="285"/>
        <w:rPr>
          <w:rFonts w:ascii="仿宋" w:hAnsi="仿宋" w:eastAsia="仿宋"/>
          <w:bCs/>
          <w:sz w:val="28"/>
          <w:szCs w:val="28"/>
        </w:rPr>
      </w:pPr>
    </w:p>
    <w:p w14:paraId="38EBAC33">
      <w:pPr>
        <w:pStyle w:val="53"/>
        <w:ind w:firstLine="285"/>
        <w:rPr>
          <w:rFonts w:ascii="仿宋" w:hAnsi="仿宋" w:eastAsia="仿宋"/>
          <w:bCs/>
          <w:sz w:val="28"/>
          <w:szCs w:val="28"/>
        </w:rPr>
      </w:pPr>
    </w:p>
    <w:p w14:paraId="7A9B5E63">
      <w:pPr>
        <w:pStyle w:val="53"/>
        <w:ind w:firstLine="285"/>
        <w:rPr>
          <w:rFonts w:ascii="仿宋" w:hAnsi="仿宋" w:eastAsia="仿宋"/>
          <w:bCs/>
          <w:sz w:val="28"/>
          <w:szCs w:val="28"/>
        </w:rPr>
      </w:pPr>
    </w:p>
    <w:p w14:paraId="06833333">
      <w:pPr>
        <w:rPr>
          <w:rFonts w:ascii="仿宋" w:hAnsi="仿宋" w:eastAsia="仿宋"/>
          <w:bCs/>
          <w:sz w:val="28"/>
          <w:szCs w:val="28"/>
        </w:rPr>
      </w:pPr>
    </w:p>
    <w:p w14:paraId="4277A047">
      <w:pPr>
        <w:widowControl/>
        <w:snapToGrid w:val="0"/>
        <w:spacing w:line="360" w:lineRule="auto"/>
        <w:ind w:left="210" w:leftChars="100"/>
        <w:rPr>
          <w:rFonts w:ascii="宋体" w:hAnsi="宋体"/>
          <w:bCs/>
          <w:sz w:val="32"/>
          <w:szCs w:val="32"/>
          <w:u w:val="single"/>
        </w:rPr>
      </w:pPr>
      <w:r>
        <w:rPr>
          <w:rFonts w:hint="eastAsia" w:ascii="宋体" w:hAnsi="宋体" w:cs="仿宋"/>
          <w:bCs/>
          <w:sz w:val="32"/>
          <w:szCs w:val="32"/>
        </w:rPr>
        <w:t xml:space="preserve">项目名称: 2024年龙湾区一体化公共数据平台运营运维项目                                      </w:t>
      </w:r>
    </w:p>
    <w:p w14:paraId="7732E3E5">
      <w:pPr>
        <w:spacing w:line="360" w:lineRule="auto"/>
        <w:ind w:left="210" w:leftChars="100"/>
        <w:rPr>
          <w:rFonts w:ascii="宋体" w:hAnsi="宋体" w:cs="仿宋"/>
          <w:bCs/>
          <w:sz w:val="32"/>
          <w:szCs w:val="32"/>
        </w:rPr>
      </w:pPr>
      <w:r>
        <w:rPr>
          <w:rFonts w:hint="eastAsia" w:ascii="宋体" w:hAnsi="宋体" w:cs="仿宋"/>
          <w:bCs/>
          <w:sz w:val="32"/>
          <w:szCs w:val="32"/>
        </w:rPr>
        <w:t xml:space="preserve">委托方(甲方):   </w:t>
      </w:r>
    </w:p>
    <w:p w14:paraId="0878886C">
      <w:pPr>
        <w:tabs>
          <w:tab w:val="left" w:pos="8715"/>
        </w:tabs>
        <w:spacing w:line="360" w:lineRule="auto"/>
        <w:ind w:left="210" w:leftChars="100"/>
        <w:rPr>
          <w:rFonts w:ascii="宋体" w:hAnsi="宋体" w:cs="仿宋"/>
          <w:bCs/>
          <w:sz w:val="32"/>
          <w:szCs w:val="32"/>
        </w:rPr>
      </w:pPr>
      <w:r>
        <w:rPr>
          <w:rFonts w:hint="eastAsia" w:ascii="宋体" w:hAnsi="宋体" w:cs="仿宋"/>
          <w:bCs/>
          <w:sz w:val="32"/>
          <w:szCs w:val="32"/>
        </w:rPr>
        <w:t xml:space="preserve">受托方(乙方):    </w:t>
      </w:r>
    </w:p>
    <w:p w14:paraId="368A1FEF">
      <w:pPr>
        <w:tabs>
          <w:tab w:val="left" w:pos="8715"/>
        </w:tabs>
        <w:spacing w:line="360" w:lineRule="auto"/>
        <w:ind w:left="210" w:leftChars="100"/>
        <w:rPr>
          <w:rFonts w:ascii="宋体" w:hAnsi="宋体" w:cs="仿宋"/>
          <w:bCs/>
          <w:sz w:val="32"/>
          <w:szCs w:val="32"/>
        </w:rPr>
      </w:pPr>
      <w:r>
        <w:rPr>
          <w:rFonts w:hint="eastAsia" w:ascii="宋体" w:hAnsi="宋体" w:cs="仿宋"/>
          <w:bCs/>
          <w:sz w:val="32"/>
          <w:szCs w:val="32"/>
        </w:rPr>
        <w:t>签订时间:2024年</w:t>
      </w:r>
      <w:r>
        <w:rPr>
          <w:rFonts w:ascii="宋体" w:hAnsi="宋体" w:cs="仿宋"/>
          <w:bCs/>
          <w:sz w:val="32"/>
          <w:szCs w:val="32"/>
        </w:rPr>
        <w:t xml:space="preserve">  </w:t>
      </w:r>
      <w:r>
        <w:rPr>
          <w:rFonts w:hint="eastAsia" w:ascii="宋体" w:hAnsi="宋体" w:cs="仿宋"/>
          <w:bCs/>
          <w:sz w:val="32"/>
          <w:szCs w:val="32"/>
        </w:rPr>
        <w:t xml:space="preserve">月 </w:t>
      </w:r>
    </w:p>
    <w:p w14:paraId="0533A86D">
      <w:pPr>
        <w:spacing w:line="360" w:lineRule="auto"/>
        <w:ind w:left="210" w:leftChars="100"/>
        <w:rPr>
          <w:rFonts w:ascii="宋体" w:hAnsi="宋体"/>
          <w:bCs/>
          <w:sz w:val="32"/>
          <w:szCs w:val="32"/>
        </w:rPr>
      </w:pPr>
      <w:r>
        <w:rPr>
          <w:rFonts w:hint="eastAsia" w:ascii="宋体" w:hAnsi="宋体" w:cs="仿宋"/>
          <w:bCs/>
          <w:sz w:val="32"/>
          <w:szCs w:val="32"/>
        </w:rPr>
        <w:t>签订地点:浙江温州</w:t>
      </w:r>
    </w:p>
    <w:p w14:paraId="426F2A0D">
      <w:pPr>
        <w:rPr>
          <w:rFonts w:ascii="仿宋" w:hAnsi="仿宋" w:eastAsia="仿宋"/>
          <w:bCs/>
          <w:sz w:val="28"/>
          <w:szCs w:val="28"/>
          <w:u w:val="single"/>
        </w:rPr>
      </w:pPr>
    </w:p>
    <w:p w14:paraId="0ADAA556">
      <w:pPr>
        <w:pStyle w:val="53"/>
        <w:ind w:firstLine="320"/>
        <w:rPr>
          <w:rFonts w:eastAsia="等线"/>
        </w:rPr>
      </w:pPr>
    </w:p>
    <w:p w14:paraId="774C0788">
      <w:pPr>
        <w:pStyle w:val="53"/>
        <w:ind w:firstLine="320"/>
        <w:rPr>
          <w:rFonts w:eastAsia="等线"/>
        </w:rPr>
      </w:pPr>
    </w:p>
    <w:p w14:paraId="400D3FD6">
      <w:pPr>
        <w:pStyle w:val="53"/>
        <w:ind w:firstLine="320"/>
        <w:rPr>
          <w:rFonts w:eastAsia="等线"/>
        </w:rPr>
      </w:pPr>
    </w:p>
    <w:p w14:paraId="1CA847FD">
      <w:pPr>
        <w:pStyle w:val="53"/>
        <w:spacing w:line="440" w:lineRule="exact"/>
        <w:ind w:firstLine="224"/>
        <w:rPr>
          <w:rFonts w:ascii="宋体" w:hAnsi="宋体" w:cs="宋体"/>
          <w:b w:val="0"/>
          <w:bCs/>
          <w:sz w:val="22"/>
          <w:szCs w:val="22"/>
        </w:rPr>
      </w:pPr>
      <w:r>
        <w:rPr>
          <w:rFonts w:hint="eastAsia" w:ascii="新宋体" w:hAnsi="新宋体" w:eastAsia="新宋体"/>
          <w:sz w:val="22"/>
          <w:szCs w:val="22"/>
        </w:rPr>
        <w:br w:type="page"/>
      </w:r>
      <w:r>
        <w:rPr>
          <w:rFonts w:hint="eastAsia" w:ascii="新宋体" w:hAnsi="新宋体" w:eastAsia="新宋体"/>
          <w:sz w:val="22"/>
          <w:szCs w:val="22"/>
        </w:rPr>
        <w:t xml:space="preserve"> </w:t>
      </w:r>
      <w:r>
        <w:rPr>
          <w:rFonts w:hint="eastAsia" w:ascii="宋体" w:hAnsi="宋体" w:cs="宋体"/>
          <w:b w:val="0"/>
          <w:bCs/>
          <w:sz w:val="22"/>
          <w:szCs w:val="22"/>
        </w:rPr>
        <w:t xml:space="preserve"> 本合同甲乙双方根据</w:t>
      </w:r>
      <w:r>
        <w:rPr>
          <w:rFonts w:hint="eastAsia" w:ascii="宋体" w:hAnsi="宋体" w:cs="宋体"/>
          <w:b w:val="0"/>
          <w:bCs/>
          <w:sz w:val="22"/>
          <w:szCs w:val="22"/>
          <w:u w:val="single"/>
        </w:rPr>
        <w:t xml:space="preserve">               服务项目（项目编号：）</w:t>
      </w:r>
      <w:r>
        <w:rPr>
          <w:rFonts w:hint="eastAsia" w:ascii="宋体" w:hAnsi="宋体" w:cs="宋体"/>
          <w:b w:val="0"/>
          <w:bCs/>
          <w:sz w:val="22"/>
          <w:szCs w:val="22"/>
        </w:rPr>
        <w:t>的招标结果，并根据《中华人民共和国民法典》的相关规定，达成如下合同，并由双方共同恪守。</w:t>
      </w:r>
    </w:p>
    <w:p w14:paraId="2802DEA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一、服务范围和内容</w:t>
      </w:r>
    </w:p>
    <w:p w14:paraId="1A357DC0">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甲乙双方就</w:t>
      </w:r>
      <w:r>
        <w:rPr>
          <w:rFonts w:hint="eastAsia" w:ascii="宋体" w:hAnsi="宋体" w:cs="宋体"/>
          <w:b w:val="0"/>
          <w:bCs/>
          <w:sz w:val="22"/>
          <w:szCs w:val="22"/>
          <w:u w:val="single"/>
        </w:rPr>
        <w:t xml:space="preserve">                               项目</w:t>
      </w:r>
      <w:r>
        <w:rPr>
          <w:rFonts w:hint="eastAsia" w:ascii="宋体" w:hAnsi="宋体" w:cs="宋体"/>
          <w:b w:val="0"/>
          <w:bCs/>
          <w:sz w:val="22"/>
          <w:szCs w:val="22"/>
        </w:rPr>
        <w:t>达成合作。乙方提供以下服务内容：</w:t>
      </w:r>
    </w:p>
    <w:p w14:paraId="5957795C">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具体见招标文件第五部分</w:t>
      </w:r>
    </w:p>
    <w:p w14:paraId="46478122">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二、甲方权利和义务</w:t>
      </w:r>
    </w:p>
    <w:p w14:paraId="5201864A">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（一）甲方有权监督乙方的服务过程，检查服务质量并提出建议和意见。</w:t>
      </w:r>
    </w:p>
    <w:p w14:paraId="6D26EC7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（二）甲方有权对项目运行维护工作提出合理建议。</w:t>
      </w:r>
    </w:p>
    <w:p w14:paraId="015263EB">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（三）需现场实施运行维护的，甲方有义务为乙方运行维护人员提供办公场所和必要的办公条件。</w:t>
      </w:r>
    </w:p>
    <w:p w14:paraId="6063224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（四）甲方有义务及时回复或签署乙方提供运行维护服务过程中的工作文件。</w:t>
      </w:r>
    </w:p>
    <w:p w14:paraId="4500AA7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（五）在乙方按合同约定完成运维服务的基础上，甲方有义务按期足额向乙方支付合同金额。</w:t>
      </w:r>
    </w:p>
    <w:p w14:paraId="155C77EB">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三、乙方权利和义务</w:t>
      </w:r>
    </w:p>
    <w:p w14:paraId="56AC37C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（一）乙方有权在项目运行维护服务时要求甲方配合并提供工作时的便利。</w:t>
      </w:r>
    </w:p>
    <w:p w14:paraId="2786D1F8">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（二）在按合同约定完成运维服务的基础上，乙方有权按照合同向甲方收取运行维护费用。</w:t>
      </w:r>
    </w:p>
    <w:p w14:paraId="19F8EEF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（三）乙方应为甲方保守商业秘密，遵守保密义务。</w:t>
      </w:r>
    </w:p>
    <w:p w14:paraId="2C9046C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（四）乙方提供运行维护服务时，有义务接受甲方的监督，并保证服务质量。</w:t>
      </w:r>
    </w:p>
    <w:p w14:paraId="18EE754E">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（五）乙方有义务及时向甲方报告突发紧急事件。</w:t>
      </w:r>
    </w:p>
    <w:p w14:paraId="29674F8F">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（六）乙方有义务协调平台软件、硬件、信息安全三方运行维护人员做好沟通协调工作。</w:t>
      </w:r>
    </w:p>
    <w:p w14:paraId="58C0E8F2">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（七）对于甲方提出非合同服务范围内要求时，乙方有权要求另行支付相关服务费用。</w:t>
      </w:r>
    </w:p>
    <w:p w14:paraId="61CE571E">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四、合同服务期限</w:t>
      </w:r>
    </w:p>
    <w:p w14:paraId="6E9F2AE7">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合同签订后一年：2024年  月  日至2025年  月  日。</w:t>
      </w:r>
    </w:p>
    <w:p w14:paraId="6444E92F">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五、合同金额与支付方式</w:t>
      </w:r>
    </w:p>
    <w:p w14:paraId="680228B6">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（一）合同金额</w:t>
      </w:r>
    </w:p>
    <w:p w14:paraId="7803787C">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本合同费用总额（含税价）：人民币大写[   元整]，小写[￥   ]。</w:t>
      </w:r>
    </w:p>
    <w:p w14:paraId="4A6C8920">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（二）支付方式</w:t>
      </w:r>
    </w:p>
    <w:p w14:paraId="254FEDB6">
      <w:pPr>
        <w:pStyle w:val="5"/>
        <w:spacing w:line="440" w:lineRule="exact"/>
        <w:rPr>
          <w:rFonts w:hint="eastAsia" w:ascii="宋体" w:hAnsi="宋体" w:cs="宋体"/>
          <w:sz w:val="22"/>
          <w:szCs w:val="22"/>
          <w:highlight w:val="none"/>
          <w:u w:val="none"/>
        </w:rPr>
      </w:pPr>
      <w:r>
        <w:rPr>
          <w:rFonts w:hint="eastAsia" w:ascii="宋体" w:hAnsi="宋体" w:cs="宋体"/>
          <w:sz w:val="22"/>
          <w:szCs w:val="22"/>
          <w:highlight w:val="none"/>
        </w:rPr>
        <w:t>合同签订后，在合同达到实施条件后（以采购方确认意见为准）的</w:t>
      </w:r>
      <w:r>
        <w:rPr>
          <w:rFonts w:ascii="宋体" w:hAnsi="宋体" w:cs="宋体"/>
          <w:sz w:val="22"/>
          <w:szCs w:val="22"/>
          <w:highlight w:val="none"/>
        </w:rPr>
        <w:t>7个工作日内</w:t>
      </w:r>
      <w:r>
        <w:rPr>
          <w:rFonts w:hint="eastAsia" w:ascii="宋体" w:hAnsi="宋体" w:cs="宋体"/>
          <w:sz w:val="22"/>
          <w:szCs w:val="22"/>
          <w:highlight w:val="none"/>
        </w:rPr>
        <w:t>，</w:t>
      </w:r>
      <w:r>
        <w:rPr>
          <w:rFonts w:hint="eastAsia" w:ascii="宋体" w:hAnsi="宋体" w:cs="宋体"/>
          <w:sz w:val="22"/>
          <w:szCs w:val="22"/>
          <w:highlight w:val="none"/>
          <w:u w:val="none"/>
        </w:rPr>
        <w:t>支付合同金额的40%作为预付款。合同约定的服务期开始6个月后,启动拨付，金额为合同金额的</w:t>
      </w:r>
      <w:r>
        <w:rPr>
          <w:rFonts w:hint="eastAsia" w:ascii="宋体" w:hAnsi="宋体" w:cs="宋体"/>
          <w:sz w:val="22"/>
          <w:szCs w:val="22"/>
          <w:highlight w:val="none"/>
          <w:u w:val="none"/>
          <w:lang w:val="en-US" w:eastAsia="zh-CN"/>
        </w:rPr>
        <w:t>10</w:t>
      </w:r>
      <w:r>
        <w:rPr>
          <w:rFonts w:hint="eastAsia" w:ascii="宋体" w:hAnsi="宋体" w:cs="宋体"/>
          <w:sz w:val="22"/>
          <w:szCs w:val="22"/>
          <w:highlight w:val="none"/>
          <w:u w:val="none"/>
        </w:rPr>
        <w:t>%。合同到期前1个月启动考核，需对服务方履约情况、服务情况、服务质量等进行综合考评，以考评结果作为项目剩余资金拨付依据。支付条件为考核分达60分及以上，则启动拨付，60至85分（含85分）按照当年实际得分除以100所得的百分比支付本年度剩余资金，85分以上则全额拨付，支付时间在完成最终验收后的7个工作日内。</w:t>
      </w:r>
    </w:p>
    <w:p w14:paraId="5FD0F401">
      <w:pPr>
        <w:pStyle w:val="5"/>
        <w:spacing w:line="440" w:lineRule="exact"/>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Arial"/>
          <w:sz w:val="22"/>
          <w:szCs w:val="22"/>
          <w:highlight w:val="none"/>
        </w:rPr>
        <w:t>注：</w:t>
      </w:r>
      <w:r>
        <w:rPr>
          <w:rFonts w:hint="eastAsia" w:ascii="宋体" w:hAnsi="宋体"/>
          <w:sz w:val="22"/>
          <w:szCs w:val="22"/>
          <w:highlight w:val="none"/>
        </w:rPr>
        <w:t>所有款项须财政资金到位后予以支付，因资金下达时间问题造成甲方付款延误，不视为甲方违约、甲方不承担违约责任。</w:t>
      </w:r>
      <w:r>
        <w:rPr>
          <w:rFonts w:hint="eastAsia" w:ascii="新宋体" w:hAnsi="新宋体" w:eastAsia="新宋体" w:cs="Arial"/>
          <w:sz w:val="22"/>
          <w:szCs w:val="22"/>
          <w:highlight w:val="none"/>
        </w:rPr>
        <w:t>在合同签订时，中标人明</w:t>
      </w:r>
      <w:r>
        <w:rPr>
          <w:rFonts w:hint="eastAsia" w:ascii="新宋体" w:hAnsi="新宋体" w:eastAsia="新宋体" w:cs="Arial"/>
          <w:sz w:val="22"/>
          <w:szCs w:val="22"/>
        </w:rPr>
        <w:t>确表示无需预付款或者主动要求降低预付款比例的，按实际比例计。甲方对于满足合同约定支付条件的，乙方应当提供等额合格的增值税发票，甲方自收到发票后7个工作日内将资金支付到乙方账户。乙方未按期开具或拒绝开具或所开具的发票不符合约定的，甲方有权延期付款，不构成违约。</w:t>
      </w:r>
    </w:p>
    <w:p w14:paraId="1A108A4E">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六、合同生效、变更和终止</w:t>
      </w:r>
    </w:p>
    <w:p w14:paraId="20B3348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（一）本合同经甲乙双方法人代表或由法定代表人授权代表签字、加盖合同章后生效。</w:t>
      </w:r>
    </w:p>
    <w:p w14:paraId="55384CEC">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（二）本合同签订后，经双方当事人协商一致，可以对本合同有关条款进行变更或补充，但应当以书面形式确认，此书面文件一经签署，具有法律效力并成为本合同的一部分。</w:t>
      </w:r>
    </w:p>
    <w:p w14:paraId="0234A73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（三）在合同签订后，实际情况发生变化，使得乙方不能全部或部分执行项目时，乙方应立即通知甲方。</w:t>
      </w:r>
    </w:p>
    <w:p w14:paraId="61278D26">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（四）乙方对在项目建设期间所获得的甲方的情报和资料有保密义务，泄露秘密所应承担的责任，不论本合同是否变更、解除、终止，本条款均有效。</w:t>
      </w:r>
    </w:p>
    <w:p w14:paraId="55A5F2A0">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（五）未经双方同意，甲乙双方不得将本合同项目部分或全部工作转让第三方承担。</w:t>
      </w:r>
    </w:p>
    <w:p w14:paraId="64C21F36">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（六）本合同的变更必须由双方协商一致，并以书面形式确定。</w:t>
      </w:r>
    </w:p>
    <w:p w14:paraId="000F2D9B">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（七）因合同任一方违约使合同不能继续履行或没有必要继续履行的情况下，在不影响对方工作的前提下，一方可以通知另一方解除本合同，并签订书面终止协议，否则违约方需承担因违约而导致的经济损失。</w:t>
      </w:r>
    </w:p>
    <w:p w14:paraId="4E44D82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七、违约责任</w:t>
      </w:r>
    </w:p>
    <w:p w14:paraId="223EE0A9">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（一）双方应本着诚实守信的原则履行本合同，任何一方在履行中采用欺诈、威迫或暴力手段，另一方可以终止合同，并有权要求对方赔偿损失。</w:t>
      </w:r>
    </w:p>
    <w:p w14:paraId="11152678">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（二）任何一方在履行合同时发现或证实对方存在违约行为或将要违约，应立即通知对方，若对方继续不按合同履约，该方可终止合同，并有权要求对方赔偿损失。</w:t>
      </w:r>
    </w:p>
    <w:p w14:paraId="5C46C7D2">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（三）任何一方违反本合同，给对方造成损失的，除赔偿损失外保留追诉其他法律责任权利。</w:t>
      </w:r>
    </w:p>
    <w:p w14:paraId="38F4BAEE">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（四）乙方收到合同款项后，未能如期提供服务的，每日向甲方支付合同款项的千分之二作为违约金。违约金最高额度不超过合同总额的30%。</w:t>
      </w:r>
    </w:p>
    <w:p w14:paraId="161B6D2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（五）如因甲方原因，甲方不能按合同约定的期限向乙方支付服务费用的，则甲方每日按未付金额的千分之二支付违约金。违约金最高额度不超过合同总额的30%。</w:t>
      </w:r>
    </w:p>
    <w:p w14:paraId="60F4A85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六）如发生违约事件，守约方要求违约方支付违约金时，以书面方式通知违约方，内容包括违约事件、违约金、支付时间和方式等。违约方在收到上述通知后，应于7个工作日内答复对方，并支付违约金。如双方不能就此达成一致意见，将按照本合同所规定的争议解决条款解决双方的纠纷。</w:t>
      </w:r>
    </w:p>
    <w:p w14:paraId="586E26A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八、不可抗力</w:t>
      </w:r>
    </w:p>
    <w:p w14:paraId="7F8A0DBC">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（一）不可抗力事故系指双方当事人在缔结合同时所不能预见的，并且它的发生及其后果是无法避免和无法克服的事故,包括自然现象和社会现象如战争、严重火灾、洪水、台风、地震等。</w:t>
      </w:r>
    </w:p>
    <w:p w14:paraId="257BC0EA">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（二）在合同有效期内，任何一方因不可抗力事件导致不能履行合同，则合同履行期可延长，其延长期与不可抗力影响期相同。</w:t>
      </w:r>
    </w:p>
    <w:p w14:paraId="5E6DCB1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（三）遇有不可抗力的一方或双方应于不可抗力发生后10日内将情况以书面形式告知对方，并提供相关证明。</w:t>
      </w:r>
    </w:p>
    <w:p w14:paraId="681DFFFB">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（四）不可抗力事件延续90天以上，双方应通过友好协商，确定是否继续履行合同。</w:t>
      </w:r>
    </w:p>
    <w:p w14:paraId="06A66F5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（五）如果不可抗力事故的影响使得本合同的履行不可能、不必要或者无意义的，任一方均可以解除本合同。</w:t>
      </w:r>
    </w:p>
    <w:p w14:paraId="50F5098B">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（六）因不可抗力导致甲乙双方或一方不能履行本合同项下有关义务时，甲乙双方相互不承担违约责任。</w:t>
      </w:r>
    </w:p>
    <w:p w14:paraId="5AE385F6">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九、争议的解决办法</w:t>
      </w:r>
    </w:p>
    <w:p w14:paraId="6707F56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本合同未尽事宜，签约双方应友好协商解决。协商不成，任何一方均应向甲方所在地人民法院提起诉讼。</w:t>
      </w:r>
    </w:p>
    <w:p w14:paraId="78DAC55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十、其它</w:t>
      </w:r>
    </w:p>
    <w:p w14:paraId="49CACA3A">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（一）本合同的订立、解释、履行、效力和争议的解决等均适用中华人民共和国法律。对本合同的理解与解释应根据原意并结合本合同目的进行。</w:t>
      </w:r>
    </w:p>
    <w:p w14:paraId="7D96675C">
      <w:pPr>
        <w:pStyle w:val="53"/>
        <w:spacing w:line="440" w:lineRule="exact"/>
        <w:ind w:firstLine="220"/>
        <w:rPr>
          <w:rFonts w:ascii="宋体" w:hAnsi="宋体" w:cs="宋体"/>
          <w:b w:val="0"/>
          <w:bCs/>
          <w:sz w:val="22"/>
          <w:szCs w:val="22"/>
        </w:rPr>
      </w:pPr>
      <w:bookmarkStart w:id="73" w:name="_Toc475250038"/>
      <w:bookmarkStart w:id="74" w:name="_Toc475250036"/>
      <w:r>
        <w:rPr>
          <w:rFonts w:hint="eastAsia" w:ascii="宋体" w:hAnsi="宋体" w:cs="宋体"/>
          <w:b w:val="0"/>
          <w:bCs/>
          <w:sz w:val="22"/>
          <w:szCs w:val="22"/>
        </w:rPr>
        <w:t>（二）合同书写应用简体中文。双方所有的来往函电以及与合同有关的文件均应以简体中文书写。双方可以以书面、口头或电子邮件的方式进行沟通，重要事件（有关合同履行）的沟通应以书面的方式进行。有当事人签字或单位盖章的原件为正式文件，具有法律效力。其他沟通记录在各方均认同的情况下可作为正式文件使用。</w:t>
      </w:r>
    </w:p>
    <w:bookmarkEnd w:id="73"/>
    <w:bookmarkEnd w:id="74"/>
    <w:p w14:paraId="797EDD3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十一、合同生效</w:t>
      </w:r>
    </w:p>
    <w:p w14:paraId="6D28B59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（一）本合同自双方签字盖章之日起生效。</w:t>
      </w:r>
    </w:p>
    <w:p w14:paraId="117A0F70">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（二）本合同一式[肆]份，甲乙双方各执[贰]份，具有同等法律效力。</w:t>
      </w:r>
    </w:p>
    <w:p w14:paraId="730D3E16">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（三）如果本合同的任何条款在任何时候变成不合法、无效或不可强制执行而不从根本上影响本合同的效力时，本合同的其他条款不受影响。</w:t>
      </w:r>
    </w:p>
    <w:p w14:paraId="76B2F902">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（四）本合同各条标题仅为提示之用，应以条文内容确定各方的权利义务。</w:t>
      </w:r>
    </w:p>
    <w:p w14:paraId="3220C5C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（五）本合同双方通知地址及方式如下：</w:t>
      </w:r>
    </w:p>
    <w:p w14:paraId="312F94A1">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甲方：</w:t>
      </w:r>
    </w:p>
    <w:p w14:paraId="229D9D57">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地址：   </w:t>
      </w:r>
    </w:p>
    <w:p w14:paraId="66EB8B9D">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联系人：    </w:t>
      </w:r>
    </w:p>
    <w:p w14:paraId="69B7751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电话：</w:t>
      </w:r>
    </w:p>
    <w:p w14:paraId="6BE03CE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邮编：    </w:t>
      </w:r>
    </w:p>
    <w:p w14:paraId="3B9C88B8">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乙方：</w:t>
      </w:r>
    </w:p>
    <w:p w14:paraId="24D50644">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地址：    </w:t>
      </w:r>
    </w:p>
    <w:p w14:paraId="2E69F51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联系人： </w:t>
      </w:r>
    </w:p>
    <w:p w14:paraId="11C1BA49">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电话： </w:t>
      </w:r>
    </w:p>
    <w:p w14:paraId="008AC82A">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 xml:space="preserve">邮编： </w:t>
      </w:r>
    </w:p>
    <w:p w14:paraId="3CB642C3">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上述任何信息发生变更的，变更方应及时以书面形式通知另一方，未及时通知并影响本合同履行或造成损失的，应承担相应的责任。</w:t>
      </w:r>
    </w:p>
    <w:p w14:paraId="6F1CA213">
      <w:pPr>
        <w:pStyle w:val="53"/>
        <w:spacing w:line="440" w:lineRule="exact"/>
        <w:ind w:firstLine="220"/>
        <w:rPr>
          <w:rFonts w:ascii="宋体" w:hAnsi="宋体" w:cs="宋体"/>
          <w:b w:val="0"/>
          <w:bCs/>
          <w:sz w:val="22"/>
          <w:szCs w:val="22"/>
        </w:rPr>
      </w:pPr>
    </w:p>
    <w:p w14:paraId="63888088">
      <w:pPr>
        <w:pStyle w:val="53"/>
        <w:spacing w:line="440" w:lineRule="exact"/>
        <w:ind w:firstLine="220"/>
        <w:rPr>
          <w:rFonts w:ascii="宋体" w:hAnsi="宋体" w:cs="宋体"/>
          <w:b w:val="0"/>
          <w:bCs/>
          <w:sz w:val="22"/>
          <w:szCs w:val="22"/>
        </w:rPr>
      </w:pPr>
    </w:p>
    <w:p w14:paraId="04310CE5">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甲方：                               乙方：</w:t>
      </w:r>
    </w:p>
    <w:p w14:paraId="01743320">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法定代表人/负责人                    法定代表人/负责人</w:t>
      </w:r>
    </w:p>
    <w:p w14:paraId="510D6E07">
      <w:pPr>
        <w:pStyle w:val="53"/>
        <w:spacing w:line="440" w:lineRule="exact"/>
        <w:ind w:firstLine="220"/>
        <w:rPr>
          <w:rFonts w:ascii="宋体" w:hAnsi="宋体" w:cs="宋体"/>
          <w:b w:val="0"/>
          <w:bCs/>
          <w:sz w:val="22"/>
          <w:szCs w:val="22"/>
        </w:rPr>
      </w:pPr>
      <w:r>
        <w:rPr>
          <w:rFonts w:hint="eastAsia" w:ascii="宋体" w:hAnsi="宋体" w:cs="宋体"/>
          <w:b w:val="0"/>
          <w:bCs/>
          <w:sz w:val="22"/>
          <w:szCs w:val="22"/>
        </w:rPr>
        <w:t>或授权代表：                         或授权代表：</w:t>
      </w:r>
    </w:p>
    <w:p w14:paraId="05DC2E61">
      <w:pPr>
        <w:pStyle w:val="53"/>
        <w:spacing w:line="276" w:lineRule="auto"/>
        <w:ind w:firstLine="220"/>
        <w:rPr>
          <w:rFonts w:ascii="宋体" w:hAnsi="宋体" w:cs="宋体"/>
          <w:b w:val="0"/>
          <w:bCs/>
          <w:sz w:val="22"/>
          <w:szCs w:val="22"/>
        </w:rPr>
      </w:pPr>
      <w:r>
        <w:rPr>
          <w:rFonts w:hint="eastAsia" w:ascii="宋体" w:hAnsi="宋体" w:cs="宋体"/>
          <w:b w:val="0"/>
          <w:bCs/>
          <w:sz w:val="22"/>
          <w:szCs w:val="22"/>
        </w:rPr>
        <w:t>年  月  日                          年   月   日</w:t>
      </w:r>
    </w:p>
    <w:p w14:paraId="66714A02">
      <w:pPr>
        <w:jc w:val="center"/>
        <w:rPr>
          <w:rFonts w:ascii="宋体" w:hAnsi="宋体" w:eastAsia="宋体" w:cs="宋体"/>
          <w:bCs w:val="0"/>
          <w:sz w:val="36"/>
          <w:szCs w:val="36"/>
        </w:rPr>
      </w:pPr>
      <w:r>
        <w:rPr>
          <w:rFonts w:hint="eastAsia" w:ascii="宋体" w:hAnsi="宋体" w:cs="宋体"/>
          <w:bCs/>
          <w:sz w:val="22"/>
          <w:szCs w:val="22"/>
        </w:rPr>
        <w:t xml:space="preserve">            </w:t>
      </w:r>
      <w:bookmarkStart w:id="75" w:name="_Toc58832091"/>
      <w:bookmarkStart w:id="76" w:name="_Toc21106"/>
      <w:bookmarkStart w:id="77" w:name="_Toc5314"/>
      <w:r>
        <w:rPr>
          <w:rFonts w:hint="eastAsia" w:ascii="宋体" w:hAnsi="宋体" w:eastAsia="宋体" w:cs="宋体"/>
          <w:bCs w:val="0"/>
          <w:sz w:val="36"/>
          <w:szCs w:val="36"/>
        </w:rPr>
        <w:t>第四部分   磋商响应文件格式</w:t>
      </w:r>
      <w:bookmarkEnd w:id="75"/>
      <w:bookmarkEnd w:id="76"/>
      <w:bookmarkEnd w:id="77"/>
    </w:p>
    <w:p w14:paraId="0BCA4B55">
      <w:pPr>
        <w:spacing w:before="120" w:beforeLines="50" w:after="120" w:afterLines="50"/>
        <w:rPr>
          <w:rFonts w:ascii="宋体" w:hAnsi="宋体" w:cs="宋体"/>
          <w:sz w:val="22"/>
          <w:szCs w:val="22"/>
        </w:rPr>
      </w:pPr>
      <w:r>
        <w:rPr>
          <w:rFonts w:hint="eastAsia" w:ascii="宋体" w:hAnsi="宋体" w:cs="宋体"/>
          <w:sz w:val="22"/>
          <w:szCs w:val="22"/>
        </w:rPr>
        <w:t>（资格审查资料封面，供参考）</w:t>
      </w:r>
    </w:p>
    <w:p w14:paraId="2093F0F5">
      <w:pPr>
        <w:rPr>
          <w:rFonts w:ascii="宋体" w:hAnsi="宋体" w:cs="宋体"/>
        </w:rPr>
      </w:pPr>
    </w:p>
    <w:p w14:paraId="4E8C7539">
      <w:pPr>
        <w:rPr>
          <w:rFonts w:ascii="宋体" w:hAnsi="宋体" w:cs="宋体"/>
        </w:rPr>
      </w:pPr>
    </w:p>
    <w:p w14:paraId="26DDBC7F">
      <w:pPr>
        <w:rPr>
          <w:rFonts w:ascii="宋体" w:hAnsi="宋体" w:cs="宋体"/>
        </w:rPr>
      </w:pPr>
    </w:p>
    <w:p w14:paraId="2D9362FB">
      <w:pPr>
        <w:jc w:val="center"/>
        <w:rPr>
          <w:rFonts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磋商响应文件</w:t>
      </w:r>
    </w:p>
    <w:p w14:paraId="714B8594">
      <w:pPr>
        <w:rPr>
          <w:rFonts w:ascii="宋体" w:hAnsi="宋体" w:cs="宋体"/>
          <w:sz w:val="28"/>
          <w:szCs w:val="28"/>
        </w:rPr>
      </w:pPr>
    </w:p>
    <w:p w14:paraId="3DBF55E7">
      <w:pPr>
        <w:rPr>
          <w:rFonts w:ascii="宋体" w:hAnsi="宋体" w:cs="宋体"/>
          <w:sz w:val="28"/>
          <w:szCs w:val="28"/>
        </w:rPr>
      </w:pPr>
    </w:p>
    <w:p w14:paraId="50D97A79">
      <w:pPr>
        <w:pStyle w:val="53"/>
        <w:ind w:firstLine="285"/>
        <w:rPr>
          <w:rFonts w:ascii="宋体" w:hAnsi="宋体" w:cs="宋体"/>
          <w:sz w:val="28"/>
          <w:szCs w:val="28"/>
        </w:rPr>
      </w:pPr>
    </w:p>
    <w:p w14:paraId="0018E0AB">
      <w:pPr>
        <w:pStyle w:val="53"/>
        <w:ind w:firstLine="285"/>
        <w:rPr>
          <w:rFonts w:ascii="宋体" w:hAnsi="宋体" w:cs="宋体"/>
          <w:sz w:val="28"/>
          <w:szCs w:val="28"/>
        </w:rPr>
      </w:pPr>
    </w:p>
    <w:p w14:paraId="0B29C205">
      <w:pPr>
        <w:rPr>
          <w:rFonts w:ascii="宋体" w:hAnsi="宋体" w:cs="宋体"/>
          <w:sz w:val="28"/>
          <w:szCs w:val="28"/>
        </w:rPr>
      </w:pPr>
    </w:p>
    <w:p w14:paraId="6E29BB85">
      <w:pPr>
        <w:rPr>
          <w:rFonts w:ascii="宋体" w:hAnsi="宋体" w:cs="宋体"/>
          <w:sz w:val="28"/>
          <w:szCs w:val="28"/>
        </w:rPr>
      </w:pPr>
    </w:p>
    <w:p w14:paraId="749A6AD8">
      <w:pPr>
        <w:jc w:val="center"/>
        <w:rPr>
          <w:rFonts w:ascii="宋体" w:hAnsi="宋体" w:cs="宋体"/>
          <w:sz w:val="52"/>
          <w:szCs w:val="52"/>
        </w:rPr>
      </w:pPr>
      <w:r>
        <w:rPr>
          <w:rFonts w:hint="eastAsia" w:ascii="宋体" w:hAnsi="宋体" w:cs="宋体"/>
          <w:sz w:val="52"/>
          <w:szCs w:val="52"/>
        </w:rPr>
        <w:t>资格审查资料</w:t>
      </w:r>
    </w:p>
    <w:p w14:paraId="305789FF">
      <w:pPr>
        <w:spacing w:line="360" w:lineRule="auto"/>
        <w:rPr>
          <w:rFonts w:ascii="宋体" w:hAnsi="宋体" w:cs="宋体"/>
          <w:szCs w:val="21"/>
        </w:rPr>
      </w:pPr>
    </w:p>
    <w:p w14:paraId="1F064FD7">
      <w:pPr>
        <w:spacing w:line="360" w:lineRule="auto"/>
        <w:rPr>
          <w:rFonts w:ascii="宋体" w:hAnsi="宋体" w:cs="宋体"/>
          <w:szCs w:val="21"/>
        </w:rPr>
      </w:pPr>
    </w:p>
    <w:p w14:paraId="0EA255DE">
      <w:pPr>
        <w:spacing w:line="360" w:lineRule="auto"/>
        <w:rPr>
          <w:rFonts w:ascii="宋体" w:hAnsi="宋体" w:cs="宋体"/>
          <w:szCs w:val="21"/>
        </w:rPr>
      </w:pPr>
    </w:p>
    <w:p w14:paraId="51C22F65">
      <w:pPr>
        <w:spacing w:line="360" w:lineRule="auto"/>
        <w:rPr>
          <w:rFonts w:ascii="宋体" w:hAnsi="宋体" w:cs="宋体"/>
          <w:szCs w:val="21"/>
        </w:rPr>
      </w:pPr>
    </w:p>
    <w:p w14:paraId="58179596">
      <w:pPr>
        <w:spacing w:line="360" w:lineRule="auto"/>
        <w:rPr>
          <w:rFonts w:ascii="宋体" w:hAnsi="宋体" w:cs="宋体"/>
          <w:szCs w:val="21"/>
        </w:rPr>
      </w:pPr>
    </w:p>
    <w:p w14:paraId="1FA9789B">
      <w:pPr>
        <w:jc w:val="center"/>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1916DE96">
      <w:pPr>
        <w:rPr>
          <w:rFonts w:ascii="宋体" w:hAnsi="宋体" w:cs="宋体"/>
          <w:sz w:val="28"/>
          <w:szCs w:val="28"/>
          <w:u w:val="single"/>
        </w:rPr>
      </w:pPr>
    </w:p>
    <w:p w14:paraId="6B3099AC">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A74AA1D">
      <w:pPr>
        <w:rPr>
          <w:rFonts w:ascii="宋体" w:hAnsi="宋体" w:cs="宋体"/>
          <w:sz w:val="28"/>
          <w:szCs w:val="28"/>
        </w:rPr>
      </w:pPr>
    </w:p>
    <w:p w14:paraId="7741BB3A">
      <w:pPr>
        <w:overflowPunct w:val="0"/>
        <w:spacing w:line="380" w:lineRule="exact"/>
        <w:ind w:firstLine="2738" w:firstLineChars="978"/>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78575C7">
      <w:pPr>
        <w:spacing w:line="460" w:lineRule="exact"/>
        <w:jc w:val="center"/>
        <w:rPr>
          <w:rFonts w:ascii="宋体" w:hAnsi="宋体" w:cs="宋体"/>
          <w:sz w:val="22"/>
          <w:szCs w:val="22"/>
        </w:rPr>
      </w:pPr>
      <w:r>
        <w:rPr>
          <w:rFonts w:hint="eastAsia" w:ascii="宋体" w:hAnsi="宋体" w:cs="宋体"/>
          <w:sz w:val="22"/>
          <w:szCs w:val="22"/>
        </w:rPr>
        <w:br w:type="page"/>
      </w:r>
    </w:p>
    <w:p w14:paraId="23CFC1FF">
      <w:pPr>
        <w:jc w:val="center"/>
        <w:rPr>
          <w:rFonts w:ascii="宋体" w:hAnsi="宋体" w:cs="宋体"/>
          <w:b/>
          <w:bCs/>
          <w:sz w:val="52"/>
          <w:szCs w:val="52"/>
        </w:rPr>
      </w:pPr>
      <w:bookmarkStart w:id="78" w:name="_Toc465107614"/>
      <w:bookmarkStart w:id="79" w:name="_Toc504034734"/>
      <w:r>
        <w:rPr>
          <w:rFonts w:hint="eastAsia" w:ascii="宋体" w:hAnsi="宋体" w:cs="宋体"/>
          <w:b/>
          <w:bCs/>
          <w:sz w:val="52"/>
          <w:szCs w:val="52"/>
        </w:rPr>
        <w:t>目    录</w:t>
      </w:r>
    </w:p>
    <w:p w14:paraId="2F63ABDF">
      <w:pPr>
        <w:pStyle w:val="53"/>
        <w:ind w:firstLine="326"/>
        <w:rPr>
          <w:rFonts w:ascii="宋体" w:hAnsi="宋体" w:cs="宋体"/>
        </w:rPr>
      </w:pPr>
    </w:p>
    <w:p w14:paraId="212D370D">
      <w:pPr>
        <w:numPr>
          <w:ilvl w:val="0"/>
          <w:numId w:val="14"/>
        </w:numPr>
        <w:spacing w:before="120" w:beforeLines="50" w:after="120" w:afterLines="50" w:line="480" w:lineRule="auto"/>
        <w:ind w:left="-210"/>
        <w:rPr>
          <w:sz w:val="22"/>
          <w:szCs w:val="22"/>
        </w:rPr>
      </w:pPr>
      <w:r>
        <w:rPr>
          <w:rFonts w:hint="eastAsia"/>
          <w:sz w:val="22"/>
          <w:szCs w:val="22"/>
        </w:rPr>
        <w:t>法定代表人（单位负责人）授权书和被授权人有效身份证明。</w:t>
      </w:r>
    </w:p>
    <w:p w14:paraId="2ABD809D">
      <w:pPr>
        <w:numPr>
          <w:ilvl w:val="0"/>
          <w:numId w:val="14"/>
        </w:numPr>
        <w:spacing w:before="120" w:beforeLines="50" w:after="120" w:afterLines="50" w:line="480" w:lineRule="auto"/>
        <w:ind w:left="-210"/>
        <w:rPr>
          <w:sz w:val="22"/>
          <w:szCs w:val="22"/>
        </w:rPr>
      </w:pPr>
      <w:r>
        <w:rPr>
          <w:rFonts w:hint="eastAsia"/>
          <w:sz w:val="22"/>
          <w:szCs w:val="22"/>
        </w:rPr>
        <w:t>营业执照（或事业法人登记证书或其他工商等登记证明材料）。</w:t>
      </w:r>
    </w:p>
    <w:p w14:paraId="093DAF0C">
      <w:pPr>
        <w:numPr>
          <w:ilvl w:val="0"/>
          <w:numId w:val="14"/>
        </w:numPr>
        <w:spacing w:before="120" w:beforeLines="50" w:after="120" w:afterLines="50" w:line="480" w:lineRule="auto"/>
        <w:ind w:left="-210"/>
        <w:rPr>
          <w:sz w:val="22"/>
          <w:szCs w:val="22"/>
        </w:rPr>
      </w:pPr>
      <w:r>
        <w:rPr>
          <w:rFonts w:hint="eastAsia"/>
          <w:sz w:val="22"/>
          <w:szCs w:val="22"/>
        </w:rPr>
        <w:t>中小企业声明函（或监狱企业声明函或残疾人福利性单位声明函）（采购文件第二部分相关附件）</w:t>
      </w:r>
    </w:p>
    <w:p w14:paraId="41F7B948">
      <w:pPr>
        <w:numPr>
          <w:ilvl w:val="0"/>
          <w:numId w:val="14"/>
        </w:numPr>
        <w:spacing w:before="120" w:beforeLines="50" w:after="120" w:afterLines="50" w:line="480" w:lineRule="auto"/>
        <w:ind w:left="-210"/>
        <w:rPr>
          <w:sz w:val="22"/>
          <w:szCs w:val="22"/>
        </w:rPr>
      </w:pPr>
      <w:r>
        <w:rPr>
          <w:rFonts w:hint="eastAsia"/>
          <w:sz w:val="22"/>
          <w:szCs w:val="22"/>
        </w:rPr>
        <w:t>资格条件承诺函</w:t>
      </w:r>
    </w:p>
    <w:p w14:paraId="2D02C1D9">
      <w:pPr>
        <w:numPr>
          <w:ilvl w:val="0"/>
          <w:numId w:val="14"/>
        </w:numPr>
        <w:spacing w:before="120" w:beforeLines="50" w:after="120" w:afterLines="50" w:line="480" w:lineRule="auto"/>
        <w:ind w:left="-210"/>
        <w:rPr>
          <w:rFonts w:ascii="宋体" w:hAnsi="宋体"/>
          <w:sz w:val="22"/>
          <w:szCs w:val="22"/>
        </w:rPr>
      </w:pPr>
      <w:r>
        <w:rPr>
          <w:rFonts w:hint="eastAsia" w:ascii="宋体" w:hAnsi="宋体"/>
          <w:sz w:val="22"/>
          <w:szCs w:val="22"/>
        </w:rPr>
        <w:t>申请材料真实性声明</w:t>
      </w:r>
    </w:p>
    <w:p w14:paraId="0AC815CC">
      <w:pPr>
        <w:pStyle w:val="4"/>
        <w:spacing w:line="360" w:lineRule="auto"/>
        <w:ind w:left="420"/>
        <w:jc w:val="left"/>
        <w:rPr>
          <w:rFonts w:ascii="宋体" w:hAnsi="宋体" w:eastAsia="宋体" w:cs="宋体"/>
          <w:b w:val="0"/>
          <w:sz w:val="22"/>
          <w:szCs w:val="22"/>
        </w:rPr>
      </w:pPr>
    </w:p>
    <w:p w14:paraId="072A7E17">
      <w:pPr>
        <w:pStyle w:val="4"/>
        <w:spacing w:line="360" w:lineRule="auto"/>
        <w:ind w:left="420"/>
        <w:jc w:val="left"/>
        <w:rPr>
          <w:rFonts w:ascii="宋体" w:hAnsi="宋体" w:eastAsia="宋体" w:cs="宋体"/>
          <w:b w:val="0"/>
          <w:sz w:val="22"/>
          <w:szCs w:val="22"/>
        </w:rPr>
      </w:pPr>
    </w:p>
    <w:p w14:paraId="3FC5536C">
      <w:pPr>
        <w:pStyle w:val="4"/>
        <w:spacing w:line="360" w:lineRule="auto"/>
        <w:ind w:left="420"/>
        <w:jc w:val="left"/>
        <w:rPr>
          <w:rFonts w:ascii="宋体" w:hAnsi="宋体" w:eastAsia="宋体" w:cs="宋体"/>
          <w:b w:val="0"/>
          <w:sz w:val="22"/>
          <w:szCs w:val="22"/>
        </w:rPr>
      </w:pPr>
    </w:p>
    <w:p w14:paraId="57B048C7">
      <w:pPr>
        <w:pStyle w:val="4"/>
        <w:spacing w:line="360" w:lineRule="auto"/>
        <w:ind w:left="420"/>
        <w:rPr>
          <w:rFonts w:ascii="宋体" w:hAnsi="宋体" w:eastAsia="宋体" w:cs="宋体"/>
          <w:b w:val="0"/>
          <w:sz w:val="22"/>
          <w:szCs w:val="22"/>
        </w:rPr>
      </w:pPr>
      <w:r>
        <w:rPr>
          <w:rFonts w:hint="eastAsia" w:ascii="宋体" w:hAnsi="宋体" w:eastAsia="宋体" w:cs="宋体"/>
          <w:b w:val="0"/>
          <w:sz w:val="22"/>
          <w:szCs w:val="22"/>
        </w:rPr>
        <w:br w:type="page"/>
      </w:r>
    </w:p>
    <w:p w14:paraId="2CC092AD">
      <w:pPr>
        <w:widowControl/>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法定代表人授权书</w:t>
      </w:r>
    </w:p>
    <w:p w14:paraId="486E161E">
      <w:pPr>
        <w:spacing w:line="420" w:lineRule="exact"/>
        <w:rPr>
          <w:rFonts w:ascii="宋体" w:hAnsi="宋体" w:cs="宋体"/>
          <w:b/>
          <w:sz w:val="22"/>
          <w:szCs w:val="22"/>
        </w:rPr>
      </w:pPr>
    </w:p>
    <w:p w14:paraId="415D40E5">
      <w:pPr>
        <w:spacing w:line="420" w:lineRule="exact"/>
        <w:rPr>
          <w:rFonts w:ascii="宋体" w:hAnsi="宋体" w:cs="宋体"/>
          <w:sz w:val="22"/>
          <w:szCs w:val="22"/>
        </w:rPr>
      </w:pPr>
      <w:r>
        <w:rPr>
          <w:rFonts w:hint="eastAsia" w:ascii="宋体" w:hAnsi="宋体" w:cs="宋体"/>
          <w:sz w:val="22"/>
          <w:szCs w:val="22"/>
        </w:rPr>
        <w:t>温州市龙湾区人民政府办公室：</w:t>
      </w:r>
    </w:p>
    <w:p w14:paraId="66ADC5E0">
      <w:pPr>
        <w:spacing w:line="420" w:lineRule="exact"/>
        <w:rPr>
          <w:rFonts w:ascii="宋体" w:hAnsi="宋体" w:cs="宋体"/>
          <w:sz w:val="22"/>
          <w:szCs w:val="22"/>
        </w:rPr>
      </w:pPr>
      <w:r>
        <w:rPr>
          <w:rFonts w:hint="eastAsia" w:ascii="宋体" w:hAnsi="宋体" w:cs="宋体"/>
          <w:sz w:val="22"/>
          <w:szCs w:val="22"/>
        </w:rPr>
        <w:t>温州市智信招标代理有限公司：</w:t>
      </w:r>
    </w:p>
    <w:p w14:paraId="0818C224">
      <w:pPr>
        <w:spacing w:line="460" w:lineRule="exact"/>
        <w:rPr>
          <w:rFonts w:ascii="宋体" w:hAnsi="宋体" w:cs="宋体"/>
          <w:sz w:val="22"/>
          <w:szCs w:val="22"/>
          <w:u w:val="single"/>
        </w:rPr>
      </w:pPr>
    </w:p>
    <w:p w14:paraId="22C847D3">
      <w:pPr>
        <w:spacing w:line="460" w:lineRule="exact"/>
        <w:ind w:firstLine="550" w:firstLineChars="25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w:t>
      </w:r>
      <w:r>
        <w:rPr>
          <w:rFonts w:hint="eastAsia" w:ascii="宋体" w:hAnsi="宋体" w:cs="宋体"/>
          <w:sz w:val="22"/>
          <w:szCs w:val="22"/>
          <w:u w:val="single"/>
        </w:rPr>
        <w:t xml:space="preserve">               </w:t>
      </w:r>
      <w:r>
        <w:rPr>
          <w:rFonts w:hint="eastAsia" w:ascii="宋体" w:hAnsi="宋体" w:cs="宋体"/>
          <w:sz w:val="22"/>
          <w:szCs w:val="22"/>
        </w:rPr>
        <w:t>（采购项目名称、编号）的采购活动，全权代表我方处理采购活动中的一切事宜。</w:t>
      </w:r>
    </w:p>
    <w:p w14:paraId="4F6ACAB0">
      <w:pPr>
        <w:spacing w:line="460" w:lineRule="exact"/>
        <w:ind w:firstLine="2955"/>
        <w:rPr>
          <w:rFonts w:ascii="宋体" w:hAnsi="宋体" w:cs="宋体"/>
          <w:sz w:val="22"/>
          <w:szCs w:val="22"/>
        </w:rPr>
      </w:pPr>
    </w:p>
    <w:p w14:paraId="7FDD4F6D">
      <w:pPr>
        <w:spacing w:line="460" w:lineRule="exact"/>
        <w:ind w:firstLine="2955"/>
        <w:rPr>
          <w:rFonts w:ascii="宋体" w:hAnsi="宋体" w:cs="宋体"/>
          <w:sz w:val="22"/>
          <w:szCs w:val="22"/>
        </w:rPr>
      </w:pPr>
      <w:r>
        <w:rPr>
          <w:rFonts w:hint="eastAsia" w:ascii="宋体" w:hAnsi="宋体" w:cs="宋体"/>
          <w:sz w:val="22"/>
          <w:szCs w:val="22"/>
        </w:rPr>
        <w:t xml:space="preserve">         </w:t>
      </w:r>
    </w:p>
    <w:p w14:paraId="1D1BB03C">
      <w:pPr>
        <w:spacing w:line="460" w:lineRule="exact"/>
        <w:ind w:firstLine="3971" w:firstLineChars="1805"/>
        <w:rPr>
          <w:rFonts w:ascii="宋体" w:hAnsi="宋体" w:cs="宋体"/>
          <w:sz w:val="22"/>
          <w:szCs w:val="22"/>
        </w:rPr>
      </w:pPr>
      <w:r>
        <w:rPr>
          <w:rFonts w:hint="eastAsia" w:ascii="宋体" w:hAnsi="宋体" w:cs="宋体"/>
          <w:sz w:val="22"/>
          <w:szCs w:val="22"/>
        </w:rPr>
        <w:t>法定代表人 （签字或盖章）：</w:t>
      </w:r>
    </w:p>
    <w:p w14:paraId="35A3CB77">
      <w:pPr>
        <w:spacing w:line="460" w:lineRule="exact"/>
        <w:ind w:firstLine="2955"/>
        <w:rPr>
          <w:rFonts w:ascii="宋体" w:hAnsi="宋体" w:cs="宋体"/>
          <w:sz w:val="22"/>
          <w:szCs w:val="22"/>
        </w:rPr>
      </w:pPr>
      <w:r>
        <w:rPr>
          <w:rFonts w:hint="eastAsia" w:ascii="宋体" w:hAnsi="宋体" w:cs="宋体"/>
          <w:sz w:val="22"/>
          <w:szCs w:val="22"/>
        </w:rPr>
        <w:t xml:space="preserve">         投标人全称（公章）：</w:t>
      </w:r>
    </w:p>
    <w:p w14:paraId="5311AAF8">
      <w:pPr>
        <w:spacing w:line="460" w:lineRule="exact"/>
        <w:ind w:firstLine="2955"/>
        <w:rPr>
          <w:rFonts w:ascii="宋体" w:hAnsi="宋体" w:cs="宋体"/>
          <w:sz w:val="22"/>
          <w:szCs w:val="22"/>
        </w:rPr>
      </w:pPr>
      <w:r>
        <w:rPr>
          <w:rFonts w:hint="eastAsia" w:ascii="宋体" w:hAnsi="宋体" w:cs="宋体"/>
          <w:sz w:val="22"/>
          <w:szCs w:val="22"/>
        </w:rPr>
        <w:t xml:space="preserve">         日期：     年    月   日</w:t>
      </w:r>
    </w:p>
    <w:p w14:paraId="436D9766">
      <w:pPr>
        <w:spacing w:line="460" w:lineRule="exact"/>
        <w:rPr>
          <w:rFonts w:ascii="宋体" w:hAnsi="宋体" w:cs="宋体"/>
          <w:sz w:val="22"/>
          <w:szCs w:val="22"/>
        </w:rPr>
      </w:pPr>
    </w:p>
    <w:p w14:paraId="59D7F70D">
      <w:pPr>
        <w:spacing w:line="460" w:lineRule="exact"/>
        <w:rPr>
          <w:rFonts w:ascii="宋体" w:hAnsi="宋体" w:cs="宋体"/>
          <w:sz w:val="22"/>
          <w:szCs w:val="22"/>
        </w:rPr>
      </w:pPr>
      <w:r>
        <w:rPr>
          <w:rFonts w:hint="eastAsia" w:ascii="宋体" w:hAnsi="宋体" w:cs="宋体"/>
          <w:sz w:val="22"/>
          <w:szCs w:val="22"/>
        </w:rPr>
        <w:t>附：</w:t>
      </w:r>
    </w:p>
    <w:p w14:paraId="1B37492D">
      <w:pPr>
        <w:spacing w:line="460" w:lineRule="exact"/>
        <w:ind w:firstLine="220" w:firstLineChars="100"/>
        <w:rPr>
          <w:rFonts w:ascii="宋体" w:hAnsi="宋体" w:cs="宋体"/>
          <w:sz w:val="22"/>
          <w:szCs w:val="22"/>
        </w:rPr>
      </w:pPr>
      <w:r>
        <w:rPr>
          <w:rFonts w:hint="eastAsia" w:ascii="宋体" w:hAnsi="宋体" w:cs="宋体"/>
          <w:sz w:val="22"/>
          <w:szCs w:val="22"/>
        </w:rPr>
        <w:t>授权代表姓名：</w:t>
      </w:r>
    </w:p>
    <w:p w14:paraId="45C9C3A9">
      <w:pPr>
        <w:spacing w:line="460" w:lineRule="exact"/>
        <w:ind w:firstLine="220" w:firstLineChars="100"/>
        <w:rPr>
          <w:rFonts w:ascii="宋体" w:hAnsi="宋体" w:cs="宋体"/>
          <w:sz w:val="22"/>
          <w:szCs w:val="22"/>
        </w:rPr>
      </w:pPr>
      <w:r>
        <w:rPr>
          <w:rFonts w:hint="eastAsia" w:ascii="宋体" w:hAnsi="宋体" w:cs="宋体"/>
          <w:sz w:val="22"/>
          <w:szCs w:val="22"/>
        </w:rPr>
        <w:t>职务：</w:t>
      </w:r>
    </w:p>
    <w:p w14:paraId="04103C72">
      <w:pPr>
        <w:spacing w:line="460" w:lineRule="exact"/>
        <w:ind w:firstLine="220" w:firstLineChars="100"/>
        <w:rPr>
          <w:rFonts w:ascii="宋体" w:hAnsi="宋体" w:cs="宋体"/>
          <w:sz w:val="22"/>
          <w:szCs w:val="22"/>
        </w:rPr>
      </w:pPr>
      <w:r>
        <w:rPr>
          <w:rFonts w:hint="eastAsia" w:ascii="宋体" w:hAnsi="宋体" w:cs="宋体"/>
          <w:sz w:val="22"/>
          <w:szCs w:val="22"/>
        </w:rPr>
        <w:t>详细通讯地址：</w:t>
      </w:r>
    </w:p>
    <w:p w14:paraId="076EEC0C">
      <w:pPr>
        <w:spacing w:line="460" w:lineRule="exact"/>
        <w:ind w:firstLine="220" w:firstLineChars="100"/>
        <w:rPr>
          <w:rFonts w:ascii="宋体" w:hAnsi="宋体" w:cs="宋体"/>
          <w:sz w:val="22"/>
          <w:szCs w:val="22"/>
        </w:rPr>
      </w:pPr>
      <w:r>
        <w:rPr>
          <w:rFonts w:hint="eastAsia" w:ascii="宋体" w:hAnsi="宋体" w:cs="宋体"/>
          <w:sz w:val="22"/>
          <w:szCs w:val="22"/>
        </w:rPr>
        <w:t>电话：</w:t>
      </w:r>
    </w:p>
    <w:p w14:paraId="24948782">
      <w:pPr>
        <w:spacing w:line="460" w:lineRule="exact"/>
        <w:ind w:firstLine="220" w:firstLineChars="100"/>
        <w:rPr>
          <w:rFonts w:ascii="宋体" w:hAnsi="宋体" w:cs="宋体"/>
          <w:sz w:val="22"/>
          <w:szCs w:val="22"/>
        </w:rPr>
      </w:pPr>
      <w:r>
        <w:rPr>
          <w:rFonts w:hint="eastAsia" w:ascii="宋体" w:hAnsi="宋体" w:cs="宋体"/>
          <w:sz w:val="22"/>
          <w:szCs w:val="22"/>
        </w:rPr>
        <w:t>传真：</w:t>
      </w:r>
    </w:p>
    <w:p w14:paraId="6E2E22A0">
      <w:pPr>
        <w:spacing w:line="460" w:lineRule="exact"/>
        <w:ind w:firstLine="220" w:firstLineChars="100"/>
        <w:rPr>
          <w:rFonts w:ascii="宋体" w:hAnsi="宋体" w:cs="宋体"/>
          <w:sz w:val="22"/>
          <w:szCs w:val="22"/>
        </w:rPr>
      </w:pPr>
      <w:r>
        <w:rPr>
          <w:rFonts w:hint="eastAsia" w:ascii="宋体" w:hAnsi="宋体" w:cs="宋体"/>
          <w:sz w:val="22"/>
          <w:szCs w:val="22"/>
        </w:rPr>
        <w:t>邮政编码：</w:t>
      </w:r>
    </w:p>
    <w:tbl>
      <w:tblPr>
        <w:tblStyle w:val="5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2DE7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B8BE5A4">
            <w:pPr>
              <w:spacing w:line="380" w:lineRule="exact"/>
              <w:jc w:val="center"/>
              <w:rPr>
                <w:rFonts w:ascii="宋体" w:hAnsi="宋体" w:cs="宋体"/>
                <w:b/>
                <w:sz w:val="28"/>
                <w:szCs w:val="28"/>
              </w:rPr>
            </w:pPr>
            <w:r>
              <w:rPr>
                <w:rFonts w:hint="eastAsia" w:ascii="宋体" w:hAnsi="宋体" w:cs="宋体"/>
                <w:b/>
                <w:sz w:val="28"/>
                <w:szCs w:val="28"/>
              </w:rPr>
              <w:t>投标人代表身份证复印件</w:t>
            </w:r>
          </w:p>
          <w:p w14:paraId="5FC0E4CA">
            <w:pPr>
              <w:spacing w:line="380" w:lineRule="exact"/>
              <w:jc w:val="center"/>
              <w:rPr>
                <w:rFonts w:ascii="宋体" w:hAnsi="宋体" w:cs="宋体"/>
                <w:b/>
                <w:bCs/>
                <w:sz w:val="28"/>
              </w:rPr>
            </w:pPr>
          </w:p>
        </w:tc>
      </w:tr>
    </w:tbl>
    <w:p w14:paraId="1AEB5B3A">
      <w:pPr>
        <w:pStyle w:val="4"/>
        <w:rPr>
          <w:rFonts w:ascii="新宋体" w:hAnsi="新宋体" w:eastAsia="新宋体" w:cs="新宋体"/>
          <w:kern w:val="0"/>
          <w:sz w:val="28"/>
          <w:szCs w:val="28"/>
        </w:rPr>
      </w:pPr>
      <w:r>
        <w:rPr>
          <w:rFonts w:hint="eastAsia" w:ascii="宋体" w:hAnsi="宋体" w:cs="宋体"/>
          <w:sz w:val="22"/>
          <w:szCs w:val="22"/>
        </w:rPr>
        <w:br w:type="page"/>
      </w:r>
      <w:bookmarkStart w:id="80" w:name="_Toc7025"/>
      <w:r>
        <w:rPr>
          <w:rFonts w:hint="eastAsia" w:ascii="新宋体" w:hAnsi="新宋体" w:eastAsia="新宋体" w:cs="新宋体"/>
          <w:kern w:val="0"/>
          <w:sz w:val="28"/>
          <w:szCs w:val="28"/>
        </w:rPr>
        <w:t>资格条件承诺函</w:t>
      </w:r>
      <w:bookmarkEnd w:id="80"/>
    </w:p>
    <w:p w14:paraId="05C305F6">
      <w:pPr>
        <w:spacing w:line="440" w:lineRule="exact"/>
        <w:ind w:right="-153" w:rightChars="-73"/>
        <w:rPr>
          <w:rFonts w:ascii="宋体" w:hAnsi="宋体" w:cs="宋体"/>
          <w:sz w:val="22"/>
          <w:szCs w:val="22"/>
        </w:rPr>
      </w:pPr>
    </w:p>
    <w:p w14:paraId="0144C4DE">
      <w:pPr>
        <w:spacing w:line="420" w:lineRule="exact"/>
        <w:rPr>
          <w:rFonts w:ascii="宋体" w:hAnsi="宋体"/>
          <w:sz w:val="22"/>
          <w:szCs w:val="22"/>
        </w:rPr>
      </w:pPr>
      <w:r>
        <w:rPr>
          <w:rFonts w:hint="eastAsia" w:ascii="宋体" w:hAnsi="宋体"/>
          <w:sz w:val="22"/>
          <w:szCs w:val="22"/>
        </w:rPr>
        <w:t>温州市龙湾区人民政府办公室：</w:t>
      </w:r>
    </w:p>
    <w:p w14:paraId="1898784C">
      <w:pPr>
        <w:spacing w:line="420" w:lineRule="exact"/>
        <w:rPr>
          <w:rFonts w:ascii="新宋体" w:hAnsi="新宋体" w:eastAsia="新宋体" w:cs="新宋体"/>
          <w:sz w:val="22"/>
          <w:szCs w:val="22"/>
        </w:rPr>
      </w:pPr>
      <w:r>
        <w:rPr>
          <w:rFonts w:hint="eastAsia" w:ascii="宋体" w:hAnsi="宋体"/>
          <w:sz w:val="22"/>
          <w:szCs w:val="22"/>
        </w:rPr>
        <w:t>温州市智信招标代理有限公司：</w:t>
      </w:r>
    </w:p>
    <w:p w14:paraId="17F79AD1">
      <w:pPr>
        <w:shd w:val="clear" w:color="auto" w:fill="FFFFFF"/>
        <w:snapToGrid w:val="0"/>
        <w:spacing w:line="440" w:lineRule="exact"/>
        <w:rPr>
          <w:rFonts w:ascii="宋体" w:hAnsi="宋体" w:cs="宋体"/>
          <w:sz w:val="22"/>
          <w:szCs w:val="22"/>
        </w:rPr>
      </w:pPr>
    </w:p>
    <w:p w14:paraId="6CB1D335">
      <w:pPr>
        <w:widowControl/>
        <w:spacing w:line="440" w:lineRule="exact"/>
        <w:ind w:firstLine="440" w:firstLineChars="200"/>
        <w:rPr>
          <w:rFonts w:ascii="宋体" w:hAnsi="宋体" w:cs="宋体"/>
          <w:sz w:val="22"/>
          <w:szCs w:val="22"/>
        </w:rPr>
      </w:pPr>
      <w:r>
        <w:rPr>
          <w:rFonts w:hint="eastAsia" w:ascii="宋体" w:hAnsi="宋体" w:cs="宋体"/>
          <w:sz w:val="22"/>
          <w:szCs w:val="22"/>
        </w:rPr>
        <w:t>我方参与（采购项目名称、编号）磋商响应，现郑重承诺：</w:t>
      </w:r>
    </w:p>
    <w:p w14:paraId="00830EAA">
      <w:pPr>
        <w:widowControl/>
        <w:spacing w:line="440" w:lineRule="exact"/>
        <w:ind w:firstLine="440" w:firstLineChars="200"/>
        <w:rPr>
          <w:rFonts w:ascii="宋体" w:hAnsi="宋体" w:cs="宋体"/>
          <w:sz w:val="22"/>
          <w:szCs w:val="22"/>
        </w:rPr>
      </w:pPr>
      <w:r>
        <w:rPr>
          <w:rFonts w:hint="eastAsia" w:ascii="宋体" w:hAnsi="宋体" w:cs="宋体"/>
          <w:sz w:val="22"/>
          <w:szCs w:val="22"/>
        </w:rPr>
        <w:t>1.我方符合《中华人民共和国政府采购法》第二十二条规定的资格条件，即</w:t>
      </w:r>
    </w:p>
    <w:p w14:paraId="3E265999">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（1）我方具有独立承担民事责任的能力；</w:t>
      </w:r>
    </w:p>
    <w:p w14:paraId="4DBBDFA2">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（2）我方具有良好的商业信誉和健全的财务会计制度；</w:t>
      </w:r>
    </w:p>
    <w:p w14:paraId="6A2952F4">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（3）我方具有履行合同所必需的设备和专业技术能力；</w:t>
      </w:r>
    </w:p>
    <w:p w14:paraId="54D219EA">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（4）我方有依法缴纳税收和社会保障资金的良好记录；</w:t>
      </w:r>
    </w:p>
    <w:p w14:paraId="48F359D6">
      <w:pPr>
        <w:widowControl/>
        <w:snapToGrid w:val="0"/>
        <w:spacing w:line="440" w:lineRule="exact"/>
        <w:ind w:left="970" w:leftChars="200" w:hanging="550" w:hangingChars="250"/>
        <w:jc w:val="left"/>
        <w:rPr>
          <w:rFonts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C48274">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2.到本项目投标截止时间为止，我方未被信用中国（</w:t>
      </w:r>
      <w:r>
        <w:fldChar w:fldCharType="begin"/>
      </w:r>
      <w:r>
        <w:instrText xml:space="preserve"> HYPERLINK "http://www.creditchina.gov.cn）、" </w:instrText>
      </w:r>
      <w:r>
        <w:fldChar w:fldCharType="separate"/>
      </w:r>
      <w:r>
        <w:rPr>
          <w:rStyle w:val="67"/>
          <w:rFonts w:hint="eastAsia" w:ascii="宋体" w:hAnsi="宋体" w:cs="宋体"/>
          <w:color w:val="auto"/>
          <w:kern w:val="0"/>
          <w:sz w:val="22"/>
          <w:szCs w:val="22"/>
        </w:rPr>
        <w:t>www.creditchina.gov.cn）、</w:t>
      </w:r>
      <w:r>
        <w:rPr>
          <w:rStyle w:val="67"/>
          <w:rFonts w:hint="eastAsia" w:ascii="宋体" w:hAnsi="宋体" w:cs="宋体"/>
          <w:color w:val="auto"/>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14:paraId="30AF4CD4">
      <w:pPr>
        <w:widowControl/>
        <w:snapToGrid w:val="0"/>
        <w:spacing w:line="440" w:lineRule="exact"/>
        <w:ind w:firstLine="440" w:firstLineChars="200"/>
        <w:jc w:val="left"/>
        <w:rPr>
          <w:rFonts w:ascii="宋体" w:hAnsi="宋体" w:cs="宋体"/>
          <w:kern w:val="0"/>
          <w:sz w:val="22"/>
          <w:szCs w:val="22"/>
        </w:rPr>
      </w:pPr>
      <w:r>
        <w:rPr>
          <w:rFonts w:hint="eastAsia" w:ascii="宋体" w:hAnsi="宋体" w:eastAsia="新宋体" w:cs="宋体"/>
          <w:kern w:val="0"/>
          <w:sz w:val="22"/>
          <w:szCs w:val="22"/>
        </w:rPr>
        <w:t>3.</w:t>
      </w:r>
      <w:r>
        <w:rPr>
          <w:rFonts w:hint="eastAsia" w:ascii="新宋体" w:hAnsi="新宋体" w:eastAsia="新宋体"/>
          <w:kern w:val="0"/>
          <w:sz w:val="22"/>
          <w:szCs w:val="22"/>
          <w:lang w:val="zh-CN"/>
        </w:rPr>
        <w:t>单位、法定代表人、本项目授权代表及本项目负责人在参加本项目前三年内（以法院判决书生效日期为准）均无行贿犯罪记录。</w:t>
      </w:r>
    </w:p>
    <w:p w14:paraId="656C532B">
      <w:pPr>
        <w:widowControl/>
        <w:snapToGrid w:val="0"/>
        <w:spacing w:line="440" w:lineRule="exact"/>
        <w:ind w:firstLine="440" w:firstLineChars="200"/>
        <w:jc w:val="left"/>
        <w:rPr>
          <w:rFonts w:ascii="宋体" w:hAnsi="宋体" w:cs="宋体"/>
          <w:kern w:val="0"/>
          <w:sz w:val="22"/>
          <w:szCs w:val="22"/>
        </w:rPr>
      </w:pPr>
    </w:p>
    <w:p w14:paraId="4C99B4E8">
      <w:pPr>
        <w:widowControl/>
        <w:snapToGrid w:val="0"/>
        <w:spacing w:line="440" w:lineRule="exact"/>
        <w:ind w:left="210" w:leftChars="100"/>
        <w:jc w:val="left"/>
        <w:rPr>
          <w:rFonts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我方任何资格（投标/中标/签订合同）</w:t>
      </w:r>
      <w:r>
        <w:rPr>
          <w:rFonts w:hint="eastAsia" w:ascii="宋体" w:hAnsi="宋体" w:cs="宋体"/>
          <w:sz w:val="22"/>
          <w:szCs w:val="22"/>
        </w:rPr>
        <w:t>及其他任何形式的处理。</w:t>
      </w:r>
    </w:p>
    <w:p w14:paraId="1E754062">
      <w:pPr>
        <w:pStyle w:val="9"/>
        <w:spacing w:line="600" w:lineRule="exact"/>
        <w:ind w:firstLine="4840" w:firstLineChars="2200"/>
        <w:rPr>
          <w:rFonts w:hAnsi="宋体" w:cs="宋体"/>
          <w:sz w:val="22"/>
          <w:szCs w:val="22"/>
        </w:rPr>
      </w:pPr>
    </w:p>
    <w:p w14:paraId="1F23F864">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 xml:space="preserve">供应商名称（盖章）                  </w:t>
      </w:r>
    </w:p>
    <w:p w14:paraId="2CE1CCBA">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 xml:space="preserve">供应商代表（签字）                   </w:t>
      </w:r>
    </w:p>
    <w:p w14:paraId="1E27F36F">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 xml:space="preserve">日    期   </w:t>
      </w:r>
    </w:p>
    <w:p w14:paraId="5195885B">
      <w:pPr>
        <w:spacing w:line="380" w:lineRule="exact"/>
        <w:rPr>
          <w:rFonts w:ascii="宋体" w:hAnsi="宋体" w:cs="宋体"/>
          <w:bCs/>
          <w:sz w:val="22"/>
          <w:szCs w:val="22"/>
        </w:rPr>
      </w:pPr>
    </w:p>
    <w:p w14:paraId="7163D579">
      <w:pPr>
        <w:spacing w:line="380" w:lineRule="exact"/>
        <w:ind w:left="-358" w:leftChars="-171" w:hanging="1"/>
        <w:jc w:val="center"/>
        <w:rPr>
          <w:rFonts w:ascii="宋体" w:hAnsi="宋体" w:cs="宋体"/>
          <w:bCs/>
          <w:sz w:val="22"/>
          <w:szCs w:val="22"/>
        </w:rPr>
      </w:pPr>
    </w:p>
    <w:p w14:paraId="2AF3677E">
      <w:pPr>
        <w:spacing w:line="380" w:lineRule="exact"/>
        <w:ind w:left="-359" w:leftChars="-171" w:firstLine="440" w:firstLineChars="200"/>
        <w:rPr>
          <w:rFonts w:ascii="宋体" w:hAnsi="宋体" w:cs="宋体"/>
          <w:sz w:val="22"/>
          <w:szCs w:val="22"/>
          <w:u w:val="single"/>
        </w:rPr>
      </w:pPr>
      <w:r>
        <w:rPr>
          <w:rFonts w:hint="eastAsia" w:ascii="宋体" w:hAnsi="宋体" w:cs="宋体"/>
          <w:sz w:val="22"/>
          <w:szCs w:val="22"/>
        </w:rPr>
        <w:t>注：</w:t>
      </w:r>
      <w:r>
        <w:rPr>
          <w:rFonts w:hint="eastAsia" w:ascii="宋体" w:hAnsi="宋体" w:cs="宋体"/>
          <w:b/>
          <w:bCs/>
          <w:sz w:val="22"/>
          <w:szCs w:val="22"/>
          <w:u w:val="single"/>
        </w:rPr>
        <w:t>▲不提交本承诺书按无效标处理。</w:t>
      </w:r>
    </w:p>
    <w:p w14:paraId="46C9951F">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申请材料真实性声明</w:t>
      </w:r>
    </w:p>
    <w:p w14:paraId="0D9380D4">
      <w:pPr>
        <w:widowControl/>
        <w:adjustRightInd w:val="0"/>
        <w:snapToGrid w:val="0"/>
        <w:spacing w:line="360" w:lineRule="auto"/>
        <w:jc w:val="center"/>
        <w:rPr>
          <w:rFonts w:ascii="新宋体" w:hAnsi="新宋体" w:eastAsia="新宋体" w:cs="新宋体"/>
          <w:b/>
          <w:kern w:val="0"/>
          <w:sz w:val="28"/>
          <w:szCs w:val="28"/>
        </w:rPr>
      </w:pPr>
    </w:p>
    <w:p w14:paraId="7609D13D">
      <w:pPr>
        <w:spacing w:line="420" w:lineRule="exact"/>
        <w:rPr>
          <w:rFonts w:ascii="宋体" w:hAnsi="宋体"/>
          <w:sz w:val="22"/>
          <w:szCs w:val="22"/>
        </w:rPr>
      </w:pPr>
      <w:r>
        <w:rPr>
          <w:rFonts w:hint="eastAsia" w:ascii="宋体" w:hAnsi="宋体"/>
          <w:sz w:val="22"/>
          <w:szCs w:val="22"/>
        </w:rPr>
        <w:t>温州市龙湾区人民政府办公室：</w:t>
      </w:r>
    </w:p>
    <w:p w14:paraId="1441BA8F">
      <w:pPr>
        <w:spacing w:line="460" w:lineRule="exact"/>
        <w:rPr>
          <w:rFonts w:ascii="新宋体" w:hAnsi="新宋体" w:eastAsia="新宋体" w:cs="新宋体"/>
          <w:sz w:val="22"/>
          <w:szCs w:val="22"/>
        </w:rPr>
      </w:pPr>
      <w:r>
        <w:rPr>
          <w:rFonts w:hint="eastAsia" w:ascii="宋体" w:hAnsi="宋体"/>
          <w:sz w:val="22"/>
          <w:szCs w:val="22"/>
        </w:rPr>
        <w:t>温州市智信招标代理有限公司：</w:t>
      </w:r>
    </w:p>
    <w:p w14:paraId="635D9640">
      <w:pPr>
        <w:widowControl/>
        <w:adjustRightInd w:val="0"/>
        <w:snapToGrid w:val="0"/>
        <w:spacing w:line="360" w:lineRule="auto"/>
        <w:jc w:val="left"/>
        <w:rPr>
          <w:rFonts w:ascii="新宋体" w:hAnsi="新宋体" w:eastAsia="新宋体" w:cs="新宋体"/>
          <w:kern w:val="0"/>
          <w:sz w:val="22"/>
          <w:szCs w:val="22"/>
        </w:rPr>
      </w:pPr>
    </w:p>
    <w:p w14:paraId="1BB39447">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我单位此次响应参与</w:t>
      </w:r>
      <w:r>
        <w:rPr>
          <w:rFonts w:hint="eastAsia" w:ascii="宋体" w:hAnsi="宋体" w:cs="宋体"/>
          <w:sz w:val="22"/>
          <w:szCs w:val="22"/>
        </w:rPr>
        <w:t>（采购项目名称、编号）竞争性磋商活动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14:paraId="6C7CB593">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18ACBD5F">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特此声明。</w:t>
      </w:r>
    </w:p>
    <w:p w14:paraId="4C69BB8C">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0EAF4700">
      <w:pPr>
        <w:spacing w:line="360" w:lineRule="auto"/>
        <w:rPr>
          <w:rFonts w:ascii="宋体" w:hAnsi="宋体"/>
          <w:sz w:val="22"/>
          <w:szCs w:val="22"/>
        </w:rPr>
      </w:pPr>
      <w:r>
        <w:rPr>
          <w:rFonts w:hint="eastAsia" w:ascii="宋体" w:hAnsi="宋体"/>
          <w:sz w:val="22"/>
          <w:szCs w:val="22"/>
        </w:rPr>
        <w:t xml:space="preserve">供应商名称（盖章）                  </w:t>
      </w:r>
    </w:p>
    <w:p w14:paraId="351AAE6C">
      <w:pPr>
        <w:spacing w:line="360" w:lineRule="auto"/>
        <w:rPr>
          <w:rFonts w:ascii="宋体" w:hAnsi="宋体"/>
          <w:sz w:val="22"/>
          <w:szCs w:val="22"/>
        </w:rPr>
      </w:pPr>
      <w:r>
        <w:rPr>
          <w:rFonts w:hint="eastAsia" w:ascii="宋体" w:hAnsi="宋体"/>
          <w:sz w:val="22"/>
          <w:szCs w:val="22"/>
        </w:rPr>
        <w:t xml:space="preserve">供应商代表（签字）                   </w:t>
      </w:r>
    </w:p>
    <w:p w14:paraId="7562DC67">
      <w:pPr>
        <w:spacing w:line="360" w:lineRule="auto"/>
        <w:rPr>
          <w:rFonts w:ascii="宋体" w:hAnsi="宋体"/>
          <w:sz w:val="22"/>
          <w:szCs w:val="22"/>
        </w:rPr>
      </w:pPr>
      <w:r>
        <w:rPr>
          <w:rFonts w:hint="eastAsia" w:ascii="宋体" w:hAnsi="宋体"/>
          <w:sz w:val="22"/>
          <w:szCs w:val="22"/>
        </w:rPr>
        <w:t xml:space="preserve">日    期   </w:t>
      </w:r>
    </w:p>
    <w:p w14:paraId="5210F355">
      <w:pPr>
        <w:spacing w:line="440" w:lineRule="exact"/>
        <w:rPr>
          <w:rFonts w:ascii="宋体" w:hAnsi="宋体"/>
          <w:sz w:val="22"/>
          <w:szCs w:val="22"/>
          <w:u w:val="single"/>
        </w:rPr>
      </w:pPr>
    </w:p>
    <w:p w14:paraId="37C4A7E9">
      <w:pPr>
        <w:pStyle w:val="53"/>
        <w:ind w:firstLine="224"/>
        <w:rPr>
          <w:rFonts w:ascii="宋体" w:hAnsi="宋体"/>
          <w:sz w:val="22"/>
          <w:szCs w:val="22"/>
          <w:u w:val="single"/>
        </w:rPr>
      </w:pPr>
    </w:p>
    <w:p w14:paraId="78621A3B">
      <w:pPr>
        <w:spacing w:line="360" w:lineRule="auto"/>
        <w:rPr>
          <w:rFonts w:ascii="宋体" w:hAnsi="宋体"/>
          <w:sz w:val="22"/>
          <w:szCs w:val="22"/>
        </w:rPr>
      </w:pPr>
    </w:p>
    <w:p w14:paraId="683872FA">
      <w:pPr>
        <w:pStyle w:val="53"/>
        <w:ind w:firstLine="326"/>
        <w:rPr>
          <w:rFonts w:ascii="宋体" w:hAnsi="宋体"/>
        </w:rPr>
      </w:pPr>
    </w:p>
    <w:p w14:paraId="2856AD49">
      <w:pPr>
        <w:widowControl/>
        <w:adjustRightInd w:val="0"/>
        <w:snapToGrid w:val="0"/>
        <w:spacing w:line="360" w:lineRule="auto"/>
        <w:ind w:firstLine="440" w:firstLineChars="200"/>
        <w:jc w:val="left"/>
        <w:rPr>
          <w:rFonts w:ascii="宋体" w:hAnsi="宋体"/>
          <w:kern w:val="0"/>
          <w:sz w:val="22"/>
          <w:szCs w:val="22"/>
        </w:rPr>
      </w:pPr>
    </w:p>
    <w:p w14:paraId="7C5DC903">
      <w:pPr>
        <w:spacing w:line="380" w:lineRule="exact"/>
        <w:ind w:left="-359" w:leftChars="-171" w:firstLine="440" w:firstLineChars="200"/>
        <w:rPr>
          <w:rFonts w:ascii="宋体" w:hAnsi="宋体" w:cs="宋体"/>
          <w:sz w:val="22"/>
          <w:szCs w:val="22"/>
          <w:u w:val="single"/>
        </w:rPr>
      </w:pPr>
      <w:r>
        <w:rPr>
          <w:rFonts w:hint="eastAsia" w:ascii="宋体" w:hAnsi="宋体" w:cs="宋体"/>
          <w:sz w:val="22"/>
          <w:szCs w:val="22"/>
        </w:rPr>
        <w:t>注：</w:t>
      </w:r>
      <w:r>
        <w:rPr>
          <w:rFonts w:hint="eastAsia" w:ascii="宋体" w:hAnsi="宋体" w:cs="宋体"/>
          <w:b/>
          <w:bCs/>
          <w:sz w:val="22"/>
          <w:szCs w:val="22"/>
          <w:u w:val="single"/>
        </w:rPr>
        <w:t>▲不提交本承诺书按无效标处理。</w:t>
      </w:r>
    </w:p>
    <w:p w14:paraId="6E3CBF3B">
      <w:pPr>
        <w:widowControl/>
        <w:adjustRightInd w:val="0"/>
        <w:snapToGrid w:val="0"/>
        <w:spacing w:line="360" w:lineRule="auto"/>
        <w:ind w:firstLine="440" w:firstLineChars="200"/>
        <w:jc w:val="left"/>
        <w:rPr>
          <w:rFonts w:ascii="新宋体" w:hAnsi="新宋体" w:eastAsia="新宋体"/>
          <w:kern w:val="0"/>
          <w:sz w:val="22"/>
          <w:szCs w:val="22"/>
        </w:rPr>
      </w:pPr>
    </w:p>
    <w:p w14:paraId="389BEF63">
      <w:pPr>
        <w:widowControl/>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sz w:val="22"/>
          <w:szCs w:val="22"/>
          <w:u w:val="single"/>
        </w:rPr>
        <w:t xml:space="preserve">               </w:t>
      </w:r>
    </w:p>
    <w:p w14:paraId="03FEF10B">
      <w:pPr>
        <w:pStyle w:val="4"/>
        <w:jc w:val="left"/>
        <w:rPr>
          <w:rFonts w:ascii="宋体" w:hAnsi="宋体" w:eastAsia="宋体" w:cs="宋体"/>
          <w:b w:val="0"/>
          <w:szCs w:val="21"/>
        </w:rPr>
      </w:pPr>
      <w:r>
        <w:rPr>
          <w:rFonts w:hint="eastAsia" w:ascii="宋体" w:hAnsi="宋体" w:eastAsia="宋体" w:cs="宋体"/>
          <w:b w:val="0"/>
          <w:szCs w:val="21"/>
        </w:rPr>
        <w:br w:type="page"/>
      </w:r>
    </w:p>
    <w:p w14:paraId="2D2B9AA7">
      <w:pPr>
        <w:spacing w:before="120" w:beforeLines="50" w:after="120" w:afterLines="50"/>
        <w:rPr>
          <w:rFonts w:ascii="宋体" w:hAnsi="宋体" w:cs="宋体"/>
          <w:sz w:val="22"/>
          <w:szCs w:val="22"/>
        </w:rPr>
      </w:pPr>
      <w:r>
        <w:rPr>
          <w:rFonts w:hint="eastAsia" w:ascii="宋体" w:hAnsi="宋体" w:cs="宋体"/>
          <w:sz w:val="22"/>
          <w:szCs w:val="22"/>
        </w:rPr>
        <w:t>（商务技术标封面，供参考）</w:t>
      </w:r>
      <w:bookmarkEnd w:id="78"/>
      <w:bookmarkEnd w:id="79"/>
    </w:p>
    <w:p w14:paraId="61708B2D">
      <w:pPr>
        <w:rPr>
          <w:rFonts w:ascii="宋体" w:hAnsi="宋体" w:cs="宋体"/>
        </w:rPr>
      </w:pPr>
    </w:p>
    <w:p w14:paraId="7891DCE3">
      <w:pPr>
        <w:rPr>
          <w:rFonts w:ascii="宋体" w:hAnsi="宋体" w:cs="宋体"/>
        </w:rPr>
      </w:pPr>
    </w:p>
    <w:p w14:paraId="70E0A494">
      <w:pPr>
        <w:rPr>
          <w:rFonts w:ascii="宋体" w:hAnsi="宋体" w:cs="宋体"/>
        </w:rPr>
      </w:pPr>
    </w:p>
    <w:p w14:paraId="269DFE71">
      <w:pPr>
        <w:jc w:val="center"/>
        <w:rPr>
          <w:rFonts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磋商响应文件</w:t>
      </w:r>
    </w:p>
    <w:p w14:paraId="191DEDB0">
      <w:pPr>
        <w:rPr>
          <w:rFonts w:ascii="宋体" w:hAnsi="宋体" w:cs="宋体"/>
          <w:sz w:val="28"/>
          <w:szCs w:val="28"/>
        </w:rPr>
      </w:pPr>
    </w:p>
    <w:p w14:paraId="17EE04D4">
      <w:pPr>
        <w:rPr>
          <w:rFonts w:ascii="宋体" w:hAnsi="宋体" w:cs="宋体"/>
          <w:sz w:val="28"/>
          <w:szCs w:val="28"/>
        </w:rPr>
      </w:pPr>
    </w:p>
    <w:p w14:paraId="5695768F">
      <w:pPr>
        <w:pStyle w:val="53"/>
        <w:ind w:firstLine="285"/>
        <w:rPr>
          <w:rFonts w:ascii="宋体" w:hAnsi="宋体" w:cs="宋体"/>
          <w:sz w:val="28"/>
          <w:szCs w:val="28"/>
        </w:rPr>
      </w:pPr>
    </w:p>
    <w:p w14:paraId="45F9584E">
      <w:pPr>
        <w:pStyle w:val="53"/>
        <w:ind w:firstLine="285"/>
        <w:rPr>
          <w:rFonts w:ascii="宋体" w:hAnsi="宋体" w:cs="宋体"/>
          <w:sz w:val="28"/>
          <w:szCs w:val="28"/>
        </w:rPr>
      </w:pPr>
    </w:p>
    <w:p w14:paraId="1B6DFA8C">
      <w:pPr>
        <w:rPr>
          <w:rFonts w:ascii="宋体" w:hAnsi="宋体" w:cs="宋体"/>
          <w:sz w:val="28"/>
          <w:szCs w:val="28"/>
        </w:rPr>
      </w:pPr>
    </w:p>
    <w:p w14:paraId="73AD0B60">
      <w:pPr>
        <w:rPr>
          <w:rFonts w:ascii="宋体" w:hAnsi="宋体" w:cs="宋体"/>
          <w:sz w:val="28"/>
          <w:szCs w:val="28"/>
        </w:rPr>
      </w:pPr>
    </w:p>
    <w:p w14:paraId="48D24950">
      <w:pPr>
        <w:jc w:val="center"/>
        <w:rPr>
          <w:rFonts w:ascii="宋体" w:hAnsi="宋体" w:cs="宋体"/>
          <w:sz w:val="52"/>
          <w:szCs w:val="52"/>
        </w:rPr>
      </w:pPr>
      <w:r>
        <w:rPr>
          <w:rFonts w:hint="eastAsia" w:ascii="宋体" w:hAnsi="宋体" w:cs="宋体"/>
          <w:sz w:val="52"/>
          <w:szCs w:val="52"/>
        </w:rPr>
        <w:t>商 务 技 术 标</w:t>
      </w:r>
    </w:p>
    <w:p w14:paraId="54E1B5A3">
      <w:pPr>
        <w:spacing w:line="360" w:lineRule="auto"/>
        <w:rPr>
          <w:rFonts w:ascii="宋体" w:hAnsi="宋体" w:cs="宋体"/>
          <w:szCs w:val="21"/>
        </w:rPr>
      </w:pPr>
    </w:p>
    <w:p w14:paraId="4E21CFD6">
      <w:pPr>
        <w:spacing w:line="360" w:lineRule="auto"/>
        <w:rPr>
          <w:rFonts w:ascii="宋体" w:hAnsi="宋体" w:cs="宋体"/>
          <w:szCs w:val="21"/>
        </w:rPr>
      </w:pPr>
    </w:p>
    <w:p w14:paraId="24EF7C60">
      <w:pPr>
        <w:spacing w:line="360" w:lineRule="auto"/>
        <w:rPr>
          <w:rFonts w:ascii="宋体" w:hAnsi="宋体" w:cs="宋体"/>
          <w:szCs w:val="21"/>
        </w:rPr>
      </w:pPr>
    </w:p>
    <w:p w14:paraId="3C38B909">
      <w:pPr>
        <w:spacing w:line="360" w:lineRule="auto"/>
        <w:rPr>
          <w:rFonts w:ascii="宋体" w:hAnsi="宋体" w:cs="宋体"/>
          <w:szCs w:val="21"/>
        </w:rPr>
      </w:pPr>
    </w:p>
    <w:p w14:paraId="4CB598D9">
      <w:pPr>
        <w:pStyle w:val="53"/>
        <w:ind w:firstLine="326"/>
        <w:rPr>
          <w:rFonts w:ascii="宋体" w:hAnsi="宋体" w:cs="宋体"/>
        </w:rPr>
      </w:pPr>
    </w:p>
    <w:p w14:paraId="2048318C">
      <w:pPr>
        <w:spacing w:line="360" w:lineRule="auto"/>
        <w:rPr>
          <w:rFonts w:ascii="宋体" w:hAnsi="宋体" w:cs="宋体"/>
          <w:szCs w:val="21"/>
        </w:rPr>
      </w:pPr>
    </w:p>
    <w:p w14:paraId="4D8BAB69">
      <w:pPr>
        <w:jc w:val="center"/>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32527966">
      <w:pPr>
        <w:rPr>
          <w:rFonts w:ascii="宋体" w:hAnsi="宋体" w:cs="宋体"/>
          <w:sz w:val="28"/>
          <w:szCs w:val="28"/>
          <w:u w:val="single"/>
        </w:rPr>
      </w:pPr>
    </w:p>
    <w:p w14:paraId="7B5A6A40">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3F42592">
      <w:pPr>
        <w:rPr>
          <w:rFonts w:ascii="宋体" w:hAnsi="宋体" w:cs="宋体"/>
          <w:sz w:val="28"/>
          <w:szCs w:val="28"/>
        </w:rPr>
      </w:pPr>
    </w:p>
    <w:p w14:paraId="41D3EA90">
      <w:pPr>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FA179BD">
      <w:pPr>
        <w:pStyle w:val="53"/>
        <w:ind w:firstLine="0" w:firstLineChars="0"/>
        <w:rPr>
          <w:rFonts w:ascii="宋体" w:hAnsi="宋体" w:cs="宋体"/>
          <w:sz w:val="22"/>
          <w:szCs w:val="22"/>
        </w:rPr>
      </w:pPr>
      <w:r>
        <w:rPr>
          <w:rFonts w:hint="eastAsia" w:ascii="宋体" w:hAnsi="宋体" w:cs="宋体"/>
        </w:rPr>
        <w:br w:type="page"/>
      </w:r>
    </w:p>
    <w:p w14:paraId="114623F6">
      <w:pPr>
        <w:jc w:val="center"/>
        <w:rPr>
          <w:rFonts w:ascii="宋体" w:hAnsi="宋体" w:cs="宋体"/>
          <w:b/>
          <w:bCs/>
          <w:sz w:val="52"/>
          <w:szCs w:val="52"/>
        </w:rPr>
      </w:pPr>
      <w:bookmarkStart w:id="81" w:name="_Toc465107615"/>
      <w:bookmarkStart w:id="82" w:name="_Toc247514246"/>
      <w:bookmarkStart w:id="83" w:name="_Toc144974856"/>
      <w:bookmarkStart w:id="84" w:name="_Toc247527827"/>
      <w:bookmarkStart w:id="85" w:name="_Toc152042576"/>
      <w:bookmarkStart w:id="86" w:name="_Toc152045787"/>
      <w:r>
        <w:rPr>
          <w:rFonts w:hint="eastAsia" w:ascii="宋体" w:hAnsi="宋体" w:cs="宋体"/>
          <w:b/>
          <w:bCs/>
          <w:sz w:val="52"/>
          <w:szCs w:val="52"/>
        </w:rPr>
        <w:t>目    录</w:t>
      </w:r>
      <w:bookmarkEnd w:id="81"/>
      <w:bookmarkEnd w:id="82"/>
      <w:bookmarkEnd w:id="83"/>
      <w:bookmarkEnd w:id="84"/>
      <w:bookmarkEnd w:id="85"/>
      <w:bookmarkEnd w:id="86"/>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48E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08F2D11">
            <w:pPr>
              <w:jc w:val="center"/>
              <w:rPr>
                <w:rFonts w:eastAsia="新宋体"/>
                <w:b/>
                <w:sz w:val="22"/>
                <w:szCs w:val="22"/>
              </w:rPr>
            </w:pPr>
            <w:r>
              <w:rPr>
                <w:rFonts w:hint="eastAsia" w:eastAsia="新宋体"/>
                <w:b/>
                <w:sz w:val="22"/>
                <w:szCs w:val="22"/>
              </w:rPr>
              <w:t>序号</w:t>
            </w:r>
          </w:p>
        </w:tc>
        <w:tc>
          <w:tcPr>
            <w:tcW w:w="9109" w:type="dxa"/>
            <w:vAlign w:val="center"/>
          </w:tcPr>
          <w:p w14:paraId="74B0F78D">
            <w:pPr>
              <w:jc w:val="center"/>
              <w:rPr>
                <w:rFonts w:eastAsia="新宋体"/>
                <w:b/>
                <w:sz w:val="22"/>
                <w:szCs w:val="22"/>
              </w:rPr>
            </w:pPr>
            <w:r>
              <w:rPr>
                <w:rFonts w:hint="eastAsia" w:eastAsia="新宋体"/>
                <w:b/>
                <w:sz w:val="22"/>
                <w:szCs w:val="22"/>
              </w:rPr>
              <w:t>内容</w:t>
            </w:r>
          </w:p>
        </w:tc>
      </w:tr>
      <w:tr w14:paraId="61A2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C6119BB">
            <w:pPr>
              <w:jc w:val="center"/>
              <w:rPr>
                <w:rFonts w:eastAsia="新宋体"/>
                <w:sz w:val="22"/>
                <w:szCs w:val="22"/>
              </w:rPr>
            </w:pPr>
            <w:r>
              <w:rPr>
                <w:rFonts w:hint="eastAsia" w:eastAsia="新宋体"/>
                <w:sz w:val="22"/>
                <w:szCs w:val="22"/>
              </w:rPr>
              <w:t>1</w:t>
            </w:r>
          </w:p>
        </w:tc>
        <w:tc>
          <w:tcPr>
            <w:tcW w:w="9109" w:type="dxa"/>
            <w:vAlign w:val="center"/>
          </w:tcPr>
          <w:p w14:paraId="592455C0">
            <w:pPr>
              <w:rPr>
                <w:rFonts w:eastAsia="新宋体"/>
                <w:b/>
                <w:sz w:val="22"/>
                <w:szCs w:val="22"/>
              </w:rPr>
            </w:pPr>
            <w:r>
              <w:rPr>
                <w:rFonts w:hint="eastAsia" w:eastAsia="新宋体"/>
                <w:sz w:val="22"/>
                <w:szCs w:val="22"/>
              </w:rPr>
              <w:t>投标函</w:t>
            </w:r>
          </w:p>
        </w:tc>
      </w:tr>
      <w:tr w14:paraId="0334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682D545">
            <w:pPr>
              <w:jc w:val="center"/>
              <w:rPr>
                <w:rFonts w:eastAsia="新宋体"/>
                <w:sz w:val="22"/>
                <w:szCs w:val="22"/>
              </w:rPr>
            </w:pPr>
            <w:r>
              <w:rPr>
                <w:rFonts w:hint="eastAsia" w:eastAsia="新宋体"/>
                <w:sz w:val="22"/>
                <w:szCs w:val="22"/>
              </w:rPr>
              <w:t>2</w:t>
            </w:r>
          </w:p>
        </w:tc>
        <w:tc>
          <w:tcPr>
            <w:tcW w:w="9109" w:type="dxa"/>
            <w:vAlign w:val="center"/>
          </w:tcPr>
          <w:p w14:paraId="0655F20E">
            <w:pPr>
              <w:rPr>
                <w:rFonts w:eastAsia="新宋体"/>
                <w:sz w:val="22"/>
                <w:szCs w:val="22"/>
              </w:rPr>
            </w:pPr>
            <w:r>
              <w:rPr>
                <w:rFonts w:hint="eastAsia" w:eastAsia="新宋体"/>
                <w:sz w:val="22"/>
                <w:szCs w:val="22"/>
              </w:rPr>
              <w:t>技术要求应答表、商务条款偏离表</w:t>
            </w:r>
          </w:p>
        </w:tc>
      </w:tr>
      <w:tr w14:paraId="3839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7CB4D99">
            <w:pPr>
              <w:jc w:val="center"/>
              <w:rPr>
                <w:rFonts w:ascii="宋体" w:hAnsi="宋体" w:cs="宋体"/>
                <w:sz w:val="22"/>
                <w:szCs w:val="22"/>
              </w:rPr>
            </w:pPr>
            <w:r>
              <w:rPr>
                <w:rFonts w:hint="eastAsia" w:ascii="宋体" w:hAnsi="宋体" w:cs="宋体"/>
                <w:sz w:val="22"/>
                <w:szCs w:val="22"/>
              </w:rPr>
              <w:t>3</w:t>
            </w:r>
          </w:p>
        </w:tc>
        <w:tc>
          <w:tcPr>
            <w:tcW w:w="9109" w:type="dxa"/>
            <w:vAlign w:val="center"/>
          </w:tcPr>
          <w:p w14:paraId="35357200">
            <w:pPr>
              <w:tabs>
                <w:tab w:val="left" w:pos="5355"/>
              </w:tabs>
              <w:rPr>
                <w:rFonts w:ascii="宋体" w:hAnsi="宋体" w:cs="宋体"/>
                <w:sz w:val="22"/>
                <w:szCs w:val="22"/>
              </w:rPr>
            </w:pPr>
            <w:r>
              <w:rPr>
                <w:rFonts w:hint="eastAsia" w:ascii="宋体" w:hAnsi="宋体" w:cs="宋体"/>
                <w:sz w:val="22"/>
                <w:szCs w:val="22"/>
              </w:rPr>
              <w:t>投标人综合情况</w:t>
            </w:r>
          </w:p>
        </w:tc>
      </w:tr>
      <w:tr w14:paraId="294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5FFD32D">
            <w:pPr>
              <w:jc w:val="center"/>
              <w:rPr>
                <w:rFonts w:ascii="宋体" w:hAnsi="宋体" w:cs="宋体"/>
                <w:sz w:val="22"/>
                <w:szCs w:val="22"/>
              </w:rPr>
            </w:pPr>
            <w:r>
              <w:rPr>
                <w:rFonts w:hint="eastAsia" w:ascii="宋体" w:hAnsi="宋体" w:cs="宋体"/>
                <w:sz w:val="22"/>
                <w:szCs w:val="22"/>
              </w:rPr>
              <w:t>4</w:t>
            </w:r>
          </w:p>
        </w:tc>
        <w:tc>
          <w:tcPr>
            <w:tcW w:w="9109" w:type="dxa"/>
            <w:vAlign w:val="center"/>
          </w:tcPr>
          <w:p w14:paraId="513CCA33">
            <w:pPr>
              <w:tabs>
                <w:tab w:val="left" w:pos="5355"/>
              </w:tabs>
              <w:rPr>
                <w:rFonts w:ascii="宋体" w:hAnsi="宋体" w:cs="宋体"/>
                <w:sz w:val="22"/>
                <w:szCs w:val="22"/>
              </w:rPr>
            </w:pPr>
            <w:r>
              <w:rPr>
                <w:rFonts w:hint="eastAsia" w:ascii="宋体" w:hAnsi="宋体" w:cs="宋体"/>
                <w:sz w:val="22"/>
                <w:szCs w:val="22"/>
              </w:rPr>
              <w:t>项目技术方案</w:t>
            </w:r>
          </w:p>
        </w:tc>
      </w:tr>
      <w:tr w14:paraId="57CC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71CD190C">
            <w:pPr>
              <w:jc w:val="center"/>
              <w:rPr>
                <w:rFonts w:ascii="宋体" w:hAnsi="宋体" w:cs="宋体"/>
                <w:sz w:val="22"/>
                <w:szCs w:val="22"/>
              </w:rPr>
            </w:pPr>
            <w:r>
              <w:rPr>
                <w:rFonts w:hint="eastAsia" w:ascii="宋体" w:hAnsi="宋体" w:cs="宋体"/>
                <w:sz w:val="22"/>
                <w:szCs w:val="22"/>
              </w:rPr>
              <w:t>5</w:t>
            </w:r>
          </w:p>
        </w:tc>
        <w:tc>
          <w:tcPr>
            <w:tcW w:w="9109" w:type="dxa"/>
            <w:vAlign w:val="center"/>
          </w:tcPr>
          <w:p w14:paraId="1390AFE1">
            <w:pPr>
              <w:tabs>
                <w:tab w:val="left" w:pos="5355"/>
              </w:tabs>
              <w:rPr>
                <w:rFonts w:ascii="宋体" w:hAnsi="宋体" w:cs="宋体"/>
                <w:sz w:val="22"/>
                <w:szCs w:val="22"/>
              </w:rPr>
            </w:pPr>
            <w:r>
              <w:rPr>
                <w:rFonts w:hint="eastAsia" w:ascii="宋体" w:hAnsi="宋体" w:cs="宋体"/>
                <w:sz w:val="22"/>
                <w:szCs w:val="22"/>
              </w:rPr>
              <w:t>业绩</w:t>
            </w:r>
          </w:p>
        </w:tc>
      </w:tr>
      <w:tr w14:paraId="0B6C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vAlign w:val="center"/>
          </w:tcPr>
          <w:p w14:paraId="35F1700B">
            <w:pPr>
              <w:jc w:val="center"/>
              <w:rPr>
                <w:rFonts w:ascii="宋体" w:hAnsi="宋体" w:cs="宋体"/>
                <w:sz w:val="22"/>
                <w:szCs w:val="22"/>
              </w:rPr>
            </w:pPr>
            <w:r>
              <w:rPr>
                <w:rFonts w:hint="eastAsia" w:ascii="宋体" w:hAnsi="宋体" w:cs="宋体"/>
                <w:sz w:val="22"/>
                <w:szCs w:val="22"/>
              </w:rPr>
              <w:t>6</w:t>
            </w:r>
          </w:p>
        </w:tc>
        <w:tc>
          <w:tcPr>
            <w:tcW w:w="9109" w:type="dxa"/>
            <w:vAlign w:val="center"/>
          </w:tcPr>
          <w:p w14:paraId="1625EE14">
            <w:pPr>
              <w:tabs>
                <w:tab w:val="left" w:pos="5355"/>
              </w:tabs>
              <w:rPr>
                <w:rFonts w:ascii="宋体" w:hAnsi="宋体" w:cs="宋体"/>
                <w:sz w:val="22"/>
                <w:szCs w:val="22"/>
              </w:rPr>
            </w:pPr>
            <w:r>
              <w:rPr>
                <w:rFonts w:hint="eastAsia" w:ascii="宋体" w:hAnsi="宋体" w:cs="宋体"/>
                <w:sz w:val="22"/>
                <w:szCs w:val="22"/>
              </w:rPr>
              <w:t>项目团队成员</w:t>
            </w:r>
          </w:p>
        </w:tc>
      </w:tr>
      <w:tr w14:paraId="6F85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vAlign w:val="center"/>
          </w:tcPr>
          <w:p w14:paraId="600EB5D1">
            <w:pPr>
              <w:jc w:val="center"/>
              <w:rPr>
                <w:rFonts w:ascii="宋体" w:hAnsi="宋体" w:cs="宋体"/>
                <w:sz w:val="22"/>
                <w:szCs w:val="22"/>
              </w:rPr>
            </w:pPr>
            <w:r>
              <w:rPr>
                <w:rFonts w:hint="eastAsia" w:ascii="宋体" w:hAnsi="宋体" w:cs="宋体"/>
                <w:sz w:val="22"/>
                <w:szCs w:val="22"/>
              </w:rPr>
              <w:t>7</w:t>
            </w:r>
          </w:p>
        </w:tc>
        <w:tc>
          <w:tcPr>
            <w:tcW w:w="9109" w:type="dxa"/>
            <w:vAlign w:val="center"/>
          </w:tcPr>
          <w:p w14:paraId="1BF85D22">
            <w:pPr>
              <w:tabs>
                <w:tab w:val="left" w:pos="5355"/>
              </w:tabs>
              <w:rPr>
                <w:rFonts w:ascii="宋体" w:hAnsi="宋体" w:cs="宋体"/>
                <w:sz w:val="22"/>
                <w:szCs w:val="22"/>
              </w:rPr>
            </w:pPr>
            <w:r>
              <w:rPr>
                <w:rFonts w:hint="eastAsia" w:ascii="宋体" w:hAnsi="宋体" w:cs="宋体"/>
                <w:sz w:val="22"/>
                <w:szCs w:val="22"/>
              </w:rPr>
              <w:t>技术服务力量</w:t>
            </w:r>
          </w:p>
        </w:tc>
      </w:tr>
      <w:tr w14:paraId="17EF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E4819B2">
            <w:pPr>
              <w:jc w:val="center"/>
              <w:rPr>
                <w:rFonts w:ascii="宋体" w:hAnsi="宋体" w:cs="宋体"/>
                <w:sz w:val="22"/>
                <w:szCs w:val="22"/>
              </w:rPr>
            </w:pPr>
            <w:r>
              <w:rPr>
                <w:rFonts w:hint="eastAsia" w:ascii="宋体" w:hAnsi="宋体" w:cs="宋体"/>
                <w:sz w:val="22"/>
                <w:szCs w:val="22"/>
              </w:rPr>
              <w:t>8</w:t>
            </w:r>
          </w:p>
        </w:tc>
        <w:tc>
          <w:tcPr>
            <w:tcW w:w="9109" w:type="dxa"/>
            <w:shd w:val="clear" w:color="auto" w:fill="auto"/>
            <w:vAlign w:val="center"/>
          </w:tcPr>
          <w:p w14:paraId="0968F77E">
            <w:pPr>
              <w:rPr>
                <w:rFonts w:ascii="宋体" w:hAnsi="宋体" w:cs="宋体"/>
                <w:sz w:val="22"/>
                <w:szCs w:val="22"/>
              </w:rPr>
            </w:pPr>
            <w:r>
              <w:rPr>
                <w:rFonts w:hint="eastAsia" w:ascii="宋体" w:hAnsi="宋体" w:cs="宋体"/>
                <w:sz w:val="22"/>
                <w:szCs w:val="22"/>
              </w:rPr>
              <w:t>资信证明文件（本部分为技术资信分评分内容，各供应商参照评分标准根据自身情况提供）</w:t>
            </w:r>
          </w:p>
        </w:tc>
      </w:tr>
      <w:tr w14:paraId="2DB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C59CD31">
            <w:pPr>
              <w:jc w:val="center"/>
              <w:rPr>
                <w:rFonts w:ascii="宋体" w:hAnsi="宋体" w:cs="宋体"/>
                <w:sz w:val="22"/>
                <w:szCs w:val="22"/>
              </w:rPr>
            </w:pPr>
            <w:r>
              <w:rPr>
                <w:rFonts w:hint="eastAsia" w:ascii="宋体" w:hAnsi="宋体" w:cs="宋体"/>
                <w:sz w:val="22"/>
                <w:szCs w:val="22"/>
              </w:rPr>
              <w:t>9</w:t>
            </w:r>
          </w:p>
        </w:tc>
        <w:tc>
          <w:tcPr>
            <w:tcW w:w="9109" w:type="dxa"/>
            <w:shd w:val="clear" w:color="auto" w:fill="auto"/>
            <w:vAlign w:val="center"/>
          </w:tcPr>
          <w:p w14:paraId="3F6B74C8">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1C3BA07D">
      <w:pPr>
        <w:spacing w:line="540" w:lineRule="exact"/>
        <w:rPr>
          <w:rFonts w:ascii="宋体" w:hAnsi="宋体" w:cs="宋体"/>
          <w:b/>
          <w:bCs/>
          <w:sz w:val="22"/>
          <w:szCs w:val="22"/>
        </w:rPr>
      </w:pPr>
    </w:p>
    <w:p w14:paraId="102B2FDC">
      <w:pPr>
        <w:spacing w:line="540" w:lineRule="exact"/>
        <w:rPr>
          <w:rFonts w:ascii="宋体" w:hAnsi="宋体" w:cs="宋体"/>
          <w:b/>
          <w:bCs/>
          <w:sz w:val="22"/>
          <w:szCs w:val="22"/>
        </w:rPr>
      </w:pPr>
    </w:p>
    <w:p w14:paraId="15C9CF44">
      <w:pPr>
        <w:spacing w:line="540" w:lineRule="exact"/>
        <w:rPr>
          <w:rFonts w:ascii="宋体" w:hAnsi="宋体" w:cs="宋体"/>
          <w:b/>
          <w:bCs/>
          <w:sz w:val="22"/>
          <w:szCs w:val="22"/>
        </w:rPr>
      </w:pPr>
    </w:p>
    <w:p w14:paraId="6C60F194">
      <w:pPr>
        <w:widowControl/>
        <w:jc w:val="left"/>
        <w:rPr>
          <w:rFonts w:ascii="宋体" w:hAnsi="宋体" w:cs="宋体"/>
          <w:b/>
          <w:bCs/>
          <w:sz w:val="22"/>
          <w:szCs w:val="22"/>
        </w:rPr>
      </w:pPr>
      <w:r>
        <w:rPr>
          <w:rFonts w:hint="eastAsia" w:ascii="宋体" w:hAnsi="宋体" w:cs="宋体"/>
          <w:b/>
          <w:bCs/>
          <w:sz w:val="22"/>
          <w:szCs w:val="22"/>
        </w:rPr>
        <w:br w:type="page"/>
      </w:r>
    </w:p>
    <w:p w14:paraId="15BDB747">
      <w:pPr>
        <w:spacing w:line="540" w:lineRule="exact"/>
        <w:rPr>
          <w:rFonts w:ascii="宋体" w:hAnsi="宋体" w:cs="宋体"/>
          <w:b/>
          <w:bCs/>
          <w:sz w:val="22"/>
          <w:szCs w:val="22"/>
        </w:rPr>
      </w:pPr>
      <w:r>
        <w:rPr>
          <w:rFonts w:hint="eastAsia" w:ascii="宋体" w:hAnsi="宋体" w:cs="宋体"/>
          <w:b/>
          <w:bCs/>
          <w:sz w:val="22"/>
          <w:szCs w:val="22"/>
        </w:rPr>
        <w:t>附件一</w:t>
      </w:r>
    </w:p>
    <w:p w14:paraId="68538AF4">
      <w:pPr>
        <w:spacing w:line="460" w:lineRule="exact"/>
        <w:ind w:left="23" w:hanging="22" w:hangingChars="8"/>
        <w:jc w:val="center"/>
        <w:rPr>
          <w:rFonts w:ascii="宋体" w:hAnsi="宋体" w:cs="宋体"/>
          <w:b/>
          <w:bCs/>
          <w:sz w:val="28"/>
          <w:szCs w:val="28"/>
        </w:rPr>
      </w:pPr>
      <w:r>
        <w:rPr>
          <w:rFonts w:hint="eastAsia" w:ascii="宋体" w:hAnsi="宋体" w:cs="宋体"/>
          <w:b/>
          <w:bCs/>
          <w:sz w:val="28"/>
          <w:szCs w:val="28"/>
        </w:rPr>
        <w:t>投 标 函</w:t>
      </w:r>
    </w:p>
    <w:p w14:paraId="3F45E4DF">
      <w:pPr>
        <w:spacing w:line="420" w:lineRule="exact"/>
        <w:rPr>
          <w:rFonts w:ascii="宋体" w:hAnsi="宋体" w:cs="宋体"/>
          <w:sz w:val="22"/>
          <w:szCs w:val="22"/>
        </w:rPr>
      </w:pPr>
      <w:r>
        <w:rPr>
          <w:rFonts w:hint="eastAsia" w:ascii="宋体" w:hAnsi="宋体" w:cs="宋体"/>
          <w:sz w:val="22"/>
          <w:szCs w:val="22"/>
        </w:rPr>
        <w:t>温州市龙湾区人民政府办公室：</w:t>
      </w:r>
    </w:p>
    <w:p w14:paraId="22FB8757">
      <w:pPr>
        <w:spacing w:line="420" w:lineRule="exact"/>
        <w:rPr>
          <w:rFonts w:ascii="宋体" w:hAnsi="宋体" w:cs="宋体"/>
          <w:sz w:val="22"/>
          <w:szCs w:val="22"/>
        </w:rPr>
      </w:pPr>
      <w:r>
        <w:rPr>
          <w:rFonts w:hint="eastAsia" w:ascii="宋体" w:hAnsi="宋体" w:cs="宋体"/>
          <w:sz w:val="22"/>
          <w:szCs w:val="22"/>
        </w:rPr>
        <w:t>温州市智信招标代理有限公司：</w:t>
      </w:r>
    </w:p>
    <w:p w14:paraId="48E81C71">
      <w:pPr>
        <w:spacing w:line="420" w:lineRule="exact"/>
        <w:ind w:firstLine="440" w:firstLineChars="200"/>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（供应商名称）作为供应商正式授权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（授权代表全名，职务）代表我方处理有关本项目投标的一切事宜。</w:t>
      </w:r>
    </w:p>
    <w:p w14:paraId="058A9DDC">
      <w:pPr>
        <w:autoSpaceDE w:val="0"/>
        <w:autoSpaceDN w:val="0"/>
        <w:adjustRightInd w:val="0"/>
        <w:spacing w:line="420" w:lineRule="atLeast"/>
        <w:ind w:firstLine="440" w:firstLineChars="200"/>
        <w:rPr>
          <w:rFonts w:ascii="宋体" w:hAnsi="宋体" w:cs="宋体"/>
          <w:kern w:val="0"/>
          <w:sz w:val="22"/>
          <w:szCs w:val="22"/>
          <w:lang w:val="zh-CN"/>
        </w:rPr>
      </w:pPr>
      <w:r>
        <w:rPr>
          <w:rFonts w:hint="eastAsia" w:ascii="宋体" w:hAnsi="宋体" w:cs="宋体"/>
          <w:kern w:val="0"/>
          <w:sz w:val="22"/>
          <w:szCs w:val="22"/>
          <w:lang w:val="zh-CN"/>
        </w:rPr>
        <w:t>在此提交的磋商响应文件中，包括如下内容：</w:t>
      </w:r>
    </w:p>
    <w:p w14:paraId="11C29520">
      <w:pPr>
        <w:numPr>
          <w:ilvl w:val="0"/>
          <w:numId w:val="15"/>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电子磋商响应文件，按政采云平台项目采购－电子招投标操作指南及本竞争性磋商采购文件要求制作。</w:t>
      </w:r>
    </w:p>
    <w:p w14:paraId="53904E24">
      <w:pPr>
        <w:numPr>
          <w:ilvl w:val="0"/>
          <w:numId w:val="15"/>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以介质存储的数据电文形式的备份磋商响应文件，按政采云平台项目采购－电子招投标操作指南中上传的电子磋商响应文件格式，以U盘形式提供。数量为1份。</w:t>
      </w:r>
    </w:p>
    <w:p w14:paraId="4755D924">
      <w:pPr>
        <w:autoSpaceDE w:val="0"/>
        <w:autoSpaceDN w:val="0"/>
        <w:adjustRightInd w:val="0"/>
        <w:spacing w:line="420" w:lineRule="atLeast"/>
        <w:ind w:firstLine="440" w:firstLineChars="200"/>
        <w:rPr>
          <w:rFonts w:ascii="宋体" w:hAnsi="宋体" w:cs="宋体"/>
          <w:kern w:val="0"/>
          <w:sz w:val="22"/>
          <w:szCs w:val="22"/>
          <w:lang w:val="zh-CN"/>
        </w:rPr>
      </w:pPr>
      <w:r>
        <w:rPr>
          <w:rFonts w:hint="eastAsia" w:ascii="宋体" w:hAnsi="宋体" w:cs="宋体"/>
          <w:kern w:val="0"/>
          <w:sz w:val="22"/>
          <w:szCs w:val="22"/>
          <w:lang w:val="zh-CN"/>
        </w:rPr>
        <w:t>我方已完全明白竞争性磋商文件的所有条款要求，并重申以下几点：</w:t>
      </w:r>
    </w:p>
    <w:p w14:paraId="6693FE75">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6AD46A77">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同意提供按照贵方可能要求的与投标有关的一切数据或资料等。若贵方需要，我方愿意提供我方做出的一切承诺的证明材料。</w:t>
      </w:r>
    </w:p>
    <w:p w14:paraId="701D9AB6">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如中标，保证按照竞争性磋商文件要求及磋商响应文件的承诺与采购人签订合同，保证履行合同条款。</w:t>
      </w:r>
    </w:p>
    <w:p w14:paraId="21C7E878">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同意在竞争性磋商文件中供应商须知规定的开标日期起遵守本投标书中的承诺且在投标有效期满之前均具有约束力。</w:t>
      </w:r>
    </w:p>
    <w:p w14:paraId="74527A54">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同意在开标后规定的投标有效期内不得撤回投标。</w:t>
      </w:r>
    </w:p>
    <w:p w14:paraId="6CB8D91E">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完全理解贵方不一定要接受最低价的投标。</w:t>
      </w:r>
    </w:p>
    <w:p w14:paraId="1EB05FC6">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在参加本项目前三年内（被通报或者处罚的违法行为有：</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）或（没有因违法经营受到刑事处罚或者责令停产停业、吊销许可证或者执照、较大数额罚款等行政处罚或处罚）或（在</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至</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期间禁止参加政府采购活动但是期限届满，须附相关证明文件）</w:t>
      </w:r>
    </w:p>
    <w:p w14:paraId="37C5E308">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在投标截止前（未被“信用中国”网站（</w:t>
      </w:r>
      <w:r>
        <w:rPr>
          <w:rFonts w:hint="eastAsia" w:ascii="宋体" w:hAnsi="宋体" w:cs="宋体"/>
        </w:rPr>
        <w:fldChar w:fldCharType="begin"/>
      </w:r>
      <w:r>
        <w:rPr>
          <w:rFonts w:hint="eastAsia" w:ascii="宋体" w:hAnsi="宋体" w:cs="宋体"/>
        </w:rPr>
        <w:instrText xml:space="preserve">HYPERLINK "http://www.creditchina.gov.cn"</w:instrText>
      </w:r>
      <w:r>
        <w:rPr>
          <w:rFonts w:hint="eastAsia" w:ascii="宋体" w:hAnsi="宋体" w:cs="宋体"/>
        </w:rPr>
        <w:fldChar w:fldCharType="separate"/>
      </w:r>
      <w:r>
        <w:rPr>
          <w:rFonts w:hint="eastAsia" w:ascii="宋体" w:hAnsi="宋体" w:cs="宋体"/>
          <w:kern w:val="0"/>
          <w:sz w:val="22"/>
          <w:szCs w:val="22"/>
          <w:lang w:val="zh-CN"/>
        </w:rPr>
        <w:t>www.creditchina.gov.cn</w:t>
      </w:r>
      <w:r>
        <w:rPr>
          <w:rFonts w:hint="eastAsia" w:ascii="宋体" w:hAnsi="宋体" w:cs="宋体"/>
        </w:rPr>
        <w:fldChar w:fldCharType="end"/>
      </w:r>
      <w:r>
        <w:rPr>
          <w:rFonts w:hint="eastAsia" w:ascii="宋体" w:hAnsi="宋体" w:cs="宋体"/>
          <w:kern w:val="0"/>
          <w:sz w:val="22"/>
          <w:szCs w:val="22"/>
          <w:lang w:val="zh-CN"/>
        </w:rPr>
        <w:t>)列入失信被执行人、重大税收违法案件当事人名单；未被“中国政府采购网”（</w:t>
      </w:r>
      <w:r>
        <w:rPr>
          <w:rFonts w:hint="eastAsia" w:ascii="宋体" w:hAnsi="宋体" w:cs="宋体"/>
        </w:rPr>
        <w:fldChar w:fldCharType="begin"/>
      </w:r>
      <w:r>
        <w:rPr>
          <w:rFonts w:hint="eastAsia" w:ascii="宋体" w:hAnsi="宋体" w:cs="宋体"/>
        </w:rPr>
        <w:instrText xml:space="preserve">HYPERLINK "http://www.ccgp.gov.cn"</w:instrText>
      </w:r>
      <w:r>
        <w:rPr>
          <w:rFonts w:hint="eastAsia" w:ascii="宋体" w:hAnsi="宋体" w:cs="宋体"/>
        </w:rPr>
        <w:fldChar w:fldCharType="separate"/>
      </w:r>
      <w:r>
        <w:rPr>
          <w:rFonts w:hint="eastAsia" w:ascii="宋体" w:hAnsi="宋体" w:cs="宋体"/>
          <w:kern w:val="0"/>
          <w:sz w:val="22"/>
          <w:szCs w:val="22"/>
          <w:lang w:val="zh-CN"/>
        </w:rPr>
        <w:t>www.ccgp.gov.cn</w:t>
      </w:r>
      <w:r>
        <w:rPr>
          <w:rFonts w:hint="eastAsia" w:ascii="宋体" w:hAnsi="宋体" w:cs="宋体"/>
        </w:rPr>
        <w:fldChar w:fldCharType="end"/>
      </w:r>
      <w:r>
        <w:rPr>
          <w:rFonts w:hint="eastAsia" w:ascii="宋体" w:hAnsi="宋体" w:cs="宋体"/>
          <w:kern w:val="0"/>
          <w:sz w:val="22"/>
          <w:szCs w:val="22"/>
          <w:lang w:val="zh-CN"/>
        </w:rPr>
        <w:t>)列入政府采购严重违法失信行为记录名单。）或（被“信用中国”或“中国政府采购网”列入……名单。）</w:t>
      </w:r>
    </w:p>
    <w:p w14:paraId="566C356E">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单位、法定代表人、本项目授权代表及本项目负责人在参加本项目前三年内（以法院判决书生效日期为准）均无行贿犯罪记录。</w:t>
      </w:r>
    </w:p>
    <w:p w14:paraId="5B1A4E84">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有下列情形之一的，我方愿意被取消中标资格（如中标），继续承担其他一切法律后果，并不再寻求任何旨在减轻或免除法律责任的解释：</w:t>
      </w:r>
    </w:p>
    <w:p w14:paraId="06FBCF2E">
      <w:pPr>
        <w:spacing w:line="420" w:lineRule="exact"/>
        <w:ind w:firstLine="440" w:firstLineChars="200"/>
        <w:rPr>
          <w:rFonts w:ascii="宋体" w:hAnsi="宋体" w:cs="宋体"/>
          <w:sz w:val="22"/>
        </w:rPr>
      </w:pPr>
      <w:r>
        <w:rPr>
          <w:rFonts w:hint="eastAsia" w:ascii="宋体" w:hAnsi="宋体" w:cs="宋体"/>
          <w:sz w:val="22"/>
        </w:rPr>
        <w:t>（1）提供虚假材料（承诺）谋取中标、成交的；</w:t>
      </w:r>
    </w:p>
    <w:p w14:paraId="48DBB726">
      <w:pPr>
        <w:spacing w:line="420" w:lineRule="exact"/>
        <w:ind w:firstLine="440" w:firstLineChars="200"/>
        <w:rPr>
          <w:rFonts w:ascii="宋体" w:hAnsi="宋体" w:cs="宋体"/>
          <w:sz w:val="22"/>
        </w:rPr>
      </w:pPr>
      <w:r>
        <w:rPr>
          <w:rFonts w:hint="eastAsia" w:ascii="宋体" w:hAnsi="宋体" w:cs="宋体"/>
          <w:sz w:val="22"/>
        </w:rPr>
        <w:t>（2）采取不正当手段诋毁、排挤其他供应商的；</w:t>
      </w:r>
    </w:p>
    <w:p w14:paraId="200E18A4">
      <w:pPr>
        <w:spacing w:line="420" w:lineRule="exact"/>
        <w:ind w:firstLine="440" w:firstLineChars="200"/>
        <w:rPr>
          <w:rFonts w:ascii="宋体" w:hAnsi="宋体" w:cs="宋体"/>
          <w:sz w:val="22"/>
        </w:rPr>
      </w:pPr>
      <w:r>
        <w:rPr>
          <w:rFonts w:hint="eastAsia" w:ascii="宋体" w:hAnsi="宋体" w:cs="宋体"/>
          <w:sz w:val="22"/>
        </w:rPr>
        <w:t>（3）与采购人、其他供应商或者招标代理机构恶意串通的；</w:t>
      </w:r>
    </w:p>
    <w:p w14:paraId="2294BCC7">
      <w:pPr>
        <w:spacing w:line="420" w:lineRule="exact"/>
        <w:ind w:firstLine="440" w:firstLineChars="200"/>
        <w:rPr>
          <w:rFonts w:ascii="宋体" w:hAnsi="宋体" w:cs="宋体"/>
          <w:sz w:val="22"/>
        </w:rPr>
      </w:pPr>
      <w:r>
        <w:rPr>
          <w:rFonts w:hint="eastAsia" w:ascii="宋体" w:hAnsi="宋体" w:cs="宋体"/>
          <w:sz w:val="22"/>
        </w:rPr>
        <w:t>（4）向采购人、招标代理机构行贿或者提供其他不正当利益的；</w:t>
      </w:r>
    </w:p>
    <w:p w14:paraId="68ED4313">
      <w:pPr>
        <w:spacing w:line="420" w:lineRule="exact"/>
        <w:ind w:firstLine="440" w:firstLineChars="200"/>
        <w:rPr>
          <w:rFonts w:ascii="宋体" w:hAnsi="宋体" w:cs="宋体"/>
          <w:sz w:val="22"/>
        </w:rPr>
      </w:pPr>
      <w:r>
        <w:rPr>
          <w:rFonts w:hint="eastAsia" w:ascii="宋体" w:hAnsi="宋体" w:cs="宋体"/>
          <w:sz w:val="22"/>
        </w:rPr>
        <w:t>（5）在招标采购过程中与采购人进行协商谈判的；</w:t>
      </w:r>
    </w:p>
    <w:p w14:paraId="28F3136B">
      <w:pPr>
        <w:spacing w:line="420" w:lineRule="exact"/>
        <w:ind w:firstLine="440" w:firstLineChars="200"/>
        <w:rPr>
          <w:rFonts w:ascii="宋体" w:hAnsi="宋体" w:cs="宋体"/>
          <w:sz w:val="22"/>
        </w:rPr>
      </w:pPr>
      <w:r>
        <w:rPr>
          <w:rFonts w:hint="eastAsia" w:ascii="宋体" w:hAnsi="宋体" w:cs="宋体"/>
          <w:sz w:val="22"/>
        </w:rPr>
        <w:t>（6）拒绝有关部门监督检查或提供虚假情况的。</w:t>
      </w:r>
    </w:p>
    <w:p w14:paraId="350919C1">
      <w:pPr>
        <w:numPr>
          <w:ilvl w:val="0"/>
          <w:numId w:val="16"/>
        </w:numPr>
        <w:autoSpaceDE w:val="0"/>
        <w:autoSpaceDN w:val="0"/>
        <w:adjustRightInd w:val="0"/>
        <w:spacing w:line="420" w:lineRule="atLeast"/>
        <w:ind w:left="0" w:firstLine="440"/>
        <w:rPr>
          <w:rFonts w:ascii="宋体" w:hAnsi="宋体" w:cs="宋体"/>
          <w:kern w:val="0"/>
          <w:sz w:val="22"/>
          <w:szCs w:val="22"/>
          <w:lang w:val="zh-CN"/>
        </w:rPr>
      </w:pPr>
      <w:r>
        <w:rPr>
          <w:rFonts w:hint="eastAsia" w:ascii="宋体" w:hAnsi="宋体" w:cs="宋体"/>
          <w:kern w:val="0"/>
          <w:sz w:val="22"/>
          <w:szCs w:val="22"/>
          <w:lang w:val="zh-CN"/>
        </w:rPr>
        <w:t>所有与本投标有关的函件请发往下列地址：</w:t>
      </w:r>
    </w:p>
    <w:p w14:paraId="65B61E23">
      <w:pPr>
        <w:spacing w:line="420" w:lineRule="exact"/>
        <w:ind w:firstLine="435"/>
        <w:rPr>
          <w:rFonts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4103DFE4">
      <w:pPr>
        <w:spacing w:line="420" w:lineRule="exact"/>
        <w:ind w:firstLine="435"/>
        <w:rPr>
          <w:rFonts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394F9481">
      <w:pPr>
        <w:spacing w:line="420" w:lineRule="exact"/>
        <w:ind w:firstLine="435"/>
        <w:rPr>
          <w:rFonts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3DAD9C29">
      <w:pPr>
        <w:spacing w:line="420" w:lineRule="exact"/>
        <w:ind w:firstLine="770" w:firstLineChars="350"/>
        <w:rPr>
          <w:rFonts w:ascii="宋体" w:hAnsi="宋体" w:cs="宋体"/>
          <w:sz w:val="22"/>
          <w:szCs w:val="22"/>
        </w:rPr>
      </w:pPr>
      <w:r>
        <w:rPr>
          <w:rFonts w:hint="eastAsia" w:ascii="宋体" w:hAnsi="宋体" w:cs="宋体"/>
          <w:sz w:val="22"/>
          <w:szCs w:val="22"/>
        </w:rPr>
        <w:t>电子邮件</w:t>
      </w:r>
      <w:r>
        <w:rPr>
          <w:rFonts w:hint="eastAsia" w:ascii="宋体" w:hAnsi="宋体" w:cs="宋体"/>
          <w:sz w:val="22"/>
          <w:szCs w:val="22"/>
          <w:u w:val="single"/>
        </w:rPr>
        <w:t xml:space="preserve">                       </w:t>
      </w:r>
      <w:r>
        <w:rPr>
          <w:rFonts w:hint="eastAsia" w:ascii="宋体" w:hAnsi="宋体" w:cs="宋体"/>
          <w:sz w:val="22"/>
          <w:szCs w:val="22"/>
        </w:rPr>
        <w:t xml:space="preserve">                       </w:t>
      </w:r>
    </w:p>
    <w:p w14:paraId="5B8837E2">
      <w:pPr>
        <w:spacing w:line="420" w:lineRule="exact"/>
        <w:ind w:firstLine="435"/>
        <w:rPr>
          <w:rFonts w:ascii="宋体" w:hAnsi="宋体" w:cs="宋体"/>
          <w:sz w:val="22"/>
          <w:szCs w:val="22"/>
        </w:rPr>
      </w:pPr>
    </w:p>
    <w:p w14:paraId="12603E58">
      <w:pPr>
        <w:spacing w:line="420" w:lineRule="exact"/>
        <w:ind w:firstLine="4620"/>
        <w:rPr>
          <w:rFonts w:ascii="宋体" w:hAnsi="宋体" w:cs="宋体"/>
          <w:sz w:val="22"/>
          <w:szCs w:val="22"/>
        </w:rPr>
      </w:pPr>
      <w:r>
        <w:rPr>
          <w:rFonts w:hint="eastAsia" w:ascii="宋体" w:hAnsi="宋体" w:cs="宋体"/>
          <w:sz w:val="22"/>
          <w:szCs w:val="22"/>
        </w:rPr>
        <w:t>供应商名称（盖章）</w:t>
      </w:r>
      <w:r>
        <w:rPr>
          <w:rFonts w:hint="eastAsia" w:ascii="宋体" w:hAnsi="宋体" w:cs="宋体"/>
          <w:sz w:val="22"/>
          <w:szCs w:val="22"/>
          <w:u w:val="single"/>
        </w:rPr>
        <w:t xml:space="preserve">                  </w:t>
      </w:r>
    </w:p>
    <w:p w14:paraId="07C575B3">
      <w:pPr>
        <w:spacing w:line="420" w:lineRule="exact"/>
        <w:ind w:firstLine="4620"/>
        <w:rPr>
          <w:rFonts w:ascii="宋体" w:hAnsi="宋体" w:cs="宋体"/>
          <w:sz w:val="22"/>
          <w:szCs w:val="22"/>
        </w:rPr>
      </w:pPr>
      <w:r>
        <w:rPr>
          <w:rFonts w:hint="eastAsia" w:ascii="宋体" w:hAnsi="宋体" w:cs="宋体"/>
          <w:sz w:val="22"/>
          <w:szCs w:val="22"/>
        </w:rPr>
        <w:t>供应商代表（签字）</w:t>
      </w:r>
      <w:r>
        <w:rPr>
          <w:rFonts w:hint="eastAsia" w:ascii="宋体" w:hAnsi="宋体" w:cs="宋体"/>
          <w:sz w:val="22"/>
          <w:szCs w:val="22"/>
          <w:u w:val="single"/>
        </w:rPr>
        <w:t xml:space="preserve">                   </w:t>
      </w:r>
    </w:p>
    <w:p w14:paraId="60AE7236">
      <w:pPr>
        <w:spacing w:line="460" w:lineRule="exact"/>
        <w:ind w:firstLine="4620"/>
        <w:rPr>
          <w:rFonts w:ascii="宋体" w:hAnsi="宋体" w:cs="宋体"/>
          <w:sz w:val="22"/>
          <w:szCs w:val="22"/>
          <w:u w:val="single"/>
        </w:rPr>
      </w:pPr>
      <w:r>
        <w:rPr>
          <w:rFonts w:hint="eastAsia" w:ascii="宋体" w:hAnsi="宋体" w:cs="宋体"/>
          <w:sz w:val="22"/>
          <w:szCs w:val="22"/>
        </w:rPr>
        <w:t>日    期</w:t>
      </w:r>
      <w:r>
        <w:rPr>
          <w:rFonts w:hint="eastAsia" w:ascii="宋体" w:hAnsi="宋体" w:cs="宋体"/>
          <w:sz w:val="22"/>
          <w:szCs w:val="22"/>
          <w:u w:val="single"/>
        </w:rPr>
        <w:t xml:space="preserve">           </w:t>
      </w:r>
    </w:p>
    <w:p w14:paraId="66D999BD">
      <w:pPr>
        <w:spacing w:line="460" w:lineRule="exact"/>
        <w:ind w:firstLine="4620"/>
        <w:rPr>
          <w:rFonts w:ascii="宋体" w:hAnsi="宋体" w:cs="宋体"/>
          <w:sz w:val="22"/>
          <w:szCs w:val="22"/>
          <w:u w:val="single"/>
        </w:rPr>
      </w:pPr>
    </w:p>
    <w:p w14:paraId="03392111">
      <w:pPr>
        <w:spacing w:line="460" w:lineRule="exact"/>
        <w:rPr>
          <w:rFonts w:ascii="宋体" w:hAnsi="宋体" w:cs="宋体"/>
          <w:b/>
          <w:sz w:val="22"/>
          <w:szCs w:val="22"/>
          <w:u w:val="single"/>
        </w:rPr>
      </w:pPr>
      <w:r>
        <w:rPr>
          <w:rFonts w:hint="eastAsia" w:ascii="宋体" w:hAnsi="宋体" w:cs="宋体"/>
          <w:b/>
          <w:sz w:val="22"/>
          <w:szCs w:val="22"/>
          <w:u w:val="single"/>
        </w:rPr>
        <w:t>▲不提供投标函的磋商响应文件将被视为未实质性响应竞争性磋商文件。</w:t>
      </w:r>
    </w:p>
    <w:p w14:paraId="2EC919F1">
      <w:pPr>
        <w:spacing w:line="460" w:lineRule="exact"/>
        <w:ind w:firstLine="435"/>
        <w:rPr>
          <w:rFonts w:ascii="宋体" w:hAnsi="宋体" w:cs="宋体"/>
          <w:b/>
          <w:sz w:val="22"/>
          <w:szCs w:val="22"/>
          <w:u w:val="single"/>
        </w:rPr>
      </w:pPr>
    </w:p>
    <w:p w14:paraId="27F17FD9">
      <w:pPr>
        <w:spacing w:line="460" w:lineRule="exact"/>
        <w:rPr>
          <w:rFonts w:ascii="宋体" w:hAnsi="宋体" w:cs="宋体"/>
          <w:b/>
          <w:bCs/>
          <w:sz w:val="22"/>
          <w:szCs w:val="22"/>
        </w:rPr>
      </w:pPr>
      <w:r>
        <w:rPr>
          <w:rFonts w:hint="eastAsia" w:ascii="宋体" w:hAnsi="宋体" w:cs="宋体"/>
          <w:b/>
          <w:sz w:val="22"/>
          <w:szCs w:val="22"/>
          <w:u w:val="single"/>
        </w:rPr>
        <w:br w:type="page"/>
      </w:r>
      <w:r>
        <w:rPr>
          <w:rFonts w:hint="eastAsia" w:ascii="宋体" w:hAnsi="宋体" w:cs="宋体"/>
          <w:b/>
          <w:bCs/>
          <w:sz w:val="22"/>
          <w:szCs w:val="22"/>
        </w:rPr>
        <w:t>附件二</w:t>
      </w:r>
    </w:p>
    <w:p w14:paraId="6B1C41A1">
      <w:pPr>
        <w:spacing w:line="460" w:lineRule="exact"/>
        <w:jc w:val="center"/>
        <w:rPr>
          <w:rFonts w:ascii="宋体" w:hAnsi="宋体" w:cs="宋体"/>
          <w:b/>
          <w:bCs/>
          <w:sz w:val="28"/>
          <w:szCs w:val="28"/>
        </w:rPr>
      </w:pPr>
      <w:r>
        <w:rPr>
          <w:rFonts w:hint="eastAsia" w:ascii="宋体" w:hAnsi="宋体" w:cs="宋体"/>
          <w:b/>
          <w:bCs/>
          <w:sz w:val="28"/>
          <w:szCs w:val="28"/>
        </w:rPr>
        <w:t xml:space="preserve"> (1）技术要求应答表</w:t>
      </w:r>
    </w:p>
    <w:p w14:paraId="13215669">
      <w:pPr>
        <w:ind w:firstLine="435"/>
        <w:jc w:val="center"/>
        <w:rPr>
          <w:rFonts w:ascii="宋体" w:hAnsi="宋体" w:cs="宋体"/>
          <w:b/>
          <w:sz w:val="44"/>
        </w:rPr>
      </w:pPr>
    </w:p>
    <w:p w14:paraId="03CCEFBF">
      <w:pPr>
        <w:overflowPunct w:val="0"/>
        <w:spacing w:line="380" w:lineRule="exact"/>
        <w:rPr>
          <w:rFonts w:ascii="宋体" w:hAnsi="宋体" w:cs="宋体"/>
          <w:bCs/>
          <w:sz w:val="22"/>
          <w:szCs w:val="22"/>
        </w:rPr>
      </w:pPr>
      <w:r>
        <w:rPr>
          <w:rFonts w:hint="eastAsia" w:ascii="宋体" w:hAnsi="宋体" w:cs="宋体"/>
          <w:b/>
          <w:sz w:val="24"/>
        </w:rPr>
        <w:t xml:space="preserve">   </w:t>
      </w:r>
      <w:r>
        <w:rPr>
          <w:rFonts w:hint="eastAsia" w:ascii="宋体" w:hAnsi="宋体" w:cs="宋体"/>
          <w:bCs/>
          <w:sz w:val="22"/>
          <w:szCs w:val="22"/>
        </w:rPr>
        <w:t>项目名称：                                      项目编号：</w:t>
      </w:r>
    </w:p>
    <w:p w14:paraId="07ACFF33">
      <w:pPr>
        <w:ind w:firstLine="361" w:firstLineChars="150"/>
        <w:rPr>
          <w:rFonts w:ascii="宋体" w:hAnsi="宋体" w:cs="宋体"/>
          <w:b/>
          <w:sz w:val="24"/>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0E5742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12759E8D">
            <w:pPr>
              <w:jc w:val="center"/>
              <w:rPr>
                <w:rFonts w:ascii="宋体" w:hAnsi="宋体" w:cs="宋体"/>
                <w:sz w:val="22"/>
                <w:szCs w:val="22"/>
              </w:rPr>
            </w:pPr>
            <w:r>
              <w:rPr>
                <w:rFonts w:hint="eastAsia" w:ascii="宋体" w:hAnsi="宋体" w:cs="宋体"/>
                <w:sz w:val="22"/>
                <w:szCs w:val="22"/>
              </w:rPr>
              <w:t>序号</w:t>
            </w:r>
          </w:p>
        </w:tc>
        <w:tc>
          <w:tcPr>
            <w:tcW w:w="2538" w:type="dxa"/>
            <w:vAlign w:val="center"/>
          </w:tcPr>
          <w:p w14:paraId="688FF262">
            <w:pPr>
              <w:jc w:val="center"/>
              <w:rPr>
                <w:rFonts w:ascii="宋体" w:hAnsi="宋体" w:cs="宋体"/>
                <w:sz w:val="22"/>
                <w:szCs w:val="22"/>
              </w:rPr>
            </w:pPr>
            <w:r>
              <w:rPr>
                <w:rFonts w:hint="eastAsia" w:ascii="宋体" w:hAnsi="宋体" w:cs="宋体"/>
                <w:sz w:val="22"/>
                <w:szCs w:val="22"/>
              </w:rPr>
              <w:t>采购文件技术要求</w:t>
            </w:r>
          </w:p>
        </w:tc>
        <w:tc>
          <w:tcPr>
            <w:tcW w:w="2326" w:type="dxa"/>
            <w:vAlign w:val="center"/>
          </w:tcPr>
          <w:p w14:paraId="31847194">
            <w:pPr>
              <w:jc w:val="center"/>
              <w:rPr>
                <w:rFonts w:ascii="宋体" w:hAnsi="宋体" w:cs="宋体"/>
                <w:sz w:val="22"/>
                <w:szCs w:val="22"/>
              </w:rPr>
            </w:pPr>
            <w:r>
              <w:rPr>
                <w:rFonts w:hint="eastAsia" w:ascii="宋体" w:hAnsi="宋体" w:cs="宋体"/>
                <w:sz w:val="22"/>
                <w:szCs w:val="22"/>
              </w:rPr>
              <w:t>供应商技术响应</w:t>
            </w:r>
          </w:p>
        </w:tc>
        <w:tc>
          <w:tcPr>
            <w:tcW w:w="2115" w:type="dxa"/>
            <w:vAlign w:val="center"/>
          </w:tcPr>
          <w:p w14:paraId="0C68B86A">
            <w:pPr>
              <w:jc w:val="center"/>
              <w:rPr>
                <w:rFonts w:ascii="宋体" w:hAnsi="宋体" w:cs="宋体"/>
                <w:sz w:val="22"/>
                <w:szCs w:val="22"/>
              </w:rPr>
            </w:pPr>
            <w:r>
              <w:rPr>
                <w:rFonts w:hint="eastAsia" w:ascii="宋体" w:hAnsi="宋体" w:cs="宋体"/>
                <w:sz w:val="22"/>
                <w:szCs w:val="22"/>
              </w:rPr>
              <w:t>偏离</w:t>
            </w:r>
          </w:p>
        </w:tc>
        <w:tc>
          <w:tcPr>
            <w:tcW w:w="1902" w:type="dxa"/>
            <w:vAlign w:val="center"/>
          </w:tcPr>
          <w:p w14:paraId="64D1F6BE">
            <w:pPr>
              <w:jc w:val="center"/>
              <w:rPr>
                <w:rFonts w:ascii="宋体" w:hAnsi="宋体" w:cs="宋体"/>
                <w:sz w:val="22"/>
                <w:szCs w:val="22"/>
              </w:rPr>
            </w:pPr>
            <w:r>
              <w:rPr>
                <w:rFonts w:hint="eastAsia" w:ascii="宋体" w:hAnsi="宋体" w:cs="宋体"/>
                <w:sz w:val="22"/>
                <w:szCs w:val="22"/>
              </w:rPr>
              <w:t>说  明</w:t>
            </w:r>
          </w:p>
        </w:tc>
      </w:tr>
      <w:tr w14:paraId="7164F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3C82E461">
            <w:pPr>
              <w:jc w:val="center"/>
              <w:rPr>
                <w:rFonts w:ascii="宋体" w:hAnsi="宋体" w:cs="宋体"/>
                <w:sz w:val="22"/>
                <w:szCs w:val="22"/>
              </w:rPr>
            </w:pPr>
          </w:p>
        </w:tc>
        <w:tc>
          <w:tcPr>
            <w:tcW w:w="2538" w:type="dxa"/>
            <w:vAlign w:val="center"/>
          </w:tcPr>
          <w:p w14:paraId="15A04EAE">
            <w:pPr>
              <w:jc w:val="center"/>
              <w:rPr>
                <w:rFonts w:ascii="宋体" w:hAnsi="宋体" w:cs="宋体"/>
                <w:sz w:val="22"/>
                <w:szCs w:val="22"/>
              </w:rPr>
            </w:pPr>
          </w:p>
        </w:tc>
        <w:tc>
          <w:tcPr>
            <w:tcW w:w="2326" w:type="dxa"/>
            <w:vAlign w:val="center"/>
          </w:tcPr>
          <w:p w14:paraId="38ED260C">
            <w:pPr>
              <w:jc w:val="center"/>
              <w:rPr>
                <w:rFonts w:ascii="宋体" w:hAnsi="宋体" w:cs="宋体"/>
                <w:sz w:val="22"/>
                <w:szCs w:val="22"/>
              </w:rPr>
            </w:pPr>
          </w:p>
        </w:tc>
        <w:tc>
          <w:tcPr>
            <w:tcW w:w="2115" w:type="dxa"/>
            <w:vAlign w:val="center"/>
          </w:tcPr>
          <w:p w14:paraId="66FE6881">
            <w:pPr>
              <w:jc w:val="center"/>
              <w:rPr>
                <w:rFonts w:ascii="宋体" w:hAnsi="宋体" w:cs="宋体"/>
                <w:sz w:val="22"/>
                <w:szCs w:val="22"/>
              </w:rPr>
            </w:pPr>
          </w:p>
        </w:tc>
        <w:tc>
          <w:tcPr>
            <w:tcW w:w="1902" w:type="dxa"/>
            <w:vAlign w:val="center"/>
          </w:tcPr>
          <w:p w14:paraId="2E2E457D">
            <w:pPr>
              <w:jc w:val="center"/>
              <w:rPr>
                <w:rFonts w:ascii="宋体" w:hAnsi="宋体" w:cs="宋体"/>
                <w:sz w:val="22"/>
                <w:szCs w:val="22"/>
              </w:rPr>
            </w:pPr>
          </w:p>
        </w:tc>
      </w:tr>
      <w:tr w14:paraId="70191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7F83189">
            <w:pPr>
              <w:jc w:val="center"/>
              <w:rPr>
                <w:rFonts w:ascii="宋体" w:hAnsi="宋体" w:cs="宋体"/>
                <w:sz w:val="22"/>
                <w:szCs w:val="22"/>
              </w:rPr>
            </w:pPr>
          </w:p>
        </w:tc>
        <w:tc>
          <w:tcPr>
            <w:tcW w:w="2538" w:type="dxa"/>
            <w:vAlign w:val="center"/>
          </w:tcPr>
          <w:p w14:paraId="523B50D5">
            <w:pPr>
              <w:jc w:val="center"/>
              <w:rPr>
                <w:rFonts w:ascii="宋体" w:hAnsi="宋体" w:cs="宋体"/>
                <w:sz w:val="22"/>
                <w:szCs w:val="22"/>
              </w:rPr>
            </w:pPr>
          </w:p>
        </w:tc>
        <w:tc>
          <w:tcPr>
            <w:tcW w:w="2326" w:type="dxa"/>
            <w:vAlign w:val="center"/>
          </w:tcPr>
          <w:p w14:paraId="1CAA2919">
            <w:pPr>
              <w:jc w:val="center"/>
              <w:rPr>
                <w:rFonts w:ascii="宋体" w:hAnsi="宋体" w:cs="宋体"/>
                <w:sz w:val="22"/>
                <w:szCs w:val="22"/>
              </w:rPr>
            </w:pPr>
          </w:p>
        </w:tc>
        <w:tc>
          <w:tcPr>
            <w:tcW w:w="2115" w:type="dxa"/>
            <w:vAlign w:val="center"/>
          </w:tcPr>
          <w:p w14:paraId="5BA15FF4">
            <w:pPr>
              <w:jc w:val="center"/>
              <w:rPr>
                <w:rFonts w:ascii="宋体" w:hAnsi="宋体" w:cs="宋体"/>
                <w:sz w:val="22"/>
                <w:szCs w:val="22"/>
              </w:rPr>
            </w:pPr>
          </w:p>
        </w:tc>
        <w:tc>
          <w:tcPr>
            <w:tcW w:w="1902" w:type="dxa"/>
            <w:vAlign w:val="center"/>
          </w:tcPr>
          <w:p w14:paraId="73175473">
            <w:pPr>
              <w:jc w:val="center"/>
              <w:rPr>
                <w:rFonts w:ascii="宋体" w:hAnsi="宋体" w:cs="宋体"/>
                <w:sz w:val="22"/>
                <w:szCs w:val="22"/>
              </w:rPr>
            </w:pPr>
          </w:p>
        </w:tc>
      </w:tr>
      <w:tr w14:paraId="30A98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3D82814">
            <w:pPr>
              <w:jc w:val="center"/>
              <w:rPr>
                <w:rFonts w:ascii="宋体" w:hAnsi="宋体" w:cs="宋体"/>
                <w:sz w:val="22"/>
                <w:szCs w:val="22"/>
              </w:rPr>
            </w:pPr>
          </w:p>
        </w:tc>
        <w:tc>
          <w:tcPr>
            <w:tcW w:w="2538" w:type="dxa"/>
            <w:vAlign w:val="center"/>
          </w:tcPr>
          <w:p w14:paraId="1F9B4604">
            <w:pPr>
              <w:jc w:val="center"/>
              <w:rPr>
                <w:rFonts w:ascii="宋体" w:hAnsi="宋体" w:cs="宋体"/>
                <w:sz w:val="22"/>
                <w:szCs w:val="22"/>
              </w:rPr>
            </w:pPr>
          </w:p>
        </w:tc>
        <w:tc>
          <w:tcPr>
            <w:tcW w:w="2326" w:type="dxa"/>
            <w:vAlign w:val="center"/>
          </w:tcPr>
          <w:p w14:paraId="1AD6AA5C">
            <w:pPr>
              <w:jc w:val="center"/>
              <w:rPr>
                <w:rFonts w:ascii="宋体" w:hAnsi="宋体" w:cs="宋体"/>
                <w:sz w:val="22"/>
                <w:szCs w:val="22"/>
              </w:rPr>
            </w:pPr>
          </w:p>
        </w:tc>
        <w:tc>
          <w:tcPr>
            <w:tcW w:w="2115" w:type="dxa"/>
            <w:vAlign w:val="center"/>
          </w:tcPr>
          <w:p w14:paraId="74F6926F">
            <w:pPr>
              <w:jc w:val="center"/>
              <w:rPr>
                <w:rFonts w:ascii="宋体" w:hAnsi="宋体" w:cs="宋体"/>
                <w:sz w:val="22"/>
                <w:szCs w:val="22"/>
              </w:rPr>
            </w:pPr>
          </w:p>
        </w:tc>
        <w:tc>
          <w:tcPr>
            <w:tcW w:w="1902" w:type="dxa"/>
            <w:vAlign w:val="center"/>
          </w:tcPr>
          <w:p w14:paraId="30F0A051">
            <w:pPr>
              <w:jc w:val="center"/>
              <w:rPr>
                <w:rFonts w:ascii="宋体" w:hAnsi="宋体" w:cs="宋体"/>
                <w:sz w:val="22"/>
                <w:szCs w:val="22"/>
              </w:rPr>
            </w:pPr>
          </w:p>
        </w:tc>
      </w:tr>
      <w:tr w14:paraId="0E865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EC1B89B">
            <w:pPr>
              <w:jc w:val="center"/>
              <w:rPr>
                <w:rFonts w:ascii="宋体" w:hAnsi="宋体" w:cs="宋体"/>
                <w:sz w:val="22"/>
                <w:szCs w:val="22"/>
              </w:rPr>
            </w:pPr>
          </w:p>
        </w:tc>
        <w:tc>
          <w:tcPr>
            <w:tcW w:w="2538" w:type="dxa"/>
            <w:vAlign w:val="center"/>
          </w:tcPr>
          <w:p w14:paraId="417BA8AC">
            <w:pPr>
              <w:jc w:val="center"/>
              <w:rPr>
                <w:rFonts w:ascii="宋体" w:hAnsi="宋体" w:cs="宋体"/>
                <w:sz w:val="22"/>
                <w:szCs w:val="22"/>
              </w:rPr>
            </w:pPr>
          </w:p>
        </w:tc>
        <w:tc>
          <w:tcPr>
            <w:tcW w:w="2326" w:type="dxa"/>
            <w:vAlign w:val="center"/>
          </w:tcPr>
          <w:p w14:paraId="3C35EF2E">
            <w:pPr>
              <w:jc w:val="center"/>
              <w:rPr>
                <w:rFonts w:ascii="宋体" w:hAnsi="宋体" w:cs="宋体"/>
                <w:sz w:val="22"/>
                <w:szCs w:val="22"/>
              </w:rPr>
            </w:pPr>
          </w:p>
        </w:tc>
        <w:tc>
          <w:tcPr>
            <w:tcW w:w="2115" w:type="dxa"/>
            <w:vAlign w:val="center"/>
          </w:tcPr>
          <w:p w14:paraId="7B02C2CA">
            <w:pPr>
              <w:jc w:val="center"/>
              <w:rPr>
                <w:rFonts w:ascii="宋体" w:hAnsi="宋体" w:cs="宋体"/>
                <w:sz w:val="22"/>
                <w:szCs w:val="22"/>
              </w:rPr>
            </w:pPr>
          </w:p>
        </w:tc>
        <w:tc>
          <w:tcPr>
            <w:tcW w:w="1902" w:type="dxa"/>
            <w:vAlign w:val="center"/>
          </w:tcPr>
          <w:p w14:paraId="626E03C6">
            <w:pPr>
              <w:jc w:val="center"/>
              <w:rPr>
                <w:rFonts w:ascii="宋体" w:hAnsi="宋体" w:cs="宋体"/>
                <w:sz w:val="22"/>
                <w:szCs w:val="22"/>
              </w:rPr>
            </w:pPr>
          </w:p>
        </w:tc>
      </w:tr>
      <w:tr w14:paraId="5A1D6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04E3262">
            <w:pPr>
              <w:jc w:val="center"/>
              <w:rPr>
                <w:rFonts w:ascii="宋体" w:hAnsi="宋体" w:cs="宋体"/>
                <w:sz w:val="22"/>
                <w:szCs w:val="22"/>
              </w:rPr>
            </w:pPr>
          </w:p>
        </w:tc>
        <w:tc>
          <w:tcPr>
            <w:tcW w:w="2538" w:type="dxa"/>
            <w:vAlign w:val="center"/>
          </w:tcPr>
          <w:p w14:paraId="7FE73DB0">
            <w:pPr>
              <w:jc w:val="center"/>
              <w:rPr>
                <w:rFonts w:ascii="宋体" w:hAnsi="宋体" w:cs="宋体"/>
                <w:sz w:val="22"/>
                <w:szCs w:val="22"/>
              </w:rPr>
            </w:pPr>
          </w:p>
        </w:tc>
        <w:tc>
          <w:tcPr>
            <w:tcW w:w="2326" w:type="dxa"/>
            <w:vAlign w:val="center"/>
          </w:tcPr>
          <w:p w14:paraId="2CD89F02">
            <w:pPr>
              <w:jc w:val="center"/>
              <w:rPr>
                <w:rFonts w:ascii="宋体" w:hAnsi="宋体" w:cs="宋体"/>
                <w:sz w:val="22"/>
                <w:szCs w:val="22"/>
              </w:rPr>
            </w:pPr>
          </w:p>
        </w:tc>
        <w:tc>
          <w:tcPr>
            <w:tcW w:w="2115" w:type="dxa"/>
            <w:vAlign w:val="center"/>
          </w:tcPr>
          <w:p w14:paraId="05FBB218">
            <w:pPr>
              <w:jc w:val="center"/>
              <w:rPr>
                <w:rFonts w:ascii="宋体" w:hAnsi="宋体" w:cs="宋体"/>
                <w:sz w:val="22"/>
                <w:szCs w:val="22"/>
              </w:rPr>
            </w:pPr>
          </w:p>
        </w:tc>
        <w:tc>
          <w:tcPr>
            <w:tcW w:w="1902" w:type="dxa"/>
            <w:vAlign w:val="center"/>
          </w:tcPr>
          <w:p w14:paraId="20303C2E">
            <w:pPr>
              <w:jc w:val="center"/>
              <w:rPr>
                <w:rFonts w:ascii="宋体" w:hAnsi="宋体" w:cs="宋体"/>
                <w:sz w:val="22"/>
                <w:szCs w:val="22"/>
              </w:rPr>
            </w:pPr>
          </w:p>
        </w:tc>
      </w:tr>
    </w:tbl>
    <w:p w14:paraId="1751A830">
      <w:pPr>
        <w:spacing w:line="400" w:lineRule="exact"/>
        <w:rPr>
          <w:rFonts w:ascii="宋体" w:hAnsi="宋体" w:cs="宋体"/>
          <w:b/>
          <w:bCs/>
          <w:sz w:val="22"/>
          <w:szCs w:val="22"/>
        </w:rPr>
      </w:pPr>
      <w:r>
        <w:rPr>
          <w:rFonts w:hint="eastAsia" w:ascii="宋体" w:hAnsi="宋体" w:cs="宋体"/>
          <w:b/>
          <w:bCs/>
          <w:sz w:val="22"/>
          <w:szCs w:val="22"/>
        </w:rPr>
        <w:t>说明：对技术参数逐条响应并根据采购要求提供佐证的材料，标明是否正负偏离，未按要求提供佐证材料或材料无法辨识按负偏离处理。各供应商应认真如实填写，如出现与事实不符等情况，将根据有关规定以“提供虚假材料谋取中标”予以处理。</w:t>
      </w:r>
    </w:p>
    <w:p w14:paraId="2850323F">
      <w:pPr>
        <w:spacing w:line="400" w:lineRule="exact"/>
        <w:rPr>
          <w:rFonts w:ascii="宋体" w:hAnsi="宋体" w:cs="宋体"/>
          <w:b/>
          <w:bCs/>
          <w:sz w:val="22"/>
          <w:szCs w:val="22"/>
        </w:rPr>
      </w:pPr>
      <w:r>
        <w:rPr>
          <w:rFonts w:hint="eastAsia" w:ascii="宋体" w:hAnsi="宋体" w:cs="宋体"/>
          <w:b/>
          <w:bCs/>
          <w:sz w:val="22"/>
          <w:szCs w:val="22"/>
        </w:rPr>
        <w:t>。</w:t>
      </w:r>
    </w:p>
    <w:p w14:paraId="073A52BD">
      <w:pPr>
        <w:spacing w:line="400" w:lineRule="exact"/>
        <w:rPr>
          <w:rFonts w:ascii="宋体" w:hAnsi="宋体" w:cs="宋体"/>
          <w:sz w:val="22"/>
          <w:szCs w:val="22"/>
        </w:rPr>
      </w:pPr>
    </w:p>
    <w:p w14:paraId="671F03D6">
      <w:pPr>
        <w:spacing w:line="400" w:lineRule="exact"/>
        <w:rPr>
          <w:rFonts w:ascii="宋体" w:hAnsi="宋体" w:cs="宋体"/>
          <w:sz w:val="22"/>
          <w:szCs w:val="22"/>
        </w:rPr>
      </w:pPr>
    </w:p>
    <w:p w14:paraId="4CD6627C">
      <w:pPr>
        <w:spacing w:line="400" w:lineRule="exact"/>
        <w:rPr>
          <w:rFonts w:ascii="宋体" w:hAnsi="宋体" w:cs="宋体"/>
          <w:sz w:val="22"/>
          <w:szCs w:val="22"/>
        </w:rPr>
      </w:pPr>
    </w:p>
    <w:p w14:paraId="3C1A9691">
      <w:pPr>
        <w:spacing w:line="400" w:lineRule="exact"/>
        <w:rPr>
          <w:rFonts w:ascii="宋体" w:hAnsi="宋体" w:cs="宋体"/>
          <w:sz w:val="22"/>
          <w:szCs w:val="22"/>
        </w:rPr>
      </w:pPr>
    </w:p>
    <w:p w14:paraId="5993DA9F">
      <w:pPr>
        <w:spacing w:line="400" w:lineRule="exact"/>
        <w:ind w:firstLine="770" w:firstLineChars="350"/>
        <w:rPr>
          <w:rFonts w:ascii="宋体" w:hAnsi="宋体" w:cs="宋体"/>
          <w:sz w:val="22"/>
          <w:szCs w:val="22"/>
        </w:rPr>
      </w:pPr>
      <w:r>
        <w:rPr>
          <w:rFonts w:hint="eastAsia" w:ascii="宋体" w:hAnsi="宋体" w:cs="宋体"/>
          <w:sz w:val="22"/>
          <w:szCs w:val="22"/>
        </w:rPr>
        <w:t>供应商全称（盖章）：</w:t>
      </w:r>
    </w:p>
    <w:p w14:paraId="548D0F3E">
      <w:pPr>
        <w:spacing w:line="400" w:lineRule="exact"/>
        <w:ind w:firstLine="770" w:firstLineChars="350"/>
        <w:rPr>
          <w:rFonts w:ascii="宋体" w:hAnsi="宋体" w:cs="宋体"/>
          <w:sz w:val="22"/>
          <w:szCs w:val="22"/>
        </w:rPr>
      </w:pPr>
      <w:r>
        <w:rPr>
          <w:rFonts w:hint="eastAsia" w:ascii="宋体" w:hAnsi="宋体" w:cs="宋体"/>
          <w:sz w:val="22"/>
          <w:szCs w:val="22"/>
        </w:rPr>
        <w:t>供应商代表（签名或盖章）：</w:t>
      </w:r>
    </w:p>
    <w:p w14:paraId="3AFBE58E">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16EFD112">
      <w:pPr>
        <w:spacing w:line="400" w:lineRule="exact"/>
        <w:rPr>
          <w:rFonts w:ascii="宋体" w:hAnsi="宋体" w:cs="宋体"/>
          <w:sz w:val="22"/>
          <w:szCs w:val="22"/>
        </w:rPr>
      </w:pPr>
    </w:p>
    <w:p w14:paraId="6B72863F">
      <w:pPr>
        <w:spacing w:line="500" w:lineRule="exact"/>
        <w:jc w:val="center"/>
        <w:rPr>
          <w:rFonts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(2）商务条款偏离表</w:t>
      </w:r>
    </w:p>
    <w:p w14:paraId="192B8821">
      <w:pPr>
        <w:ind w:firstLine="435"/>
        <w:jc w:val="center"/>
        <w:rPr>
          <w:rFonts w:ascii="宋体" w:hAnsi="宋体" w:cs="宋体"/>
          <w:b/>
          <w:sz w:val="44"/>
        </w:rPr>
      </w:pPr>
    </w:p>
    <w:p w14:paraId="32D6D7DF">
      <w:pPr>
        <w:overflowPunct w:val="0"/>
        <w:spacing w:line="380" w:lineRule="exact"/>
        <w:rPr>
          <w:rFonts w:ascii="宋体" w:hAnsi="宋体" w:cs="宋体"/>
          <w:bCs/>
          <w:sz w:val="22"/>
          <w:szCs w:val="22"/>
        </w:rPr>
      </w:pPr>
      <w:r>
        <w:rPr>
          <w:rFonts w:hint="eastAsia" w:ascii="宋体" w:hAnsi="宋体" w:cs="宋体"/>
          <w:b/>
          <w:sz w:val="22"/>
          <w:szCs w:val="22"/>
        </w:rPr>
        <w:t xml:space="preserve">  </w:t>
      </w:r>
      <w:r>
        <w:rPr>
          <w:rFonts w:hint="eastAsia" w:ascii="宋体" w:hAnsi="宋体" w:cs="宋体"/>
          <w:bCs/>
          <w:sz w:val="22"/>
          <w:szCs w:val="22"/>
        </w:rPr>
        <w:t>项目名称：                                      项目编号：</w:t>
      </w:r>
    </w:p>
    <w:p w14:paraId="7C9C6AD8">
      <w:pPr>
        <w:ind w:firstLine="221" w:firstLineChars="100"/>
        <w:rPr>
          <w:rFonts w:ascii="宋体" w:hAnsi="宋体" w:cs="宋体"/>
          <w:b/>
          <w:sz w:val="22"/>
          <w:szCs w:val="22"/>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59182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356C1C9">
            <w:pPr>
              <w:jc w:val="center"/>
              <w:rPr>
                <w:rFonts w:ascii="宋体" w:hAnsi="宋体" w:cs="宋体"/>
                <w:sz w:val="22"/>
                <w:szCs w:val="22"/>
              </w:rPr>
            </w:pPr>
            <w:r>
              <w:rPr>
                <w:rFonts w:hint="eastAsia" w:ascii="宋体" w:hAnsi="宋体" w:cs="宋体"/>
                <w:sz w:val="22"/>
                <w:szCs w:val="22"/>
              </w:rPr>
              <w:t>序号</w:t>
            </w:r>
          </w:p>
        </w:tc>
        <w:tc>
          <w:tcPr>
            <w:tcW w:w="1559" w:type="dxa"/>
            <w:vAlign w:val="center"/>
          </w:tcPr>
          <w:p w14:paraId="72417CBA">
            <w:pPr>
              <w:jc w:val="center"/>
              <w:rPr>
                <w:rFonts w:ascii="宋体" w:hAnsi="宋体" w:cs="宋体"/>
                <w:sz w:val="22"/>
                <w:szCs w:val="22"/>
              </w:rPr>
            </w:pPr>
            <w:r>
              <w:rPr>
                <w:rFonts w:hint="eastAsia" w:ascii="宋体" w:hAnsi="宋体" w:cs="宋体"/>
                <w:sz w:val="22"/>
                <w:szCs w:val="22"/>
              </w:rPr>
              <w:t>条款内容</w:t>
            </w:r>
          </w:p>
        </w:tc>
        <w:tc>
          <w:tcPr>
            <w:tcW w:w="2184" w:type="dxa"/>
            <w:vAlign w:val="center"/>
          </w:tcPr>
          <w:p w14:paraId="08BCFC27">
            <w:pPr>
              <w:jc w:val="center"/>
              <w:rPr>
                <w:rFonts w:ascii="宋体" w:hAnsi="宋体" w:cs="宋体"/>
                <w:sz w:val="22"/>
                <w:szCs w:val="22"/>
              </w:rPr>
            </w:pPr>
            <w:r>
              <w:rPr>
                <w:rFonts w:hint="eastAsia" w:ascii="宋体" w:hAnsi="宋体" w:cs="宋体"/>
                <w:sz w:val="22"/>
                <w:szCs w:val="22"/>
              </w:rPr>
              <w:t>采购文件商务条款描述</w:t>
            </w:r>
          </w:p>
        </w:tc>
        <w:tc>
          <w:tcPr>
            <w:tcW w:w="2402" w:type="dxa"/>
            <w:vAlign w:val="center"/>
          </w:tcPr>
          <w:p w14:paraId="6287761E">
            <w:pPr>
              <w:jc w:val="center"/>
              <w:rPr>
                <w:rFonts w:ascii="宋体" w:hAnsi="宋体" w:cs="宋体"/>
                <w:sz w:val="22"/>
                <w:szCs w:val="22"/>
              </w:rPr>
            </w:pPr>
            <w:r>
              <w:rPr>
                <w:rFonts w:hint="eastAsia" w:ascii="宋体" w:hAnsi="宋体" w:cs="宋体"/>
                <w:sz w:val="22"/>
                <w:szCs w:val="22"/>
              </w:rPr>
              <w:t>磋商响应文件商务条款</w:t>
            </w:r>
          </w:p>
        </w:tc>
        <w:tc>
          <w:tcPr>
            <w:tcW w:w="1200" w:type="dxa"/>
            <w:vAlign w:val="center"/>
          </w:tcPr>
          <w:p w14:paraId="35F7B9F0">
            <w:pPr>
              <w:jc w:val="center"/>
              <w:rPr>
                <w:rFonts w:ascii="宋体" w:hAnsi="宋体" w:cs="宋体"/>
                <w:sz w:val="22"/>
                <w:szCs w:val="22"/>
              </w:rPr>
            </w:pPr>
            <w:r>
              <w:rPr>
                <w:rFonts w:hint="eastAsia" w:ascii="宋体" w:hAnsi="宋体" w:cs="宋体"/>
                <w:sz w:val="22"/>
                <w:szCs w:val="22"/>
              </w:rPr>
              <w:t>偏离</w:t>
            </w:r>
          </w:p>
        </w:tc>
        <w:tc>
          <w:tcPr>
            <w:tcW w:w="1588" w:type="dxa"/>
            <w:vAlign w:val="center"/>
          </w:tcPr>
          <w:p w14:paraId="3FD90F84">
            <w:pPr>
              <w:jc w:val="center"/>
              <w:rPr>
                <w:rFonts w:ascii="宋体" w:hAnsi="宋体" w:cs="宋体"/>
                <w:sz w:val="22"/>
                <w:szCs w:val="22"/>
              </w:rPr>
            </w:pPr>
            <w:r>
              <w:rPr>
                <w:rFonts w:hint="eastAsia" w:ascii="宋体" w:hAnsi="宋体" w:cs="宋体"/>
                <w:sz w:val="22"/>
                <w:szCs w:val="22"/>
              </w:rPr>
              <w:t>说   明</w:t>
            </w:r>
          </w:p>
        </w:tc>
      </w:tr>
      <w:tr w14:paraId="36E736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70728F1">
            <w:pPr>
              <w:jc w:val="center"/>
              <w:rPr>
                <w:rFonts w:ascii="宋体" w:hAnsi="宋体" w:cs="宋体"/>
                <w:sz w:val="22"/>
                <w:szCs w:val="22"/>
              </w:rPr>
            </w:pPr>
            <w:r>
              <w:rPr>
                <w:rFonts w:hint="eastAsia" w:ascii="宋体" w:hAnsi="宋体" w:cs="宋体"/>
                <w:sz w:val="22"/>
                <w:szCs w:val="22"/>
              </w:rPr>
              <w:t>1</w:t>
            </w:r>
          </w:p>
        </w:tc>
        <w:tc>
          <w:tcPr>
            <w:tcW w:w="1559" w:type="dxa"/>
            <w:vAlign w:val="center"/>
          </w:tcPr>
          <w:p w14:paraId="3D706B9F">
            <w:pPr>
              <w:jc w:val="center"/>
              <w:rPr>
                <w:rFonts w:ascii="宋体" w:hAnsi="宋体" w:cs="宋体"/>
                <w:sz w:val="22"/>
                <w:szCs w:val="22"/>
              </w:rPr>
            </w:pPr>
            <w:r>
              <w:rPr>
                <w:rFonts w:hint="eastAsia" w:ascii="宋体" w:hAnsi="宋体" w:cs="宋体"/>
                <w:sz w:val="22"/>
                <w:szCs w:val="22"/>
              </w:rPr>
              <w:t>付款方式</w:t>
            </w:r>
          </w:p>
        </w:tc>
        <w:tc>
          <w:tcPr>
            <w:tcW w:w="2184" w:type="dxa"/>
            <w:vAlign w:val="center"/>
          </w:tcPr>
          <w:p w14:paraId="781D855A">
            <w:pPr>
              <w:jc w:val="center"/>
              <w:rPr>
                <w:rFonts w:ascii="宋体" w:hAnsi="宋体" w:cs="宋体"/>
                <w:sz w:val="22"/>
                <w:szCs w:val="22"/>
              </w:rPr>
            </w:pPr>
          </w:p>
        </w:tc>
        <w:tc>
          <w:tcPr>
            <w:tcW w:w="2402" w:type="dxa"/>
            <w:vAlign w:val="center"/>
          </w:tcPr>
          <w:p w14:paraId="2EE6F0E1">
            <w:pPr>
              <w:jc w:val="center"/>
              <w:rPr>
                <w:rFonts w:ascii="宋体" w:hAnsi="宋体" w:cs="宋体"/>
                <w:sz w:val="22"/>
                <w:szCs w:val="22"/>
              </w:rPr>
            </w:pPr>
          </w:p>
        </w:tc>
        <w:tc>
          <w:tcPr>
            <w:tcW w:w="1200" w:type="dxa"/>
            <w:vAlign w:val="center"/>
          </w:tcPr>
          <w:p w14:paraId="5CCD8E82">
            <w:pPr>
              <w:jc w:val="center"/>
              <w:rPr>
                <w:rFonts w:ascii="宋体" w:hAnsi="宋体" w:cs="宋体"/>
                <w:sz w:val="22"/>
                <w:szCs w:val="22"/>
              </w:rPr>
            </w:pPr>
          </w:p>
        </w:tc>
        <w:tc>
          <w:tcPr>
            <w:tcW w:w="1588" w:type="dxa"/>
            <w:vAlign w:val="center"/>
          </w:tcPr>
          <w:p w14:paraId="0BC76CD7">
            <w:pPr>
              <w:jc w:val="center"/>
              <w:rPr>
                <w:rFonts w:ascii="宋体" w:hAnsi="宋体" w:cs="宋体"/>
                <w:sz w:val="22"/>
                <w:szCs w:val="22"/>
              </w:rPr>
            </w:pPr>
          </w:p>
        </w:tc>
      </w:tr>
      <w:tr w14:paraId="3A284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63D36CC">
            <w:pPr>
              <w:jc w:val="center"/>
              <w:rPr>
                <w:rFonts w:ascii="宋体" w:hAnsi="宋体" w:cs="宋体"/>
                <w:sz w:val="22"/>
                <w:szCs w:val="22"/>
              </w:rPr>
            </w:pPr>
            <w:r>
              <w:rPr>
                <w:rFonts w:hint="eastAsia" w:ascii="宋体" w:hAnsi="宋体" w:cs="宋体"/>
                <w:sz w:val="22"/>
                <w:szCs w:val="22"/>
              </w:rPr>
              <w:t>2</w:t>
            </w:r>
          </w:p>
        </w:tc>
        <w:tc>
          <w:tcPr>
            <w:tcW w:w="1559" w:type="dxa"/>
            <w:vAlign w:val="center"/>
          </w:tcPr>
          <w:p w14:paraId="6F2FB255">
            <w:pPr>
              <w:jc w:val="center"/>
              <w:rPr>
                <w:rFonts w:ascii="宋体" w:hAnsi="宋体" w:cs="宋体"/>
                <w:sz w:val="22"/>
                <w:szCs w:val="22"/>
              </w:rPr>
            </w:pPr>
            <w:r>
              <w:rPr>
                <w:rFonts w:hint="eastAsia" w:ascii="宋体" w:hAnsi="宋体" w:cs="宋体"/>
                <w:sz w:val="22"/>
                <w:szCs w:val="22"/>
              </w:rPr>
              <w:t>服务时间</w:t>
            </w:r>
          </w:p>
        </w:tc>
        <w:tc>
          <w:tcPr>
            <w:tcW w:w="2184" w:type="dxa"/>
            <w:vAlign w:val="center"/>
          </w:tcPr>
          <w:p w14:paraId="6A90A85A">
            <w:pPr>
              <w:jc w:val="center"/>
              <w:rPr>
                <w:rFonts w:ascii="宋体" w:hAnsi="宋体" w:cs="宋体"/>
                <w:sz w:val="22"/>
                <w:szCs w:val="22"/>
              </w:rPr>
            </w:pPr>
          </w:p>
        </w:tc>
        <w:tc>
          <w:tcPr>
            <w:tcW w:w="2402" w:type="dxa"/>
            <w:vAlign w:val="center"/>
          </w:tcPr>
          <w:p w14:paraId="49BBDA56">
            <w:pPr>
              <w:jc w:val="center"/>
              <w:rPr>
                <w:rFonts w:ascii="宋体" w:hAnsi="宋体" w:cs="宋体"/>
                <w:sz w:val="22"/>
                <w:szCs w:val="22"/>
              </w:rPr>
            </w:pPr>
          </w:p>
        </w:tc>
        <w:tc>
          <w:tcPr>
            <w:tcW w:w="1200" w:type="dxa"/>
            <w:vAlign w:val="center"/>
          </w:tcPr>
          <w:p w14:paraId="6BDDDB90">
            <w:pPr>
              <w:jc w:val="center"/>
              <w:rPr>
                <w:rFonts w:ascii="宋体" w:hAnsi="宋体" w:cs="宋体"/>
                <w:sz w:val="22"/>
                <w:szCs w:val="22"/>
              </w:rPr>
            </w:pPr>
          </w:p>
        </w:tc>
        <w:tc>
          <w:tcPr>
            <w:tcW w:w="1588" w:type="dxa"/>
            <w:vAlign w:val="center"/>
          </w:tcPr>
          <w:p w14:paraId="51C7166C">
            <w:pPr>
              <w:jc w:val="center"/>
              <w:rPr>
                <w:rFonts w:ascii="宋体" w:hAnsi="宋体" w:cs="宋体"/>
                <w:sz w:val="22"/>
                <w:szCs w:val="22"/>
              </w:rPr>
            </w:pPr>
          </w:p>
        </w:tc>
      </w:tr>
      <w:tr w14:paraId="232BF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EEA728A">
            <w:pPr>
              <w:jc w:val="center"/>
              <w:rPr>
                <w:rFonts w:ascii="宋体" w:hAnsi="宋体" w:cs="宋体"/>
                <w:sz w:val="22"/>
                <w:szCs w:val="22"/>
              </w:rPr>
            </w:pPr>
            <w:r>
              <w:rPr>
                <w:rFonts w:hint="eastAsia" w:ascii="宋体" w:hAnsi="宋体" w:cs="宋体"/>
                <w:sz w:val="22"/>
                <w:szCs w:val="22"/>
              </w:rPr>
              <w:t>3</w:t>
            </w:r>
          </w:p>
        </w:tc>
        <w:tc>
          <w:tcPr>
            <w:tcW w:w="1559" w:type="dxa"/>
            <w:vAlign w:val="center"/>
          </w:tcPr>
          <w:p w14:paraId="1BFF10EA">
            <w:pPr>
              <w:jc w:val="center"/>
              <w:rPr>
                <w:rFonts w:ascii="宋体" w:hAnsi="宋体" w:cs="宋体"/>
                <w:sz w:val="22"/>
                <w:szCs w:val="22"/>
              </w:rPr>
            </w:pPr>
          </w:p>
        </w:tc>
        <w:tc>
          <w:tcPr>
            <w:tcW w:w="2184" w:type="dxa"/>
            <w:vAlign w:val="center"/>
          </w:tcPr>
          <w:p w14:paraId="46F6CEC6">
            <w:pPr>
              <w:jc w:val="center"/>
              <w:rPr>
                <w:rFonts w:ascii="宋体" w:hAnsi="宋体" w:cs="宋体"/>
                <w:sz w:val="22"/>
                <w:szCs w:val="22"/>
              </w:rPr>
            </w:pPr>
          </w:p>
        </w:tc>
        <w:tc>
          <w:tcPr>
            <w:tcW w:w="2402" w:type="dxa"/>
            <w:vAlign w:val="center"/>
          </w:tcPr>
          <w:p w14:paraId="4152AFE6">
            <w:pPr>
              <w:jc w:val="center"/>
              <w:rPr>
                <w:rFonts w:ascii="宋体" w:hAnsi="宋体" w:cs="宋体"/>
                <w:sz w:val="22"/>
                <w:szCs w:val="22"/>
              </w:rPr>
            </w:pPr>
          </w:p>
        </w:tc>
        <w:tc>
          <w:tcPr>
            <w:tcW w:w="1200" w:type="dxa"/>
            <w:vAlign w:val="center"/>
          </w:tcPr>
          <w:p w14:paraId="75443D0E">
            <w:pPr>
              <w:jc w:val="center"/>
              <w:rPr>
                <w:rFonts w:ascii="宋体" w:hAnsi="宋体" w:cs="宋体"/>
                <w:sz w:val="22"/>
                <w:szCs w:val="22"/>
              </w:rPr>
            </w:pPr>
          </w:p>
        </w:tc>
        <w:tc>
          <w:tcPr>
            <w:tcW w:w="1588" w:type="dxa"/>
            <w:vAlign w:val="center"/>
          </w:tcPr>
          <w:p w14:paraId="51EAA72B">
            <w:pPr>
              <w:jc w:val="center"/>
              <w:rPr>
                <w:rFonts w:ascii="宋体" w:hAnsi="宋体" w:cs="宋体"/>
                <w:sz w:val="22"/>
                <w:szCs w:val="22"/>
              </w:rPr>
            </w:pPr>
          </w:p>
        </w:tc>
      </w:tr>
      <w:tr w14:paraId="5E1FF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F3CA038">
            <w:pPr>
              <w:jc w:val="center"/>
              <w:rPr>
                <w:rFonts w:ascii="宋体" w:hAnsi="宋体" w:cs="宋体"/>
                <w:sz w:val="22"/>
                <w:szCs w:val="22"/>
              </w:rPr>
            </w:pPr>
            <w:r>
              <w:rPr>
                <w:rFonts w:hint="eastAsia" w:ascii="宋体" w:hAnsi="宋体" w:cs="宋体"/>
                <w:sz w:val="22"/>
                <w:szCs w:val="22"/>
              </w:rPr>
              <w:t>4</w:t>
            </w:r>
          </w:p>
        </w:tc>
        <w:tc>
          <w:tcPr>
            <w:tcW w:w="1559" w:type="dxa"/>
            <w:vAlign w:val="center"/>
          </w:tcPr>
          <w:p w14:paraId="63E1CAE5">
            <w:pPr>
              <w:jc w:val="center"/>
              <w:rPr>
                <w:rFonts w:ascii="宋体" w:hAnsi="宋体" w:cs="宋体"/>
                <w:sz w:val="22"/>
                <w:szCs w:val="22"/>
              </w:rPr>
            </w:pPr>
          </w:p>
        </w:tc>
        <w:tc>
          <w:tcPr>
            <w:tcW w:w="2184" w:type="dxa"/>
            <w:vAlign w:val="center"/>
          </w:tcPr>
          <w:p w14:paraId="13CA14D2">
            <w:pPr>
              <w:jc w:val="center"/>
              <w:rPr>
                <w:rFonts w:ascii="宋体" w:hAnsi="宋体" w:cs="宋体"/>
                <w:sz w:val="22"/>
                <w:szCs w:val="22"/>
              </w:rPr>
            </w:pPr>
          </w:p>
        </w:tc>
        <w:tc>
          <w:tcPr>
            <w:tcW w:w="2402" w:type="dxa"/>
            <w:vAlign w:val="center"/>
          </w:tcPr>
          <w:p w14:paraId="784B58F0">
            <w:pPr>
              <w:jc w:val="center"/>
              <w:rPr>
                <w:rFonts w:ascii="宋体" w:hAnsi="宋体" w:cs="宋体"/>
                <w:sz w:val="22"/>
                <w:szCs w:val="22"/>
              </w:rPr>
            </w:pPr>
          </w:p>
        </w:tc>
        <w:tc>
          <w:tcPr>
            <w:tcW w:w="1200" w:type="dxa"/>
            <w:vAlign w:val="center"/>
          </w:tcPr>
          <w:p w14:paraId="165ECCBE">
            <w:pPr>
              <w:jc w:val="center"/>
              <w:rPr>
                <w:rFonts w:ascii="宋体" w:hAnsi="宋体" w:cs="宋体"/>
                <w:sz w:val="22"/>
                <w:szCs w:val="22"/>
              </w:rPr>
            </w:pPr>
          </w:p>
        </w:tc>
        <w:tc>
          <w:tcPr>
            <w:tcW w:w="1588" w:type="dxa"/>
            <w:vAlign w:val="center"/>
          </w:tcPr>
          <w:p w14:paraId="72C42B10">
            <w:pPr>
              <w:jc w:val="center"/>
              <w:rPr>
                <w:rFonts w:ascii="宋体" w:hAnsi="宋体" w:cs="宋体"/>
                <w:sz w:val="22"/>
                <w:szCs w:val="22"/>
              </w:rPr>
            </w:pPr>
          </w:p>
        </w:tc>
      </w:tr>
      <w:tr w14:paraId="22ECA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CBD9263">
            <w:pPr>
              <w:jc w:val="center"/>
              <w:rPr>
                <w:rFonts w:ascii="宋体" w:hAnsi="宋体" w:cs="宋体"/>
                <w:sz w:val="22"/>
                <w:szCs w:val="22"/>
              </w:rPr>
            </w:pPr>
            <w:r>
              <w:rPr>
                <w:rFonts w:hint="eastAsia" w:ascii="宋体" w:hAnsi="宋体" w:cs="宋体"/>
                <w:sz w:val="22"/>
                <w:szCs w:val="22"/>
              </w:rPr>
              <w:t>5</w:t>
            </w:r>
          </w:p>
        </w:tc>
        <w:tc>
          <w:tcPr>
            <w:tcW w:w="1559" w:type="dxa"/>
            <w:vAlign w:val="center"/>
          </w:tcPr>
          <w:p w14:paraId="56BB0A37">
            <w:pPr>
              <w:jc w:val="center"/>
              <w:rPr>
                <w:rFonts w:ascii="宋体" w:hAnsi="宋体" w:cs="宋体"/>
                <w:sz w:val="22"/>
                <w:szCs w:val="22"/>
              </w:rPr>
            </w:pPr>
          </w:p>
        </w:tc>
        <w:tc>
          <w:tcPr>
            <w:tcW w:w="2184" w:type="dxa"/>
            <w:vAlign w:val="center"/>
          </w:tcPr>
          <w:p w14:paraId="6DAA214B">
            <w:pPr>
              <w:jc w:val="center"/>
              <w:rPr>
                <w:rFonts w:ascii="宋体" w:hAnsi="宋体" w:cs="宋体"/>
                <w:sz w:val="22"/>
                <w:szCs w:val="22"/>
              </w:rPr>
            </w:pPr>
          </w:p>
        </w:tc>
        <w:tc>
          <w:tcPr>
            <w:tcW w:w="2402" w:type="dxa"/>
            <w:vAlign w:val="center"/>
          </w:tcPr>
          <w:p w14:paraId="62BFD3A1">
            <w:pPr>
              <w:jc w:val="center"/>
              <w:rPr>
                <w:rFonts w:ascii="宋体" w:hAnsi="宋体" w:cs="宋体"/>
                <w:sz w:val="22"/>
                <w:szCs w:val="22"/>
              </w:rPr>
            </w:pPr>
          </w:p>
        </w:tc>
        <w:tc>
          <w:tcPr>
            <w:tcW w:w="1200" w:type="dxa"/>
            <w:vAlign w:val="center"/>
          </w:tcPr>
          <w:p w14:paraId="32C9F767">
            <w:pPr>
              <w:jc w:val="center"/>
              <w:rPr>
                <w:rFonts w:ascii="宋体" w:hAnsi="宋体" w:cs="宋体"/>
                <w:sz w:val="22"/>
                <w:szCs w:val="22"/>
              </w:rPr>
            </w:pPr>
          </w:p>
        </w:tc>
        <w:tc>
          <w:tcPr>
            <w:tcW w:w="1588" w:type="dxa"/>
            <w:vAlign w:val="center"/>
          </w:tcPr>
          <w:p w14:paraId="419162A7">
            <w:pPr>
              <w:jc w:val="center"/>
              <w:rPr>
                <w:rFonts w:ascii="宋体" w:hAnsi="宋体" w:cs="宋体"/>
                <w:sz w:val="22"/>
                <w:szCs w:val="22"/>
              </w:rPr>
            </w:pPr>
          </w:p>
        </w:tc>
      </w:tr>
      <w:tr w14:paraId="6DC119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D3426CB">
            <w:pPr>
              <w:jc w:val="center"/>
              <w:rPr>
                <w:rFonts w:ascii="宋体" w:hAnsi="宋体" w:cs="宋体"/>
                <w:sz w:val="22"/>
                <w:szCs w:val="22"/>
              </w:rPr>
            </w:pPr>
            <w:r>
              <w:rPr>
                <w:rFonts w:hint="eastAsia" w:ascii="宋体" w:hAnsi="宋体" w:cs="宋体"/>
                <w:sz w:val="22"/>
                <w:szCs w:val="22"/>
              </w:rPr>
              <w:t>……</w:t>
            </w:r>
          </w:p>
        </w:tc>
        <w:tc>
          <w:tcPr>
            <w:tcW w:w="1559" w:type="dxa"/>
            <w:vAlign w:val="center"/>
          </w:tcPr>
          <w:p w14:paraId="55FDCB73">
            <w:pPr>
              <w:jc w:val="center"/>
              <w:rPr>
                <w:rFonts w:ascii="宋体" w:hAnsi="宋体" w:cs="宋体"/>
                <w:sz w:val="22"/>
                <w:szCs w:val="22"/>
              </w:rPr>
            </w:pPr>
            <w:r>
              <w:rPr>
                <w:rFonts w:hint="eastAsia" w:ascii="宋体" w:hAnsi="宋体" w:cs="宋体"/>
                <w:sz w:val="22"/>
                <w:szCs w:val="22"/>
              </w:rPr>
              <w:t>……</w:t>
            </w:r>
          </w:p>
        </w:tc>
        <w:tc>
          <w:tcPr>
            <w:tcW w:w="2184" w:type="dxa"/>
            <w:vAlign w:val="center"/>
          </w:tcPr>
          <w:p w14:paraId="09A4F41B">
            <w:pPr>
              <w:jc w:val="center"/>
              <w:rPr>
                <w:rFonts w:ascii="宋体" w:hAnsi="宋体" w:cs="宋体"/>
                <w:sz w:val="22"/>
                <w:szCs w:val="22"/>
              </w:rPr>
            </w:pPr>
          </w:p>
        </w:tc>
        <w:tc>
          <w:tcPr>
            <w:tcW w:w="2402" w:type="dxa"/>
            <w:vAlign w:val="center"/>
          </w:tcPr>
          <w:p w14:paraId="7F40CBDC">
            <w:pPr>
              <w:jc w:val="center"/>
              <w:rPr>
                <w:rFonts w:ascii="宋体" w:hAnsi="宋体" w:cs="宋体"/>
                <w:sz w:val="22"/>
                <w:szCs w:val="22"/>
              </w:rPr>
            </w:pPr>
          </w:p>
        </w:tc>
        <w:tc>
          <w:tcPr>
            <w:tcW w:w="1200" w:type="dxa"/>
            <w:vAlign w:val="center"/>
          </w:tcPr>
          <w:p w14:paraId="1D48958C">
            <w:pPr>
              <w:jc w:val="center"/>
              <w:rPr>
                <w:rFonts w:ascii="宋体" w:hAnsi="宋体" w:cs="宋体"/>
                <w:sz w:val="22"/>
                <w:szCs w:val="22"/>
              </w:rPr>
            </w:pPr>
          </w:p>
        </w:tc>
        <w:tc>
          <w:tcPr>
            <w:tcW w:w="1588" w:type="dxa"/>
            <w:vAlign w:val="center"/>
          </w:tcPr>
          <w:p w14:paraId="624BAF95">
            <w:pPr>
              <w:jc w:val="center"/>
              <w:rPr>
                <w:rFonts w:ascii="宋体" w:hAnsi="宋体" w:cs="宋体"/>
                <w:sz w:val="22"/>
                <w:szCs w:val="22"/>
              </w:rPr>
            </w:pPr>
          </w:p>
        </w:tc>
      </w:tr>
    </w:tbl>
    <w:p w14:paraId="167C6A84">
      <w:pPr>
        <w:spacing w:line="500" w:lineRule="exact"/>
        <w:rPr>
          <w:rFonts w:ascii="宋体" w:hAnsi="宋体" w:cs="宋体"/>
          <w:sz w:val="24"/>
        </w:rPr>
      </w:pPr>
      <w:r>
        <w:rPr>
          <w:rFonts w:hint="eastAsia" w:ascii="宋体" w:hAnsi="宋体" w:cs="宋体"/>
          <w:sz w:val="24"/>
        </w:rPr>
        <w:t>说明：</w:t>
      </w:r>
    </w:p>
    <w:p w14:paraId="1CB7770B">
      <w:pPr>
        <w:spacing w:line="500" w:lineRule="exact"/>
        <w:rPr>
          <w:rFonts w:ascii="宋体" w:hAnsi="宋体" w:cs="宋体"/>
          <w:b/>
          <w:bCs/>
          <w:sz w:val="22"/>
          <w:szCs w:val="22"/>
        </w:rPr>
      </w:pPr>
      <w:r>
        <w:rPr>
          <w:rFonts w:hint="eastAsia" w:ascii="宋体" w:hAnsi="宋体" w:cs="宋体"/>
          <w:b/>
          <w:bCs/>
          <w:sz w:val="22"/>
          <w:szCs w:val="22"/>
        </w:rPr>
        <w:t>不填写此表视作完全响应采购文件要求。</w:t>
      </w:r>
    </w:p>
    <w:p w14:paraId="4C627C22">
      <w:pPr>
        <w:spacing w:line="500" w:lineRule="exact"/>
        <w:ind w:firstLine="4400" w:firstLineChars="2000"/>
        <w:rPr>
          <w:rFonts w:ascii="宋体" w:hAnsi="宋体" w:cs="宋体"/>
          <w:sz w:val="22"/>
          <w:szCs w:val="22"/>
        </w:rPr>
      </w:pPr>
    </w:p>
    <w:p w14:paraId="0E555D5C">
      <w:pPr>
        <w:spacing w:line="500" w:lineRule="exact"/>
        <w:ind w:firstLine="4400" w:firstLineChars="2000"/>
        <w:rPr>
          <w:rFonts w:ascii="宋体" w:hAnsi="宋体" w:cs="宋体"/>
          <w:sz w:val="22"/>
          <w:szCs w:val="22"/>
        </w:rPr>
      </w:pPr>
    </w:p>
    <w:p w14:paraId="46664A20">
      <w:pPr>
        <w:spacing w:line="500" w:lineRule="exact"/>
        <w:ind w:firstLine="4400" w:firstLineChars="2000"/>
        <w:rPr>
          <w:rFonts w:ascii="宋体" w:hAnsi="宋体" w:cs="宋体"/>
          <w:sz w:val="22"/>
          <w:szCs w:val="22"/>
        </w:rPr>
      </w:pPr>
    </w:p>
    <w:p w14:paraId="63DF4505">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供应商全称（盖章）：</w:t>
      </w:r>
    </w:p>
    <w:p w14:paraId="7156DF13">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供应商代表（签名或盖章）：</w:t>
      </w:r>
    </w:p>
    <w:p w14:paraId="5C56BE3A">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日 期：  年  月  日</w:t>
      </w:r>
    </w:p>
    <w:p w14:paraId="6970F62D">
      <w:pPr>
        <w:tabs>
          <w:tab w:val="left" w:pos="840"/>
        </w:tabs>
        <w:adjustRightInd w:val="0"/>
        <w:snapToGrid w:val="0"/>
        <w:spacing w:line="360" w:lineRule="auto"/>
        <w:ind w:left="420" w:leftChars="200" w:firstLine="330" w:firstLineChars="150"/>
        <w:rPr>
          <w:rFonts w:ascii="宋体" w:hAnsi="宋体" w:cs="宋体"/>
          <w:sz w:val="22"/>
          <w:szCs w:val="22"/>
        </w:rPr>
      </w:pPr>
    </w:p>
    <w:p w14:paraId="4057A777">
      <w:pPr>
        <w:pStyle w:val="53"/>
        <w:ind w:firstLine="0" w:firstLineChars="0"/>
        <w:rPr>
          <w:rFonts w:ascii="宋体" w:hAnsi="宋体" w:cs="宋体"/>
          <w:sz w:val="22"/>
        </w:rPr>
      </w:pPr>
    </w:p>
    <w:p w14:paraId="3BA1CE7E">
      <w:pPr>
        <w:pStyle w:val="53"/>
        <w:ind w:firstLine="224"/>
        <w:rPr>
          <w:rFonts w:ascii="宋体" w:hAnsi="宋体" w:cs="宋体"/>
          <w:sz w:val="22"/>
        </w:rPr>
      </w:pPr>
    </w:p>
    <w:p w14:paraId="211D0ABC">
      <w:pPr>
        <w:pStyle w:val="53"/>
        <w:ind w:firstLine="224"/>
        <w:rPr>
          <w:rFonts w:ascii="宋体" w:hAnsi="宋体" w:cs="宋体"/>
          <w:sz w:val="22"/>
        </w:rPr>
      </w:pPr>
    </w:p>
    <w:p w14:paraId="7EE18A0A">
      <w:pPr>
        <w:tabs>
          <w:tab w:val="left" w:pos="780"/>
        </w:tabs>
        <w:spacing w:line="400" w:lineRule="exact"/>
        <w:ind w:left="180"/>
        <w:rPr>
          <w:rFonts w:ascii="宋体" w:hAnsi="宋体" w:cs="宋体"/>
          <w:b/>
          <w:bCs/>
          <w:sz w:val="22"/>
          <w:szCs w:val="22"/>
        </w:rPr>
      </w:pPr>
    </w:p>
    <w:p w14:paraId="697A5780">
      <w:pPr>
        <w:tabs>
          <w:tab w:val="left" w:pos="780"/>
        </w:tabs>
        <w:spacing w:line="400" w:lineRule="exact"/>
        <w:ind w:left="180"/>
        <w:rPr>
          <w:rFonts w:ascii="宋体" w:hAnsi="宋体" w:cs="宋体"/>
          <w:b/>
          <w:bCs/>
          <w:sz w:val="22"/>
          <w:szCs w:val="22"/>
        </w:rPr>
      </w:pPr>
      <w:r>
        <w:rPr>
          <w:rFonts w:hint="eastAsia" w:ascii="宋体" w:hAnsi="宋体" w:cs="宋体"/>
          <w:b/>
          <w:bCs/>
          <w:sz w:val="22"/>
          <w:szCs w:val="22"/>
        </w:rPr>
        <w:br w:type="page"/>
      </w:r>
      <w:r>
        <w:rPr>
          <w:rFonts w:hint="eastAsia" w:ascii="宋体" w:hAnsi="宋体" w:cs="宋体"/>
          <w:b/>
          <w:bCs/>
          <w:sz w:val="22"/>
          <w:szCs w:val="22"/>
        </w:rPr>
        <w:t>附件三                             项目负责人资格情况表</w:t>
      </w:r>
    </w:p>
    <w:p w14:paraId="42B07C2F">
      <w:pPr>
        <w:tabs>
          <w:tab w:val="left" w:pos="780"/>
        </w:tabs>
        <w:spacing w:line="400" w:lineRule="exact"/>
        <w:ind w:left="180"/>
        <w:rPr>
          <w:rFonts w:ascii="宋体" w:hAnsi="宋体" w:cs="宋体"/>
          <w:b/>
          <w:sz w:val="22"/>
          <w:szCs w:val="22"/>
        </w:rPr>
      </w:pPr>
    </w:p>
    <w:tbl>
      <w:tblPr>
        <w:tblStyle w:val="56"/>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62254EA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769FE7C">
            <w:pPr>
              <w:spacing w:line="360" w:lineRule="exact"/>
              <w:jc w:val="center"/>
              <w:rPr>
                <w:rFonts w:ascii="宋体" w:hAnsi="宋体" w:cs="宋体"/>
                <w:sz w:val="22"/>
                <w:szCs w:val="22"/>
              </w:rPr>
            </w:pPr>
            <w:r>
              <w:rPr>
                <w:rFonts w:hint="eastAsia" w:ascii="宋体" w:hAnsi="宋体" w:cs="宋体"/>
                <w:sz w:val="22"/>
                <w:szCs w:val="22"/>
              </w:rPr>
              <w:t>1.一般情况</w:t>
            </w:r>
          </w:p>
        </w:tc>
      </w:tr>
      <w:tr w14:paraId="68ADE23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4440E5F">
            <w:pPr>
              <w:spacing w:line="360" w:lineRule="exact"/>
              <w:jc w:val="center"/>
              <w:rPr>
                <w:rFonts w:ascii="宋体" w:hAnsi="宋体" w:cs="宋体"/>
                <w:sz w:val="22"/>
                <w:szCs w:val="22"/>
              </w:rPr>
            </w:pPr>
            <w:r>
              <w:rPr>
                <w:rFonts w:hint="eastAsia" w:ascii="宋体" w:hAnsi="宋体" w:cs="宋体"/>
                <w:sz w:val="22"/>
                <w:szCs w:val="22"/>
              </w:rPr>
              <w:t>姓   名</w:t>
            </w:r>
          </w:p>
        </w:tc>
        <w:tc>
          <w:tcPr>
            <w:tcW w:w="1799" w:type="dxa"/>
            <w:tcBorders>
              <w:top w:val="single" w:color="auto" w:sz="4" w:space="0"/>
              <w:bottom w:val="single" w:color="auto" w:sz="4" w:space="0"/>
            </w:tcBorders>
            <w:vAlign w:val="center"/>
          </w:tcPr>
          <w:p w14:paraId="37560765">
            <w:pPr>
              <w:spacing w:line="360" w:lineRule="exact"/>
              <w:jc w:val="center"/>
              <w:rPr>
                <w:rFonts w:ascii="宋体" w:hAnsi="宋体" w:cs="宋体"/>
                <w:sz w:val="22"/>
                <w:szCs w:val="22"/>
              </w:rPr>
            </w:pPr>
          </w:p>
        </w:tc>
        <w:tc>
          <w:tcPr>
            <w:tcW w:w="1567" w:type="dxa"/>
            <w:gridSpan w:val="2"/>
            <w:tcBorders>
              <w:top w:val="single" w:color="auto" w:sz="4" w:space="0"/>
              <w:bottom w:val="single" w:color="auto" w:sz="4" w:space="0"/>
            </w:tcBorders>
            <w:vAlign w:val="center"/>
          </w:tcPr>
          <w:p w14:paraId="69F274E3">
            <w:pPr>
              <w:spacing w:line="360" w:lineRule="exact"/>
              <w:jc w:val="center"/>
              <w:rPr>
                <w:rFonts w:ascii="宋体" w:hAnsi="宋体" w:cs="宋体"/>
                <w:sz w:val="22"/>
                <w:szCs w:val="22"/>
              </w:rPr>
            </w:pPr>
            <w:r>
              <w:rPr>
                <w:rFonts w:hint="eastAsia" w:ascii="宋体" w:hAnsi="宋体" w:cs="宋体"/>
                <w:sz w:val="22"/>
                <w:szCs w:val="22"/>
              </w:rPr>
              <w:t>年  龄</w:t>
            </w:r>
          </w:p>
        </w:tc>
        <w:tc>
          <w:tcPr>
            <w:tcW w:w="1062" w:type="dxa"/>
            <w:tcBorders>
              <w:top w:val="single" w:color="auto" w:sz="4" w:space="0"/>
              <w:bottom w:val="single" w:color="auto" w:sz="4" w:space="0"/>
            </w:tcBorders>
            <w:vAlign w:val="center"/>
          </w:tcPr>
          <w:p w14:paraId="28E75698">
            <w:pPr>
              <w:spacing w:line="360" w:lineRule="exact"/>
              <w:jc w:val="center"/>
              <w:rPr>
                <w:rFonts w:ascii="宋体" w:hAnsi="宋体" w:cs="宋体"/>
                <w:sz w:val="22"/>
                <w:szCs w:val="22"/>
              </w:rPr>
            </w:pPr>
          </w:p>
        </w:tc>
        <w:tc>
          <w:tcPr>
            <w:tcW w:w="2074" w:type="dxa"/>
            <w:tcBorders>
              <w:top w:val="single" w:color="auto" w:sz="4" w:space="0"/>
              <w:bottom w:val="single" w:color="auto" w:sz="4" w:space="0"/>
            </w:tcBorders>
            <w:vAlign w:val="center"/>
          </w:tcPr>
          <w:p w14:paraId="1801B082">
            <w:pPr>
              <w:spacing w:line="360" w:lineRule="exact"/>
              <w:jc w:val="center"/>
              <w:rPr>
                <w:rFonts w:ascii="宋体" w:hAnsi="宋体" w:cs="宋体"/>
                <w:sz w:val="22"/>
                <w:szCs w:val="22"/>
              </w:rPr>
            </w:pPr>
            <w:r>
              <w:rPr>
                <w:rFonts w:hint="eastAsia" w:ascii="宋体" w:hAnsi="宋体" w:cs="宋体"/>
                <w:sz w:val="22"/>
                <w:szCs w:val="22"/>
              </w:rPr>
              <w:t>学  历</w:t>
            </w:r>
          </w:p>
        </w:tc>
        <w:tc>
          <w:tcPr>
            <w:tcW w:w="1568" w:type="dxa"/>
            <w:tcBorders>
              <w:top w:val="single" w:color="auto" w:sz="4" w:space="0"/>
              <w:bottom w:val="single" w:color="auto" w:sz="4" w:space="0"/>
            </w:tcBorders>
            <w:vAlign w:val="center"/>
          </w:tcPr>
          <w:p w14:paraId="1EA128E5">
            <w:pPr>
              <w:spacing w:line="360" w:lineRule="exact"/>
              <w:jc w:val="center"/>
              <w:rPr>
                <w:rFonts w:ascii="宋体" w:hAnsi="宋体" w:cs="宋体"/>
                <w:sz w:val="22"/>
                <w:szCs w:val="22"/>
              </w:rPr>
            </w:pPr>
          </w:p>
        </w:tc>
      </w:tr>
      <w:tr w14:paraId="2F4B0DB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9E84817">
            <w:pPr>
              <w:spacing w:line="360" w:lineRule="exact"/>
              <w:jc w:val="center"/>
              <w:rPr>
                <w:rFonts w:ascii="宋体" w:hAnsi="宋体" w:cs="宋体"/>
                <w:sz w:val="22"/>
                <w:szCs w:val="22"/>
              </w:rPr>
            </w:pPr>
            <w:r>
              <w:rPr>
                <w:rFonts w:hint="eastAsia" w:ascii="宋体" w:hAnsi="宋体" w:cs="宋体"/>
                <w:sz w:val="22"/>
                <w:szCs w:val="22"/>
              </w:rPr>
              <w:t>毕业学校</w:t>
            </w:r>
          </w:p>
        </w:tc>
        <w:tc>
          <w:tcPr>
            <w:tcW w:w="1799" w:type="dxa"/>
            <w:tcBorders>
              <w:top w:val="single" w:color="auto" w:sz="4" w:space="0"/>
              <w:bottom w:val="single" w:color="auto" w:sz="4" w:space="0"/>
            </w:tcBorders>
            <w:vAlign w:val="center"/>
          </w:tcPr>
          <w:p w14:paraId="3C1E8476">
            <w:pPr>
              <w:spacing w:line="360" w:lineRule="exact"/>
              <w:rPr>
                <w:rFonts w:ascii="宋体" w:hAnsi="宋体" w:cs="宋体"/>
                <w:sz w:val="22"/>
                <w:szCs w:val="22"/>
              </w:rPr>
            </w:pPr>
          </w:p>
        </w:tc>
        <w:tc>
          <w:tcPr>
            <w:tcW w:w="1567" w:type="dxa"/>
            <w:gridSpan w:val="2"/>
            <w:tcBorders>
              <w:top w:val="single" w:color="auto" w:sz="4" w:space="0"/>
              <w:bottom w:val="single" w:color="auto" w:sz="4" w:space="0"/>
            </w:tcBorders>
            <w:vAlign w:val="center"/>
          </w:tcPr>
          <w:p w14:paraId="00537CBF">
            <w:pPr>
              <w:spacing w:line="360" w:lineRule="exact"/>
              <w:jc w:val="center"/>
              <w:rPr>
                <w:rFonts w:ascii="宋体" w:hAnsi="宋体" w:cs="宋体"/>
                <w:sz w:val="22"/>
                <w:szCs w:val="22"/>
              </w:rPr>
            </w:pPr>
            <w:r>
              <w:rPr>
                <w:rFonts w:hint="eastAsia" w:ascii="宋体" w:hAnsi="宋体" w:cs="宋体"/>
                <w:sz w:val="22"/>
                <w:szCs w:val="22"/>
              </w:rPr>
              <w:t>专  业</w:t>
            </w:r>
          </w:p>
        </w:tc>
        <w:tc>
          <w:tcPr>
            <w:tcW w:w="1062" w:type="dxa"/>
            <w:tcBorders>
              <w:top w:val="single" w:color="auto" w:sz="4" w:space="0"/>
              <w:bottom w:val="single" w:color="auto" w:sz="4" w:space="0"/>
            </w:tcBorders>
            <w:vAlign w:val="center"/>
          </w:tcPr>
          <w:p w14:paraId="7139A129">
            <w:pPr>
              <w:spacing w:line="360" w:lineRule="exact"/>
              <w:jc w:val="center"/>
              <w:rPr>
                <w:rFonts w:ascii="宋体" w:hAnsi="宋体" w:cs="宋体"/>
                <w:sz w:val="22"/>
                <w:szCs w:val="22"/>
              </w:rPr>
            </w:pPr>
          </w:p>
        </w:tc>
        <w:tc>
          <w:tcPr>
            <w:tcW w:w="2074" w:type="dxa"/>
            <w:tcBorders>
              <w:top w:val="single" w:color="auto" w:sz="4" w:space="0"/>
              <w:bottom w:val="single" w:color="auto" w:sz="4" w:space="0"/>
            </w:tcBorders>
            <w:vAlign w:val="center"/>
          </w:tcPr>
          <w:p w14:paraId="023C9680">
            <w:pPr>
              <w:spacing w:line="360" w:lineRule="exact"/>
              <w:jc w:val="center"/>
              <w:rPr>
                <w:rFonts w:ascii="宋体" w:hAnsi="宋体" w:cs="宋体"/>
                <w:sz w:val="22"/>
                <w:szCs w:val="22"/>
              </w:rPr>
            </w:pPr>
            <w:r>
              <w:rPr>
                <w:rFonts w:hint="eastAsia" w:ascii="宋体" w:hAnsi="宋体" w:cs="宋体"/>
                <w:sz w:val="22"/>
                <w:szCs w:val="22"/>
              </w:rPr>
              <w:t>职  务</w:t>
            </w:r>
          </w:p>
        </w:tc>
        <w:tc>
          <w:tcPr>
            <w:tcW w:w="1568" w:type="dxa"/>
            <w:tcBorders>
              <w:top w:val="single" w:color="auto" w:sz="4" w:space="0"/>
              <w:bottom w:val="single" w:color="auto" w:sz="4" w:space="0"/>
            </w:tcBorders>
            <w:vAlign w:val="center"/>
          </w:tcPr>
          <w:p w14:paraId="34212CF2">
            <w:pPr>
              <w:spacing w:line="360" w:lineRule="exact"/>
              <w:jc w:val="center"/>
              <w:rPr>
                <w:rFonts w:ascii="宋体" w:hAnsi="宋体" w:cs="宋体"/>
                <w:sz w:val="22"/>
                <w:szCs w:val="22"/>
              </w:rPr>
            </w:pPr>
          </w:p>
        </w:tc>
      </w:tr>
      <w:tr w14:paraId="075AC1A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17252801">
            <w:pPr>
              <w:spacing w:line="360" w:lineRule="exact"/>
              <w:jc w:val="center"/>
              <w:rPr>
                <w:rFonts w:ascii="宋体" w:hAnsi="宋体" w:cs="宋体"/>
                <w:sz w:val="22"/>
                <w:szCs w:val="22"/>
              </w:rPr>
            </w:pPr>
            <w:r>
              <w:rPr>
                <w:rFonts w:hint="eastAsia" w:ascii="宋体" w:hAnsi="宋体" w:cs="宋体"/>
                <w:sz w:val="22"/>
                <w:szCs w:val="22"/>
              </w:rPr>
              <w:t>职  称</w:t>
            </w:r>
          </w:p>
        </w:tc>
        <w:tc>
          <w:tcPr>
            <w:tcW w:w="1799" w:type="dxa"/>
            <w:tcBorders>
              <w:top w:val="single" w:color="auto" w:sz="4" w:space="0"/>
              <w:bottom w:val="single" w:color="auto" w:sz="4" w:space="0"/>
            </w:tcBorders>
            <w:vAlign w:val="center"/>
          </w:tcPr>
          <w:p w14:paraId="12A12B0B">
            <w:pPr>
              <w:spacing w:line="360" w:lineRule="exact"/>
              <w:rPr>
                <w:rFonts w:ascii="宋体" w:hAnsi="宋体" w:cs="宋体"/>
                <w:sz w:val="22"/>
                <w:szCs w:val="22"/>
              </w:rPr>
            </w:pPr>
          </w:p>
        </w:tc>
        <w:tc>
          <w:tcPr>
            <w:tcW w:w="1567" w:type="dxa"/>
            <w:gridSpan w:val="2"/>
            <w:tcBorders>
              <w:top w:val="single" w:color="auto" w:sz="4" w:space="0"/>
              <w:bottom w:val="single" w:color="auto" w:sz="4" w:space="0"/>
            </w:tcBorders>
            <w:vAlign w:val="center"/>
          </w:tcPr>
          <w:p w14:paraId="2AEA9E17">
            <w:pPr>
              <w:spacing w:line="360" w:lineRule="exact"/>
              <w:jc w:val="center"/>
              <w:rPr>
                <w:rFonts w:ascii="宋体" w:hAnsi="宋体" w:cs="宋体"/>
                <w:sz w:val="22"/>
                <w:szCs w:val="22"/>
              </w:rPr>
            </w:pPr>
            <w:r>
              <w:rPr>
                <w:rFonts w:hint="eastAsia" w:ascii="宋体" w:hAnsi="宋体" w:cs="宋体"/>
                <w:sz w:val="22"/>
                <w:szCs w:val="22"/>
              </w:rPr>
              <w:t>拟任何职</w:t>
            </w:r>
          </w:p>
        </w:tc>
        <w:tc>
          <w:tcPr>
            <w:tcW w:w="1062" w:type="dxa"/>
            <w:tcBorders>
              <w:top w:val="single" w:color="auto" w:sz="4" w:space="0"/>
              <w:bottom w:val="single" w:color="auto" w:sz="4" w:space="0"/>
            </w:tcBorders>
            <w:vAlign w:val="center"/>
          </w:tcPr>
          <w:p w14:paraId="718B2A1C">
            <w:pPr>
              <w:spacing w:line="360" w:lineRule="exact"/>
              <w:jc w:val="center"/>
              <w:rPr>
                <w:rFonts w:ascii="宋体" w:hAnsi="宋体" w:cs="宋体"/>
                <w:sz w:val="22"/>
                <w:szCs w:val="22"/>
              </w:rPr>
            </w:pPr>
          </w:p>
        </w:tc>
        <w:tc>
          <w:tcPr>
            <w:tcW w:w="2074" w:type="dxa"/>
            <w:tcBorders>
              <w:top w:val="single" w:color="auto" w:sz="4" w:space="0"/>
              <w:bottom w:val="single" w:color="auto" w:sz="4" w:space="0"/>
            </w:tcBorders>
            <w:vAlign w:val="center"/>
          </w:tcPr>
          <w:p w14:paraId="6D4DFBBD">
            <w:pPr>
              <w:spacing w:line="360" w:lineRule="exact"/>
              <w:jc w:val="center"/>
              <w:rPr>
                <w:rFonts w:ascii="宋体" w:hAnsi="宋体" w:cs="宋体"/>
                <w:sz w:val="22"/>
                <w:szCs w:val="22"/>
              </w:rPr>
            </w:pPr>
            <w:r>
              <w:rPr>
                <w:rFonts w:hint="eastAsia" w:ascii="宋体" w:hAnsi="宋体" w:cs="宋体"/>
                <w:sz w:val="22"/>
                <w:szCs w:val="22"/>
              </w:rPr>
              <w:t>参加工作</w:t>
            </w:r>
          </w:p>
          <w:p w14:paraId="239F4B56">
            <w:pPr>
              <w:spacing w:line="360" w:lineRule="exact"/>
              <w:jc w:val="center"/>
              <w:rPr>
                <w:rFonts w:ascii="宋体" w:hAnsi="宋体" w:cs="宋体"/>
                <w:sz w:val="22"/>
                <w:szCs w:val="22"/>
              </w:rPr>
            </w:pPr>
            <w:r>
              <w:rPr>
                <w:rFonts w:hint="eastAsia" w:ascii="宋体" w:hAnsi="宋体" w:cs="宋体"/>
                <w:sz w:val="22"/>
                <w:szCs w:val="22"/>
              </w:rPr>
              <w:t>时间</w:t>
            </w:r>
          </w:p>
        </w:tc>
        <w:tc>
          <w:tcPr>
            <w:tcW w:w="1568" w:type="dxa"/>
            <w:tcBorders>
              <w:top w:val="single" w:color="auto" w:sz="4" w:space="0"/>
              <w:bottom w:val="single" w:color="auto" w:sz="4" w:space="0"/>
            </w:tcBorders>
            <w:vAlign w:val="center"/>
          </w:tcPr>
          <w:p w14:paraId="7960EC11">
            <w:pPr>
              <w:spacing w:line="360" w:lineRule="exact"/>
              <w:jc w:val="center"/>
              <w:rPr>
                <w:rFonts w:ascii="宋体" w:hAnsi="宋体" w:cs="宋体"/>
                <w:sz w:val="22"/>
                <w:szCs w:val="22"/>
              </w:rPr>
            </w:pPr>
          </w:p>
        </w:tc>
      </w:tr>
      <w:tr w14:paraId="275DB34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6E04BA29">
            <w:pPr>
              <w:spacing w:line="360" w:lineRule="exact"/>
              <w:jc w:val="center"/>
              <w:rPr>
                <w:rFonts w:ascii="宋体" w:hAnsi="宋体" w:cs="宋体"/>
                <w:sz w:val="22"/>
                <w:szCs w:val="22"/>
              </w:rPr>
            </w:pPr>
            <w:r>
              <w:rPr>
                <w:rFonts w:hint="eastAsia" w:ascii="宋体" w:hAnsi="宋体" w:cs="宋体"/>
                <w:sz w:val="22"/>
                <w:szCs w:val="22"/>
              </w:rPr>
              <w:t>2.个人简历</w:t>
            </w:r>
          </w:p>
        </w:tc>
      </w:tr>
      <w:tr w14:paraId="33B00FD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94A330E">
            <w:pPr>
              <w:spacing w:line="360" w:lineRule="exact"/>
              <w:jc w:val="center"/>
              <w:rPr>
                <w:rFonts w:ascii="宋体" w:hAnsi="宋体" w:cs="宋体"/>
                <w:sz w:val="22"/>
                <w:szCs w:val="22"/>
              </w:rPr>
            </w:pPr>
            <w:r>
              <w:rPr>
                <w:rFonts w:hint="eastAsia" w:ascii="宋体" w:hAnsi="宋体" w:cs="宋体"/>
                <w:sz w:val="22"/>
                <w:szCs w:val="22"/>
              </w:rPr>
              <w:t>时  间</w:t>
            </w:r>
          </w:p>
        </w:tc>
        <w:tc>
          <w:tcPr>
            <w:tcW w:w="8070" w:type="dxa"/>
            <w:gridSpan w:val="6"/>
            <w:tcBorders>
              <w:top w:val="single" w:color="auto" w:sz="4" w:space="0"/>
              <w:bottom w:val="single" w:color="auto" w:sz="4" w:space="0"/>
            </w:tcBorders>
            <w:vAlign w:val="center"/>
          </w:tcPr>
          <w:p w14:paraId="4411A360">
            <w:pPr>
              <w:spacing w:line="360" w:lineRule="exact"/>
              <w:jc w:val="center"/>
              <w:rPr>
                <w:rFonts w:ascii="宋体" w:hAnsi="宋体" w:cs="宋体"/>
                <w:sz w:val="22"/>
                <w:szCs w:val="22"/>
              </w:rPr>
            </w:pPr>
            <w:r>
              <w:rPr>
                <w:rFonts w:hint="eastAsia" w:ascii="宋体" w:hAnsi="宋体" w:cs="宋体"/>
                <w:sz w:val="22"/>
                <w:szCs w:val="22"/>
              </w:rPr>
              <w:t>专业工作经历</w:t>
            </w:r>
          </w:p>
        </w:tc>
      </w:tr>
      <w:tr w14:paraId="5DE7F45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91A6F13">
            <w:pPr>
              <w:spacing w:line="360" w:lineRule="exact"/>
              <w:rPr>
                <w:rFonts w:ascii="宋体" w:hAnsi="宋体" w:cs="宋体"/>
                <w:sz w:val="22"/>
                <w:szCs w:val="22"/>
              </w:rPr>
            </w:pPr>
          </w:p>
        </w:tc>
        <w:tc>
          <w:tcPr>
            <w:tcW w:w="8070" w:type="dxa"/>
            <w:gridSpan w:val="6"/>
            <w:tcBorders>
              <w:top w:val="single" w:color="auto" w:sz="4" w:space="0"/>
              <w:bottom w:val="single" w:color="auto" w:sz="4" w:space="0"/>
            </w:tcBorders>
            <w:vAlign w:val="center"/>
          </w:tcPr>
          <w:p w14:paraId="3210AD52">
            <w:pPr>
              <w:spacing w:line="360" w:lineRule="exact"/>
              <w:rPr>
                <w:rFonts w:ascii="宋体" w:hAnsi="宋体" w:cs="宋体"/>
                <w:sz w:val="22"/>
                <w:szCs w:val="22"/>
              </w:rPr>
            </w:pPr>
          </w:p>
        </w:tc>
      </w:tr>
      <w:tr w14:paraId="0110350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EDDE113">
            <w:pPr>
              <w:spacing w:line="360" w:lineRule="exact"/>
              <w:rPr>
                <w:rFonts w:ascii="宋体" w:hAnsi="宋体" w:cs="宋体"/>
                <w:sz w:val="22"/>
                <w:szCs w:val="22"/>
              </w:rPr>
            </w:pPr>
          </w:p>
        </w:tc>
        <w:tc>
          <w:tcPr>
            <w:tcW w:w="8070" w:type="dxa"/>
            <w:gridSpan w:val="6"/>
            <w:tcBorders>
              <w:top w:val="single" w:color="auto" w:sz="4" w:space="0"/>
              <w:bottom w:val="single" w:color="auto" w:sz="4" w:space="0"/>
            </w:tcBorders>
            <w:vAlign w:val="center"/>
          </w:tcPr>
          <w:p w14:paraId="061C084F">
            <w:pPr>
              <w:spacing w:line="360" w:lineRule="exact"/>
              <w:rPr>
                <w:rFonts w:ascii="宋体" w:hAnsi="宋体" w:cs="宋体"/>
                <w:sz w:val="22"/>
                <w:szCs w:val="22"/>
              </w:rPr>
            </w:pPr>
          </w:p>
        </w:tc>
      </w:tr>
      <w:tr w14:paraId="0392670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45EA7B6F">
            <w:pPr>
              <w:spacing w:line="360" w:lineRule="exact"/>
              <w:jc w:val="center"/>
              <w:rPr>
                <w:rFonts w:ascii="宋体" w:hAnsi="宋体" w:cs="宋体"/>
                <w:sz w:val="22"/>
                <w:szCs w:val="22"/>
              </w:rPr>
            </w:pPr>
            <w:r>
              <w:rPr>
                <w:rFonts w:hint="eastAsia" w:ascii="宋体" w:hAnsi="宋体" w:cs="宋体"/>
                <w:sz w:val="22"/>
                <w:szCs w:val="22"/>
              </w:rPr>
              <w:t>3.项目负责人业绩</w:t>
            </w:r>
          </w:p>
        </w:tc>
      </w:tr>
      <w:tr w14:paraId="05BA437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324D00D">
            <w:pPr>
              <w:spacing w:line="360" w:lineRule="exact"/>
              <w:jc w:val="center"/>
              <w:rPr>
                <w:rFonts w:ascii="宋体" w:hAnsi="宋体" w:cs="宋体"/>
                <w:sz w:val="22"/>
                <w:szCs w:val="22"/>
              </w:rPr>
            </w:pPr>
            <w:r>
              <w:rPr>
                <w:rFonts w:hint="eastAsia" w:ascii="宋体" w:hAnsi="宋体" w:cs="宋体"/>
                <w:sz w:val="22"/>
                <w:szCs w:val="22"/>
              </w:rPr>
              <w:t>序号</w:t>
            </w:r>
          </w:p>
        </w:tc>
        <w:tc>
          <w:tcPr>
            <w:tcW w:w="3427" w:type="dxa"/>
            <w:gridSpan w:val="3"/>
            <w:tcBorders>
              <w:top w:val="single" w:color="auto" w:sz="4" w:space="0"/>
              <w:bottom w:val="single" w:color="auto" w:sz="4" w:space="0"/>
            </w:tcBorders>
            <w:vAlign w:val="center"/>
          </w:tcPr>
          <w:p w14:paraId="18B4150C">
            <w:pPr>
              <w:spacing w:line="360" w:lineRule="exact"/>
              <w:jc w:val="center"/>
              <w:rPr>
                <w:rFonts w:ascii="宋体" w:hAnsi="宋体" w:cs="宋体"/>
                <w:sz w:val="22"/>
                <w:szCs w:val="22"/>
              </w:rPr>
            </w:pPr>
            <w:r>
              <w:rPr>
                <w:rFonts w:hint="eastAsia" w:ascii="宋体" w:hAnsi="宋体" w:cs="宋体"/>
                <w:sz w:val="22"/>
                <w:szCs w:val="22"/>
              </w:rPr>
              <w:t>项  目  名  称</w:t>
            </w:r>
          </w:p>
        </w:tc>
        <w:tc>
          <w:tcPr>
            <w:tcW w:w="1440" w:type="dxa"/>
            <w:gridSpan w:val="2"/>
            <w:tcBorders>
              <w:top w:val="single" w:color="auto" w:sz="4" w:space="0"/>
              <w:bottom w:val="single" w:color="auto" w:sz="4" w:space="0"/>
            </w:tcBorders>
            <w:vAlign w:val="center"/>
          </w:tcPr>
          <w:p w14:paraId="1A1DB25A">
            <w:pPr>
              <w:spacing w:line="360" w:lineRule="exact"/>
              <w:jc w:val="center"/>
              <w:rPr>
                <w:rFonts w:ascii="宋体" w:hAnsi="宋体" w:cs="宋体"/>
                <w:sz w:val="22"/>
                <w:szCs w:val="22"/>
              </w:rPr>
            </w:pPr>
            <w:r>
              <w:rPr>
                <w:rFonts w:hint="eastAsia" w:ascii="宋体" w:hAnsi="宋体" w:cs="宋体"/>
                <w:sz w:val="22"/>
                <w:szCs w:val="22"/>
              </w:rPr>
              <w:t>完成年份</w:t>
            </w:r>
          </w:p>
        </w:tc>
        <w:tc>
          <w:tcPr>
            <w:tcW w:w="3642" w:type="dxa"/>
            <w:gridSpan w:val="2"/>
            <w:tcBorders>
              <w:top w:val="single" w:color="auto" w:sz="4" w:space="0"/>
              <w:bottom w:val="single" w:color="auto" w:sz="4" w:space="0"/>
            </w:tcBorders>
            <w:vAlign w:val="center"/>
          </w:tcPr>
          <w:p w14:paraId="557A208B">
            <w:pPr>
              <w:spacing w:line="360" w:lineRule="exact"/>
              <w:jc w:val="center"/>
              <w:rPr>
                <w:rFonts w:ascii="宋体" w:hAnsi="宋体" w:cs="宋体"/>
                <w:sz w:val="22"/>
                <w:szCs w:val="22"/>
              </w:rPr>
            </w:pPr>
            <w:r>
              <w:rPr>
                <w:rFonts w:hint="eastAsia" w:ascii="宋体" w:hAnsi="宋体" w:cs="宋体"/>
                <w:sz w:val="22"/>
                <w:szCs w:val="22"/>
              </w:rPr>
              <w:t>获奖情况</w:t>
            </w:r>
          </w:p>
        </w:tc>
      </w:tr>
      <w:tr w14:paraId="406A064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1DBCD8F4">
            <w:pPr>
              <w:spacing w:line="360" w:lineRule="exact"/>
              <w:rPr>
                <w:rFonts w:ascii="宋体" w:hAnsi="宋体" w:cs="宋体"/>
                <w:sz w:val="22"/>
                <w:szCs w:val="22"/>
              </w:rPr>
            </w:pPr>
          </w:p>
        </w:tc>
        <w:tc>
          <w:tcPr>
            <w:tcW w:w="3427" w:type="dxa"/>
            <w:gridSpan w:val="3"/>
            <w:tcBorders>
              <w:top w:val="single" w:color="auto" w:sz="4" w:space="0"/>
              <w:bottom w:val="single" w:color="auto" w:sz="4" w:space="0"/>
            </w:tcBorders>
            <w:vAlign w:val="center"/>
          </w:tcPr>
          <w:p w14:paraId="60A436A2">
            <w:pPr>
              <w:spacing w:line="360" w:lineRule="exact"/>
              <w:rPr>
                <w:rFonts w:ascii="宋体" w:hAnsi="宋体" w:cs="宋体"/>
                <w:sz w:val="22"/>
                <w:szCs w:val="22"/>
              </w:rPr>
            </w:pPr>
          </w:p>
        </w:tc>
        <w:tc>
          <w:tcPr>
            <w:tcW w:w="1440" w:type="dxa"/>
            <w:gridSpan w:val="2"/>
            <w:tcBorders>
              <w:top w:val="single" w:color="auto" w:sz="4" w:space="0"/>
              <w:bottom w:val="single" w:color="auto" w:sz="4" w:space="0"/>
            </w:tcBorders>
            <w:vAlign w:val="center"/>
          </w:tcPr>
          <w:p w14:paraId="087AEF98">
            <w:pPr>
              <w:spacing w:line="360" w:lineRule="exact"/>
              <w:rPr>
                <w:rFonts w:ascii="宋体" w:hAnsi="宋体" w:cs="宋体"/>
                <w:sz w:val="22"/>
                <w:szCs w:val="22"/>
              </w:rPr>
            </w:pPr>
          </w:p>
        </w:tc>
        <w:tc>
          <w:tcPr>
            <w:tcW w:w="3642" w:type="dxa"/>
            <w:gridSpan w:val="2"/>
            <w:tcBorders>
              <w:top w:val="single" w:color="auto" w:sz="4" w:space="0"/>
              <w:bottom w:val="single" w:color="auto" w:sz="4" w:space="0"/>
            </w:tcBorders>
            <w:vAlign w:val="center"/>
          </w:tcPr>
          <w:p w14:paraId="0C3427B1">
            <w:pPr>
              <w:spacing w:line="360" w:lineRule="exact"/>
              <w:rPr>
                <w:rFonts w:ascii="宋体" w:hAnsi="宋体" w:cs="宋体"/>
                <w:sz w:val="22"/>
                <w:szCs w:val="22"/>
              </w:rPr>
            </w:pPr>
          </w:p>
        </w:tc>
      </w:tr>
      <w:tr w14:paraId="0576C6B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26FFD0B">
            <w:pPr>
              <w:spacing w:line="360" w:lineRule="exact"/>
              <w:rPr>
                <w:rFonts w:ascii="宋体" w:hAnsi="宋体" w:cs="宋体"/>
                <w:sz w:val="22"/>
                <w:szCs w:val="22"/>
              </w:rPr>
            </w:pPr>
          </w:p>
        </w:tc>
        <w:tc>
          <w:tcPr>
            <w:tcW w:w="3427" w:type="dxa"/>
            <w:gridSpan w:val="3"/>
            <w:tcBorders>
              <w:top w:val="single" w:color="auto" w:sz="4" w:space="0"/>
              <w:bottom w:val="single" w:color="auto" w:sz="4" w:space="0"/>
            </w:tcBorders>
            <w:vAlign w:val="center"/>
          </w:tcPr>
          <w:p w14:paraId="350224E2">
            <w:pPr>
              <w:spacing w:line="360" w:lineRule="exact"/>
              <w:rPr>
                <w:rFonts w:ascii="宋体" w:hAnsi="宋体" w:cs="宋体"/>
                <w:sz w:val="22"/>
                <w:szCs w:val="22"/>
              </w:rPr>
            </w:pPr>
          </w:p>
        </w:tc>
        <w:tc>
          <w:tcPr>
            <w:tcW w:w="1440" w:type="dxa"/>
            <w:gridSpan w:val="2"/>
            <w:tcBorders>
              <w:top w:val="single" w:color="auto" w:sz="4" w:space="0"/>
              <w:bottom w:val="single" w:color="auto" w:sz="4" w:space="0"/>
            </w:tcBorders>
            <w:vAlign w:val="center"/>
          </w:tcPr>
          <w:p w14:paraId="3C0893D0">
            <w:pPr>
              <w:spacing w:line="360" w:lineRule="exact"/>
              <w:rPr>
                <w:rFonts w:ascii="宋体" w:hAnsi="宋体" w:cs="宋体"/>
                <w:sz w:val="22"/>
                <w:szCs w:val="22"/>
              </w:rPr>
            </w:pPr>
          </w:p>
        </w:tc>
        <w:tc>
          <w:tcPr>
            <w:tcW w:w="3642" w:type="dxa"/>
            <w:gridSpan w:val="2"/>
            <w:tcBorders>
              <w:top w:val="single" w:color="auto" w:sz="4" w:space="0"/>
              <w:bottom w:val="single" w:color="auto" w:sz="4" w:space="0"/>
            </w:tcBorders>
            <w:vAlign w:val="center"/>
          </w:tcPr>
          <w:p w14:paraId="76AF487F">
            <w:pPr>
              <w:spacing w:line="360" w:lineRule="exact"/>
              <w:rPr>
                <w:rFonts w:ascii="宋体" w:hAnsi="宋体" w:cs="宋体"/>
                <w:sz w:val="22"/>
                <w:szCs w:val="22"/>
              </w:rPr>
            </w:pPr>
          </w:p>
        </w:tc>
      </w:tr>
      <w:tr w14:paraId="1F564C5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215E46A">
            <w:pPr>
              <w:spacing w:line="360" w:lineRule="exact"/>
              <w:rPr>
                <w:rFonts w:ascii="宋体" w:hAnsi="宋体" w:cs="宋体"/>
                <w:sz w:val="22"/>
                <w:szCs w:val="22"/>
              </w:rPr>
            </w:pPr>
          </w:p>
        </w:tc>
        <w:tc>
          <w:tcPr>
            <w:tcW w:w="3427" w:type="dxa"/>
            <w:gridSpan w:val="3"/>
            <w:tcBorders>
              <w:top w:val="single" w:color="auto" w:sz="4" w:space="0"/>
              <w:bottom w:val="single" w:color="auto" w:sz="4" w:space="0"/>
            </w:tcBorders>
            <w:vAlign w:val="center"/>
          </w:tcPr>
          <w:p w14:paraId="02EE8045">
            <w:pPr>
              <w:spacing w:line="360" w:lineRule="exact"/>
              <w:rPr>
                <w:rFonts w:ascii="宋体" w:hAnsi="宋体" w:cs="宋体"/>
                <w:sz w:val="22"/>
                <w:szCs w:val="22"/>
              </w:rPr>
            </w:pPr>
          </w:p>
        </w:tc>
        <w:tc>
          <w:tcPr>
            <w:tcW w:w="1440" w:type="dxa"/>
            <w:gridSpan w:val="2"/>
            <w:tcBorders>
              <w:top w:val="single" w:color="auto" w:sz="4" w:space="0"/>
              <w:bottom w:val="single" w:color="auto" w:sz="4" w:space="0"/>
            </w:tcBorders>
            <w:vAlign w:val="center"/>
          </w:tcPr>
          <w:p w14:paraId="7A417F18">
            <w:pPr>
              <w:spacing w:line="360" w:lineRule="exact"/>
              <w:rPr>
                <w:rFonts w:ascii="宋体" w:hAnsi="宋体" w:cs="宋体"/>
                <w:sz w:val="22"/>
                <w:szCs w:val="22"/>
              </w:rPr>
            </w:pPr>
          </w:p>
        </w:tc>
        <w:tc>
          <w:tcPr>
            <w:tcW w:w="3642" w:type="dxa"/>
            <w:gridSpan w:val="2"/>
            <w:tcBorders>
              <w:top w:val="single" w:color="auto" w:sz="4" w:space="0"/>
              <w:bottom w:val="single" w:color="auto" w:sz="4" w:space="0"/>
            </w:tcBorders>
            <w:vAlign w:val="center"/>
          </w:tcPr>
          <w:p w14:paraId="25160359">
            <w:pPr>
              <w:spacing w:line="360" w:lineRule="exact"/>
              <w:rPr>
                <w:rFonts w:ascii="宋体" w:hAnsi="宋体" w:cs="宋体"/>
                <w:sz w:val="22"/>
                <w:szCs w:val="22"/>
              </w:rPr>
            </w:pPr>
          </w:p>
        </w:tc>
      </w:tr>
      <w:tr w14:paraId="366DD38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1DD4417">
            <w:pPr>
              <w:spacing w:line="360" w:lineRule="exact"/>
              <w:rPr>
                <w:rFonts w:ascii="宋体" w:hAnsi="宋体" w:cs="宋体"/>
                <w:sz w:val="22"/>
                <w:szCs w:val="22"/>
              </w:rPr>
            </w:pPr>
          </w:p>
        </w:tc>
        <w:tc>
          <w:tcPr>
            <w:tcW w:w="3427" w:type="dxa"/>
            <w:gridSpan w:val="3"/>
            <w:tcBorders>
              <w:top w:val="single" w:color="auto" w:sz="4" w:space="0"/>
              <w:bottom w:val="single" w:color="auto" w:sz="12" w:space="0"/>
            </w:tcBorders>
            <w:vAlign w:val="center"/>
          </w:tcPr>
          <w:p w14:paraId="56BE619F">
            <w:pPr>
              <w:spacing w:line="360" w:lineRule="exact"/>
              <w:rPr>
                <w:rFonts w:ascii="宋体" w:hAnsi="宋体" w:cs="宋体"/>
                <w:sz w:val="22"/>
                <w:szCs w:val="22"/>
              </w:rPr>
            </w:pPr>
          </w:p>
        </w:tc>
        <w:tc>
          <w:tcPr>
            <w:tcW w:w="1440" w:type="dxa"/>
            <w:gridSpan w:val="2"/>
            <w:tcBorders>
              <w:top w:val="single" w:color="auto" w:sz="4" w:space="0"/>
              <w:bottom w:val="single" w:color="auto" w:sz="12" w:space="0"/>
            </w:tcBorders>
            <w:vAlign w:val="center"/>
          </w:tcPr>
          <w:p w14:paraId="6309A9F7">
            <w:pPr>
              <w:spacing w:line="360" w:lineRule="exact"/>
              <w:rPr>
                <w:rFonts w:ascii="宋体" w:hAnsi="宋体" w:cs="宋体"/>
                <w:sz w:val="22"/>
                <w:szCs w:val="22"/>
              </w:rPr>
            </w:pPr>
          </w:p>
        </w:tc>
        <w:tc>
          <w:tcPr>
            <w:tcW w:w="3642" w:type="dxa"/>
            <w:gridSpan w:val="2"/>
            <w:tcBorders>
              <w:top w:val="single" w:color="auto" w:sz="4" w:space="0"/>
              <w:bottom w:val="single" w:color="auto" w:sz="12" w:space="0"/>
            </w:tcBorders>
            <w:vAlign w:val="center"/>
          </w:tcPr>
          <w:p w14:paraId="75B78D57">
            <w:pPr>
              <w:spacing w:line="360" w:lineRule="exact"/>
              <w:rPr>
                <w:rFonts w:ascii="宋体" w:hAnsi="宋体" w:cs="宋体"/>
                <w:sz w:val="22"/>
                <w:szCs w:val="22"/>
              </w:rPr>
            </w:pPr>
          </w:p>
        </w:tc>
      </w:tr>
    </w:tbl>
    <w:p w14:paraId="1A40CD2B">
      <w:pPr>
        <w:spacing w:line="380" w:lineRule="exact"/>
        <w:ind w:firstLine="4400" w:firstLineChars="2000"/>
        <w:rPr>
          <w:rFonts w:ascii="宋体" w:hAnsi="宋体" w:cs="宋体"/>
          <w:sz w:val="22"/>
          <w:szCs w:val="22"/>
        </w:rPr>
      </w:pPr>
    </w:p>
    <w:p w14:paraId="56D6282F">
      <w:pPr>
        <w:spacing w:line="380" w:lineRule="exact"/>
        <w:ind w:firstLine="4400" w:firstLineChars="2000"/>
        <w:rPr>
          <w:rFonts w:ascii="宋体" w:hAnsi="宋体" w:cs="宋体"/>
          <w:sz w:val="22"/>
          <w:szCs w:val="22"/>
        </w:rPr>
      </w:pPr>
      <w:r>
        <w:rPr>
          <w:rFonts w:hint="eastAsia" w:ascii="宋体" w:hAnsi="宋体" w:cs="宋体"/>
          <w:sz w:val="22"/>
          <w:szCs w:val="22"/>
        </w:rPr>
        <w:t>供应商全称（盖章）：</w:t>
      </w:r>
    </w:p>
    <w:p w14:paraId="08AD7E06">
      <w:pPr>
        <w:spacing w:line="380" w:lineRule="exact"/>
        <w:ind w:firstLine="4400" w:firstLineChars="2000"/>
        <w:rPr>
          <w:rFonts w:ascii="宋体" w:hAnsi="宋体" w:cs="宋体"/>
          <w:sz w:val="22"/>
          <w:szCs w:val="22"/>
        </w:rPr>
      </w:pPr>
      <w:r>
        <w:rPr>
          <w:rFonts w:hint="eastAsia" w:ascii="宋体" w:hAnsi="宋体" w:cs="宋体"/>
          <w:sz w:val="22"/>
          <w:szCs w:val="22"/>
        </w:rPr>
        <w:t>法定代表人或授权代表（签字或盖章）：</w:t>
      </w:r>
    </w:p>
    <w:p w14:paraId="08693FB2">
      <w:pPr>
        <w:spacing w:line="380" w:lineRule="exact"/>
        <w:ind w:firstLine="4400" w:firstLineChars="2000"/>
        <w:rPr>
          <w:rFonts w:ascii="宋体" w:hAnsi="宋体" w:cs="宋体"/>
          <w:sz w:val="22"/>
          <w:szCs w:val="22"/>
        </w:rPr>
      </w:pPr>
      <w:r>
        <w:rPr>
          <w:rFonts w:hint="eastAsia" w:ascii="宋体" w:hAnsi="宋体" w:cs="宋体"/>
          <w:sz w:val="22"/>
          <w:szCs w:val="22"/>
        </w:rPr>
        <w:t>日期：  年   月  日</w:t>
      </w:r>
    </w:p>
    <w:p w14:paraId="2891DA70">
      <w:pPr>
        <w:tabs>
          <w:tab w:val="left" w:pos="840"/>
        </w:tabs>
        <w:adjustRightInd w:val="0"/>
        <w:snapToGrid w:val="0"/>
        <w:spacing w:line="400" w:lineRule="exact"/>
        <w:jc w:val="center"/>
        <w:rPr>
          <w:rFonts w:ascii="宋体" w:hAnsi="宋体" w:cs="宋体"/>
          <w:b/>
          <w:bCs/>
          <w:sz w:val="22"/>
          <w:szCs w:val="22"/>
        </w:rPr>
      </w:pPr>
      <w:r>
        <w:rPr>
          <w:rFonts w:hint="eastAsia" w:ascii="宋体" w:hAnsi="宋体" w:cs="宋体"/>
          <w:b/>
          <w:sz w:val="36"/>
          <w:szCs w:val="36"/>
        </w:rPr>
        <w:br w:type="page"/>
      </w:r>
      <w:r>
        <w:rPr>
          <w:rFonts w:hint="eastAsia" w:ascii="宋体" w:hAnsi="宋体" w:cs="宋体"/>
          <w:b/>
          <w:bCs/>
          <w:sz w:val="22"/>
          <w:szCs w:val="22"/>
        </w:rPr>
        <w:t>项目组服务人员汇总表</w:t>
      </w:r>
    </w:p>
    <w:p w14:paraId="7821A8B6">
      <w:pPr>
        <w:tabs>
          <w:tab w:val="left" w:pos="840"/>
        </w:tabs>
        <w:adjustRightInd w:val="0"/>
        <w:snapToGrid w:val="0"/>
        <w:spacing w:line="400" w:lineRule="exact"/>
        <w:rPr>
          <w:rFonts w:ascii="宋体" w:hAnsi="宋体" w:cs="宋体"/>
          <w:b/>
          <w:bCs/>
          <w:sz w:val="22"/>
          <w:szCs w:val="22"/>
        </w:rPr>
      </w:pPr>
    </w:p>
    <w:p w14:paraId="4BA76917">
      <w:pPr>
        <w:rPr>
          <w:rFonts w:ascii="宋体" w:hAnsi="宋体" w:cs="宋体"/>
          <w:sz w:val="22"/>
        </w:rPr>
      </w:pPr>
      <w:r>
        <w:rPr>
          <w:rFonts w:hint="eastAsia" w:ascii="宋体" w:hAnsi="宋体" w:cs="宋体"/>
          <w:b/>
          <w:sz w:val="24"/>
        </w:rPr>
        <w:t>项目名称：</w:t>
      </w:r>
      <w:r>
        <w:rPr>
          <w:rFonts w:hint="eastAsia" w:ascii="宋体" w:hAnsi="宋体" w:cs="宋体"/>
          <w:b/>
          <w:sz w:val="22"/>
        </w:rPr>
        <w:t xml:space="preserve">                                         项目编号：</w:t>
      </w:r>
      <w:r>
        <w:rPr>
          <w:rFonts w:hint="eastAsia" w:ascii="宋体" w:hAnsi="宋体" w:cs="宋体"/>
          <w:sz w:val="22"/>
        </w:rPr>
        <w:t xml:space="preserve"> </w:t>
      </w: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250E2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3E5958A8">
            <w:pPr>
              <w:spacing w:line="360" w:lineRule="auto"/>
              <w:jc w:val="center"/>
              <w:rPr>
                <w:rFonts w:ascii="宋体" w:hAnsi="宋体" w:cs="宋体"/>
                <w:sz w:val="22"/>
              </w:rPr>
            </w:pPr>
            <w:r>
              <w:rPr>
                <w:rFonts w:hint="eastAsia" w:ascii="宋体" w:hAnsi="宋体" w:cs="宋体"/>
                <w:sz w:val="22"/>
              </w:rPr>
              <w:t>序号</w:t>
            </w:r>
          </w:p>
        </w:tc>
        <w:tc>
          <w:tcPr>
            <w:tcW w:w="958" w:type="dxa"/>
            <w:vAlign w:val="center"/>
          </w:tcPr>
          <w:p w14:paraId="347017F4">
            <w:pPr>
              <w:spacing w:line="360" w:lineRule="auto"/>
              <w:jc w:val="center"/>
              <w:rPr>
                <w:rFonts w:ascii="宋体" w:hAnsi="宋体" w:cs="宋体"/>
                <w:sz w:val="22"/>
              </w:rPr>
            </w:pPr>
            <w:r>
              <w:rPr>
                <w:rFonts w:hint="eastAsia" w:ascii="宋体" w:hAnsi="宋体" w:cs="宋体"/>
                <w:sz w:val="22"/>
              </w:rPr>
              <w:t>姓名</w:t>
            </w:r>
          </w:p>
        </w:tc>
        <w:tc>
          <w:tcPr>
            <w:tcW w:w="958" w:type="dxa"/>
            <w:vAlign w:val="center"/>
          </w:tcPr>
          <w:p w14:paraId="3AFD374D">
            <w:pPr>
              <w:spacing w:line="360" w:lineRule="auto"/>
              <w:jc w:val="center"/>
              <w:rPr>
                <w:rFonts w:ascii="宋体" w:hAnsi="宋体" w:cs="宋体"/>
                <w:sz w:val="22"/>
              </w:rPr>
            </w:pPr>
            <w:r>
              <w:rPr>
                <w:rFonts w:hint="eastAsia" w:ascii="宋体" w:hAnsi="宋体" w:cs="宋体"/>
                <w:sz w:val="22"/>
              </w:rPr>
              <w:t>性别</w:t>
            </w:r>
          </w:p>
        </w:tc>
        <w:tc>
          <w:tcPr>
            <w:tcW w:w="767" w:type="dxa"/>
            <w:vAlign w:val="center"/>
          </w:tcPr>
          <w:p w14:paraId="4090B320">
            <w:pPr>
              <w:spacing w:line="360" w:lineRule="auto"/>
              <w:jc w:val="center"/>
              <w:rPr>
                <w:rFonts w:ascii="宋体" w:hAnsi="宋体" w:cs="宋体"/>
                <w:sz w:val="22"/>
              </w:rPr>
            </w:pPr>
            <w:r>
              <w:rPr>
                <w:rFonts w:hint="eastAsia" w:ascii="宋体" w:hAnsi="宋体" w:cs="宋体"/>
                <w:sz w:val="22"/>
              </w:rPr>
              <w:t>年龄</w:t>
            </w:r>
          </w:p>
        </w:tc>
        <w:tc>
          <w:tcPr>
            <w:tcW w:w="767" w:type="dxa"/>
            <w:vAlign w:val="center"/>
          </w:tcPr>
          <w:p w14:paraId="2B787170">
            <w:pPr>
              <w:spacing w:line="360" w:lineRule="auto"/>
              <w:jc w:val="center"/>
              <w:rPr>
                <w:rFonts w:ascii="宋体" w:hAnsi="宋体" w:cs="宋体"/>
                <w:sz w:val="22"/>
              </w:rPr>
            </w:pPr>
            <w:r>
              <w:rPr>
                <w:rFonts w:hint="eastAsia" w:ascii="宋体" w:hAnsi="宋体" w:cs="宋体"/>
                <w:sz w:val="22"/>
              </w:rPr>
              <w:t>学历</w:t>
            </w:r>
          </w:p>
        </w:tc>
        <w:tc>
          <w:tcPr>
            <w:tcW w:w="1340" w:type="dxa"/>
            <w:vAlign w:val="center"/>
          </w:tcPr>
          <w:p w14:paraId="0D8B2178">
            <w:pPr>
              <w:spacing w:line="280" w:lineRule="exact"/>
              <w:jc w:val="center"/>
              <w:rPr>
                <w:rFonts w:ascii="宋体" w:hAnsi="宋体" w:cs="宋体"/>
                <w:sz w:val="22"/>
              </w:rPr>
            </w:pPr>
            <w:r>
              <w:rPr>
                <w:rFonts w:hint="eastAsia" w:ascii="宋体" w:hAnsi="宋体" w:cs="宋体"/>
                <w:sz w:val="22"/>
              </w:rPr>
              <w:t>职称/职务</w:t>
            </w:r>
          </w:p>
        </w:tc>
        <w:tc>
          <w:tcPr>
            <w:tcW w:w="1326" w:type="dxa"/>
            <w:vAlign w:val="center"/>
          </w:tcPr>
          <w:p w14:paraId="56AEC619">
            <w:pPr>
              <w:spacing w:line="280" w:lineRule="exact"/>
              <w:jc w:val="center"/>
              <w:rPr>
                <w:rFonts w:ascii="宋体" w:hAnsi="宋体" w:cs="宋体"/>
                <w:sz w:val="22"/>
              </w:rPr>
            </w:pPr>
            <w:r>
              <w:rPr>
                <w:rFonts w:hint="eastAsia" w:ascii="宋体" w:hAnsi="宋体" w:cs="宋体"/>
              </w:rPr>
              <w:t>本工程中的岗位</w:t>
            </w:r>
          </w:p>
        </w:tc>
        <w:tc>
          <w:tcPr>
            <w:tcW w:w="1825" w:type="dxa"/>
            <w:vAlign w:val="center"/>
          </w:tcPr>
          <w:p w14:paraId="20C33109">
            <w:pPr>
              <w:spacing w:line="360" w:lineRule="auto"/>
              <w:jc w:val="center"/>
              <w:rPr>
                <w:rFonts w:ascii="宋体" w:hAnsi="宋体" w:cs="宋体"/>
                <w:sz w:val="22"/>
              </w:rPr>
            </w:pPr>
            <w:r>
              <w:rPr>
                <w:rFonts w:hint="eastAsia" w:ascii="宋体" w:hAnsi="宋体" w:cs="宋体"/>
                <w:sz w:val="22"/>
              </w:rPr>
              <w:t>从事专业年限</w:t>
            </w:r>
          </w:p>
        </w:tc>
        <w:tc>
          <w:tcPr>
            <w:tcW w:w="1147" w:type="dxa"/>
            <w:vAlign w:val="center"/>
          </w:tcPr>
          <w:p w14:paraId="0215B2FF">
            <w:pPr>
              <w:spacing w:line="360" w:lineRule="auto"/>
              <w:jc w:val="center"/>
              <w:rPr>
                <w:rFonts w:ascii="宋体" w:hAnsi="宋体" w:cs="宋体"/>
                <w:sz w:val="22"/>
              </w:rPr>
            </w:pPr>
            <w:r>
              <w:rPr>
                <w:rFonts w:hint="eastAsia" w:ascii="宋体" w:hAnsi="宋体" w:cs="宋体"/>
                <w:sz w:val="22"/>
              </w:rPr>
              <w:t>备注</w:t>
            </w:r>
          </w:p>
        </w:tc>
      </w:tr>
      <w:tr w14:paraId="02171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FFDD78E">
            <w:pPr>
              <w:spacing w:line="360" w:lineRule="auto"/>
              <w:jc w:val="center"/>
              <w:rPr>
                <w:rFonts w:ascii="宋体" w:hAnsi="宋体" w:cs="宋体"/>
                <w:sz w:val="22"/>
              </w:rPr>
            </w:pPr>
          </w:p>
        </w:tc>
        <w:tc>
          <w:tcPr>
            <w:tcW w:w="958" w:type="dxa"/>
            <w:vAlign w:val="center"/>
          </w:tcPr>
          <w:p w14:paraId="1BF69ABA">
            <w:pPr>
              <w:spacing w:line="360" w:lineRule="auto"/>
              <w:jc w:val="center"/>
              <w:rPr>
                <w:rFonts w:ascii="宋体" w:hAnsi="宋体" w:cs="宋体"/>
                <w:sz w:val="22"/>
              </w:rPr>
            </w:pPr>
          </w:p>
        </w:tc>
        <w:tc>
          <w:tcPr>
            <w:tcW w:w="958" w:type="dxa"/>
            <w:vAlign w:val="center"/>
          </w:tcPr>
          <w:p w14:paraId="43F98A49">
            <w:pPr>
              <w:spacing w:line="360" w:lineRule="auto"/>
              <w:jc w:val="center"/>
              <w:rPr>
                <w:rFonts w:ascii="宋体" w:hAnsi="宋体" w:cs="宋体"/>
                <w:sz w:val="22"/>
              </w:rPr>
            </w:pPr>
          </w:p>
        </w:tc>
        <w:tc>
          <w:tcPr>
            <w:tcW w:w="767" w:type="dxa"/>
            <w:vAlign w:val="center"/>
          </w:tcPr>
          <w:p w14:paraId="604561FD">
            <w:pPr>
              <w:spacing w:line="360" w:lineRule="auto"/>
              <w:jc w:val="center"/>
              <w:rPr>
                <w:rFonts w:ascii="宋体" w:hAnsi="宋体" w:cs="宋体"/>
                <w:sz w:val="22"/>
              </w:rPr>
            </w:pPr>
          </w:p>
        </w:tc>
        <w:tc>
          <w:tcPr>
            <w:tcW w:w="767" w:type="dxa"/>
            <w:vAlign w:val="center"/>
          </w:tcPr>
          <w:p w14:paraId="0015A8C3">
            <w:pPr>
              <w:spacing w:line="360" w:lineRule="auto"/>
              <w:jc w:val="center"/>
              <w:rPr>
                <w:rFonts w:ascii="宋体" w:hAnsi="宋体" w:cs="宋体"/>
                <w:sz w:val="22"/>
              </w:rPr>
            </w:pPr>
          </w:p>
        </w:tc>
        <w:tc>
          <w:tcPr>
            <w:tcW w:w="1340" w:type="dxa"/>
            <w:vAlign w:val="center"/>
          </w:tcPr>
          <w:p w14:paraId="48C13B1F">
            <w:pPr>
              <w:spacing w:line="360" w:lineRule="auto"/>
              <w:jc w:val="center"/>
              <w:rPr>
                <w:rFonts w:ascii="宋体" w:hAnsi="宋体" w:cs="宋体"/>
                <w:sz w:val="22"/>
              </w:rPr>
            </w:pPr>
          </w:p>
        </w:tc>
        <w:tc>
          <w:tcPr>
            <w:tcW w:w="1326" w:type="dxa"/>
            <w:vAlign w:val="center"/>
          </w:tcPr>
          <w:p w14:paraId="7953B4C8">
            <w:pPr>
              <w:spacing w:line="360" w:lineRule="auto"/>
              <w:jc w:val="center"/>
              <w:rPr>
                <w:rFonts w:ascii="宋体" w:hAnsi="宋体" w:cs="宋体"/>
                <w:sz w:val="22"/>
              </w:rPr>
            </w:pPr>
          </w:p>
        </w:tc>
        <w:tc>
          <w:tcPr>
            <w:tcW w:w="1825" w:type="dxa"/>
          </w:tcPr>
          <w:p w14:paraId="08239CDF">
            <w:pPr>
              <w:spacing w:line="360" w:lineRule="auto"/>
              <w:jc w:val="center"/>
              <w:rPr>
                <w:rFonts w:ascii="宋体" w:hAnsi="宋体" w:cs="宋体"/>
                <w:sz w:val="22"/>
              </w:rPr>
            </w:pPr>
          </w:p>
        </w:tc>
        <w:tc>
          <w:tcPr>
            <w:tcW w:w="1147" w:type="dxa"/>
            <w:vAlign w:val="center"/>
          </w:tcPr>
          <w:p w14:paraId="77921AB5">
            <w:pPr>
              <w:spacing w:line="360" w:lineRule="auto"/>
              <w:jc w:val="center"/>
              <w:rPr>
                <w:rFonts w:ascii="宋体" w:hAnsi="宋体" w:cs="宋体"/>
                <w:sz w:val="22"/>
              </w:rPr>
            </w:pPr>
          </w:p>
        </w:tc>
      </w:tr>
      <w:tr w14:paraId="72077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0C664AD">
            <w:pPr>
              <w:spacing w:line="360" w:lineRule="auto"/>
              <w:jc w:val="center"/>
              <w:rPr>
                <w:rFonts w:ascii="宋体" w:hAnsi="宋体" w:cs="宋体"/>
                <w:sz w:val="22"/>
              </w:rPr>
            </w:pPr>
          </w:p>
        </w:tc>
        <w:tc>
          <w:tcPr>
            <w:tcW w:w="958" w:type="dxa"/>
            <w:vAlign w:val="center"/>
          </w:tcPr>
          <w:p w14:paraId="5EF101E5">
            <w:pPr>
              <w:spacing w:line="360" w:lineRule="auto"/>
              <w:jc w:val="center"/>
              <w:rPr>
                <w:rFonts w:ascii="宋体" w:hAnsi="宋体" w:cs="宋体"/>
                <w:sz w:val="22"/>
              </w:rPr>
            </w:pPr>
          </w:p>
        </w:tc>
        <w:tc>
          <w:tcPr>
            <w:tcW w:w="958" w:type="dxa"/>
            <w:vAlign w:val="center"/>
          </w:tcPr>
          <w:p w14:paraId="0F8408E1">
            <w:pPr>
              <w:spacing w:line="360" w:lineRule="auto"/>
              <w:jc w:val="center"/>
              <w:rPr>
                <w:rFonts w:ascii="宋体" w:hAnsi="宋体" w:cs="宋体"/>
                <w:sz w:val="22"/>
              </w:rPr>
            </w:pPr>
          </w:p>
        </w:tc>
        <w:tc>
          <w:tcPr>
            <w:tcW w:w="767" w:type="dxa"/>
            <w:vAlign w:val="center"/>
          </w:tcPr>
          <w:p w14:paraId="62CF8AF1">
            <w:pPr>
              <w:spacing w:line="360" w:lineRule="auto"/>
              <w:jc w:val="center"/>
              <w:rPr>
                <w:rFonts w:ascii="宋体" w:hAnsi="宋体" w:cs="宋体"/>
                <w:sz w:val="22"/>
              </w:rPr>
            </w:pPr>
          </w:p>
        </w:tc>
        <w:tc>
          <w:tcPr>
            <w:tcW w:w="767" w:type="dxa"/>
            <w:vAlign w:val="center"/>
          </w:tcPr>
          <w:p w14:paraId="2AC73B17">
            <w:pPr>
              <w:spacing w:line="360" w:lineRule="auto"/>
              <w:jc w:val="center"/>
              <w:rPr>
                <w:rFonts w:ascii="宋体" w:hAnsi="宋体" w:cs="宋体"/>
                <w:sz w:val="22"/>
              </w:rPr>
            </w:pPr>
          </w:p>
        </w:tc>
        <w:tc>
          <w:tcPr>
            <w:tcW w:w="1340" w:type="dxa"/>
            <w:vAlign w:val="center"/>
          </w:tcPr>
          <w:p w14:paraId="73FE5EE7">
            <w:pPr>
              <w:spacing w:line="360" w:lineRule="auto"/>
              <w:jc w:val="center"/>
              <w:rPr>
                <w:rFonts w:ascii="宋体" w:hAnsi="宋体" w:cs="宋体"/>
                <w:sz w:val="22"/>
              </w:rPr>
            </w:pPr>
          </w:p>
        </w:tc>
        <w:tc>
          <w:tcPr>
            <w:tcW w:w="1326" w:type="dxa"/>
            <w:vAlign w:val="center"/>
          </w:tcPr>
          <w:p w14:paraId="0FC6BD40">
            <w:pPr>
              <w:spacing w:line="360" w:lineRule="auto"/>
              <w:jc w:val="center"/>
              <w:rPr>
                <w:rFonts w:ascii="宋体" w:hAnsi="宋体" w:cs="宋体"/>
                <w:sz w:val="22"/>
              </w:rPr>
            </w:pPr>
          </w:p>
        </w:tc>
        <w:tc>
          <w:tcPr>
            <w:tcW w:w="1825" w:type="dxa"/>
          </w:tcPr>
          <w:p w14:paraId="3F4B0BA2">
            <w:pPr>
              <w:spacing w:line="360" w:lineRule="auto"/>
              <w:jc w:val="center"/>
              <w:rPr>
                <w:rFonts w:ascii="宋体" w:hAnsi="宋体" w:cs="宋体"/>
                <w:sz w:val="22"/>
              </w:rPr>
            </w:pPr>
          </w:p>
        </w:tc>
        <w:tc>
          <w:tcPr>
            <w:tcW w:w="1147" w:type="dxa"/>
            <w:vAlign w:val="center"/>
          </w:tcPr>
          <w:p w14:paraId="6FF3D52B">
            <w:pPr>
              <w:spacing w:line="360" w:lineRule="auto"/>
              <w:jc w:val="center"/>
              <w:rPr>
                <w:rFonts w:ascii="宋体" w:hAnsi="宋体" w:cs="宋体"/>
                <w:sz w:val="22"/>
              </w:rPr>
            </w:pPr>
          </w:p>
        </w:tc>
      </w:tr>
      <w:tr w14:paraId="52DBA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43903C2">
            <w:pPr>
              <w:spacing w:line="360" w:lineRule="auto"/>
              <w:jc w:val="center"/>
              <w:rPr>
                <w:rFonts w:ascii="宋体" w:hAnsi="宋体" w:cs="宋体"/>
                <w:sz w:val="22"/>
              </w:rPr>
            </w:pPr>
          </w:p>
        </w:tc>
        <w:tc>
          <w:tcPr>
            <w:tcW w:w="958" w:type="dxa"/>
            <w:vAlign w:val="center"/>
          </w:tcPr>
          <w:p w14:paraId="0E832DF5">
            <w:pPr>
              <w:spacing w:line="360" w:lineRule="auto"/>
              <w:jc w:val="center"/>
              <w:rPr>
                <w:rFonts w:ascii="宋体" w:hAnsi="宋体" w:cs="宋体"/>
                <w:sz w:val="22"/>
              </w:rPr>
            </w:pPr>
          </w:p>
        </w:tc>
        <w:tc>
          <w:tcPr>
            <w:tcW w:w="958" w:type="dxa"/>
            <w:vAlign w:val="center"/>
          </w:tcPr>
          <w:p w14:paraId="6550C6CB">
            <w:pPr>
              <w:spacing w:line="360" w:lineRule="auto"/>
              <w:jc w:val="center"/>
              <w:rPr>
                <w:rFonts w:ascii="宋体" w:hAnsi="宋体" w:cs="宋体"/>
                <w:sz w:val="22"/>
              </w:rPr>
            </w:pPr>
          </w:p>
        </w:tc>
        <w:tc>
          <w:tcPr>
            <w:tcW w:w="767" w:type="dxa"/>
            <w:vAlign w:val="center"/>
          </w:tcPr>
          <w:p w14:paraId="314B4924">
            <w:pPr>
              <w:spacing w:line="360" w:lineRule="auto"/>
              <w:jc w:val="center"/>
              <w:rPr>
                <w:rFonts w:ascii="宋体" w:hAnsi="宋体" w:cs="宋体"/>
                <w:sz w:val="22"/>
              </w:rPr>
            </w:pPr>
          </w:p>
        </w:tc>
        <w:tc>
          <w:tcPr>
            <w:tcW w:w="767" w:type="dxa"/>
            <w:vAlign w:val="center"/>
          </w:tcPr>
          <w:p w14:paraId="2256329A">
            <w:pPr>
              <w:spacing w:line="360" w:lineRule="auto"/>
              <w:jc w:val="center"/>
              <w:rPr>
                <w:rFonts w:ascii="宋体" w:hAnsi="宋体" w:cs="宋体"/>
                <w:sz w:val="22"/>
              </w:rPr>
            </w:pPr>
          </w:p>
        </w:tc>
        <w:tc>
          <w:tcPr>
            <w:tcW w:w="1340" w:type="dxa"/>
            <w:vAlign w:val="center"/>
          </w:tcPr>
          <w:p w14:paraId="54E0AD07">
            <w:pPr>
              <w:spacing w:line="360" w:lineRule="auto"/>
              <w:jc w:val="center"/>
              <w:rPr>
                <w:rFonts w:ascii="宋体" w:hAnsi="宋体" w:cs="宋体"/>
                <w:sz w:val="22"/>
              </w:rPr>
            </w:pPr>
          </w:p>
        </w:tc>
        <w:tc>
          <w:tcPr>
            <w:tcW w:w="1326" w:type="dxa"/>
            <w:vAlign w:val="center"/>
          </w:tcPr>
          <w:p w14:paraId="6E38F140">
            <w:pPr>
              <w:spacing w:line="360" w:lineRule="auto"/>
              <w:jc w:val="center"/>
              <w:rPr>
                <w:rFonts w:ascii="宋体" w:hAnsi="宋体" w:cs="宋体"/>
                <w:sz w:val="22"/>
              </w:rPr>
            </w:pPr>
          </w:p>
        </w:tc>
        <w:tc>
          <w:tcPr>
            <w:tcW w:w="1825" w:type="dxa"/>
          </w:tcPr>
          <w:p w14:paraId="19AFC8D2">
            <w:pPr>
              <w:spacing w:line="360" w:lineRule="auto"/>
              <w:jc w:val="center"/>
              <w:rPr>
                <w:rFonts w:ascii="宋体" w:hAnsi="宋体" w:cs="宋体"/>
                <w:sz w:val="22"/>
              </w:rPr>
            </w:pPr>
          </w:p>
        </w:tc>
        <w:tc>
          <w:tcPr>
            <w:tcW w:w="1147" w:type="dxa"/>
            <w:vAlign w:val="center"/>
          </w:tcPr>
          <w:p w14:paraId="78FCB9EB">
            <w:pPr>
              <w:spacing w:line="360" w:lineRule="auto"/>
              <w:jc w:val="center"/>
              <w:rPr>
                <w:rFonts w:ascii="宋体" w:hAnsi="宋体" w:cs="宋体"/>
                <w:sz w:val="22"/>
              </w:rPr>
            </w:pPr>
          </w:p>
        </w:tc>
      </w:tr>
      <w:tr w14:paraId="4D6D3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2915FF6">
            <w:pPr>
              <w:spacing w:line="360" w:lineRule="auto"/>
              <w:jc w:val="center"/>
              <w:rPr>
                <w:rFonts w:ascii="宋体" w:hAnsi="宋体" w:cs="宋体"/>
                <w:sz w:val="22"/>
              </w:rPr>
            </w:pPr>
          </w:p>
        </w:tc>
        <w:tc>
          <w:tcPr>
            <w:tcW w:w="958" w:type="dxa"/>
            <w:vAlign w:val="center"/>
          </w:tcPr>
          <w:p w14:paraId="0A55741E">
            <w:pPr>
              <w:spacing w:line="360" w:lineRule="auto"/>
              <w:jc w:val="center"/>
              <w:rPr>
                <w:rFonts w:ascii="宋体" w:hAnsi="宋体" w:cs="宋体"/>
                <w:sz w:val="22"/>
              </w:rPr>
            </w:pPr>
          </w:p>
        </w:tc>
        <w:tc>
          <w:tcPr>
            <w:tcW w:w="958" w:type="dxa"/>
            <w:vAlign w:val="center"/>
          </w:tcPr>
          <w:p w14:paraId="71FA77BD">
            <w:pPr>
              <w:spacing w:line="360" w:lineRule="auto"/>
              <w:jc w:val="center"/>
              <w:rPr>
                <w:rFonts w:ascii="宋体" w:hAnsi="宋体" w:cs="宋体"/>
                <w:sz w:val="22"/>
              </w:rPr>
            </w:pPr>
          </w:p>
        </w:tc>
        <w:tc>
          <w:tcPr>
            <w:tcW w:w="767" w:type="dxa"/>
            <w:vAlign w:val="center"/>
          </w:tcPr>
          <w:p w14:paraId="74342E90">
            <w:pPr>
              <w:spacing w:line="360" w:lineRule="auto"/>
              <w:jc w:val="center"/>
              <w:rPr>
                <w:rFonts w:ascii="宋体" w:hAnsi="宋体" w:cs="宋体"/>
                <w:sz w:val="22"/>
              </w:rPr>
            </w:pPr>
          </w:p>
        </w:tc>
        <w:tc>
          <w:tcPr>
            <w:tcW w:w="767" w:type="dxa"/>
            <w:vAlign w:val="center"/>
          </w:tcPr>
          <w:p w14:paraId="3B649589">
            <w:pPr>
              <w:spacing w:line="360" w:lineRule="auto"/>
              <w:jc w:val="center"/>
              <w:rPr>
                <w:rFonts w:ascii="宋体" w:hAnsi="宋体" w:cs="宋体"/>
                <w:sz w:val="22"/>
              </w:rPr>
            </w:pPr>
          </w:p>
        </w:tc>
        <w:tc>
          <w:tcPr>
            <w:tcW w:w="1340" w:type="dxa"/>
            <w:vAlign w:val="center"/>
          </w:tcPr>
          <w:p w14:paraId="745E1E4C">
            <w:pPr>
              <w:spacing w:line="360" w:lineRule="auto"/>
              <w:jc w:val="center"/>
              <w:rPr>
                <w:rFonts w:ascii="宋体" w:hAnsi="宋体" w:cs="宋体"/>
                <w:sz w:val="22"/>
              </w:rPr>
            </w:pPr>
          </w:p>
        </w:tc>
        <w:tc>
          <w:tcPr>
            <w:tcW w:w="1326" w:type="dxa"/>
            <w:vAlign w:val="center"/>
          </w:tcPr>
          <w:p w14:paraId="6E3280FE">
            <w:pPr>
              <w:spacing w:line="360" w:lineRule="auto"/>
              <w:jc w:val="center"/>
              <w:rPr>
                <w:rFonts w:ascii="宋体" w:hAnsi="宋体" w:cs="宋体"/>
                <w:sz w:val="22"/>
              </w:rPr>
            </w:pPr>
          </w:p>
        </w:tc>
        <w:tc>
          <w:tcPr>
            <w:tcW w:w="1825" w:type="dxa"/>
          </w:tcPr>
          <w:p w14:paraId="444EE6A7">
            <w:pPr>
              <w:spacing w:line="360" w:lineRule="auto"/>
              <w:jc w:val="center"/>
              <w:rPr>
                <w:rFonts w:ascii="宋体" w:hAnsi="宋体" w:cs="宋体"/>
                <w:sz w:val="22"/>
              </w:rPr>
            </w:pPr>
          </w:p>
        </w:tc>
        <w:tc>
          <w:tcPr>
            <w:tcW w:w="1147" w:type="dxa"/>
            <w:vAlign w:val="center"/>
          </w:tcPr>
          <w:p w14:paraId="2C7F8E29">
            <w:pPr>
              <w:spacing w:line="360" w:lineRule="auto"/>
              <w:jc w:val="center"/>
              <w:rPr>
                <w:rFonts w:ascii="宋体" w:hAnsi="宋体" w:cs="宋体"/>
                <w:sz w:val="22"/>
              </w:rPr>
            </w:pPr>
          </w:p>
        </w:tc>
      </w:tr>
      <w:tr w14:paraId="40843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BA56D45">
            <w:pPr>
              <w:spacing w:line="360" w:lineRule="auto"/>
              <w:jc w:val="center"/>
              <w:rPr>
                <w:rFonts w:ascii="宋体" w:hAnsi="宋体" w:cs="宋体"/>
                <w:sz w:val="22"/>
              </w:rPr>
            </w:pPr>
          </w:p>
        </w:tc>
        <w:tc>
          <w:tcPr>
            <w:tcW w:w="958" w:type="dxa"/>
            <w:vAlign w:val="center"/>
          </w:tcPr>
          <w:p w14:paraId="12323FA2">
            <w:pPr>
              <w:spacing w:line="360" w:lineRule="auto"/>
              <w:jc w:val="center"/>
              <w:rPr>
                <w:rFonts w:ascii="宋体" w:hAnsi="宋体" w:cs="宋体"/>
                <w:sz w:val="22"/>
              </w:rPr>
            </w:pPr>
          </w:p>
        </w:tc>
        <w:tc>
          <w:tcPr>
            <w:tcW w:w="958" w:type="dxa"/>
            <w:vAlign w:val="center"/>
          </w:tcPr>
          <w:p w14:paraId="1FF1B346">
            <w:pPr>
              <w:spacing w:line="360" w:lineRule="auto"/>
              <w:jc w:val="center"/>
              <w:rPr>
                <w:rFonts w:ascii="宋体" w:hAnsi="宋体" w:cs="宋体"/>
                <w:sz w:val="22"/>
              </w:rPr>
            </w:pPr>
          </w:p>
        </w:tc>
        <w:tc>
          <w:tcPr>
            <w:tcW w:w="767" w:type="dxa"/>
            <w:vAlign w:val="center"/>
          </w:tcPr>
          <w:p w14:paraId="6CA18EE8">
            <w:pPr>
              <w:spacing w:line="360" w:lineRule="auto"/>
              <w:jc w:val="center"/>
              <w:rPr>
                <w:rFonts w:ascii="宋体" w:hAnsi="宋体" w:cs="宋体"/>
                <w:sz w:val="22"/>
              </w:rPr>
            </w:pPr>
          </w:p>
        </w:tc>
        <w:tc>
          <w:tcPr>
            <w:tcW w:w="767" w:type="dxa"/>
            <w:vAlign w:val="center"/>
          </w:tcPr>
          <w:p w14:paraId="3DE5575C">
            <w:pPr>
              <w:spacing w:line="360" w:lineRule="auto"/>
              <w:jc w:val="center"/>
              <w:rPr>
                <w:rFonts w:ascii="宋体" w:hAnsi="宋体" w:cs="宋体"/>
                <w:sz w:val="22"/>
              </w:rPr>
            </w:pPr>
          </w:p>
        </w:tc>
        <w:tc>
          <w:tcPr>
            <w:tcW w:w="1340" w:type="dxa"/>
            <w:vAlign w:val="center"/>
          </w:tcPr>
          <w:p w14:paraId="0ECAC195">
            <w:pPr>
              <w:spacing w:line="360" w:lineRule="auto"/>
              <w:jc w:val="center"/>
              <w:rPr>
                <w:rFonts w:ascii="宋体" w:hAnsi="宋体" w:cs="宋体"/>
                <w:sz w:val="22"/>
              </w:rPr>
            </w:pPr>
          </w:p>
        </w:tc>
        <w:tc>
          <w:tcPr>
            <w:tcW w:w="1326" w:type="dxa"/>
            <w:vAlign w:val="center"/>
          </w:tcPr>
          <w:p w14:paraId="6802FECE">
            <w:pPr>
              <w:spacing w:line="360" w:lineRule="auto"/>
              <w:jc w:val="center"/>
              <w:rPr>
                <w:rFonts w:ascii="宋体" w:hAnsi="宋体" w:cs="宋体"/>
                <w:sz w:val="22"/>
              </w:rPr>
            </w:pPr>
          </w:p>
        </w:tc>
        <w:tc>
          <w:tcPr>
            <w:tcW w:w="1825" w:type="dxa"/>
          </w:tcPr>
          <w:p w14:paraId="24F360D7">
            <w:pPr>
              <w:spacing w:line="360" w:lineRule="auto"/>
              <w:jc w:val="center"/>
              <w:rPr>
                <w:rFonts w:ascii="宋体" w:hAnsi="宋体" w:cs="宋体"/>
                <w:sz w:val="22"/>
              </w:rPr>
            </w:pPr>
          </w:p>
        </w:tc>
        <w:tc>
          <w:tcPr>
            <w:tcW w:w="1147" w:type="dxa"/>
            <w:vAlign w:val="center"/>
          </w:tcPr>
          <w:p w14:paraId="479033D9">
            <w:pPr>
              <w:spacing w:line="360" w:lineRule="auto"/>
              <w:jc w:val="center"/>
              <w:rPr>
                <w:rFonts w:ascii="宋体" w:hAnsi="宋体" w:cs="宋体"/>
                <w:sz w:val="22"/>
              </w:rPr>
            </w:pPr>
          </w:p>
        </w:tc>
      </w:tr>
      <w:tr w14:paraId="78D7E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537EC20">
            <w:pPr>
              <w:spacing w:line="360" w:lineRule="auto"/>
              <w:jc w:val="center"/>
              <w:rPr>
                <w:rFonts w:ascii="宋体" w:hAnsi="宋体" w:cs="宋体"/>
                <w:sz w:val="22"/>
              </w:rPr>
            </w:pPr>
          </w:p>
        </w:tc>
        <w:tc>
          <w:tcPr>
            <w:tcW w:w="958" w:type="dxa"/>
            <w:vAlign w:val="center"/>
          </w:tcPr>
          <w:p w14:paraId="5E7E9110">
            <w:pPr>
              <w:spacing w:line="360" w:lineRule="auto"/>
              <w:jc w:val="center"/>
              <w:rPr>
                <w:rFonts w:ascii="宋体" w:hAnsi="宋体" w:cs="宋体"/>
                <w:sz w:val="22"/>
              </w:rPr>
            </w:pPr>
          </w:p>
        </w:tc>
        <w:tc>
          <w:tcPr>
            <w:tcW w:w="958" w:type="dxa"/>
            <w:vAlign w:val="center"/>
          </w:tcPr>
          <w:p w14:paraId="4B30A170">
            <w:pPr>
              <w:spacing w:line="360" w:lineRule="auto"/>
              <w:jc w:val="center"/>
              <w:rPr>
                <w:rFonts w:ascii="宋体" w:hAnsi="宋体" w:cs="宋体"/>
                <w:sz w:val="22"/>
              </w:rPr>
            </w:pPr>
          </w:p>
        </w:tc>
        <w:tc>
          <w:tcPr>
            <w:tcW w:w="767" w:type="dxa"/>
            <w:vAlign w:val="center"/>
          </w:tcPr>
          <w:p w14:paraId="35455598">
            <w:pPr>
              <w:spacing w:line="360" w:lineRule="auto"/>
              <w:jc w:val="center"/>
              <w:rPr>
                <w:rFonts w:ascii="宋体" w:hAnsi="宋体" w:cs="宋体"/>
                <w:sz w:val="22"/>
              </w:rPr>
            </w:pPr>
          </w:p>
        </w:tc>
        <w:tc>
          <w:tcPr>
            <w:tcW w:w="767" w:type="dxa"/>
            <w:vAlign w:val="center"/>
          </w:tcPr>
          <w:p w14:paraId="1DB929FF">
            <w:pPr>
              <w:spacing w:line="360" w:lineRule="auto"/>
              <w:jc w:val="center"/>
              <w:rPr>
                <w:rFonts w:ascii="宋体" w:hAnsi="宋体" w:cs="宋体"/>
                <w:sz w:val="22"/>
              </w:rPr>
            </w:pPr>
          </w:p>
        </w:tc>
        <w:tc>
          <w:tcPr>
            <w:tcW w:w="1340" w:type="dxa"/>
            <w:vAlign w:val="center"/>
          </w:tcPr>
          <w:p w14:paraId="12F9ED8D">
            <w:pPr>
              <w:spacing w:line="360" w:lineRule="auto"/>
              <w:jc w:val="center"/>
              <w:rPr>
                <w:rFonts w:ascii="宋体" w:hAnsi="宋体" w:cs="宋体"/>
                <w:sz w:val="22"/>
              </w:rPr>
            </w:pPr>
          </w:p>
        </w:tc>
        <w:tc>
          <w:tcPr>
            <w:tcW w:w="1326" w:type="dxa"/>
            <w:vAlign w:val="center"/>
          </w:tcPr>
          <w:p w14:paraId="4D6BFF84">
            <w:pPr>
              <w:spacing w:line="360" w:lineRule="auto"/>
              <w:jc w:val="center"/>
              <w:rPr>
                <w:rFonts w:ascii="宋体" w:hAnsi="宋体" w:cs="宋体"/>
                <w:sz w:val="22"/>
              </w:rPr>
            </w:pPr>
          </w:p>
        </w:tc>
        <w:tc>
          <w:tcPr>
            <w:tcW w:w="1825" w:type="dxa"/>
          </w:tcPr>
          <w:p w14:paraId="5D3F0E17">
            <w:pPr>
              <w:spacing w:line="360" w:lineRule="auto"/>
              <w:jc w:val="center"/>
              <w:rPr>
                <w:rFonts w:ascii="宋体" w:hAnsi="宋体" w:cs="宋体"/>
                <w:sz w:val="22"/>
              </w:rPr>
            </w:pPr>
          </w:p>
        </w:tc>
        <w:tc>
          <w:tcPr>
            <w:tcW w:w="1147" w:type="dxa"/>
            <w:vAlign w:val="center"/>
          </w:tcPr>
          <w:p w14:paraId="165B17F5">
            <w:pPr>
              <w:spacing w:line="360" w:lineRule="auto"/>
              <w:jc w:val="center"/>
              <w:rPr>
                <w:rFonts w:ascii="宋体" w:hAnsi="宋体" w:cs="宋体"/>
                <w:sz w:val="22"/>
              </w:rPr>
            </w:pPr>
          </w:p>
        </w:tc>
      </w:tr>
      <w:tr w14:paraId="3544F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623C85E">
            <w:pPr>
              <w:spacing w:line="360" w:lineRule="auto"/>
              <w:jc w:val="center"/>
              <w:rPr>
                <w:rFonts w:ascii="宋体" w:hAnsi="宋体" w:cs="宋体"/>
                <w:sz w:val="22"/>
              </w:rPr>
            </w:pPr>
          </w:p>
        </w:tc>
        <w:tc>
          <w:tcPr>
            <w:tcW w:w="958" w:type="dxa"/>
            <w:vAlign w:val="center"/>
          </w:tcPr>
          <w:p w14:paraId="1BE7A865">
            <w:pPr>
              <w:spacing w:line="360" w:lineRule="auto"/>
              <w:jc w:val="center"/>
              <w:rPr>
                <w:rFonts w:ascii="宋体" w:hAnsi="宋体" w:cs="宋体"/>
                <w:sz w:val="22"/>
              </w:rPr>
            </w:pPr>
          </w:p>
        </w:tc>
        <w:tc>
          <w:tcPr>
            <w:tcW w:w="958" w:type="dxa"/>
            <w:vAlign w:val="center"/>
          </w:tcPr>
          <w:p w14:paraId="27EE3EFC">
            <w:pPr>
              <w:spacing w:line="360" w:lineRule="auto"/>
              <w:jc w:val="center"/>
              <w:rPr>
                <w:rFonts w:ascii="宋体" w:hAnsi="宋体" w:cs="宋体"/>
                <w:sz w:val="22"/>
              </w:rPr>
            </w:pPr>
          </w:p>
        </w:tc>
        <w:tc>
          <w:tcPr>
            <w:tcW w:w="767" w:type="dxa"/>
            <w:vAlign w:val="center"/>
          </w:tcPr>
          <w:p w14:paraId="7175D7C7">
            <w:pPr>
              <w:spacing w:line="360" w:lineRule="auto"/>
              <w:jc w:val="center"/>
              <w:rPr>
                <w:rFonts w:ascii="宋体" w:hAnsi="宋体" w:cs="宋体"/>
                <w:sz w:val="22"/>
              </w:rPr>
            </w:pPr>
          </w:p>
        </w:tc>
        <w:tc>
          <w:tcPr>
            <w:tcW w:w="767" w:type="dxa"/>
            <w:vAlign w:val="center"/>
          </w:tcPr>
          <w:p w14:paraId="645C59A9">
            <w:pPr>
              <w:spacing w:line="360" w:lineRule="auto"/>
              <w:jc w:val="center"/>
              <w:rPr>
                <w:rFonts w:ascii="宋体" w:hAnsi="宋体" w:cs="宋体"/>
                <w:sz w:val="22"/>
              </w:rPr>
            </w:pPr>
          </w:p>
        </w:tc>
        <w:tc>
          <w:tcPr>
            <w:tcW w:w="1340" w:type="dxa"/>
            <w:vAlign w:val="center"/>
          </w:tcPr>
          <w:p w14:paraId="7C2B3232">
            <w:pPr>
              <w:spacing w:line="360" w:lineRule="auto"/>
              <w:jc w:val="center"/>
              <w:rPr>
                <w:rFonts w:ascii="宋体" w:hAnsi="宋体" w:cs="宋体"/>
                <w:sz w:val="22"/>
              </w:rPr>
            </w:pPr>
          </w:p>
        </w:tc>
        <w:tc>
          <w:tcPr>
            <w:tcW w:w="1326" w:type="dxa"/>
            <w:vAlign w:val="center"/>
          </w:tcPr>
          <w:p w14:paraId="062DA822">
            <w:pPr>
              <w:spacing w:line="360" w:lineRule="auto"/>
              <w:jc w:val="center"/>
              <w:rPr>
                <w:rFonts w:ascii="宋体" w:hAnsi="宋体" w:cs="宋体"/>
                <w:sz w:val="22"/>
              </w:rPr>
            </w:pPr>
          </w:p>
        </w:tc>
        <w:tc>
          <w:tcPr>
            <w:tcW w:w="1825" w:type="dxa"/>
          </w:tcPr>
          <w:p w14:paraId="4A09D8E9">
            <w:pPr>
              <w:spacing w:line="360" w:lineRule="auto"/>
              <w:jc w:val="center"/>
              <w:rPr>
                <w:rFonts w:ascii="宋体" w:hAnsi="宋体" w:cs="宋体"/>
                <w:sz w:val="22"/>
              </w:rPr>
            </w:pPr>
          </w:p>
        </w:tc>
        <w:tc>
          <w:tcPr>
            <w:tcW w:w="1147" w:type="dxa"/>
            <w:vAlign w:val="center"/>
          </w:tcPr>
          <w:p w14:paraId="0AD6A170">
            <w:pPr>
              <w:spacing w:line="360" w:lineRule="auto"/>
              <w:jc w:val="center"/>
              <w:rPr>
                <w:rFonts w:ascii="宋体" w:hAnsi="宋体" w:cs="宋体"/>
                <w:sz w:val="22"/>
              </w:rPr>
            </w:pPr>
          </w:p>
        </w:tc>
      </w:tr>
      <w:tr w14:paraId="5B1EC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8FCFD2">
            <w:pPr>
              <w:spacing w:line="360" w:lineRule="auto"/>
              <w:jc w:val="center"/>
              <w:rPr>
                <w:rFonts w:ascii="宋体" w:hAnsi="宋体" w:cs="宋体"/>
                <w:sz w:val="22"/>
              </w:rPr>
            </w:pPr>
          </w:p>
        </w:tc>
        <w:tc>
          <w:tcPr>
            <w:tcW w:w="958" w:type="dxa"/>
            <w:vAlign w:val="center"/>
          </w:tcPr>
          <w:p w14:paraId="422EEC68">
            <w:pPr>
              <w:spacing w:line="360" w:lineRule="auto"/>
              <w:jc w:val="center"/>
              <w:rPr>
                <w:rFonts w:ascii="宋体" w:hAnsi="宋体" w:cs="宋体"/>
                <w:sz w:val="22"/>
              </w:rPr>
            </w:pPr>
          </w:p>
        </w:tc>
        <w:tc>
          <w:tcPr>
            <w:tcW w:w="958" w:type="dxa"/>
            <w:vAlign w:val="center"/>
          </w:tcPr>
          <w:p w14:paraId="5EB824F3">
            <w:pPr>
              <w:spacing w:line="360" w:lineRule="auto"/>
              <w:jc w:val="center"/>
              <w:rPr>
                <w:rFonts w:ascii="宋体" w:hAnsi="宋体" w:cs="宋体"/>
                <w:sz w:val="22"/>
              </w:rPr>
            </w:pPr>
          </w:p>
        </w:tc>
        <w:tc>
          <w:tcPr>
            <w:tcW w:w="767" w:type="dxa"/>
            <w:vAlign w:val="center"/>
          </w:tcPr>
          <w:p w14:paraId="0C0C1701">
            <w:pPr>
              <w:spacing w:line="360" w:lineRule="auto"/>
              <w:jc w:val="center"/>
              <w:rPr>
                <w:rFonts w:ascii="宋体" w:hAnsi="宋体" w:cs="宋体"/>
                <w:sz w:val="22"/>
              </w:rPr>
            </w:pPr>
          </w:p>
        </w:tc>
        <w:tc>
          <w:tcPr>
            <w:tcW w:w="767" w:type="dxa"/>
            <w:vAlign w:val="center"/>
          </w:tcPr>
          <w:p w14:paraId="2838E31C">
            <w:pPr>
              <w:spacing w:line="360" w:lineRule="auto"/>
              <w:jc w:val="center"/>
              <w:rPr>
                <w:rFonts w:ascii="宋体" w:hAnsi="宋体" w:cs="宋体"/>
                <w:sz w:val="22"/>
              </w:rPr>
            </w:pPr>
          </w:p>
        </w:tc>
        <w:tc>
          <w:tcPr>
            <w:tcW w:w="1340" w:type="dxa"/>
            <w:vAlign w:val="center"/>
          </w:tcPr>
          <w:p w14:paraId="701AD74C">
            <w:pPr>
              <w:spacing w:line="360" w:lineRule="auto"/>
              <w:jc w:val="center"/>
              <w:rPr>
                <w:rFonts w:ascii="宋体" w:hAnsi="宋体" w:cs="宋体"/>
                <w:sz w:val="22"/>
              </w:rPr>
            </w:pPr>
          </w:p>
        </w:tc>
        <w:tc>
          <w:tcPr>
            <w:tcW w:w="1326" w:type="dxa"/>
            <w:vAlign w:val="center"/>
          </w:tcPr>
          <w:p w14:paraId="2F2FBB3C">
            <w:pPr>
              <w:spacing w:line="360" w:lineRule="auto"/>
              <w:jc w:val="center"/>
              <w:rPr>
                <w:rFonts w:ascii="宋体" w:hAnsi="宋体" w:cs="宋体"/>
                <w:sz w:val="22"/>
              </w:rPr>
            </w:pPr>
          </w:p>
        </w:tc>
        <w:tc>
          <w:tcPr>
            <w:tcW w:w="1825" w:type="dxa"/>
          </w:tcPr>
          <w:p w14:paraId="69430E98">
            <w:pPr>
              <w:spacing w:line="360" w:lineRule="auto"/>
              <w:jc w:val="center"/>
              <w:rPr>
                <w:rFonts w:ascii="宋体" w:hAnsi="宋体" w:cs="宋体"/>
                <w:sz w:val="22"/>
              </w:rPr>
            </w:pPr>
          </w:p>
        </w:tc>
        <w:tc>
          <w:tcPr>
            <w:tcW w:w="1147" w:type="dxa"/>
            <w:vAlign w:val="center"/>
          </w:tcPr>
          <w:p w14:paraId="46274AF9">
            <w:pPr>
              <w:spacing w:line="360" w:lineRule="auto"/>
              <w:jc w:val="center"/>
              <w:rPr>
                <w:rFonts w:ascii="宋体" w:hAnsi="宋体" w:cs="宋体"/>
                <w:sz w:val="22"/>
              </w:rPr>
            </w:pPr>
          </w:p>
        </w:tc>
      </w:tr>
      <w:tr w14:paraId="6E160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EA2FE69">
            <w:pPr>
              <w:spacing w:line="360" w:lineRule="auto"/>
              <w:jc w:val="center"/>
              <w:rPr>
                <w:rFonts w:ascii="宋体" w:hAnsi="宋体" w:cs="宋体"/>
                <w:sz w:val="22"/>
              </w:rPr>
            </w:pPr>
          </w:p>
        </w:tc>
        <w:tc>
          <w:tcPr>
            <w:tcW w:w="958" w:type="dxa"/>
            <w:vAlign w:val="center"/>
          </w:tcPr>
          <w:p w14:paraId="55DAEAAB">
            <w:pPr>
              <w:spacing w:line="360" w:lineRule="auto"/>
              <w:jc w:val="center"/>
              <w:rPr>
                <w:rFonts w:ascii="宋体" w:hAnsi="宋体" w:cs="宋体"/>
                <w:sz w:val="22"/>
              </w:rPr>
            </w:pPr>
          </w:p>
        </w:tc>
        <w:tc>
          <w:tcPr>
            <w:tcW w:w="958" w:type="dxa"/>
            <w:vAlign w:val="center"/>
          </w:tcPr>
          <w:p w14:paraId="6D6902F9">
            <w:pPr>
              <w:spacing w:line="360" w:lineRule="auto"/>
              <w:jc w:val="center"/>
              <w:rPr>
                <w:rFonts w:ascii="宋体" w:hAnsi="宋体" w:cs="宋体"/>
                <w:sz w:val="22"/>
              </w:rPr>
            </w:pPr>
          </w:p>
        </w:tc>
        <w:tc>
          <w:tcPr>
            <w:tcW w:w="767" w:type="dxa"/>
            <w:vAlign w:val="center"/>
          </w:tcPr>
          <w:p w14:paraId="725F745E">
            <w:pPr>
              <w:spacing w:line="360" w:lineRule="auto"/>
              <w:jc w:val="center"/>
              <w:rPr>
                <w:rFonts w:ascii="宋体" w:hAnsi="宋体" w:cs="宋体"/>
                <w:sz w:val="22"/>
              </w:rPr>
            </w:pPr>
          </w:p>
        </w:tc>
        <w:tc>
          <w:tcPr>
            <w:tcW w:w="767" w:type="dxa"/>
            <w:vAlign w:val="center"/>
          </w:tcPr>
          <w:p w14:paraId="005D1EFF">
            <w:pPr>
              <w:spacing w:line="360" w:lineRule="auto"/>
              <w:jc w:val="center"/>
              <w:rPr>
                <w:rFonts w:ascii="宋体" w:hAnsi="宋体" w:cs="宋体"/>
                <w:sz w:val="22"/>
              </w:rPr>
            </w:pPr>
          </w:p>
        </w:tc>
        <w:tc>
          <w:tcPr>
            <w:tcW w:w="1340" w:type="dxa"/>
            <w:vAlign w:val="center"/>
          </w:tcPr>
          <w:p w14:paraId="23782FA8">
            <w:pPr>
              <w:spacing w:line="360" w:lineRule="auto"/>
              <w:jc w:val="center"/>
              <w:rPr>
                <w:rFonts w:ascii="宋体" w:hAnsi="宋体" w:cs="宋体"/>
                <w:sz w:val="22"/>
              </w:rPr>
            </w:pPr>
          </w:p>
        </w:tc>
        <w:tc>
          <w:tcPr>
            <w:tcW w:w="1326" w:type="dxa"/>
            <w:vAlign w:val="center"/>
          </w:tcPr>
          <w:p w14:paraId="7CBC0EE9">
            <w:pPr>
              <w:spacing w:line="360" w:lineRule="auto"/>
              <w:jc w:val="center"/>
              <w:rPr>
                <w:rFonts w:ascii="宋体" w:hAnsi="宋体" w:cs="宋体"/>
                <w:sz w:val="22"/>
              </w:rPr>
            </w:pPr>
          </w:p>
        </w:tc>
        <w:tc>
          <w:tcPr>
            <w:tcW w:w="1825" w:type="dxa"/>
          </w:tcPr>
          <w:p w14:paraId="0EE0E0F4">
            <w:pPr>
              <w:spacing w:line="360" w:lineRule="auto"/>
              <w:jc w:val="center"/>
              <w:rPr>
                <w:rFonts w:ascii="宋体" w:hAnsi="宋体" w:cs="宋体"/>
                <w:sz w:val="22"/>
              </w:rPr>
            </w:pPr>
          </w:p>
        </w:tc>
        <w:tc>
          <w:tcPr>
            <w:tcW w:w="1147" w:type="dxa"/>
            <w:vAlign w:val="center"/>
          </w:tcPr>
          <w:p w14:paraId="6751C6A3">
            <w:pPr>
              <w:spacing w:line="360" w:lineRule="auto"/>
              <w:jc w:val="center"/>
              <w:rPr>
                <w:rFonts w:ascii="宋体" w:hAnsi="宋体" w:cs="宋体"/>
                <w:sz w:val="22"/>
              </w:rPr>
            </w:pPr>
          </w:p>
        </w:tc>
      </w:tr>
      <w:tr w14:paraId="255BE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AA1462E">
            <w:pPr>
              <w:spacing w:line="360" w:lineRule="auto"/>
              <w:jc w:val="center"/>
              <w:rPr>
                <w:rFonts w:ascii="宋体" w:hAnsi="宋体" w:cs="宋体"/>
                <w:sz w:val="22"/>
              </w:rPr>
            </w:pPr>
          </w:p>
        </w:tc>
        <w:tc>
          <w:tcPr>
            <w:tcW w:w="958" w:type="dxa"/>
            <w:vAlign w:val="center"/>
          </w:tcPr>
          <w:p w14:paraId="125D975A">
            <w:pPr>
              <w:spacing w:line="360" w:lineRule="auto"/>
              <w:jc w:val="center"/>
              <w:rPr>
                <w:rFonts w:ascii="宋体" w:hAnsi="宋体" w:cs="宋体"/>
                <w:sz w:val="22"/>
              </w:rPr>
            </w:pPr>
          </w:p>
        </w:tc>
        <w:tc>
          <w:tcPr>
            <w:tcW w:w="958" w:type="dxa"/>
            <w:vAlign w:val="center"/>
          </w:tcPr>
          <w:p w14:paraId="0B4D7C2B">
            <w:pPr>
              <w:spacing w:line="360" w:lineRule="auto"/>
              <w:jc w:val="center"/>
              <w:rPr>
                <w:rFonts w:ascii="宋体" w:hAnsi="宋体" w:cs="宋体"/>
                <w:sz w:val="22"/>
              </w:rPr>
            </w:pPr>
          </w:p>
        </w:tc>
        <w:tc>
          <w:tcPr>
            <w:tcW w:w="767" w:type="dxa"/>
            <w:vAlign w:val="center"/>
          </w:tcPr>
          <w:p w14:paraId="0DF0E073">
            <w:pPr>
              <w:spacing w:line="360" w:lineRule="auto"/>
              <w:jc w:val="center"/>
              <w:rPr>
                <w:rFonts w:ascii="宋体" w:hAnsi="宋体" w:cs="宋体"/>
                <w:sz w:val="22"/>
              </w:rPr>
            </w:pPr>
          </w:p>
        </w:tc>
        <w:tc>
          <w:tcPr>
            <w:tcW w:w="767" w:type="dxa"/>
            <w:vAlign w:val="center"/>
          </w:tcPr>
          <w:p w14:paraId="4DABBAB1">
            <w:pPr>
              <w:spacing w:line="360" w:lineRule="auto"/>
              <w:jc w:val="center"/>
              <w:rPr>
                <w:rFonts w:ascii="宋体" w:hAnsi="宋体" w:cs="宋体"/>
                <w:sz w:val="22"/>
              </w:rPr>
            </w:pPr>
          </w:p>
        </w:tc>
        <w:tc>
          <w:tcPr>
            <w:tcW w:w="1340" w:type="dxa"/>
            <w:vAlign w:val="center"/>
          </w:tcPr>
          <w:p w14:paraId="37E8D416">
            <w:pPr>
              <w:spacing w:line="360" w:lineRule="auto"/>
              <w:jc w:val="center"/>
              <w:rPr>
                <w:rFonts w:ascii="宋体" w:hAnsi="宋体" w:cs="宋体"/>
                <w:sz w:val="22"/>
              </w:rPr>
            </w:pPr>
          </w:p>
        </w:tc>
        <w:tc>
          <w:tcPr>
            <w:tcW w:w="1326" w:type="dxa"/>
            <w:vAlign w:val="center"/>
          </w:tcPr>
          <w:p w14:paraId="196E9449">
            <w:pPr>
              <w:spacing w:line="360" w:lineRule="auto"/>
              <w:jc w:val="center"/>
              <w:rPr>
                <w:rFonts w:ascii="宋体" w:hAnsi="宋体" w:cs="宋体"/>
                <w:sz w:val="22"/>
              </w:rPr>
            </w:pPr>
          </w:p>
        </w:tc>
        <w:tc>
          <w:tcPr>
            <w:tcW w:w="1825" w:type="dxa"/>
          </w:tcPr>
          <w:p w14:paraId="345C50E9">
            <w:pPr>
              <w:spacing w:line="360" w:lineRule="auto"/>
              <w:jc w:val="center"/>
              <w:rPr>
                <w:rFonts w:ascii="宋体" w:hAnsi="宋体" w:cs="宋体"/>
                <w:sz w:val="22"/>
              </w:rPr>
            </w:pPr>
          </w:p>
        </w:tc>
        <w:tc>
          <w:tcPr>
            <w:tcW w:w="1147" w:type="dxa"/>
            <w:vAlign w:val="center"/>
          </w:tcPr>
          <w:p w14:paraId="5B050F79">
            <w:pPr>
              <w:spacing w:line="360" w:lineRule="auto"/>
              <w:jc w:val="center"/>
              <w:rPr>
                <w:rFonts w:ascii="宋体" w:hAnsi="宋体" w:cs="宋体"/>
                <w:sz w:val="22"/>
              </w:rPr>
            </w:pPr>
          </w:p>
        </w:tc>
      </w:tr>
      <w:tr w14:paraId="1F136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7DA9B69">
            <w:pPr>
              <w:spacing w:line="360" w:lineRule="auto"/>
              <w:jc w:val="center"/>
              <w:rPr>
                <w:rFonts w:ascii="宋体" w:hAnsi="宋体" w:cs="宋体"/>
                <w:sz w:val="22"/>
              </w:rPr>
            </w:pPr>
          </w:p>
        </w:tc>
        <w:tc>
          <w:tcPr>
            <w:tcW w:w="958" w:type="dxa"/>
            <w:vAlign w:val="center"/>
          </w:tcPr>
          <w:p w14:paraId="76E491E7">
            <w:pPr>
              <w:spacing w:line="360" w:lineRule="auto"/>
              <w:jc w:val="center"/>
              <w:rPr>
                <w:rFonts w:ascii="宋体" w:hAnsi="宋体" w:cs="宋体"/>
                <w:sz w:val="22"/>
              </w:rPr>
            </w:pPr>
          </w:p>
        </w:tc>
        <w:tc>
          <w:tcPr>
            <w:tcW w:w="958" w:type="dxa"/>
            <w:vAlign w:val="center"/>
          </w:tcPr>
          <w:p w14:paraId="3FC9EFE6">
            <w:pPr>
              <w:spacing w:line="360" w:lineRule="auto"/>
              <w:jc w:val="center"/>
              <w:rPr>
                <w:rFonts w:ascii="宋体" w:hAnsi="宋体" w:cs="宋体"/>
                <w:sz w:val="22"/>
              </w:rPr>
            </w:pPr>
          </w:p>
        </w:tc>
        <w:tc>
          <w:tcPr>
            <w:tcW w:w="767" w:type="dxa"/>
            <w:vAlign w:val="center"/>
          </w:tcPr>
          <w:p w14:paraId="05FE4F65">
            <w:pPr>
              <w:spacing w:line="360" w:lineRule="auto"/>
              <w:jc w:val="center"/>
              <w:rPr>
                <w:rFonts w:ascii="宋体" w:hAnsi="宋体" w:cs="宋体"/>
                <w:sz w:val="22"/>
              </w:rPr>
            </w:pPr>
          </w:p>
        </w:tc>
        <w:tc>
          <w:tcPr>
            <w:tcW w:w="767" w:type="dxa"/>
            <w:vAlign w:val="center"/>
          </w:tcPr>
          <w:p w14:paraId="63A3E898">
            <w:pPr>
              <w:spacing w:line="360" w:lineRule="auto"/>
              <w:jc w:val="center"/>
              <w:rPr>
                <w:rFonts w:ascii="宋体" w:hAnsi="宋体" w:cs="宋体"/>
                <w:sz w:val="22"/>
              </w:rPr>
            </w:pPr>
          </w:p>
        </w:tc>
        <w:tc>
          <w:tcPr>
            <w:tcW w:w="1340" w:type="dxa"/>
            <w:vAlign w:val="center"/>
          </w:tcPr>
          <w:p w14:paraId="226659F4">
            <w:pPr>
              <w:spacing w:line="360" w:lineRule="auto"/>
              <w:jc w:val="center"/>
              <w:rPr>
                <w:rFonts w:ascii="宋体" w:hAnsi="宋体" w:cs="宋体"/>
                <w:sz w:val="22"/>
              </w:rPr>
            </w:pPr>
          </w:p>
        </w:tc>
        <w:tc>
          <w:tcPr>
            <w:tcW w:w="1326" w:type="dxa"/>
            <w:vAlign w:val="center"/>
          </w:tcPr>
          <w:p w14:paraId="7C9212C0">
            <w:pPr>
              <w:spacing w:line="360" w:lineRule="auto"/>
              <w:jc w:val="center"/>
              <w:rPr>
                <w:rFonts w:ascii="宋体" w:hAnsi="宋体" w:cs="宋体"/>
                <w:sz w:val="22"/>
              </w:rPr>
            </w:pPr>
          </w:p>
        </w:tc>
        <w:tc>
          <w:tcPr>
            <w:tcW w:w="1825" w:type="dxa"/>
          </w:tcPr>
          <w:p w14:paraId="4C9DF52A">
            <w:pPr>
              <w:spacing w:line="360" w:lineRule="auto"/>
              <w:jc w:val="center"/>
              <w:rPr>
                <w:rFonts w:ascii="宋体" w:hAnsi="宋体" w:cs="宋体"/>
                <w:sz w:val="22"/>
              </w:rPr>
            </w:pPr>
          </w:p>
        </w:tc>
        <w:tc>
          <w:tcPr>
            <w:tcW w:w="1147" w:type="dxa"/>
            <w:vAlign w:val="center"/>
          </w:tcPr>
          <w:p w14:paraId="28301E3B">
            <w:pPr>
              <w:spacing w:line="360" w:lineRule="auto"/>
              <w:jc w:val="center"/>
              <w:rPr>
                <w:rFonts w:ascii="宋体" w:hAnsi="宋体" w:cs="宋体"/>
                <w:sz w:val="22"/>
              </w:rPr>
            </w:pPr>
          </w:p>
        </w:tc>
      </w:tr>
      <w:tr w14:paraId="6D3FD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5033CFE">
            <w:pPr>
              <w:spacing w:line="360" w:lineRule="auto"/>
              <w:jc w:val="center"/>
              <w:rPr>
                <w:rFonts w:ascii="宋体" w:hAnsi="宋体" w:cs="宋体"/>
                <w:sz w:val="22"/>
              </w:rPr>
            </w:pPr>
          </w:p>
        </w:tc>
        <w:tc>
          <w:tcPr>
            <w:tcW w:w="958" w:type="dxa"/>
            <w:vAlign w:val="center"/>
          </w:tcPr>
          <w:p w14:paraId="5CC95F71">
            <w:pPr>
              <w:spacing w:line="360" w:lineRule="auto"/>
              <w:jc w:val="center"/>
              <w:rPr>
                <w:rFonts w:ascii="宋体" w:hAnsi="宋体" w:cs="宋体"/>
                <w:sz w:val="22"/>
              </w:rPr>
            </w:pPr>
          </w:p>
        </w:tc>
        <w:tc>
          <w:tcPr>
            <w:tcW w:w="958" w:type="dxa"/>
            <w:vAlign w:val="center"/>
          </w:tcPr>
          <w:p w14:paraId="35CD5B7E">
            <w:pPr>
              <w:spacing w:line="360" w:lineRule="auto"/>
              <w:jc w:val="center"/>
              <w:rPr>
                <w:rFonts w:ascii="宋体" w:hAnsi="宋体" w:cs="宋体"/>
                <w:sz w:val="22"/>
              </w:rPr>
            </w:pPr>
          </w:p>
        </w:tc>
        <w:tc>
          <w:tcPr>
            <w:tcW w:w="767" w:type="dxa"/>
            <w:vAlign w:val="center"/>
          </w:tcPr>
          <w:p w14:paraId="762FFABA">
            <w:pPr>
              <w:spacing w:line="360" w:lineRule="auto"/>
              <w:jc w:val="center"/>
              <w:rPr>
                <w:rFonts w:ascii="宋体" w:hAnsi="宋体" w:cs="宋体"/>
                <w:sz w:val="22"/>
              </w:rPr>
            </w:pPr>
          </w:p>
        </w:tc>
        <w:tc>
          <w:tcPr>
            <w:tcW w:w="767" w:type="dxa"/>
            <w:vAlign w:val="center"/>
          </w:tcPr>
          <w:p w14:paraId="0D325F21">
            <w:pPr>
              <w:spacing w:line="360" w:lineRule="auto"/>
              <w:jc w:val="center"/>
              <w:rPr>
                <w:rFonts w:ascii="宋体" w:hAnsi="宋体" w:cs="宋体"/>
                <w:sz w:val="22"/>
              </w:rPr>
            </w:pPr>
          </w:p>
        </w:tc>
        <w:tc>
          <w:tcPr>
            <w:tcW w:w="1340" w:type="dxa"/>
            <w:vAlign w:val="center"/>
          </w:tcPr>
          <w:p w14:paraId="2BFAF910">
            <w:pPr>
              <w:spacing w:line="360" w:lineRule="auto"/>
              <w:jc w:val="center"/>
              <w:rPr>
                <w:rFonts w:ascii="宋体" w:hAnsi="宋体" w:cs="宋体"/>
                <w:sz w:val="22"/>
              </w:rPr>
            </w:pPr>
          </w:p>
        </w:tc>
        <w:tc>
          <w:tcPr>
            <w:tcW w:w="1326" w:type="dxa"/>
            <w:vAlign w:val="center"/>
          </w:tcPr>
          <w:p w14:paraId="52A4875F">
            <w:pPr>
              <w:spacing w:line="360" w:lineRule="auto"/>
              <w:jc w:val="center"/>
              <w:rPr>
                <w:rFonts w:ascii="宋体" w:hAnsi="宋体" w:cs="宋体"/>
                <w:sz w:val="22"/>
              </w:rPr>
            </w:pPr>
          </w:p>
        </w:tc>
        <w:tc>
          <w:tcPr>
            <w:tcW w:w="1825" w:type="dxa"/>
          </w:tcPr>
          <w:p w14:paraId="018A1476">
            <w:pPr>
              <w:spacing w:line="360" w:lineRule="auto"/>
              <w:jc w:val="center"/>
              <w:rPr>
                <w:rFonts w:ascii="宋体" w:hAnsi="宋体" w:cs="宋体"/>
                <w:sz w:val="22"/>
              </w:rPr>
            </w:pPr>
          </w:p>
        </w:tc>
        <w:tc>
          <w:tcPr>
            <w:tcW w:w="1147" w:type="dxa"/>
            <w:vAlign w:val="center"/>
          </w:tcPr>
          <w:p w14:paraId="4C5282E2">
            <w:pPr>
              <w:spacing w:line="360" w:lineRule="auto"/>
              <w:jc w:val="center"/>
              <w:rPr>
                <w:rFonts w:ascii="宋体" w:hAnsi="宋体" w:cs="宋体"/>
                <w:sz w:val="22"/>
              </w:rPr>
            </w:pPr>
          </w:p>
        </w:tc>
      </w:tr>
      <w:tr w14:paraId="6915B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BAFD49E">
            <w:pPr>
              <w:spacing w:line="360" w:lineRule="auto"/>
              <w:jc w:val="center"/>
              <w:rPr>
                <w:rFonts w:ascii="宋体" w:hAnsi="宋体" w:cs="宋体"/>
                <w:sz w:val="22"/>
              </w:rPr>
            </w:pPr>
          </w:p>
        </w:tc>
        <w:tc>
          <w:tcPr>
            <w:tcW w:w="958" w:type="dxa"/>
            <w:vAlign w:val="center"/>
          </w:tcPr>
          <w:p w14:paraId="1BC34DBC">
            <w:pPr>
              <w:spacing w:line="360" w:lineRule="auto"/>
              <w:jc w:val="center"/>
              <w:rPr>
                <w:rFonts w:ascii="宋体" w:hAnsi="宋体" w:cs="宋体"/>
                <w:sz w:val="22"/>
              </w:rPr>
            </w:pPr>
          </w:p>
        </w:tc>
        <w:tc>
          <w:tcPr>
            <w:tcW w:w="958" w:type="dxa"/>
            <w:vAlign w:val="center"/>
          </w:tcPr>
          <w:p w14:paraId="30CF0A93">
            <w:pPr>
              <w:spacing w:line="360" w:lineRule="auto"/>
              <w:jc w:val="center"/>
              <w:rPr>
                <w:rFonts w:ascii="宋体" w:hAnsi="宋体" w:cs="宋体"/>
                <w:sz w:val="22"/>
              </w:rPr>
            </w:pPr>
          </w:p>
        </w:tc>
        <w:tc>
          <w:tcPr>
            <w:tcW w:w="767" w:type="dxa"/>
            <w:vAlign w:val="center"/>
          </w:tcPr>
          <w:p w14:paraId="679D9049">
            <w:pPr>
              <w:spacing w:line="360" w:lineRule="auto"/>
              <w:jc w:val="center"/>
              <w:rPr>
                <w:rFonts w:ascii="宋体" w:hAnsi="宋体" w:cs="宋体"/>
                <w:sz w:val="22"/>
              </w:rPr>
            </w:pPr>
          </w:p>
        </w:tc>
        <w:tc>
          <w:tcPr>
            <w:tcW w:w="767" w:type="dxa"/>
            <w:vAlign w:val="center"/>
          </w:tcPr>
          <w:p w14:paraId="03D05A14">
            <w:pPr>
              <w:spacing w:line="360" w:lineRule="auto"/>
              <w:jc w:val="center"/>
              <w:rPr>
                <w:rFonts w:ascii="宋体" w:hAnsi="宋体" w:cs="宋体"/>
                <w:sz w:val="22"/>
              </w:rPr>
            </w:pPr>
          </w:p>
        </w:tc>
        <w:tc>
          <w:tcPr>
            <w:tcW w:w="1340" w:type="dxa"/>
            <w:vAlign w:val="center"/>
          </w:tcPr>
          <w:p w14:paraId="774F6D9A">
            <w:pPr>
              <w:spacing w:line="360" w:lineRule="auto"/>
              <w:jc w:val="center"/>
              <w:rPr>
                <w:rFonts w:ascii="宋体" w:hAnsi="宋体" w:cs="宋体"/>
                <w:sz w:val="22"/>
              </w:rPr>
            </w:pPr>
          </w:p>
        </w:tc>
        <w:tc>
          <w:tcPr>
            <w:tcW w:w="1326" w:type="dxa"/>
            <w:vAlign w:val="center"/>
          </w:tcPr>
          <w:p w14:paraId="39693AFC">
            <w:pPr>
              <w:spacing w:line="360" w:lineRule="auto"/>
              <w:jc w:val="center"/>
              <w:rPr>
                <w:rFonts w:ascii="宋体" w:hAnsi="宋体" w:cs="宋体"/>
                <w:sz w:val="22"/>
              </w:rPr>
            </w:pPr>
          </w:p>
        </w:tc>
        <w:tc>
          <w:tcPr>
            <w:tcW w:w="1825" w:type="dxa"/>
          </w:tcPr>
          <w:p w14:paraId="019F79E3">
            <w:pPr>
              <w:spacing w:line="360" w:lineRule="auto"/>
              <w:jc w:val="center"/>
              <w:rPr>
                <w:rFonts w:ascii="宋体" w:hAnsi="宋体" w:cs="宋体"/>
                <w:sz w:val="22"/>
              </w:rPr>
            </w:pPr>
          </w:p>
        </w:tc>
        <w:tc>
          <w:tcPr>
            <w:tcW w:w="1147" w:type="dxa"/>
            <w:vAlign w:val="center"/>
          </w:tcPr>
          <w:p w14:paraId="63F0D759">
            <w:pPr>
              <w:spacing w:line="360" w:lineRule="auto"/>
              <w:jc w:val="center"/>
              <w:rPr>
                <w:rFonts w:ascii="宋体" w:hAnsi="宋体" w:cs="宋体"/>
                <w:sz w:val="22"/>
              </w:rPr>
            </w:pPr>
          </w:p>
        </w:tc>
      </w:tr>
      <w:tr w14:paraId="6EA81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C51E18E">
            <w:pPr>
              <w:spacing w:line="360" w:lineRule="auto"/>
              <w:jc w:val="center"/>
              <w:rPr>
                <w:rFonts w:ascii="宋体" w:hAnsi="宋体" w:cs="宋体"/>
                <w:sz w:val="22"/>
              </w:rPr>
            </w:pPr>
          </w:p>
        </w:tc>
        <w:tc>
          <w:tcPr>
            <w:tcW w:w="958" w:type="dxa"/>
            <w:vAlign w:val="center"/>
          </w:tcPr>
          <w:p w14:paraId="6A18ABE8">
            <w:pPr>
              <w:spacing w:line="360" w:lineRule="auto"/>
              <w:jc w:val="center"/>
              <w:rPr>
                <w:rFonts w:ascii="宋体" w:hAnsi="宋体" w:cs="宋体"/>
                <w:sz w:val="22"/>
              </w:rPr>
            </w:pPr>
          </w:p>
        </w:tc>
        <w:tc>
          <w:tcPr>
            <w:tcW w:w="958" w:type="dxa"/>
            <w:vAlign w:val="center"/>
          </w:tcPr>
          <w:p w14:paraId="71E924F7">
            <w:pPr>
              <w:spacing w:line="360" w:lineRule="auto"/>
              <w:jc w:val="center"/>
              <w:rPr>
                <w:rFonts w:ascii="宋体" w:hAnsi="宋体" w:cs="宋体"/>
                <w:sz w:val="22"/>
              </w:rPr>
            </w:pPr>
          </w:p>
        </w:tc>
        <w:tc>
          <w:tcPr>
            <w:tcW w:w="767" w:type="dxa"/>
            <w:vAlign w:val="center"/>
          </w:tcPr>
          <w:p w14:paraId="0B19D2FF">
            <w:pPr>
              <w:spacing w:line="360" w:lineRule="auto"/>
              <w:jc w:val="center"/>
              <w:rPr>
                <w:rFonts w:ascii="宋体" w:hAnsi="宋体" w:cs="宋体"/>
                <w:sz w:val="22"/>
              </w:rPr>
            </w:pPr>
          </w:p>
        </w:tc>
        <w:tc>
          <w:tcPr>
            <w:tcW w:w="767" w:type="dxa"/>
            <w:vAlign w:val="center"/>
          </w:tcPr>
          <w:p w14:paraId="46437C8B">
            <w:pPr>
              <w:spacing w:line="360" w:lineRule="auto"/>
              <w:jc w:val="center"/>
              <w:rPr>
                <w:rFonts w:ascii="宋体" w:hAnsi="宋体" w:cs="宋体"/>
                <w:sz w:val="22"/>
              </w:rPr>
            </w:pPr>
          </w:p>
        </w:tc>
        <w:tc>
          <w:tcPr>
            <w:tcW w:w="1340" w:type="dxa"/>
            <w:vAlign w:val="center"/>
          </w:tcPr>
          <w:p w14:paraId="77943B1A">
            <w:pPr>
              <w:spacing w:line="360" w:lineRule="auto"/>
              <w:jc w:val="center"/>
              <w:rPr>
                <w:rFonts w:ascii="宋体" w:hAnsi="宋体" w:cs="宋体"/>
                <w:sz w:val="22"/>
              </w:rPr>
            </w:pPr>
          </w:p>
        </w:tc>
        <w:tc>
          <w:tcPr>
            <w:tcW w:w="1326" w:type="dxa"/>
            <w:vAlign w:val="center"/>
          </w:tcPr>
          <w:p w14:paraId="453AC921">
            <w:pPr>
              <w:spacing w:line="360" w:lineRule="auto"/>
              <w:jc w:val="center"/>
              <w:rPr>
                <w:rFonts w:ascii="宋体" w:hAnsi="宋体" w:cs="宋体"/>
                <w:sz w:val="22"/>
              </w:rPr>
            </w:pPr>
          </w:p>
        </w:tc>
        <w:tc>
          <w:tcPr>
            <w:tcW w:w="1825" w:type="dxa"/>
          </w:tcPr>
          <w:p w14:paraId="2DDE39BD">
            <w:pPr>
              <w:spacing w:line="360" w:lineRule="auto"/>
              <w:jc w:val="center"/>
              <w:rPr>
                <w:rFonts w:ascii="宋体" w:hAnsi="宋体" w:cs="宋体"/>
                <w:sz w:val="22"/>
              </w:rPr>
            </w:pPr>
          </w:p>
        </w:tc>
        <w:tc>
          <w:tcPr>
            <w:tcW w:w="1147" w:type="dxa"/>
            <w:vAlign w:val="center"/>
          </w:tcPr>
          <w:p w14:paraId="0C8F74B3">
            <w:pPr>
              <w:spacing w:line="360" w:lineRule="auto"/>
              <w:jc w:val="center"/>
              <w:rPr>
                <w:rFonts w:ascii="宋体" w:hAnsi="宋体" w:cs="宋体"/>
                <w:sz w:val="22"/>
              </w:rPr>
            </w:pPr>
          </w:p>
        </w:tc>
      </w:tr>
      <w:tr w14:paraId="5D690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8B6FB7B">
            <w:pPr>
              <w:spacing w:line="360" w:lineRule="auto"/>
              <w:jc w:val="center"/>
              <w:rPr>
                <w:rFonts w:ascii="宋体" w:hAnsi="宋体" w:cs="宋体"/>
                <w:sz w:val="22"/>
              </w:rPr>
            </w:pPr>
          </w:p>
        </w:tc>
        <w:tc>
          <w:tcPr>
            <w:tcW w:w="958" w:type="dxa"/>
            <w:vAlign w:val="center"/>
          </w:tcPr>
          <w:p w14:paraId="0E5864C4">
            <w:pPr>
              <w:spacing w:line="360" w:lineRule="auto"/>
              <w:jc w:val="center"/>
              <w:rPr>
                <w:rFonts w:ascii="宋体" w:hAnsi="宋体" w:cs="宋体"/>
                <w:sz w:val="22"/>
              </w:rPr>
            </w:pPr>
          </w:p>
        </w:tc>
        <w:tc>
          <w:tcPr>
            <w:tcW w:w="958" w:type="dxa"/>
            <w:vAlign w:val="center"/>
          </w:tcPr>
          <w:p w14:paraId="6783DFFF">
            <w:pPr>
              <w:spacing w:line="360" w:lineRule="auto"/>
              <w:jc w:val="center"/>
              <w:rPr>
                <w:rFonts w:ascii="宋体" w:hAnsi="宋体" w:cs="宋体"/>
                <w:sz w:val="22"/>
              </w:rPr>
            </w:pPr>
          </w:p>
        </w:tc>
        <w:tc>
          <w:tcPr>
            <w:tcW w:w="767" w:type="dxa"/>
            <w:vAlign w:val="center"/>
          </w:tcPr>
          <w:p w14:paraId="41381A30">
            <w:pPr>
              <w:spacing w:line="360" w:lineRule="auto"/>
              <w:jc w:val="center"/>
              <w:rPr>
                <w:rFonts w:ascii="宋体" w:hAnsi="宋体" w:cs="宋体"/>
                <w:sz w:val="22"/>
              </w:rPr>
            </w:pPr>
          </w:p>
        </w:tc>
        <w:tc>
          <w:tcPr>
            <w:tcW w:w="767" w:type="dxa"/>
            <w:vAlign w:val="center"/>
          </w:tcPr>
          <w:p w14:paraId="4CA4EB1C">
            <w:pPr>
              <w:spacing w:line="360" w:lineRule="auto"/>
              <w:jc w:val="center"/>
              <w:rPr>
                <w:rFonts w:ascii="宋体" w:hAnsi="宋体" w:cs="宋体"/>
                <w:sz w:val="22"/>
              </w:rPr>
            </w:pPr>
          </w:p>
        </w:tc>
        <w:tc>
          <w:tcPr>
            <w:tcW w:w="1340" w:type="dxa"/>
            <w:vAlign w:val="center"/>
          </w:tcPr>
          <w:p w14:paraId="57BBACFD">
            <w:pPr>
              <w:spacing w:line="360" w:lineRule="auto"/>
              <w:jc w:val="center"/>
              <w:rPr>
                <w:rFonts w:ascii="宋体" w:hAnsi="宋体" w:cs="宋体"/>
                <w:sz w:val="22"/>
              </w:rPr>
            </w:pPr>
          </w:p>
        </w:tc>
        <w:tc>
          <w:tcPr>
            <w:tcW w:w="1326" w:type="dxa"/>
            <w:vAlign w:val="center"/>
          </w:tcPr>
          <w:p w14:paraId="5FB48033">
            <w:pPr>
              <w:spacing w:line="360" w:lineRule="auto"/>
              <w:jc w:val="center"/>
              <w:rPr>
                <w:rFonts w:ascii="宋体" w:hAnsi="宋体" w:cs="宋体"/>
                <w:sz w:val="22"/>
              </w:rPr>
            </w:pPr>
          </w:p>
        </w:tc>
        <w:tc>
          <w:tcPr>
            <w:tcW w:w="1825" w:type="dxa"/>
          </w:tcPr>
          <w:p w14:paraId="1D48B10C">
            <w:pPr>
              <w:spacing w:line="360" w:lineRule="auto"/>
              <w:jc w:val="center"/>
              <w:rPr>
                <w:rFonts w:ascii="宋体" w:hAnsi="宋体" w:cs="宋体"/>
                <w:sz w:val="22"/>
              </w:rPr>
            </w:pPr>
          </w:p>
        </w:tc>
        <w:tc>
          <w:tcPr>
            <w:tcW w:w="1147" w:type="dxa"/>
            <w:vAlign w:val="center"/>
          </w:tcPr>
          <w:p w14:paraId="4E4C4C58">
            <w:pPr>
              <w:spacing w:line="360" w:lineRule="auto"/>
              <w:jc w:val="center"/>
              <w:rPr>
                <w:rFonts w:ascii="宋体" w:hAnsi="宋体" w:cs="宋体"/>
                <w:sz w:val="22"/>
              </w:rPr>
            </w:pPr>
          </w:p>
        </w:tc>
      </w:tr>
      <w:tr w14:paraId="769E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478FD8">
            <w:pPr>
              <w:spacing w:line="360" w:lineRule="auto"/>
              <w:jc w:val="center"/>
              <w:rPr>
                <w:rFonts w:ascii="宋体" w:hAnsi="宋体" w:cs="宋体"/>
                <w:sz w:val="22"/>
              </w:rPr>
            </w:pPr>
          </w:p>
        </w:tc>
        <w:tc>
          <w:tcPr>
            <w:tcW w:w="958" w:type="dxa"/>
            <w:vAlign w:val="center"/>
          </w:tcPr>
          <w:p w14:paraId="4B459E74">
            <w:pPr>
              <w:spacing w:line="360" w:lineRule="auto"/>
              <w:jc w:val="center"/>
              <w:rPr>
                <w:rFonts w:ascii="宋体" w:hAnsi="宋体" w:cs="宋体"/>
                <w:sz w:val="22"/>
              </w:rPr>
            </w:pPr>
          </w:p>
        </w:tc>
        <w:tc>
          <w:tcPr>
            <w:tcW w:w="958" w:type="dxa"/>
            <w:vAlign w:val="center"/>
          </w:tcPr>
          <w:p w14:paraId="52B7B1F2">
            <w:pPr>
              <w:spacing w:line="360" w:lineRule="auto"/>
              <w:jc w:val="center"/>
              <w:rPr>
                <w:rFonts w:ascii="宋体" w:hAnsi="宋体" w:cs="宋体"/>
                <w:sz w:val="22"/>
              </w:rPr>
            </w:pPr>
          </w:p>
        </w:tc>
        <w:tc>
          <w:tcPr>
            <w:tcW w:w="767" w:type="dxa"/>
            <w:vAlign w:val="center"/>
          </w:tcPr>
          <w:p w14:paraId="3360B6B8">
            <w:pPr>
              <w:spacing w:line="360" w:lineRule="auto"/>
              <w:jc w:val="center"/>
              <w:rPr>
                <w:rFonts w:ascii="宋体" w:hAnsi="宋体" w:cs="宋体"/>
                <w:sz w:val="22"/>
              </w:rPr>
            </w:pPr>
          </w:p>
        </w:tc>
        <w:tc>
          <w:tcPr>
            <w:tcW w:w="767" w:type="dxa"/>
            <w:vAlign w:val="center"/>
          </w:tcPr>
          <w:p w14:paraId="1F7B88CE">
            <w:pPr>
              <w:spacing w:line="360" w:lineRule="auto"/>
              <w:jc w:val="center"/>
              <w:rPr>
                <w:rFonts w:ascii="宋体" w:hAnsi="宋体" w:cs="宋体"/>
                <w:sz w:val="22"/>
              </w:rPr>
            </w:pPr>
          </w:p>
        </w:tc>
        <w:tc>
          <w:tcPr>
            <w:tcW w:w="1340" w:type="dxa"/>
            <w:vAlign w:val="center"/>
          </w:tcPr>
          <w:p w14:paraId="7AEECBA5">
            <w:pPr>
              <w:spacing w:line="360" w:lineRule="auto"/>
              <w:jc w:val="center"/>
              <w:rPr>
                <w:rFonts w:ascii="宋体" w:hAnsi="宋体" w:cs="宋体"/>
                <w:sz w:val="22"/>
              </w:rPr>
            </w:pPr>
          </w:p>
        </w:tc>
        <w:tc>
          <w:tcPr>
            <w:tcW w:w="1326" w:type="dxa"/>
            <w:vAlign w:val="center"/>
          </w:tcPr>
          <w:p w14:paraId="4C482748">
            <w:pPr>
              <w:spacing w:line="360" w:lineRule="auto"/>
              <w:jc w:val="center"/>
              <w:rPr>
                <w:rFonts w:ascii="宋体" w:hAnsi="宋体" w:cs="宋体"/>
                <w:sz w:val="22"/>
              </w:rPr>
            </w:pPr>
          </w:p>
        </w:tc>
        <w:tc>
          <w:tcPr>
            <w:tcW w:w="1825" w:type="dxa"/>
          </w:tcPr>
          <w:p w14:paraId="2DA6F0F1">
            <w:pPr>
              <w:spacing w:line="360" w:lineRule="auto"/>
              <w:jc w:val="center"/>
              <w:rPr>
                <w:rFonts w:ascii="宋体" w:hAnsi="宋体" w:cs="宋体"/>
                <w:sz w:val="22"/>
              </w:rPr>
            </w:pPr>
          </w:p>
        </w:tc>
        <w:tc>
          <w:tcPr>
            <w:tcW w:w="1147" w:type="dxa"/>
            <w:vAlign w:val="center"/>
          </w:tcPr>
          <w:p w14:paraId="35941C10">
            <w:pPr>
              <w:spacing w:line="360" w:lineRule="auto"/>
              <w:jc w:val="center"/>
              <w:rPr>
                <w:rFonts w:ascii="宋体" w:hAnsi="宋体" w:cs="宋体"/>
                <w:sz w:val="22"/>
              </w:rPr>
            </w:pPr>
          </w:p>
        </w:tc>
      </w:tr>
      <w:tr w14:paraId="29751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350B71">
            <w:pPr>
              <w:spacing w:line="360" w:lineRule="auto"/>
              <w:jc w:val="center"/>
              <w:rPr>
                <w:rFonts w:ascii="宋体" w:hAnsi="宋体" w:cs="宋体"/>
                <w:sz w:val="22"/>
              </w:rPr>
            </w:pPr>
          </w:p>
        </w:tc>
        <w:tc>
          <w:tcPr>
            <w:tcW w:w="958" w:type="dxa"/>
            <w:vAlign w:val="center"/>
          </w:tcPr>
          <w:p w14:paraId="6BE96299">
            <w:pPr>
              <w:spacing w:line="360" w:lineRule="auto"/>
              <w:jc w:val="center"/>
              <w:rPr>
                <w:rFonts w:ascii="宋体" w:hAnsi="宋体" w:cs="宋体"/>
                <w:sz w:val="22"/>
              </w:rPr>
            </w:pPr>
          </w:p>
        </w:tc>
        <w:tc>
          <w:tcPr>
            <w:tcW w:w="958" w:type="dxa"/>
            <w:vAlign w:val="center"/>
          </w:tcPr>
          <w:p w14:paraId="063B47BA">
            <w:pPr>
              <w:spacing w:line="360" w:lineRule="auto"/>
              <w:jc w:val="center"/>
              <w:rPr>
                <w:rFonts w:ascii="宋体" w:hAnsi="宋体" w:cs="宋体"/>
                <w:sz w:val="22"/>
              </w:rPr>
            </w:pPr>
          </w:p>
        </w:tc>
        <w:tc>
          <w:tcPr>
            <w:tcW w:w="767" w:type="dxa"/>
            <w:vAlign w:val="center"/>
          </w:tcPr>
          <w:p w14:paraId="2B51ED00">
            <w:pPr>
              <w:spacing w:line="360" w:lineRule="auto"/>
              <w:jc w:val="center"/>
              <w:rPr>
                <w:rFonts w:ascii="宋体" w:hAnsi="宋体" w:cs="宋体"/>
                <w:sz w:val="22"/>
              </w:rPr>
            </w:pPr>
          </w:p>
        </w:tc>
        <w:tc>
          <w:tcPr>
            <w:tcW w:w="767" w:type="dxa"/>
            <w:vAlign w:val="center"/>
          </w:tcPr>
          <w:p w14:paraId="327CD5AC">
            <w:pPr>
              <w:spacing w:line="360" w:lineRule="auto"/>
              <w:jc w:val="center"/>
              <w:rPr>
                <w:rFonts w:ascii="宋体" w:hAnsi="宋体" w:cs="宋体"/>
                <w:sz w:val="22"/>
              </w:rPr>
            </w:pPr>
          </w:p>
        </w:tc>
        <w:tc>
          <w:tcPr>
            <w:tcW w:w="1340" w:type="dxa"/>
            <w:vAlign w:val="center"/>
          </w:tcPr>
          <w:p w14:paraId="75C9C9C2">
            <w:pPr>
              <w:spacing w:line="360" w:lineRule="auto"/>
              <w:jc w:val="center"/>
              <w:rPr>
                <w:rFonts w:ascii="宋体" w:hAnsi="宋体" w:cs="宋体"/>
                <w:sz w:val="22"/>
              </w:rPr>
            </w:pPr>
          </w:p>
        </w:tc>
        <w:tc>
          <w:tcPr>
            <w:tcW w:w="1326" w:type="dxa"/>
            <w:vAlign w:val="center"/>
          </w:tcPr>
          <w:p w14:paraId="526C134F">
            <w:pPr>
              <w:spacing w:line="360" w:lineRule="auto"/>
              <w:jc w:val="center"/>
              <w:rPr>
                <w:rFonts w:ascii="宋体" w:hAnsi="宋体" w:cs="宋体"/>
                <w:sz w:val="22"/>
              </w:rPr>
            </w:pPr>
          </w:p>
        </w:tc>
        <w:tc>
          <w:tcPr>
            <w:tcW w:w="1825" w:type="dxa"/>
          </w:tcPr>
          <w:p w14:paraId="6D750908">
            <w:pPr>
              <w:spacing w:line="360" w:lineRule="auto"/>
              <w:jc w:val="center"/>
              <w:rPr>
                <w:rFonts w:ascii="宋体" w:hAnsi="宋体" w:cs="宋体"/>
                <w:sz w:val="22"/>
              </w:rPr>
            </w:pPr>
          </w:p>
        </w:tc>
        <w:tc>
          <w:tcPr>
            <w:tcW w:w="1147" w:type="dxa"/>
            <w:vAlign w:val="center"/>
          </w:tcPr>
          <w:p w14:paraId="645EF029">
            <w:pPr>
              <w:spacing w:line="360" w:lineRule="auto"/>
              <w:jc w:val="center"/>
              <w:rPr>
                <w:rFonts w:ascii="宋体" w:hAnsi="宋体" w:cs="宋体"/>
                <w:sz w:val="22"/>
              </w:rPr>
            </w:pPr>
          </w:p>
        </w:tc>
      </w:tr>
    </w:tbl>
    <w:p w14:paraId="7FEB373B">
      <w:pPr>
        <w:pStyle w:val="9"/>
        <w:spacing w:line="400" w:lineRule="atLeast"/>
        <w:ind w:left="660" w:hanging="660" w:hangingChars="300"/>
        <w:rPr>
          <w:rFonts w:hAnsi="宋体" w:cs="宋体"/>
          <w:sz w:val="22"/>
        </w:rPr>
      </w:pPr>
      <w:r>
        <w:rPr>
          <w:rFonts w:hint="eastAsia" w:hAnsi="宋体" w:cs="宋体"/>
          <w:sz w:val="22"/>
        </w:rPr>
        <w:t>注：此表仅提供了表格形式，供应商可按此表格复制。</w:t>
      </w:r>
    </w:p>
    <w:p w14:paraId="40B0962C">
      <w:pPr>
        <w:spacing w:line="380" w:lineRule="exact"/>
        <w:ind w:firstLine="4400" w:firstLineChars="2000"/>
        <w:rPr>
          <w:rFonts w:ascii="宋体" w:hAnsi="宋体" w:cs="宋体"/>
          <w:sz w:val="22"/>
          <w:szCs w:val="22"/>
        </w:rPr>
      </w:pPr>
    </w:p>
    <w:p w14:paraId="31BEECFE">
      <w:pPr>
        <w:spacing w:line="380" w:lineRule="exact"/>
        <w:ind w:firstLine="4400" w:firstLineChars="2000"/>
        <w:rPr>
          <w:rFonts w:ascii="宋体" w:hAnsi="宋体" w:cs="宋体"/>
          <w:sz w:val="22"/>
          <w:szCs w:val="22"/>
        </w:rPr>
      </w:pPr>
    </w:p>
    <w:p w14:paraId="14791FC4">
      <w:pPr>
        <w:spacing w:line="380" w:lineRule="exact"/>
        <w:ind w:firstLine="4400" w:firstLineChars="2000"/>
        <w:rPr>
          <w:rFonts w:ascii="宋体" w:hAnsi="宋体" w:cs="宋体"/>
          <w:sz w:val="22"/>
          <w:szCs w:val="22"/>
        </w:rPr>
      </w:pPr>
      <w:r>
        <w:rPr>
          <w:rFonts w:hint="eastAsia" w:ascii="宋体" w:hAnsi="宋体" w:cs="宋体"/>
          <w:sz w:val="22"/>
          <w:szCs w:val="22"/>
        </w:rPr>
        <w:t>供应商全称（盖章）：</w:t>
      </w:r>
    </w:p>
    <w:p w14:paraId="1587C8DA">
      <w:pPr>
        <w:spacing w:line="380" w:lineRule="exact"/>
        <w:ind w:firstLine="4400" w:firstLineChars="2000"/>
        <w:rPr>
          <w:rFonts w:ascii="宋体" w:hAnsi="宋体" w:cs="宋体"/>
          <w:sz w:val="22"/>
          <w:szCs w:val="22"/>
        </w:rPr>
      </w:pPr>
      <w:r>
        <w:rPr>
          <w:rFonts w:hint="eastAsia" w:ascii="宋体" w:hAnsi="宋体" w:cs="宋体"/>
          <w:sz w:val="22"/>
          <w:szCs w:val="22"/>
        </w:rPr>
        <w:t>法定代表人或授权代表（签字或盖章）：</w:t>
      </w:r>
    </w:p>
    <w:p w14:paraId="2FD1BA52">
      <w:pPr>
        <w:spacing w:line="380" w:lineRule="exact"/>
        <w:ind w:firstLine="4400" w:firstLineChars="2000"/>
        <w:rPr>
          <w:rFonts w:ascii="宋体" w:hAnsi="宋体" w:cs="宋体"/>
          <w:sz w:val="22"/>
          <w:szCs w:val="22"/>
        </w:rPr>
      </w:pPr>
      <w:r>
        <w:rPr>
          <w:rFonts w:hint="eastAsia" w:ascii="宋体" w:hAnsi="宋体" w:cs="宋体"/>
          <w:sz w:val="22"/>
          <w:szCs w:val="22"/>
        </w:rPr>
        <w:t>日期：  年   月  日</w:t>
      </w:r>
    </w:p>
    <w:p w14:paraId="6E3EC8DC">
      <w:pPr>
        <w:pStyle w:val="6"/>
        <w:jc w:val="left"/>
        <w:rPr>
          <w:rFonts w:ascii="宋体" w:hAnsi="宋体" w:eastAsia="宋体" w:cs="宋体"/>
          <w:sz w:val="22"/>
          <w:szCs w:val="20"/>
        </w:rPr>
      </w:pPr>
      <w:r>
        <w:rPr>
          <w:rFonts w:hint="eastAsia" w:ascii="宋体" w:hAnsi="宋体" w:eastAsia="宋体" w:cs="宋体"/>
          <w:sz w:val="22"/>
          <w:szCs w:val="20"/>
        </w:rPr>
        <w:t>附件四</w:t>
      </w:r>
    </w:p>
    <w:p w14:paraId="0ACB5B62">
      <w:pPr>
        <w:pStyle w:val="9"/>
        <w:spacing w:line="400" w:lineRule="atLeast"/>
        <w:ind w:left="856" w:hanging="843" w:hangingChars="300"/>
        <w:jc w:val="center"/>
        <w:rPr>
          <w:rFonts w:hAnsi="宋体" w:cs="宋体"/>
          <w:b/>
          <w:sz w:val="28"/>
          <w:szCs w:val="28"/>
        </w:rPr>
      </w:pPr>
      <w:r>
        <w:rPr>
          <w:rFonts w:hint="eastAsia" w:hAnsi="宋体" w:cs="宋体"/>
          <w:b/>
          <w:sz w:val="28"/>
          <w:szCs w:val="28"/>
        </w:rPr>
        <w:t>同类项目业绩</w:t>
      </w:r>
    </w:p>
    <w:p w14:paraId="0914C5E3">
      <w:pPr>
        <w:spacing w:line="460" w:lineRule="exact"/>
        <w:rPr>
          <w:rFonts w:ascii="宋体" w:hAnsi="宋体" w:cs="宋体"/>
          <w:b/>
          <w:bCs/>
          <w:sz w:val="28"/>
          <w:szCs w:val="28"/>
        </w:rPr>
      </w:pPr>
      <w:r>
        <w:rPr>
          <w:rFonts w:hint="eastAsia" w:ascii="宋体" w:hAnsi="宋体" w:cs="宋体"/>
          <w:b/>
          <w:bCs/>
          <w:sz w:val="22"/>
          <w:szCs w:val="22"/>
        </w:rPr>
        <w:t>项目名称：                                              项目编号：</w:t>
      </w:r>
    </w:p>
    <w:tbl>
      <w:tblPr>
        <w:tblStyle w:val="56"/>
        <w:tblW w:w="955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23"/>
        <w:gridCol w:w="2160"/>
        <w:gridCol w:w="1440"/>
        <w:gridCol w:w="1260"/>
        <w:gridCol w:w="1633"/>
      </w:tblGrid>
      <w:tr w14:paraId="4CA4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31BF309">
            <w:pPr>
              <w:spacing w:line="380" w:lineRule="exact"/>
              <w:jc w:val="center"/>
              <w:rPr>
                <w:rFonts w:ascii="宋体" w:hAnsi="宋体" w:cs="宋体"/>
                <w:b/>
                <w:bCs/>
                <w:sz w:val="22"/>
                <w:szCs w:val="22"/>
              </w:rPr>
            </w:pPr>
            <w:r>
              <w:rPr>
                <w:rFonts w:hint="eastAsia" w:ascii="宋体" w:hAnsi="宋体" w:cs="宋体"/>
                <w:b/>
                <w:bCs/>
                <w:sz w:val="22"/>
                <w:szCs w:val="22"/>
              </w:rPr>
              <w:t>序号</w:t>
            </w:r>
          </w:p>
        </w:tc>
        <w:tc>
          <w:tcPr>
            <w:tcW w:w="2223" w:type="dxa"/>
            <w:vAlign w:val="center"/>
          </w:tcPr>
          <w:p w14:paraId="5192F1DB">
            <w:pPr>
              <w:spacing w:line="380" w:lineRule="exact"/>
              <w:jc w:val="center"/>
              <w:rPr>
                <w:rFonts w:ascii="宋体" w:hAnsi="宋体" w:cs="宋体"/>
                <w:b/>
                <w:bCs/>
                <w:sz w:val="22"/>
                <w:szCs w:val="22"/>
              </w:rPr>
            </w:pPr>
            <w:r>
              <w:rPr>
                <w:rFonts w:hint="eastAsia" w:ascii="宋体" w:hAnsi="宋体" w:cs="宋体"/>
                <w:b/>
                <w:bCs/>
                <w:sz w:val="22"/>
                <w:szCs w:val="22"/>
              </w:rPr>
              <w:t>项目内容</w:t>
            </w:r>
          </w:p>
        </w:tc>
        <w:tc>
          <w:tcPr>
            <w:tcW w:w="2160" w:type="dxa"/>
            <w:vAlign w:val="center"/>
          </w:tcPr>
          <w:p w14:paraId="49727D53">
            <w:pPr>
              <w:spacing w:line="380" w:lineRule="exact"/>
              <w:jc w:val="center"/>
              <w:rPr>
                <w:rFonts w:ascii="宋体" w:hAnsi="宋体" w:cs="宋体"/>
                <w:b/>
                <w:bCs/>
                <w:sz w:val="22"/>
                <w:szCs w:val="22"/>
              </w:rPr>
            </w:pPr>
            <w:r>
              <w:rPr>
                <w:rFonts w:hint="eastAsia" w:ascii="宋体" w:hAnsi="宋体" w:cs="宋体"/>
                <w:b/>
                <w:bCs/>
                <w:sz w:val="22"/>
                <w:szCs w:val="22"/>
              </w:rPr>
              <w:t>用户单位</w:t>
            </w:r>
          </w:p>
        </w:tc>
        <w:tc>
          <w:tcPr>
            <w:tcW w:w="1440" w:type="dxa"/>
            <w:vAlign w:val="center"/>
          </w:tcPr>
          <w:p w14:paraId="1073AB5C">
            <w:pPr>
              <w:spacing w:line="380" w:lineRule="exact"/>
              <w:jc w:val="center"/>
              <w:rPr>
                <w:rFonts w:ascii="宋体" w:hAnsi="宋体" w:cs="宋体"/>
                <w:b/>
                <w:bCs/>
                <w:sz w:val="22"/>
                <w:szCs w:val="22"/>
              </w:rPr>
            </w:pPr>
            <w:r>
              <w:rPr>
                <w:rFonts w:hint="eastAsia" w:ascii="宋体" w:hAnsi="宋体" w:cs="宋体"/>
                <w:b/>
                <w:bCs/>
                <w:sz w:val="22"/>
                <w:szCs w:val="22"/>
              </w:rPr>
              <w:t>合同金额</w:t>
            </w:r>
          </w:p>
        </w:tc>
        <w:tc>
          <w:tcPr>
            <w:tcW w:w="1260" w:type="dxa"/>
            <w:vAlign w:val="center"/>
          </w:tcPr>
          <w:p w14:paraId="61BDA271">
            <w:pPr>
              <w:spacing w:line="380" w:lineRule="exact"/>
              <w:jc w:val="center"/>
              <w:rPr>
                <w:rFonts w:ascii="宋体" w:hAnsi="宋体" w:cs="宋体"/>
                <w:b/>
                <w:bCs/>
                <w:sz w:val="22"/>
                <w:szCs w:val="22"/>
              </w:rPr>
            </w:pPr>
            <w:r>
              <w:rPr>
                <w:rFonts w:hint="eastAsia" w:ascii="宋体" w:hAnsi="宋体" w:cs="宋体"/>
                <w:b/>
                <w:bCs/>
                <w:sz w:val="22"/>
                <w:szCs w:val="22"/>
              </w:rPr>
              <w:t>合同日期</w:t>
            </w:r>
          </w:p>
        </w:tc>
        <w:tc>
          <w:tcPr>
            <w:tcW w:w="1633" w:type="dxa"/>
            <w:vAlign w:val="center"/>
          </w:tcPr>
          <w:p w14:paraId="37BB446C">
            <w:pPr>
              <w:spacing w:line="380" w:lineRule="exact"/>
              <w:jc w:val="center"/>
              <w:rPr>
                <w:rFonts w:ascii="宋体" w:hAnsi="宋体" w:cs="宋体"/>
                <w:b/>
                <w:bCs/>
                <w:sz w:val="22"/>
                <w:szCs w:val="22"/>
              </w:rPr>
            </w:pPr>
            <w:r>
              <w:rPr>
                <w:rFonts w:hint="eastAsia" w:ascii="宋体" w:hAnsi="宋体" w:cs="宋体"/>
                <w:b/>
                <w:bCs/>
                <w:sz w:val="22"/>
                <w:szCs w:val="22"/>
              </w:rPr>
              <w:t>联系方式</w:t>
            </w:r>
          </w:p>
        </w:tc>
      </w:tr>
      <w:tr w14:paraId="5F2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300064E5">
            <w:pPr>
              <w:spacing w:line="380" w:lineRule="exact"/>
              <w:jc w:val="center"/>
              <w:rPr>
                <w:rFonts w:ascii="宋体" w:hAnsi="宋体" w:cs="宋体"/>
                <w:b/>
                <w:bCs/>
                <w:sz w:val="22"/>
                <w:szCs w:val="22"/>
              </w:rPr>
            </w:pPr>
          </w:p>
        </w:tc>
        <w:tc>
          <w:tcPr>
            <w:tcW w:w="2223" w:type="dxa"/>
            <w:vAlign w:val="center"/>
          </w:tcPr>
          <w:p w14:paraId="0B20728F">
            <w:pPr>
              <w:spacing w:line="380" w:lineRule="exact"/>
              <w:jc w:val="center"/>
              <w:rPr>
                <w:rFonts w:ascii="宋体" w:hAnsi="宋体" w:cs="宋体"/>
                <w:b/>
                <w:bCs/>
                <w:sz w:val="22"/>
                <w:szCs w:val="22"/>
              </w:rPr>
            </w:pPr>
          </w:p>
        </w:tc>
        <w:tc>
          <w:tcPr>
            <w:tcW w:w="2160" w:type="dxa"/>
            <w:vAlign w:val="center"/>
          </w:tcPr>
          <w:p w14:paraId="62368C66">
            <w:pPr>
              <w:spacing w:line="380" w:lineRule="exact"/>
              <w:jc w:val="center"/>
              <w:rPr>
                <w:rFonts w:ascii="宋体" w:hAnsi="宋体" w:cs="宋体"/>
                <w:b/>
                <w:bCs/>
                <w:sz w:val="22"/>
                <w:szCs w:val="22"/>
              </w:rPr>
            </w:pPr>
          </w:p>
        </w:tc>
        <w:tc>
          <w:tcPr>
            <w:tcW w:w="1440" w:type="dxa"/>
            <w:vAlign w:val="center"/>
          </w:tcPr>
          <w:p w14:paraId="1C2FBAC7">
            <w:pPr>
              <w:spacing w:line="380" w:lineRule="exact"/>
              <w:jc w:val="center"/>
              <w:rPr>
                <w:rFonts w:ascii="宋体" w:hAnsi="宋体" w:cs="宋体"/>
                <w:b/>
                <w:bCs/>
                <w:sz w:val="22"/>
                <w:szCs w:val="22"/>
              </w:rPr>
            </w:pPr>
          </w:p>
        </w:tc>
        <w:tc>
          <w:tcPr>
            <w:tcW w:w="1260" w:type="dxa"/>
            <w:vAlign w:val="center"/>
          </w:tcPr>
          <w:p w14:paraId="78988F18">
            <w:pPr>
              <w:spacing w:line="380" w:lineRule="exact"/>
              <w:jc w:val="center"/>
              <w:rPr>
                <w:rFonts w:ascii="宋体" w:hAnsi="宋体" w:cs="宋体"/>
                <w:b/>
                <w:bCs/>
                <w:sz w:val="22"/>
                <w:szCs w:val="22"/>
              </w:rPr>
            </w:pPr>
          </w:p>
        </w:tc>
        <w:tc>
          <w:tcPr>
            <w:tcW w:w="1633" w:type="dxa"/>
            <w:vAlign w:val="center"/>
          </w:tcPr>
          <w:p w14:paraId="3B20FD21">
            <w:pPr>
              <w:spacing w:line="380" w:lineRule="exact"/>
              <w:jc w:val="center"/>
              <w:rPr>
                <w:rFonts w:ascii="宋体" w:hAnsi="宋体" w:cs="宋体"/>
                <w:b/>
                <w:bCs/>
                <w:sz w:val="22"/>
                <w:szCs w:val="22"/>
              </w:rPr>
            </w:pPr>
          </w:p>
        </w:tc>
      </w:tr>
      <w:tr w14:paraId="5545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90A8E8A">
            <w:pPr>
              <w:spacing w:line="380" w:lineRule="exact"/>
              <w:jc w:val="center"/>
              <w:rPr>
                <w:rFonts w:ascii="宋体" w:hAnsi="宋体" w:cs="宋体"/>
                <w:b/>
                <w:bCs/>
                <w:sz w:val="22"/>
                <w:szCs w:val="22"/>
              </w:rPr>
            </w:pPr>
          </w:p>
        </w:tc>
        <w:tc>
          <w:tcPr>
            <w:tcW w:w="2223" w:type="dxa"/>
            <w:vAlign w:val="center"/>
          </w:tcPr>
          <w:p w14:paraId="553C7234">
            <w:pPr>
              <w:spacing w:line="380" w:lineRule="exact"/>
              <w:jc w:val="center"/>
              <w:rPr>
                <w:rFonts w:ascii="宋体" w:hAnsi="宋体" w:cs="宋体"/>
                <w:b/>
                <w:bCs/>
                <w:sz w:val="22"/>
                <w:szCs w:val="22"/>
              </w:rPr>
            </w:pPr>
          </w:p>
        </w:tc>
        <w:tc>
          <w:tcPr>
            <w:tcW w:w="2160" w:type="dxa"/>
            <w:vAlign w:val="center"/>
          </w:tcPr>
          <w:p w14:paraId="49D00E19">
            <w:pPr>
              <w:spacing w:line="380" w:lineRule="exact"/>
              <w:jc w:val="center"/>
              <w:rPr>
                <w:rFonts w:ascii="宋体" w:hAnsi="宋体" w:cs="宋体"/>
                <w:b/>
                <w:bCs/>
                <w:sz w:val="22"/>
                <w:szCs w:val="22"/>
              </w:rPr>
            </w:pPr>
          </w:p>
        </w:tc>
        <w:tc>
          <w:tcPr>
            <w:tcW w:w="1440" w:type="dxa"/>
            <w:vAlign w:val="center"/>
          </w:tcPr>
          <w:p w14:paraId="726C0C96">
            <w:pPr>
              <w:spacing w:line="380" w:lineRule="exact"/>
              <w:jc w:val="center"/>
              <w:rPr>
                <w:rFonts w:ascii="宋体" w:hAnsi="宋体" w:cs="宋体"/>
                <w:b/>
                <w:bCs/>
                <w:sz w:val="22"/>
                <w:szCs w:val="22"/>
              </w:rPr>
            </w:pPr>
          </w:p>
        </w:tc>
        <w:tc>
          <w:tcPr>
            <w:tcW w:w="1260" w:type="dxa"/>
            <w:vAlign w:val="center"/>
          </w:tcPr>
          <w:p w14:paraId="3E94388F">
            <w:pPr>
              <w:spacing w:line="380" w:lineRule="exact"/>
              <w:jc w:val="center"/>
              <w:rPr>
                <w:rFonts w:ascii="宋体" w:hAnsi="宋体" w:cs="宋体"/>
                <w:b/>
                <w:bCs/>
                <w:sz w:val="22"/>
                <w:szCs w:val="22"/>
              </w:rPr>
            </w:pPr>
          </w:p>
        </w:tc>
        <w:tc>
          <w:tcPr>
            <w:tcW w:w="1633" w:type="dxa"/>
            <w:vAlign w:val="center"/>
          </w:tcPr>
          <w:p w14:paraId="4AE3919C">
            <w:pPr>
              <w:spacing w:line="380" w:lineRule="exact"/>
              <w:jc w:val="center"/>
              <w:rPr>
                <w:rFonts w:ascii="宋体" w:hAnsi="宋体" w:cs="宋体"/>
                <w:b/>
                <w:bCs/>
                <w:sz w:val="22"/>
                <w:szCs w:val="22"/>
              </w:rPr>
            </w:pPr>
          </w:p>
        </w:tc>
      </w:tr>
      <w:tr w14:paraId="3193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A48C3E6">
            <w:pPr>
              <w:spacing w:line="380" w:lineRule="exact"/>
              <w:jc w:val="center"/>
              <w:rPr>
                <w:rFonts w:ascii="宋体" w:hAnsi="宋体" w:cs="宋体"/>
                <w:b/>
                <w:bCs/>
                <w:sz w:val="22"/>
                <w:szCs w:val="22"/>
              </w:rPr>
            </w:pPr>
          </w:p>
        </w:tc>
        <w:tc>
          <w:tcPr>
            <w:tcW w:w="2223" w:type="dxa"/>
            <w:vAlign w:val="center"/>
          </w:tcPr>
          <w:p w14:paraId="49FDE57F">
            <w:pPr>
              <w:spacing w:line="380" w:lineRule="exact"/>
              <w:jc w:val="center"/>
              <w:rPr>
                <w:rFonts w:ascii="宋体" w:hAnsi="宋体" w:cs="宋体"/>
                <w:b/>
                <w:bCs/>
                <w:sz w:val="22"/>
                <w:szCs w:val="22"/>
              </w:rPr>
            </w:pPr>
          </w:p>
        </w:tc>
        <w:tc>
          <w:tcPr>
            <w:tcW w:w="2160" w:type="dxa"/>
            <w:vAlign w:val="center"/>
          </w:tcPr>
          <w:p w14:paraId="4B3E92C1">
            <w:pPr>
              <w:spacing w:line="380" w:lineRule="exact"/>
              <w:jc w:val="center"/>
              <w:rPr>
                <w:rFonts w:ascii="宋体" w:hAnsi="宋体" w:cs="宋体"/>
                <w:b/>
                <w:bCs/>
                <w:sz w:val="22"/>
                <w:szCs w:val="22"/>
              </w:rPr>
            </w:pPr>
          </w:p>
        </w:tc>
        <w:tc>
          <w:tcPr>
            <w:tcW w:w="1440" w:type="dxa"/>
            <w:vAlign w:val="center"/>
          </w:tcPr>
          <w:p w14:paraId="7D8EB701">
            <w:pPr>
              <w:spacing w:line="380" w:lineRule="exact"/>
              <w:jc w:val="center"/>
              <w:rPr>
                <w:rFonts w:ascii="宋体" w:hAnsi="宋体" w:cs="宋体"/>
                <w:b/>
                <w:bCs/>
                <w:sz w:val="22"/>
                <w:szCs w:val="22"/>
              </w:rPr>
            </w:pPr>
          </w:p>
        </w:tc>
        <w:tc>
          <w:tcPr>
            <w:tcW w:w="1260" w:type="dxa"/>
            <w:vAlign w:val="center"/>
          </w:tcPr>
          <w:p w14:paraId="11ADB8C8">
            <w:pPr>
              <w:spacing w:line="380" w:lineRule="exact"/>
              <w:jc w:val="center"/>
              <w:rPr>
                <w:rFonts w:ascii="宋体" w:hAnsi="宋体" w:cs="宋体"/>
                <w:b/>
                <w:bCs/>
                <w:sz w:val="22"/>
                <w:szCs w:val="22"/>
              </w:rPr>
            </w:pPr>
          </w:p>
        </w:tc>
        <w:tc>
          <w:tcPr>
            <w:tcW w:w="1633" w:type="dxa"/>
            <w:vAlign w:val="center"/>
          </w:tcPr>
          <w:p w14:paraId="60104977">
            <w:pPr>
              <w:spacing w:line="380" w:lineRule="exact"/>
              <w:jc w:val="center"/>
              <w:rPr>
                <w:rFonts w:ascii="宋体" w:hAnsi="宋体" w:cs="宋体"/>
                <w:b/>
                <w:bCs/>
                <w:sz w:val="22"/>
                <w:szCs w:val="22"/>
              </w:rPr>
            </w:pPr>
          </w:p>
        </w:tc>
      </w:tr>
      <w:tr w14:paraId="3D9A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42CF8F7">
            <w:pPr>
              <w:spacing w:line="380" w:lineRule="exact"/>
              <w:jc w:val="center"/>
              <w:rPr>
                <w:rFonts w:ascii="宋体" w:hAnsi="宋体" w:cs="宋体"/>
                <w:b/>
                <w:bCs/>
                <w:sz w:val="22"/>
                <w:szCs w:val="22"/>
              </w:rPr>
            </w:pPr>
          </w:p>
        </w:tc>
        <w:tc>
          <w:tcPr>
            <w:tcW w:w="2223" w:type="dxa"/>
            <w:vAlign w:val="center"/>
          </w:tcPr>
          <w:p w14:paraId="29B0D7C8">
            <w:pPr>
              <w:spacing w:line="380" w:lineRule="exact"/>
              <w:jc w:val="center"/>
              <w:rPr>
                <w:rFonts w:ascii="宋体" w:hAnsi="宋体" w:cs="宋体"/>
                <w:b/>
                <w:bCs/>
                <w:sz w:val="22"/>
                <w:szCs w:val="22"/>
              </w:rPr>
            </w:pPr>
          </w:p>
        </w:tc>
        <w:tc>
          <w:tcPr>
            <w:tcW w:w="2160" w:type="dxa"/>
            <w:vAlign w:val="center"/>
          </w:tcPr>
          <w:p w14:paraId="663BCFCD">
            <w:pPr>
              <w:spacing w:line="380" w:lineRule="exact"/>
              <w:jc w:val="center"/>
              <w:rPr>
                <w:rFonts w:ascii="宋体" w:hAnsi="宋体" w:cs="宋体"/>
                <w:b/>
                <w:bCs/>
                <w:sz w:val="22"/>
                <w:szCs w:val="22"/>
              </w:rPr>
            </w:pPr>
          </w:p>
        </w:tc>
        <w:tc>
          <w:tcPr>
            <w:tcW w:w="1440" w:type="dxa"/>
            <w:vAlign w:val="center"/>
          </w:tcPr>
          <w:p w14:paraId="56D00FD9">
            <w:pPr>
              <w:spacing w:line="380" w:lineRule="exact"/>
              <w:jc w:val="center"/>
              <w:rPr>
                <w:rFonts w:ascii="宋体" w:hAnsi="宋体" w:cs="宋体"/>
                <w:b/>
                <w:bCs/>
                <w:sz w:val="22"/>
                <w:szCs w:val="22"/>
              </w:rPr>
            </w:pPr>
          </w:p>
        </w:tc>
        <w:tc>
          <w:tcPr>
            <w:tcW w:w="1260" w:type="dxa"/>
            <w:vAlign w:val="center"/>
          </w:tcPr>
          <w:p w14:paraId="7BE79078">
            <w:pPr>
              <w:spacing w:line="380" w:lineRule="exact"/>
              <w:jc w:val="center"/>
              <w:rPr>
                <w:rFonts w:ascii="宋体" w:hAnsi="宋体" w:cs="宋体"/>
                <w:b/>
                <w:bCs/>
                <w:sz w:val="22"/>
                <w:szCs w:val="22"/>
              </w:rPr>
            </w:pPr>
          </w:p>
        </w:tc>
        <w:tc>
          <w:tcPr>
            <w:tcW w:w="1633" w:type="dxa"/>
            <w:vAlign w:val="center"/>
          </w:tcPr>
          <w:p w14:paraId="61383854">
            <w:pPr>
              <w:spacing w:line="380" w:lineRule="exact"/>
              <w:jc w:val="center"/>
              <w:rPr>
                <w:rFonts w:ascii="宋体" w:hAnsi="宋体" w:cs="宋体"/>
                <w:b/>
                <w:bCs/>
                <w:sz w:val="22"/>
                <w:szCs w:val="22"/>
              </w:rPr>
            </w:pPr>
          </w:p>
        </w:tc>
      </w:tr>
      <w:tr w14:paraId="48A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40708ED">
            <w:pPr>
              <w:spacing w:line="380" w:lineRule="exact"/>
              <w:jc w:val="center"/>
              <w:rPr>
                <w:rFonts w:ascii="宋体" w:hAnsi="宋体" w:cs="宋体"/>
                <w:b/>
                <w:bCs/>
                <w:sz w:val="22"/>
                <w:szCs w:val="22"/>
              </w:rPr>
            </w:pPr>
          </w:p>
        </w:tc>
        <w:tc>
          <w:tcPr>
            <w:tcW w:w="2223" w:type="dxa"/>
            <w:vAlign w:val="center"/>
          </w:tcPr>
          <w:p w14:paraId="68FAEE81">
            <w:pPr>
              <w:spacing w:line="380" w:lineRule="exact"/>
              <w:jc w:val="center"/>
              <w:rPr>
                <w:rFonts w:ascii="宋体" w:hAnsi="宋体" w:cs="宋体"/>
                <w:b/>
                <w:bCs/>
                <w:sz w:val="22"/>
                <w:szCs w:val="22"/>
              </w:rPr>
            </w:pPr>
          </w:p>
        </w:tc>
        <w:tc>
          <w:tcPr>
            <w:tcW w:w="2160" w:type="dxa"/>
            <w:vAlign w:val="center"/>
          </w:tcPr>
          <w:p w14:paraId="0DAAE262">
            <w:pPr>
              <w:spacing w:line="380" w:lineRule="exact"/>
              <w:jc w:val="center"/>
              <w:rPr>
                <w:rFonts w:ascii="宋体" w:hAnsi="宋体" w:cs="宋体"/>
                <w:b/>
                <w:bCs/>
                <w:sz w:val="22"/>
                <w:szCs w:val="22"/>
              </w:rPr>
            </w:pPr>
          </w:p>
        </w:tc>
        <w:tc>
          <w:tcPr>
            <w:tcW w:w="1440" w:type="dxa"/>
            <w:vAlign w:val="center"/>
          </w:tcPr>
          <w:p w14:paraId="503FF1F1">
            <w:pPr>
              <w:spacing w:line="380" w:lineRule="exact"/>
              <w:jc w:val="center"/>
              <w:rPr>
                <w:rFonts w:ascii="宋体" w:hAnsi="宋体" w:cs="宋体"/>
                <w:b/>
                <w:bCs/>
                <w:sz w:val="22"/>
                <w:szCs w:val="22"/>
              </w:rPr>
            </w:pPr>
          </w:p>
        </w:tc>
        <w:tc>
          <w:tcPr>
            <w:tcW w:w="1260" w:type="dxa"/>
            <w:vAlign w:val="center"/>
          </w:tcPr>
          <w:p w14:paraId="45E3E060">
            <w:pPr>
              <w:spacing w:line="380" w:lineRule="exact"/>
              <w:jc w:val="center"/>
              <w:rPr>
                <w:rFonts w:ascii="宋体" w:hAnsi="宋体" w:cs="宋体"/>
                <w:b/>
                <w:bCs/>
                <w:sz w:val="22"/>
                <w:szCs w:val="22"/>
              </w:rPr>
            </w:pPr>
          </w:p>
        </w:tc>
        <w:tc>
          <w:tcPr>
            <w:tcW w:w="1633" w:type="dxa"/>
            <w:vAlign w:val="center"/>
          </w:tcPr>
          <w:p w14:paraId="1B752F9B">
            <w:pPr>
              <w:spacing w:line="380" w:lineRule="exact"/>
              <w:jc w:val="center"/>
              <w:rPr>
                <w:rFonts w:ascii="宋体" w:hAnsi="宋体" w:cs="宋体"/>
                <w:b/>
                <w:bCs/>
                <w:sz w:val="22"/>
                <w:szCs w:val="22"/>
              </w:rPr>
            </w:pPr>
          </w:p>
        </w:tc>
      </w:tr>
      <w:tr w14:paraId="4B4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832E657">
            <w:pPr>
              <w:spacing w:line="380" w:lineRule="exact"/>
              <w:jc w:val="center"/>
              <w:rPr>
                <w:rFonts w:ascii="宋体" w:hAnsi="宋体" w:cs="宋体"/>
                <w:b/>
                <w:bCs/>
                <w:sz w:val="22"/>
                <w:szCs w:val="22"/>
              </w:rPr>
            </w:pPr>
          </w:p>
        </w:tc>
        <w:tc>
          <w:tcPr>
            <w:tcW w:w="2223" w:type="dxa"/>
            <w:vAlign w:val="center"/>
          </w:tcPr>
          <w:p w14:paraId="78DAB779">
            <w:pPr>
              <w:spacing w:line="380" w:lineRule="exact"/>
              <w:jc w:val="center"/>
              <w:rPr>
                <w:rFonts w:ascii="宋体" w:hAnsi="宋体" w:cs="宋体"/>
                <w:b/>
                <w:bCs/>
                <w:sz w:val="22"/>
                <w:szCs w:val="22"/>
              </w:rPr>
            </w:pPr>
          </w:p>
        </w:tc>
        <w:tc>
          <w:tcPr>
            <w:tcW w:w="2160" w:type="dxa"/>
            <w:vAlign w:val="center"/>
          </w:tcPr>
          <w:p w14:paraId="2711BBFA">
            <w:pPr>
              <w:spacing w:line="380" w:lineRule="exact"/>
              <w:jc w:val="center"/>
              <w:rPr>
                <w:rFonts w:ascii="宋体" w:hAnsi="宋体" w:cs="宋体"/>
                <w:b/>
                <w:bCs/>
                <w:sz w:val="22"/>
                <w:szCs w:val="22"/>
              </w:rPr>
            </w:pPr>
          </w:p>
        </w:tc>
        <w:tc>
          <w:tcPr>
            <w:tcW w:w="1440" w:type="dxa"/>
            <w:vAlign w:val="center"/>
          </w:tcPr>
          <w:p w14:paraId="0F4B8018">
            <w:pPr>
              <w:spacing w:line="380" w:lineRule="exact"/>
              <w:jc w:val="center"/>
              <w:rPr>
                <w:rFonts w:ascii="宋体" w:hAnsi="宋体" w:cs="宋体"/>
                <w:b/>
                <w:bCs/>
                <w:sz w:val="22"/>
                <w:szCs w:val="22"/>
              </w:rPr>
            </w:pPr>
          </w:p>
        </w:tc>
        <w:tc>
          <w:tcPr>
            <w:tcW w:w="1260" w:type="dxa"/>
            <w:vAlign w:val="center"/>
          </w:tcPr>
          <w:p w14:paraId="7670DE81">
            <w:pPr>
              <w:spacing w:line="380" w:lineRule="exact"/>
              <w:jc w:val="center"/>
              <w:rPr>
                <w:rFonts w:ascii="宋体" w:hAnsi="宋体" w:cs="宋体"/>
                <w:b/>
                <w:bCs/>
                <w:sz w:val="22"/>
                <w:szCs w:val="22"/>
              </w:rPr>
            </w:pPr>
          </w:p>
        </w:tc>
        <w:tc>
          <w:tcPr>
            <w:tcW w:w="1633" w:type="dxa"/>
            <w:vAlign w:val="center"/>
          </w:tcPr>
          <w:p w14:paraId="03B13C9E">
            <w:pPr>
              <w:spacing w:line="380" w:lineRule="exact"/>
              <w:jc w:val="center"/>
              <w:rPr>
                <w:rFonts w:ascii="宋体" w:hAnsi="宋体" w:cs="宋体"/>
                <w:b/>
                <w:bCs/>
                <w:sz w:val="22"/>
                <w:szCs w:val="22"/>
              </w:rPr>
            </w:pPr>
          </w:p>
        </w:tc>
      </w:tr>
      <w:tr w14:paraId="6576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6A95208">
            <w:pPr>
              <w:spacing w:line="380" w:lineRule="exact"/>
              <w:jc w:val="center"/>
              <w:rPr>
                <w:rFonts w:ascii="宋体" w:hAnsi="宋体" w:cs="宋体"/>
                <w:b/>
                <w:bCs/>
                <w:sz w:val="22"/>
                <w:szCs w:val="22"/>
              </w:rPr>
            </w:pPr>
          </w:p>
        </w:tc>
        <w:tc>
          <w:tcPr>
            <w:tcW w:w="2223" w:type="dxa"/>
            <w:vAlign w:val="center"/>
          </w:tcPr>
          <w:p w14:paraId="4411C54B">
            <w:pPr>
              <w:spacing w:line="380" w:lineRule="exact"/>
              <w:jc w:val="center"/>
              <w:rPr>
                <w:rFonts w:ascii="宋体" w:hAnsi="宋体" w:cs="宋体"/>
                <w:b/>
                <w:bCs/>
                <w:sz w:val="22"/>
                <w:szCs w:val="22"/>
              </w:rPr>
            </w:pPr>
          </w:p>
        </w:tc>
        <w:tc>
          <w:tcPr>
            <w:tcW w:w="2160" w:type="dxa"/>
            <w:vAlign w:val="center"/>
          </w:tcPr>
          <w:p w14:paraId="74BE213E">
            <w:pPr>
              <w:spacing w:line="380" w:lineRule="exact"/>
              <w:jc w:val="center"/>
              <w:rPr>
                <w:rFonts w:ascii="宋体" w:hAnsi="宋体" w:cs="宋体"/>
                <w:b/>
                <w:bCs/>
                <w:sz w:val="22"/>
                <w:szCs w:val="22"/>
              </w:rPr>
            </w:pPr>
          </w:p>
        </w:tc>
        <w:tc>
          <w:tcPr>
            <w:tcW w:w="1440" w:type="dxa"/>
            <w:vAlign w:val="center"/>
          </w:tcPr>
          <w:p w14:paraId="1024D5DA">
            <w:pPr>
              <w:spacing w:line="380" w:lineRule="exact"/>
              <w:jc w:val="center"/>
              <w:rPr>
                <w:rFonts w:ascii="宋体" w:hAnsi="宋体" w:cs="宋体"/>
                <w:b/>
                <w:bCs/>
                <w:sz w:val="22"/>
                <w:szCs w:val="22"/>
              </w:rPr>
            </w:pPr>
          </w:p>
        </w:tc>
        <w:tc>
          <w:tcPr>
            <w:tcW w:w="1260" w:type="dxa"/>
            <w:vAlign w:val="center"/>
          </w:tcPr>
          <w:p w14:paraId="3CC88BB2">
            <w:pPr>
              <w:spacing w:line="380" w:lineRule="exact"/>
              <w:jc w:val="center"/>
              <w:rPr>
                <w:rFonts w:ascii="宋体" w:hAnsi="宋体" w:cs="宋体"/>
                <w:b/>
                <w:bCs/>
                <w:sz w:val="22"/>
                <w:szCs w:val="22"/>
              </w:rPr>
            </w:pPr>
          </w:p>
        </w:tc>
        <w:tc>
          <w:tcPr>
            <w:tcW w:w="1633" w:type="dxa"/>
            <w:vAlign w:val="center"/>
          </w:tcPr>
          <w:p w14:paraId="7B49E4DF">
            <w:pPr>
              <w:spacing w:line="380" w:lineRule="exact"/>
              <w:jc w:val="center"/>
              <w:rPr>
                <w:rFonts w:ascii="宋体" w:hAnsi="宋体" w:cs="宋体"/>
                <w:b/>
                <w:bCs/>
                <w:sz w:val="22"/>
                <w:szCs w:val="22"/>
              </w:rPr>
            </w:pPr>
          </w:p>
        </w:tc>
      </w:tr>
      <w:tr w14:paraId="7B11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783E58F">
            <w:pPr>
              <w:spacing w:line="380" w:lineRule="exact"/>
              <w:jc w:val="center"/>
              <w:rPr>
                <w:rFonts w:ascii="宋体" w:hAnsi="宋体" w:cs="宋体"/>
                <w:b/>
                <w:bCs/>
                <w:sz w:val="22"/>
                <w:szCs w:val="22"/>
              </w:rPr>
            </w:pPr>
          </w:p>
        </w:tc>
        <w:tc>
          <w:tcPr>
            <w:tcW w:w="2223" w:type="dxa"/>
            <w:vAlign w:val="center"/>
          </w:tcPr>
          <w:p w14:paraId="0D94F976">
            <w:pPr>
              <w:spacing w:line="380" w:lineRule="exact"/>
              <w:jc w:val="center"/>
              <w:rPr>
                <w:rFonts w:ascii="宋体" w:hAnsi="宋体" w:cs="宋体"/>
                <w:b/>
                <w:bCs/>
                <w:sz w:val="22"/>
                <w:szCs w:val="22"/>
              </w:rPr>
            </w:pPr>
          </w:p>
        </w:tc>
        <w:tc>
          <w:tcPr>
            <w:tcW w:w="2160" w:type="dxa"/>
            <w:vAlign w:val="center"/>
          </w:tcPr>
          <w:p w14:paraId="271DCA08">
            <w:pPr>
              <w:spacing w:line="380" w:lineRule="exact"/>
              <w:jc w:val="center"/>
              <w:rPr>
                <w:rFonts w:ascii="宋体" w:hAnsi="宋体" w:cs="宋体"/>
                <w:b/>
                <w:bCs/>
                <w:sz w:val="22"/>
                <w:szCs w:val="22"/>
              </w:rPr>
            </w:pPr>
          </w:p>
        </w:tc>
        <w:tc>
          <w:tcPr>
            <w:tcW w:w="1440" w:type="dxa"/>
            <w:vAlign w:val="center"/>
          </w:tcPr>
          <w:p w14:paraId="2CE046A6">
            <w:pPr>
              <w:spacing w:line="380" w:lineRule="exact"/>
              <w:jc w:val="center"/>
              <w:rPr>
                <w:rFonts w:ascii="宋体" w:hAnsi="宋体" w:cs="宋体"/>
                <w:b/>
                <w:bCs/>
                <w:sz w:val="22"/>
                <w:szCs w:val="22"/>
              </w:rPr>
            </w:pPr>
          </w:p>
        </w:tc>
        <w:tc>
          <w:tcPr>
            <w:tcW w:w="1260" w:type="dxa"/>
            <w:vAlign w:val="center"/>
          </w:tcPr>
          <w:p w14:paraId="304C9720">
            <w:pPr>
              <w:spacing w:line="380" w:lineRule="exact"/>
              <w:jc w:val="center"/>
              <w:rPr>
                <w:rFonts w:ascii="宋体" w:hAnsi="宋体" w:cs="宋体"/>
                <w:b/>
                <w:bCs/>
                <w:sz w:val="22"/>
                <w:szCs w:val="22"/>
              </w:rPr>
            </w:pPr>
          </w:p>
        </w:tc>
        <w:tc>
          <w:tcPr>
            <w:tcW w:w="1633" w:type="dxa"/>
            <w:vAlign w:val="center"/>
          </w:tcPr>
          <w:p w14:paraId="083DCDE0">
            <w:pPr>
              <w:spacing w:line="380" w:lineRule="exact"/>
              <w:jc w:val="center"/>
              <w:rPr>
                <w:rFonts w:ascii="宋体" w:hAnsi="宋体" w:cs="宋体"/>
                <w:b/>
                <w:bCs/>
                <w:sz w:val="22"/>
                <w:szCs w:val="22"/>
              </w:rPr>
            </w:pPr>
          </w:p>
        </w:tc>
      </w:tr>
      <w:tr w14:paraId="1D16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31E62620">
            <w:pPr>
              <w:spacing w:line="380" w:lineRule="exact"/>
              <w:jc w:val="center"/>
              <w:rPr>
                <w:rFonts w:ascii="宋体" w:hAnsi="宋体" w:cs="宋体"/>
                <w:b/>
                <w:bCs/>
                <w:sz w:val="22"/>
                <w:szCs w:val="22"/>
              </w:rPr>
            </w:pPr>
          </w:p>
        </w:tc>
        <w:tc>
          <w:tcPr>
            <w:tcW w:w="2223" w:type="dxa"/>
            <w:vAlign w:val="center"/>
          </w:tcPr>
          <w:p w14:paraId="1A447C81">
            <w:pPr>
              <w:spacing w:line="380" w:lineRule="exact"/>
              <w:jc w:val="center"/>
              <w:rPr>
                <w:rFonts w:ascii="宋体" w:hAnsi="宋体" w:cs="宋体"/>
                <w:b/>
                <w:bCs/>
                <w:sz w:val="22"/>
                <w:szCs w:val="22"/>
              </w:rPr>
            </w:pPr>
          </w:p>
        </w:tc>
        <w:tc>
          <w:tcPr>
            <w:tcW w:w="2160" w:type="dxa"/>
            <w:vAlign w:val="center"/>
          </w:tcPr>
          <w:p w14:paraId="7FB9EB43">
            <w:pPr>
              <w:spacing w:line="380" w:lineRule="exact"/>
              <w:jc w:val="center"/>
              <w:rPr>
                <w:rFonts w:ascii="宋体" w:hAnsi="宋体" w:cs="宋体"/>
                <w:b/>
                <w:bCs/>
                <w:sz w:val="22"/>
                <w:szCs w:val="22"/>
              </w:rPr>
            </w:pPr>
          </w:p>
        </w:tc>
        <w:tc>
          <w:tcPr>
            <w:tcW w:w="1440" w:type="dxa"/>
            <w:vAlign w:val="center"/>
          </w:tcPr>
          <w:p w14:paraId="2EFE1876">
            <w:pPr>
              <w:spacing w:line="380" w:lineRule="exact"/>
              <w:jc w:val="center"/>
              <w:rPr>
                <w:rFonts w:ascii="宋体" w:hAnsi="宋体" w:cs="宋体"/>
                <w:b/>
                <w:bCs/>
                <w:sz w:val="22"/>
                <w:szCs w:val="22"/>
              </w:rPr>
            </w:pPr>
          </w:p>
        </w:tc>
        <w:tc>
          <w:tcPr>
            <w:tcW w:w="1260" w:type="dxa"/>
            <w:vAlign w:val="center"/>
          </w:tcPr>
          <w:p w14:paraId="644FF45C">
            <w:pPr>
              <w:spacing w:line="380" w:lineRule="exact"/>
              <w:jc w:val="center"/>
              <w:rPr>
                <w:rFonts w:ascii="宋体" w:hAnsi="宋体" w:cs="宋体"/>
                <w:b/>
                <w:bCs/>
                <w:sz w:val="22"/>
                <w:szCs w:val="22"/>
              </w:rPr>
            </w:pPr>
          </w:p>
        </w:tc>
        <w:tc>
          <w:tcPr>
            <w:tcW w:w="1633" w:type="dxa"/>
            <w:vAlign w:val="center"/>
          </w:tcPr>
          <w:p w14:paraId="2B3BCDAA">
            <w:pPr>
              <w:spacing w:line="380" w:lineRule="exact"/>
              <w:jc w:val="center"/>
              <w:rPr>
                <w:rFonts w:ascii="宋体" w:hAnsi="宋体" w:cs="宋体"/>
                <w:b/>
                <w:bCs/>
                <w:sz w:val="22"/>
                <w:szCs w:val="22"/>
              </w:rPr>
            </w:pPr>
          </w:p>
        </w:tc>
      </w:tr>
      <w:tr w14:paraId="5323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0F4AF6F">
            <w:pPr>
              <w:spacing w:line="380" w:lineRule="exact"/>
              <w:jc w:val="center"/>
              <w:rPr>
                <w:rFonts w:ascii="宋体" w:hAnsi="宋体" w:cs="宋体"/>
                <w:b/>
                <w:bCs/>
                <w:sz w:val="22"/>
                <w:szCs w:val="22"/>
              </w:rPr>
            </w:pPr>
          </w:p>
        </w:tc>
        <w:tc>
          <w:tcPr>
            <w:tcW w:w="2223" w:type="dxa"/>
            <w:vAlign w:val="center"/>
          </w:tcPr>
          <w:p w14:paraId="65C7AEA8">
            <w:pPr>
              <w:spacing w:line="380" w:lineRule="exact"/>
              <w:jc w:val="center"/>
              <w:rPr>
                <w:rFonts w:ascii="宋体" w:hAnsi="宋体" w:cs="宋体"/>
                <w:b/>
                <w:bCs/>
                <w:sz w:val="22"/>
                <w:szCs w:val="22"/>
              </w:rPr>
            </w:pPr>
          </w:p>
        </w:tc>
        <w:tc>
          <w:tcPr>
            <w:tcW w:w="2160" w:type="dxa"/>
            <w:vAlign w:val="center"/>
          </w:tcPr>
          <w:p w14:paraId="682E4792">
            <w:pPr>
              <w:spacing w:line="380" w:lineRule="exact"/>
              <w:jc w:val="center"/>
              <w:rPr>
                <w:rFonts w:ascii="宋体" w:hAnsi="宋体" w:cs="宋体"/>
                <w:b/>
                <w:bCs/>
                <w:sz w:val="22"/>
                <w:szCs w:val="22"/>
              </w:rPr>
            </w:pPr>
          </w:p>
        </w:tc>
        <w:tc>
          <w:tcPr>
            <w:tcW w:w="1440" w:type="dxa"/>
            <w:vAlign w:val="center"/>
          </w:tcPr>
          <w:p w14:paraId="2FB23EFD">
            <w:pPr>
              <w:spacing w:line="380" w:lineRule="exact"/>
              <w:jc w:val="center"/>
              <w:rPr>
                <w:rFonts w:ascii="宋体" w:hAnsi="宋体" w:cs="宋体"/>
                <w:b/>
                <w:bCs/>
                <w:sz w:val="22"/>
                <w:szCs w:val="22"/>
              </w:rPr>
            </w:pPr>
          </w:p>
        </w:tc>
        <w:tc>
          <w:tcPr>
            <w:tcW w:w="1260" w:type="dxa"/>
            <w:vAlign w:val="center"/>
          </w:tcPr>
          <w:p w14:paraId="47CAC11A">
            <w:pPr>
              <w:spacing w:line="380" w:lineRule="exact"/>
              <w:jc w:val="center"/>
              <w:rPr>
                <w:rFonts w:ascii="宋体" w:hAnsi="宋体" w:cs="宋体"/>
                <w:b/>
                <w:bCs/>
                <w:sz w:val="22"/>
                <w:szCs w:val="22"/>
              </w:rPr>
            </w:pPr>
          </w:p>
        </w:tc>
        <w:tc>
          <w:tcPr>
            <w:tcW w:w="1633" w:type="dxa"/>
            <w:vAlign w:val="center"/>
          </w:tcPr>
          <w:p w14:paraId="6B196FD9">
            <w:pPr>
              <w:spacing w:line="380" w:lineRule="exact"/>
              <w:jc w:val="center"/>
              <w:rPr>
                <w:rFonts w:ascii="宋体" w:hAnsi="宋体" w:cs="宋体"/>
                <w:b/>
                <w:bCs/>
                <w:sz w:val="22"/>
                <w:szCs w:val="22"/>
              </w:rPr>
            </w:pPr>
          </w:p>
        </w:tc>
      </w:tr>
      <w:tr w14:paraId="4327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8334E8D">
            <w:pPr>
              <w:spacing w:line="380" w:lineRule="exact"/>
              <w:jc w:val="center"/>
              <w:rPr>
                <w:rFonts w:ascii="宋体" w:hAnsi="宋体" w:cs="宋体"/>
                <w:b/>
                <w:bCs/>
                <w:sz w:val="22"/>
                <w:szCs w:val="22"/>
              </w:rPr>
            </w:pPr>
          </w:p>
        </w:tc>
        <w:tc>
          <w:tcPr>
            <w:tcW w:w="2223" w:type="dxa"/>
            <w:vAlign w:val="center"/>
          </w:tcPr>
          <w:p w14:paraId="3B99BEE2">
            <w:pPr>
              <w:spacing w:line="380" w:lineRule="exact"/>
              <w:jc w:val="center"/>
              <w:rPr>
                <w:rFonts w:ascii="宋体" w:hAnsi="宋体" w:cs="宋体"/>
                <w:b/>
                <w:bCs/>
                <w:sz w:val="22"/>
                <w:szCs w:val="22"/>
              </w:rPr>
            </w:pPr>
          </w:p>
        </w:tc>
        <w:tc>
          <w:tcPr>
            <w:tcW w:w="2160" w:type="dxa"/>
            <w:vAlign w:val="center"/>
          </w:tcPr>
          <w:p w14:paraId="02BB5F3F">
            <w:pPr>
              <w:spacing w:line="380" w:lineRule="exact"/>
              <w:jc w:val="center"/>
              <w:rPr>
                <w:rFonts w:ascii="宋体" w:hAnsi="宋体" w:cs="宋体"/>
                <w:b/>
                <w:bCs/>
                <w:sz w:val="22"/>
                <w:szCs w:val="22"/>
              </w:rPr>
            </w:pPr>
          </w:p>
        </w:tc>
        <w:tc>
          <w:tcPr>
            <w:tcW w:w="1440" w:type="dxa"/>
            <w:vAlign w:val="center"/>
          </w:tcPr>
          <w:p w14:paraId="51A9A85F">
            <w:pPr>
              <w:spacing w:line="380" w:lineRule="exact"/>
              <w:jc w:val="center"/>
              <w:rPr>
                <w:rFonts w:ascii="宋体" w:hAnsi="宋体" w:cs="宋体"/>
                <w:b/>
                <w:bCs/>
                <w:sz w:val="22"/>
                <w:szCs w:val="22"/>
              </w:rPr>
            </w:pPr>
          </w:p>
        </w:tc>
        <w:tc>
          <w:tcPr>
            <w:tcW w:w="1260" w:type="dxa"/>
            <w:vAlign w:val="center"/>
          </w:tcPr>
          <w:p w14:paraId="1559510D">
            <w:pPr>
              <w:spacing w:line="380" w:lineRule="exact"/>
              <w:jc w:val="center"/>
              <w:rPr>
                <w:rFonts w:ascii="宋体" w:hAnsi="宋体" w:cs="宋体"/>
                <w:b/>
                <w:bCs/>
                <w:sz w:val="22"/>
                <w:szCs w:val="22"/>
              </w:rPr>
            </w:pPr>
          </w:p>
        </w:tc>
        <w:tc>
          <w:tcPr>
            <w:tcW w:w="1633" w:type="dxa"/>
            <w:vAlign w:val="center"/>
          </w:tcPr>
          <w:p w14:paraId="7BCA4EF6">
            <w:pPr>
              <w:spacing w:line="380" w:lineRule="exact"/>
              <w:jc w:val="center"/>
              <w:rPr>
                <w:rFonts w:ascii="宋体" w:hAnsi="宋体" w:cs="宋体"/>
                <w:b/>
                <w:bCs/>
                <w:sz w:val="22"/>
                <w:szCs w:val="22"/>
              </w:rPr>
            </w:pPr>
          </w:p>
        </w:tc>
      </w:tr>
      <w:tr w14:paraId="4172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DAC4BD4">
            <w:pPr>
              <w:spacing w:line="380" w:lineRule="exact"/>
              <w:jc w:val="center"/>
              <w:rPr>
                <w:rFonts w:ascii="宋体" w:hAnsi="宋体" w:cs="宋体"/>
                <w:b/>
                <w:bCs/>
                <w:sz w:val="22"/>
                <w:szCs w:val="22"/>
              </w:rPr>
            </w:pPr>
          </w:p>
        </w:tc>
        <w:tc>
          <w:tcPr>
            <w:tcW w:w="2223" w:type="dxa"/>
            <w:vAlign w:val="center"/>
          </w:tcPr>
          <w:p w14:paraId="4AA2EB57">
            <w:pPr>
              <w:spacing w:line="380" w:lineRule="exact"/>
              <w:jc w:val="center"/>
              <w:rPr>
                <w:rFonts w:ascii="宋体" w:hAnsi="宋体" w:cs="宋体"/>
                <w:b/>
                <w:bCs/>
                <w:sz w:val="22"/>
                <w:szCs w:val="22"/>
              </w:rPr>
            </w:pPr>
          </w:p>
        </w:tc>
        <w:tc>
          <w:tcPr>
            <w:tcW w:w="2160" w:type="dxa"/>
            <w:vAlign w:val="center"/>
          </w:tcPr>
          <w:p w14:paraId="5395FA93">
            <w:pPr>
              <w:spacing w:line="380" w:lineRule="exact"/>
              <w:jc w:val="center"/>
              <w:rPr>
                <w:rFonts w:ascii="宋体" w:hAnsi="宋体" w:cs="宋体"/>
                <w:b/>
                <w:bCs/>
                <w:sz w:val="22"/>
                <w:szCs w:val="22"/>
              </w:rPr>
            </w:pPr>
          </w:p>
        </w:tc>
        <w:tc>
          <w:tcPr>
            <w:tcW w:w="1440" w:type="dxa"/>
            <w:vAlign w:val="center"/>
          </w:tcPr>
          <w:p w14:paraId="187DA2A4">
            <w:pPr>
              <w:spacing w:line="380" w:lineRule="exact"/>
              <w:jc w:val="center"/>
              <w:rPr>
                <w:rFonts w:ascii="宋体" w:hAnsi="宋体" w:cs="宋体"/>
                <w:b/>
                <w:bCs/>
                <w:sz w:val="22"/>
                <w:szCs w:val="22"/>
              </w:rPr>
            </w:pPr>
          </w:p>
        </w:tc>
        <w:tc>
          <w:tcPr>
            <w:tcW w:w="1260" w:type="dxa"/>
            <w:vAlign w:val="center"/>
          </w:tcPr>
          <w:p w14:paraId="23DFD653">
            <w:pPr>
              <w:spacing w:line="380" w:lineRule="exact"/>
              <w:jc w:val="center"/>
              <w:rPr>
                <w:rFonts w:ascii="宋体" w:hAnsi="宋体" w:cs="宋体"/>
                <w:b/>
                <w:bCs/>
                <w:sz w:val="22"/>
                <w:szCs w:val="22"/>
              </w:rPr>
            </w:pPr>
          </w:p>
        </w:tc>
        <w:tc>
          <w:tcPr>
            <w:tcW w:w="1633" w:type="dxa"/>
            <w:vAlign w:val="center"/>
          </w:tcPr>
          <w:p w14:paraId="4E135B99">
            <w:pPr>
              <w:spacing w:line="380" w:lineRule="exact"/>
              <w:jc w:val="center"/>
              <w:rPr>
                <w:rFonts w:ascii="宋体" w:hAnsi="宋体" w:cs="宋体"/>
                <w:b/>
                <w:bCs/>
                <w:sz w:val="22"/>
                <w:szCs w:val="22"/>
              </w:rPr>
            </w:pPr>
          </w:p>
        </w:tc>
      </w:tr>
    </w:tbl>
    <w:p w14:paraId="0BFB371E">
      <w:pPr>
        <w:spacing w:line="460" w:lineRule="exact"/>
        <w:ind w:left="755" w:hanging="754" w:hangingChars="343"/>
        <w:rPr>
          <w:rFonts w:ascii="宋体" w:hAnsi="宋体" w:cs="宋体"/>
          <w:b/>
          <w:sz w:val="22"/>
          <w:szCs w:val="22"/>
        </w:rPr>
      </w:pPr>
      <w:r>
        <w:rPr>
          <w:rFonts w:hint="eastAsia" w:ascii="宋体" w:hAnsi="宋体" w:cs="宋体"/>
          <w:bCs/>
          <w:sz w:val="22"/>
          <w:szCs w:val="22"/>
        </w:rPr>
        <w:t>注：</w:t>
      </w:r>
    </w:p>
    <w:p w14:paraId="237DF8DD">
      <w:pPr>
        <w:spacing w:line="460" w:lineRule="exact"/>
        <w:ind w:left="753" w:leftChars="209" w:hanging="314" w:hangingChars="143"/>
        <w:rPr>
          <w:rFonts w:ascii="宋体" w:hAnsi="宋体" w:cs="宋体"/>
          <w:b/>
          <w:sz w:val="22"/>
          <w:szCs w:val="22"/>
        </w:rPr>
      </w:pPr>
      <w:r>
        <w:rPr>
          <w:rFonts w:hint="eastAsia" w:ascii="宋体" w:hAnsi="宋体" w:cs="宋体"/>
          <w:sz w:val="22"/>
        </w:rPr>
        <w:t>1.本表可在不改变格式的情况下根据具体需要自行增减。</w:t>
      </w:r>
    </w:p>
    <w:p w14:paraId="61655A62">
      <w:pPr>
        <w:rPr>
          <w:rFonts w:ascii="宋体" w:hAnsi="宋体" w:cs="宋体"/>
        </w:rPr>
      </w:pPr>
    </w:p>
    <w:p w14:paraId="74107271">
      <w:pPr>
        <w:spacing w:line="380" w:lineRule="exact"/>
        <w:rPr>
          <w:rFonts w:ascii="宋体" w:hAnsi="宋体" w:cs="宋体"/>
          <w:sz w:val="22"/>
          <w:szCs w:val="22"/>
        </w:rPr>
      </w:pPr>
    </w:p>
    <w:p w14:paraId="706B2AD3">
      <w:pPr>
        <w:spacing w:line="380" w:lineRule="exact"/>
        <w:ind w:firstLine="4400" w:firstLineChars="2000"/>
        <w:rPr>
          <w:rFonts w:ascii="宋体" w:hAnsi="宋体" w:cs="宋体"/>
          <w:sz w:val="22"/>
          <w:szCs w:val="22"/>
        </w:rPr>
      </w:pPr>
      <w:r>
        <w:rPr>
          <w:rFonts w:hint="eastAsia" w:ascii="宋体" w:hAnsi="宋体" w:cs="宋体"/>
          <w:sz w:val="22"/>
          <w:szCs w:val="22"/>
        </w:rPr>
        <w:tab/>
      </w:r>
      <w:r>
        <w:rPr>
          <w:rFonts w:hint="eastAsia" w:ascii="宋体" w:hAnsi="宋体" w:cs="宋体"/>
          <w:sz w:val="22"/>
          <w:szCs w:val="22"/>
        </w:rPr>
        <w:t>供应商全称（盖章）：</w:t>
      </w:r>
    </w:p>
    <w:p w14:paraId="035C693F">
      <w:pPr>
        <w:spacing w:line="380" w:lineRule="exact"/>
        <w:ind w:firstLine="4620" w:firstLineChars="2100"/>
        <w:rPr>
          <w:rFonts w:ascii="宋体" w:hAnsi="宋体" w:cs="宋体"/>
          <w:sz w:val="22"/>
          <w:szCs w:val="22"/>
        </w:rPr>
      </w:pPr>
      <w:r>
        <w:rPr>
          <w:rFonts w:hint="eastAsia" w:ascii="宋体" w:hAnsi="宋体" w:cs="宋体"/>
          <w:sz w:val="22"/>
          <w:szCs w:val="22"/>
        </w:rPr>
        <w:t>法定代表人或授权代表（签字或盖章）：</w:t>
      </w:r>
    </w:p>
    <w:p w14:paraId="21A9FA5E">
      <w:pPr>
        <w:spacing w:line="380" w:lineRule="exact"/>
        <w:ind w:firstLine="4620" w:firstLineChars="2100"/>
        <w:rPr>
          <w:rFonts w:ascii="宋体" w:hAnsi="宋体" w:cs="宋体"/>
          <w:sz w:val="22"/>
          <w:szCs w:val="22"/>
        </w:rPr>
      </w:pPr>
      <w:r>
        <w:rPr>
          <w:rFonts w:hint="eastAsia" w:ascii="宋体" w:hAnsi="宋体" w:cs="宋体"/>
          <w:sz w:val="22"/>
          <w:szCs w:val="22"/>
        </w:rPr>
        <w:t>日期：  年   月  日</w:t>
      </w:r>
    </w:p>
    <w:p w14:paraId="20559BB5">
      <w:pPr>
        <w:tabs>
          <w:tab w:val="left" w:pos="5592"/>
        </w:tabs>
        <w:spacing w:line="380" w:lineRule="exact"/>
        <w:rPr>
          <w:rFonts w:ascii="宋体" w:hAnsi="宋体" w:cs="宋体"/>
          <w:sz w:val="22"/>
          <w:szCs w:val="22"/>
        </w:rPr>
      </w:pPr>
    </w:p>
    <w:p w14:paraId="636CEC38">
      <w:pPr>
        <w:spacing w:line="380" w:lineRule="exact"/>
        <w:rPr>
          <w:rFonts w:ascii="宋体" w:hAnsi="宋体" w:cs="宋体"/>
          <w:sz w:val="22"/>
          <w:szCs w:val="22"/>
        </w:rPr>
      </w:pPr>
    </w:p>
    <w:p w14:paraId="5A3230FE">
      <w:pPr>
        <w:spacing w:before="120" w:beforeLines="50" w:after="120" w:afterLines="50"/>
        <w:rPr>
          <w:rFonts w:ascii="宋体" w:hAnsi="宋体" w:cs="宋体"/>
          <w:sz w:val="22"/>
          <w:szCs w:val="22"/>
        </w:rPr>
      </w:pPr>
      <w:r>
        <w:rPr>
          <w:rFonts w:hint="eastAsia" w:ascii="宋体" w:hAnsi="宋体" w:cs="宋体"/>
          <w:sz w:val="22"/>
          <w:szCs w:val="22"/>
        </w:rPr>
        <w:t>（报价标封面，供参考）</w:t>
      </w:r>
    </w:p>
    <w:p w14:paraId="783A44DD">
      <w:pPr>
        <w:rPr>
          <w:rFonts w:ascii="宋体" w:hAnsi="宋体" w:cs="宋体"/>
        </w:rPr>
      </w:pPr>
    </w:p>
    <w:p w14:paraId="2D415217">
      <w:pPr>
        <w:rPr>
          <w:rFonts w:ascii="宋体" w:hAnsi="宋体" w:cs="宋体"/>
        </w:rPr>
      </w:pPr>
    </w:p>
    <w:p w14:paraId="14BCA96F">
      <w:pPr>
        <w:rPr>
          <w:rFonts w:ascii="宋体" w:hAnsi="宋体" w:cs="宋体"/>
        </w:rPr>
      </w:pPr>
    </w:p>
    <w:p w14:paraId="5DD01273">
      <w:pPr>
        <w:jc w:val="center"/>
        <w:rPr>
          <w:rFonts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磋商响应文件</w:t>
      </w:r>
    </w:p>
    <w:p w14:paraId="7BB5B988">
      <w:pPr>
        <w:rPr>
          <w:rFonts w:ascii="宋体" w:hAnsi="宋体" w:cs="宋体"/>
          <w:sz w:val="28"/>
          <w:szCs w:val="28"/>
        </w:rPr>
      </w:pPr>
    </w:p>
    <w:p w14:paraId="517248AF">
      <w:pPr>
        <w:rPr>
          <w:rFonts w:ascii="宋体" w:hAnsi="宋体" w:cs="宋体"/>
          <w:sz w:val="28"/>
          <w:szCs w:val="28"/>
        </w:rPr>
      </w:pPr>
    </w:p>
    <w:p w14:paraId="73FF7248">
      <w:pPr>
        <w:pStyle w:val="53"/>
        <w:ind w:firstLine="285"/>
        <w:rPr>
          <w:rFonts w:ascii="宋体" w:hAnsi="宋体" w:cs="宋体"/>
          <w:sz w:val="28"/>
          <w:szCs w:val="28"/>
        </w:rPr>
      </w:pPr>
    </w:p>
    <w:p w14:paraId="4B80F626">
      <w:pPr>
        <w:pStyle w:val="53"/>
        <w:ind w:firstLine="285"/>
        <w:rPr>
          <w:rFonts w:ascii="宋体" w:hAnsi="宋体" w:cs="宋体"/>
          <w:sz w:val="28"/>
          <w:szCs w:val="28"/>
        </w:rPr>
      </w:pPr>
    </w:p>
    <w:p w14:paraId="74BBA7DA">
      <w:pPr>
        <w:rPr>
          <w:rFonts w:ascii="宋体" w:hAnsi="宋体" w:cs="宋体"/>
          <w:sz w:val="28"/>
          <w:szCs w:val="28"/>
        </w:rPr>
      </w:pPr>
    </w:p>
    <w:p w14:paraId="36AA0BF0">
      <w:pPr>
        <w:rPr>
          <w:rFonts w:ascii="宋体" w:hAnsi="宋体" w:cs="宋体"/>
          <w:sz w:val="28"/>
          <w:szCs w:val="28"/>
        </w:rPr>
      </w:pPr>
    </w:p>
    <w:p w14:paraId="7F38C10F">
      <w:pPr>
        <w:jc w:val="center"/>
        <w:rPr>
          <w:rFonts w:ascii="宋体" w:hAnsi="宋体" w:cs="宋体"/>
          <w:sz w:val="52"/>
          <w:szCs w:val="52"/>
        </w:rPr>
      </w:pPr>
      <w:r>
        <w:rPr>
          <w:rFonts w:hint="eastAsia" w:ascii="宋体" w:hAnsi="宋体" w:cs="宋体"/>
          <w:sz w:val="52"/>
          <w:szCs w:val="52"/>
        </w:rPr>
        <w:t>报  价  标</w:t>
      </w:r>
    </w:p>
    <w:p w14:paraId="647EBD90">
      <w:pPr>
        <w:spacing w:line="360" w:lineRule="auto"/>
        <w:rPr>
          <w:rFonts w:ascii="宋体" w:hAnsi="宋体" w:cs="宋体"/>
          <w:szCs w:val="21"/>
        </w:rPr>
      </w:pPr>
    </w:p>
    <w:p w14:paraId="0A3FE3A5">
      <w:pPr>
        <w:spacing w:line="360" w:lineRule="auto"/>
        <w:rPr>
          <w:rFonts w:ascii="宋体" w:hAnsi="宋体" w:cs="宋体"/>
          <w:szCs w:val="21"/>
        </w:rPr>
      </w:pPr>
    </w:p>
    <w:p w14:paraId="2E103E26">
      <w:pPr>
        <w:spacing w:line="360" w:lineRule="auto"/>
        <w:rPr>
          <w:rFonts w:ascii="宋体" w:hAnsi="宋体" w:cs="宋体"/>
          <w:szCs w:val="21"/>
        </w:rPr>
      </w:pPr>
    </w:p>
    <w:p w14:paraId="494A25CD">
      <w:pPr>
        <w:spacing w:line="360" w:lineRule="auto"/>
        <w:rPr>
          <w:rFonts w:ascii="宋体" w:hAnsi="宋体" w:cs="宋体"/>
          <w:szCs w:val="21"/>
        </w:rPr>
      </w:pPr>
    </w:p>
    <w:p w14:paraId="381BCDF4">
      <w:pPr>
        <w:spacing w:line="360" w:lineRule="auto"/>
        <w:rPr>
          <w:rFonts w:ascii="宋体" w:hAnsi="宋体" w:cs="宋体"/>
          <w:szCs w:val="21"/>
        </w:rPr>
      </w:pPr>
    </w:p>
    <w:p w14:paraId="0D6919E5">
      <w:pPr>
        <w:jc w:val="center"/>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62AAA78F">
      <w:pPr>
        <w:rPr>
          <w:rFonts w:ascii="宋体" w:hAnsi="宋体" w:cs="宋体"/>
          <w:sz w:val="28"/>
          <w:szCs w:val="28"/>
          <w:u w:val="single"/>
        </w:rPr>
      </w:pPr>
    </w:p>
    <w:p w14:paraId="2B20CDCA">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ACE82E4">
      <w:pPr>
        <w:rPr>
          <w:rFonts w:ascii="宋体" w:hAnsi="宋体" w:cs="宋体"/>
          <w:sz w:val="28"/>
          <w:szCs w:val="28"/>
        </w:rPr>
      </w:pPr>
    </w:p>
    <w:p w14:paraId="5CA71928">
      <w:pPr>
        <w:overflowPunct w:val="0"/>
        <w:spacing w:line="380" w:lineRule="exact"/>
        <w:ind w:firstLine="2738" w:firstLineChars="978"/>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E776B9E">
      <w:pPr>
        <w:overflowPunct w:val="0"/>
        <w:spacing w:line="380" w:lineRule="exact"/>
        <w:rPr>
          <w:rFonts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14:paraId="27B313B7">
      <w:pPr>
        <w:autoSpaceDE w:val="0"/>
        <w:autoSpaceDN w:val="0"/>
        <w:adjustRightInd w:val="0"/>
        <w:spacing w:line="460" w:lineRule="atLeast"/>
        <w:jc w:val="center"/>
        <w:rPr>
          <w:rFonts w:ascii="宋体" w:hAnsi="宋体" w:cs="宋体"/>
          <w:b/>
          <w:bCs/>
          <w:kern w:val="0"/>
          <w:sz w:val="28"/>
          <w:szCs w:val="28"/>
          <w:lang w:val="zh-CN"/>
        </w:rPr>
      </w:pPr>
    </w:p>
    <w:p w14:paraId="10CF3FD0">
      <w:pPr>
        <w:autoSpaceDE w:val="0"/>
        <w:autoSpaceDN w:val="0"/>
        <w:adjustRightInd w:val="0"/>
        <w:spacing w:line="460" w:lineRule="atLeast"/>
        <w:jc w:val="center"/>
        <w:rPr>
          <w:rFonts w:ascii="宋体" w:hAnsi="宋体" w:cs="宋体"/>
          <w:b/>
          <w:bCs/>
          <w:kern w:val="0"/>
          <w:sz w:val="28"/>
          <w:szCs w:val="28"/>
          <w:lang w:val="zh-CN"/>
        </w:rPr>
      </w:pPr>
      <w:r>
        <w:rPr>
          <w:rFonts w:hint="eastAsia" w:ascii="宋体" w:hAnsi="宋体" w:cs="宋体"/>
          <w:b/>
          <w:bCs/>
          <w:kern w:val="0"/>
          <w:sz w:val="28"/>
          <w:szCs w:val="28"/>
          <w:lang w:val="zh-CN"/>
        </w:rPr>
        <w:t>开标一览表</w:t>
      </w:r>
    </w:p>
    <w:p w14:paraId="2E41ED9B">
      <w:pPr>
        <w:spacing w:line="380" w:lineRule="exact"/>
        <w:ind w:right="349" w:rightChars="166" w:firstLine="330" w:firstLineChars="150"/>
        <w:rPr>
          <w:rFonts w:ascii="宋体" w:hAnsi="宋体" w:cs="宋体"/>
          <w:b/>
          <w:sz w:val="22"/>
        </w:rPr>
      </w:pPr>
      <w:r>
        <w:rPr>
          <w:rFonts w:hint="eastAsia" w:ascii="宋体" w:hAnsi="宋体" w:cs="宋体"/>
          <w:sz w:val="22"/>
        </w:rPr>
        <w:t>项目名称：                                          项目编号：</w:t>
      </w:r>
    </w:p>
    <w:tbl>
      <w:tblPr>
        <w:tblStyle w:val="56"/>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439FB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1537C5F2">
            <w:pPr>
              <w:autoSpaceDE w:val="0"/>
              <w:autoSpaceDN w:val="0"/>
              <w:adjustRightInd w:val="0"/>
              <w:spacing w:line="380" w:lineRule="atLeast"/>
              <w:ind w:right="349" w:firstLine="331"/>
              <w:jc w:val="left"/>
              <w:rPr>
                <w:rFonts w:ascii="新宋体" w:hAnsi="新宋体" w:eastAsia="新宋体" w:cs="宋体"/>
                <w:b/>
                <w:bCs/>
                <w:kern w:val="0"/>
                <w:sz w:val="22"/>
                <w:szCs w:val="22"/>
              </w:rPr>
            </w:pPr>
            <w:r>
              <w:rPr>
                <w:rFonts w:hint="eastAsia" w:ascii="新宋体" w:hAnsi="新宋体" w:eastAsia="新宋体" w:cs="宋体"/>
                <w:b/>
                <w:bCs/>
                <w:kern w:val="0"/>
                <w:sz w:val="22"/>
                <w:szCs w:val="22"/>
              </w:rPr>
              <w:t>投标总价（大写）：</w:t>
            </w:r>
          </w:p>
          <w:p w14:paraId="25B83A85">
            <w:pPr>
              <w:autoSpaceDE w:val="0"/>
              <w:autoSpaceDN w:val="0"/>
              <w:adjustRightInd w:val="0"/>
              <w:spacing w:line="380" w:lineRule="atLeast"/>
              <w:ind w:right="349" w:firstLine="331"/>
              <w:jc w:val="left"/>
              <w:rPr>
                <w:rFonts w:ascii="新宋体" w:hAnsi="新宋体" w:eastAsia="新宋体" w:cs="宋体"/>
                <w:b/>
                <w:bCs/>
                <w:kern w:val="0"/>
                <w:sz w:val="22"/>
                <w:szCs w:val="22"/>
              </w:rPr>
            </w:pPr>
          </w:p>
          <w:p w14:paraId="2012E22F">
            <w:pPr>
              <w:autoSpaceDE w:val="0"/>
              <w:autoSpaceDN w:val="0"/>
              <w:adjustRightInd w:val="0"/>
              <w:spacing w:line="380" w:lineRule="atLeast"/>
              <w:ind w:right="349" w:firstLine="331"/>
              <w:jc w:val="left"/>
              <w:rPr>
                <w:rFonts w:ascii="新宋体" w:hAnsi="新宋体" w:eastAsia="新宋体" w:cs="宋体"/>
                <w:b/>
                <w:bCs/>
                <w:kern w:val="0"/>
                <w:sz w:val="22"/>
                <w:szCs w:val="22"/>
              </w:rPr>
            </w:pPr>
            <w:r>
              <w:rPr>
                <w:rFonts w:hint="eastAsia" w:ascii="新宋体" w:hAnsi="新宋体" w:eastAsia="新宋体" w:cs="宋体"/>
                <w:b/>
                <w:bCs/>
                <w:kern w:val="0"/>
                <w:sz w:val="22"/>
                <w:szCs w:val="22"/>
              </w:rPr>
              <w:t>（小写）¥</w:t>
            </w:r>
          </w:p>
        </w:tc>
      </w:tr>
    </w:tbl>
    <w:p w14:paraId="2130B745">
      <w:pPr>
        <w:spacing w:line="380" w:lineRule="exact"/>
        <w:ind w:left="1"/>
        <w:rPr>
          <w:rFonts w:ascii="宋体" w:hAnsi="宋体" w:cs="宋体"/>
          <w:b/>
          <w:sz w:val="22"/>
          <w:szCs w:val="22"/>
        </w:rPr>
      </w:pPr>
    </w:p>
    <w:p w14:paraId="51030F94">
      <w:pPr>
        <w:spacing w:line="380" w:lineRule="exact"/>
        <w:ind w:left="1"/>
        <w:rPr>
          <w:rFonts w:ascii="宋体" w:hAnsi="宋体" w:cs="宋体"/>
          <w:b/>
          <w:sz w:val="22"/>
          <w:szCs w:val="22"/>
        </w:rPr>
      </w:pPr>
      <w:r>
        <w:rPr>
          <w:rFonts w:hint="eastAsia" w:ascii="宋体" w:hAnsi="宋体" w:cs="宋体"/>
          <w:b/>
          <w:sz w:val="22"/>
          <w:szCs w:val="22"/>
        </w:rPr>
        <w:t>说明：</w:t>
      </w:r>
    </w:p>
    <w:p w14:paraId="56D48BDD">
      <w:pPr>
        <w:spacing w:line="380" w:lineRule="exact"/>
        <w:ind w:left="1"/>
        <w:rPr>
          <w:rFonts w:ascii="宋体" w:hAnsi="宋体" w:cs="宋体"/>
          <w:sz w:val="22"/>
          <w:szCs w:val="22"/>
        </w:rPr>
      </w:pPr>
      <w:r>
        <w:rPr>
          <w:rFonts w:hint="eastAsia" w:ascii="宋体" w:hAnsi="宋体" w:cs="宋体"/>
          <w:b/>
          <w:sz w:val="22"/>
          <w:szCs w:val="22"/>
        </w:rPr>
        <w:t>此栏内投标总价应与“投标分项报价表”中总计价相一致。</w:t>
      </w:r>
    </w:p>
    <w:p w14:paraId="43FE8544">
      <w:pPr>
        <w:autoSpaceDE w:val="0"/>
        <w:autoSpaceDN w:val="0"/>
        <w:adjustRightInd w:val="0"/>
        <w:spacing w:line="380" w:lineRule="atLeast"/>
        <w:ind w:firstLine="660"/>
        <w:rPr>
          <w:rFonts w:ascii="宋体" w:hAnsi="宋体" w:cs="宋体"/>
          <w:kern w:val="0"/>
          <w:sz w:val="22"/>
          <w:szCs w:val="22"/>
          <w:lang w:val="zh-CN"/>
        </w:rPr>
      </w:pPr>
    </w:p>
    <w:p w14:paraId="44A76AFB">
      <w:pPr>
        <w:autoSpaceDE w:val="0"/>
        <w:autoSpaceDN w:val="0"/>
        <w:adjustRightInd w:val="0"/>
        <w:spacing w:line="380" w:lineRule="atLeast"/>
        <w:ind w:firstLine="660"/>
        <w:rPr>
          <w:rFonts w:ascii="宋体" w:hAnsi="宋体" w:cs="宋体"/>
          <w:kern w:val="0"/>
          <w:sz w:val="22"/>
          <w:szCs w:val="22"/>
          <w:lang w:val="zh-CN"/>
        </w:rPr>
      </w:pPr>
    </w:p>
    <w:p w14:paraId="2386C495">
      <w:pPr>
        <w:autoSpaceDE w:val="0"/>
        <w:autoSpaceDN w:val="0"/>
        <w:adjustRightInd w:val="0"/>
        <w:spacing w:line="380" w:lineRule="atLeast"/>
        <w:rPr>
          <w:rFonts w:ascii="宋体" w:hAnsi="宋体" w:cs="宋体"/>
          <w:kern w:val="0"/>
          <w:sz w:val="22"/>
          <w:szCs w:val="22"/>
          <w:lang w:val="zh-CN"/>
        </w:rPr>
      </w:pPr>
    </w:p>
    <w:p w14:paraId="250A75F3">
      <w:pPr>
        <w:autoSpaceDE w:val="0"/>
        <w:autoSpaceDN w:val="0"/>
        <w:adjustRightInd w:val="0"/>
        <w:spacing w:line="380" w:lineRule="atLeast"/>
        <w:ind w:firstLine="660"/>
        <w:rPr>
          <w:rFonts w:ascii="宋体" w:hAnsi="宋体" w:cs="宋体"/>
          <w:kern w:val="0"/>
          <w:sz w:val="22"/>
          <w:szCs w:val="22"/>
          <w:lang w:val="zh-CN"/>
        </w:rPr>
      </w:pPr>
    </w:p>
    <w:p w14:paraId="2EBFE57E">
      <w:pPr>
        <w:autoSpaceDE w:val="0"/>
        <w:autoSpaceDN w:val="0"/>
        <w:adjustRightInd w:val="0"/>
        <w:spacing w:line="380" w:lineRule="atLeast"/>
        <w:ind w:firstLine="660"/>
        <w:rPr>
          <w:rFonts w:ascii="宋体" w:hAnsi="宋体" w:cs="宋体"/>
          <w:kern w:val="0"/>
          <w:sz w:val="22"/>
          <w:szCs w:val="22"/>
          <w:lang w:val="zh-CN"/>
        </w:rPr>
      </w:pPr>
    </w:p>
    <w:p w14:paraId="77F9E2B3">
      <w:pPr>
        <w:autoSpaceDE w:val="0"/>
        <w:autoSpaceDN w:val="0"/>
        <w:adjustRightInd w:val="0"/>
        <w:spacing w:line="380" w:lineRule="atLeast"/>
        <w:rPr>
          <w:rFonts w:ascii="宋体" w:hAnsi="宋体" w:cs="宋体"/>
          <w:kern w:val="0"/>
          <w:sz w:val="22"/>
          <w:szCs w:val="22"/>
          <w:lang w:val="zh-CN"/>
        </w:rPr>
      </w:pPr>
      <w:r>
        <w:rPr>
          <w:rFonts w:hint="eastAsia" w:ascii="宋体" w:hAnsi="宋体" w:cs="宋体"/>
          <w:kern w:val="0"/>
          <w:sz w:val="22"/>
          <w:szCs w:val="22"/>
          <w:lang w:val="zh-CN"/>
        </w:rPr>
        <w:t>供应商全称（盖章）：</w:t>
      </w:r>
    </w:p>
    <w:p w14:paraId="18EC67E4">
      <w:pPr>
        <w:autoSpaceDE w:val="0"/>
        <w:autoSpaceDN w:val="0"/>
        <w:adjustRightInd w:val="0"/>
        <w:spacing w:line="380" w:lineRule="atLeast"/>
        <w:rPr>
          <w:rFonts w:ascii="宋体" w:hAnsi="宋体" w:cs="宋体"/>
          <w:kern w:val="0"/>
          <w:sz w:val="22"/>
          <w:szCs w:val="22"/>
          <w:lang w:val="zh-CN"/>
        </w:rPr>
      </w:pPr>
      <w:r>
        <w:rPr>
          <w:rFonts w:hint="eastAsia" w:ascii="宋体" w:hAnsi="宋体" w:cs="宋体"/>
          <w:kern w:val="0"/>
          <w:sz w:val="22"/>
          <w:szCs w:val="22"/>
          <w:lang w:val="zh-CN"/>
        </w:rPr>
        <w:t>供应商代表（签名）：</w:t>
      </w:r>
    </w:p>
    <w:p w14:paraId="0E46A0E5">
      <w:pPr>
        <w:autoSpaceDE w:val="0"/>
        <w:autoSpaceDN w:val="0"/>
        <w:adjustRightInd w:val="0"/>
        <w:spacing w:line="380" w:lineRule="atLeast"/>
        <w:rPr>
          <w:rFonts w:ascii="宋体" w:hAnsi="宋体" w:cs="宋体"/>
          <w:kern w:val="0"/>
          <w:sz w:val="22"/>
          <w:szCs w:val="22"/>
          <w:lang w:val="zh-CN"/>
        </w:rPr>
      </w:pPr>
      <w:r>
        <w:rPr>
          <w:rFonts w:hint="eastAsia" w:ascii="宋体" w:hAnsi="宋体" w:cs="宋体"/>
          <w:kern w:val="0"/>
          <w:sz w:val="22"/>
          <w:szCs w:val="22"/>
          <w:lang w:val="zh-CN"/>
        </w:rPr>
        <w:t xml:space="preserve">日 期：  年  月  日 </w:t>
      </w:r>
    </w:p>
    <w:p w14:paraId="74E5220E">
      <w:pPr>
        <w:autoSpaceDE w:val="0"/>
        <w:autoSpaceDN w:val="0"/>
        <w:adjustRightInd w:val="0"/>
        <w:spacing w:line="380" w:lineRule="atLeast"/>
        <w:rPr>
          <w:rFonts w:ascii="宋体" w:hAnsi="宋体" w:cs="宋体"/>
          <w:kern w:val="0"/>
          <w:sz w:val="22"/>
          <w:szCs w:val="22"/>
          <w:lang w:val="zh-CN"/>
        </w:rPr>
      </w:pPr>
    </w:p>
    <w:p w14:paraId="686BD6B7">
      <w:pPr>
        <w:autoSpaceDE w:val="0"/>
        <w:autoSpaceDN w:val="0"/>
        <w:adjustRightInd w:val="0"/>
        <w:spacing w:line="380" w:lineRule="atLeast"/>
        <w:rPr>
          <w:rFonts w:ascii="宋体" w:hAnsi="宋体" w:cs="宋体"/>
          <w:sz w:val="22"/>
          <w:szCs w:val="22"/>
        </w:rPr>
      </w:pPr>
      <w:r>
        <w:rPr>
          <w:rFonts w:hint="eastAsia" w:ascii="宋体" w:hAnsi="宋体" w:cs="宋体"/>
          <w:sz w:val="22"/>
          <w:szCs w:val="22"/>
        </w:rPr>
        <w:t xml:space="preserve"> </w:t>
      </w:r>
    </w:p>
    <w:p w14:paraId="714C0E9A">
      <w:pPr>
        <w:spacing w:line="460" w:lineRule="exact"/>
        <w:jc w:val="center"/>
        <w:rPr>
          <w:rFonts w:ascii="宋体" w:hAnsi="宋体" w:cs="宋体"/>
          <w:b/>
          <w:bCs/>
          <w:sz w:val="28"/>
          <w:szCs w:val="28"/>
        </w:rPr>
      </w:pPr>
      <w:r>
        <w:rPr>
          <w:rFonts w:hint="eastAsia" w:ascii="宋体" w:hAnsi="宋体" w:cs="宋体"/>
          <w:b/>
          <w:bCs/>
          <w:sz w:val="22"/>
          <w:szCs w:val="22"/>
        </w:rPr>
        <w:br w:type="page"/>
      </w:r>
      <w:r>
        <w:rPr>
          <w:rFonts w:hint="eastAsia" w:ascii="宋体" w:hAnsi="宋体" w:cs="宋体"/>
          <w:b/>
          <w:bCs/>
          <w:sz w:val="28"/>
          <w:szCs w:val="28"/>
        </w:rPr>
        <w:t>分项报价表</w:t>
      </w:r>
    </w:p>
    <w:p w14:paraId="24C866AA">
      <w:pPr>
        <w:spacing w:line="380" w:lineRule="exact"/>
        <w:ind w:right="349" w:rightChars="166" w:firstLine="330" w:firstLineChars="150"/>
        <w:rPr>
          <w:rFonts w:ascii="宋体" w:hAnsi="宋体" w:cs="宋体"/>
          <w:sz w:val="22"/>
          <w:szCs w:val="22"/>
        </w:rPr>
      </w:pPr>
      <w:r>
        <w:rPr>
          <w:rFonts w:hint="eastAsia" w:ascii="宋体" w:hAnsi="宋体" w:cs="宋体"/>
          <w:sz w:val="22"/>
          <w:szCs w:val="22"/>
        </w:rPr>
        <w:t>采购项目名称：                项目编号：                    单位：人民币元</w:t>
      </w:r>
    </w:p>
    <w:tbl>
      <w:tblPr>
        <w:tblStyle w:val="56"/>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419"/>
        <w:gridCol w:w="5790"/>
      </w:tblGrid>
      <w:tr w14:paraId="77F8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05F0FBFB">
            <w:pPr>
              <w:jc w:val="center"/>
              <w:rPr>
                <w:rFonts w:eastAsia="新宋体"/>
                <w:szCs w:val="21"/>
              </w:rPr>
            </w:pPr>
            <w:r>
              <w:rPr>
                <w:rFonts w:hint="eastAsia" w:eastAsia="新宋体"/>
                <w:szCs w:val="21"/>
              </w:rPr>
              <w:t>序号</w:t>
            </w:r>
          </w:p>
        </w:tc>
        <w:tc>
          <w:tcPr>
            <w:tcW w:w="3419" w:type="dxa"/>
            <w:vAlign w:val="center"/>
          </w:tcPr>
          <w:p w14:paraId="2C3D487D">
            <w:pPr>
              <w:jc w:val="center"/>
              <w:rPr>
                <w:rFonts w:eastAsia="新宋体"/>
                <w:szCs w:val="21"/>
              </w:rPr>
            </w:pPr>
            <w:r>
              <w:rPr>
                <w:rFonts w:hint="eastAsia" w:eastAsia="新宋体"/>
                <w:szCs w:val="21"/>
              </w:rPr>
              <w:t>项目内容</w:t>
            </w:r>
          </w:p>
        </w:tc>
        <w:tc>
          <w:tcPr>
            <w:tcW w:w="5790" w:type="dxa"/>
            <w:vAlign w:val="center"/>
          </w:tcPr>
          <w:p w14:paraId="02CEAF4A">
            <w:pPr>
              <w:jc w:val="center"/>
              <w:rPr>
                <w:rFonts w:eastAsia="新宋体"/>
                <w:szCs w:val="21"/>
              </w:rPr>
            </w:pPr>
            <w:r>
              <w:rPr>
                <w:rFonts w:hint="eastAsia" w:eastAsia="新宋体"/>
                <w:szCs w:val="21"/>
              </w:rPr>
              <w:t>报价（元）</w:t>
            </w:r>
          </w:p>
        </w:tc>
      </w:tr>
      <w:tr w14:paraId="7B1A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61648B04">
            <w:pPr>
              <w:jc w:val="center"/>
              <w:rPr>
                <w:rFonts w:eastAsia="新宋体"/>
                <w:szCs w:val="21"/>
              </w:rPr>
            </w:pPr>
            <w:r>
              <w:rPr>
                <w:rFonts w:hint="eastAsia" w:eastAsia="新宋体"/>
                <w:szCs w:val="21"/>
              </w:rPr>
              <w:t>1</w:t>
            </w:r>
          </w:p>
          <w:p w14:paraId="3EF0FB01">
            <w:pPr>
              <w:jc w:val="center"/>
              <w:rPr>
                <w:rFonts w:eastAsia="新宋体"/>
                <w:szCs w:val="21"/>
              </w:rPr>
            </w:pPr>
          </w:p>
        </w:tc>
        <w:tc>
          <w:tcPr>
            <w:tcW w:w="3419" w:type="dxa"/>
            <w:vAlign w:val="center"/>
          </w:tcPr>
          <w:p w14:paraId="133412DD">
            <w:pPr>
              <w:jc w:val="center"/>
              <w:rPr>
                <w:rFonts w:eastAsia="新宋体"/>
                <w:szCs w:val="21"/>
              </w:rPr>
            </w:pPr>
          </w:p>
        </w:tc>
        <w:tc>
          <w:tcPr>
            <w:tcW w:w="5790" w:type="dxa"/>
            <w:vAlign w:val="center"/>
          </w:tcPr>
          <w:p w14:paraId="4F1D1DA9">
            <w:pPr>
              <w:rPr>
                <w:rFonts w:eastAsia="新宋体"/>
                <w:szCs w:val="21"/>
              </w:rPr>
            </w:pPr>
          </w:p>
        </w:tc>
      </w:tr>
      <w:tr w14:paraId="46EF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758F77B5">
            <w:pPr>
              <w:jc w:val="center"/>
              <w:rPr>
                <w:rFonts w:eastAsia="新宋体"/>
                <w:szCs w:val="21"/>
              </w:rPr>
            </w:pPr>
            <w:r>
              <w:rPr>
                <w:rFonts w:hint="eastAsia" w:eastAsia="新宋体"/>
                <w:szCs w:val="21"/>
              </w:rPr>
              <w:t>2</w:t>
            </w:r>
          </w:p>
        </w:tc>
        <w:tc>
          <w:tcPr>
            <w:tcW w:w="3419" w:type="dxa"/>
            <w:vAlign w:val="center"/>
          </w:tcPr>
          <w:p w14:paraId="7FD09562">
            <w:pPr>
              <w:jc w:val="center"/>
              <w:rPr>
                <w:rFonts w:eastAsia="新宋体"/>
                <w:szCs w:val="21"/>
              </w:rPr>
            </w:pPr>
          </w:p>
        </w:tc>
        <w:tc>
          <w:tcPr>
            <w:tcW w:w="5790" w:type="dxa"/>
            <w:vAlign w:val="center"/>
          </w:tcPr>
          <w:p w14:paraId="4A0EAFC1">
            <w:pPr>
              <w:jc w:val="center"/>
              <w:rPr>
                <w:rFonts w:eastAsia="新宋体"/>
                <w:szCs w:val="21"/>
              </w:rPr>
            </w:pPr>
          </w:p>
        </w:tc>
      </w:tr>
      <w:tr w14:paraId="3F9A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270A85C6">
            <w:pPr>
              <w:jc w:val="center"/>
              <w:rPr>
                <w:rFonts w:eastAsia="新宋体"/>
                <w:szCs w:val="21"/>
              </w:rPr>
            </w:pPr>
            <w:r>
              <w:rPr>
                <w:rFonts w:hint="eastAsia" w:eastAsia="新宋体"/>
                <w:szCs w:val="21"/>
              </w:rPr>
              <w:t>3</w:t>
            </w:r>
          </w:p>
        </w:tc>
        <w:tc>
          <w:tcPr>
            <w:tcW w:w="3419" w:type="dxa"/>
            <w:vAlign w:val="center"/>
          </w:tcPr>
          <w:p w14:paraId="54E6F4F3">
            <w:pPr>
              <w:jc w:val="center"/>
              <w:rPr>
                <w:rFonts w:eastAsia="新宋体"/>
                <w:szCs w:val="21"/>
              </w:rPr>
            </w:pPr>
          </w:p>
        </w:tc>
        <w:tc>
          <w:tcPr>
            <w:tcW w:w="5790" w:type="dxa"/>
            <w:vAlign w:val="center"/>
          </w:tcPr>
          <w:p w14:paraId="359AB5CD">
            <w:pPr>
              <w:jc w:val="center"/>
              <w:rPr>
                <w:rFonts w:eastAsia="新宋体"/>
                <w:szCs w:val="21"/>
              </w:rPr>
            </w:pPr>
          </w:p>
        </w:tc>
      </w:tr>
      <w:tr w14:paraId="3754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6464F0CB">
            <w:pPr>
              <w:jc w:val="center"/>
              <w:rPr>
                <w:rFonts w:eastAsia="新宋体"/>
                <w:szCs w:val="21"/>
              </w:rPr>
            </w:pPr>
            <w:r>
              <w:rPr>
                <w:rFonts w:hint="eastAsia" w:eastAsia="新宋体"/>
                <w:szCs w:val="21"/>
              </w:rPr>
              <w:t>4</w:t>
            </w:r>
          </w:p>
        </w:tc>
        <w:tc>
          <w:tcPr>
            <w:tcW w:w="3419" w:type="dxa"/>
            <w:vAlign w:val="center"/>
          </w:tcPr>
          <w:p w14:paraId="6C6D3F07">
            <w:pPr>
              <w:jc w:val="center"/>
              <w:rPr>
                <w:rFonts w:eastAsia="新宋体"/>
                <w:szCs w:val="21"/>
              </w:rPr>
            </w:pPr>
          </w:p>
        </w:tc>
        <w:tc>
          <w:tcPr>
            <w:tcW w:w="5790" w:type="dxa"/>
            <w:vAlign w:val="center"/>
          </w:tcPr>
          <w:p w14:paraId="1544F111">
            <w:pPr>
              <w:jc w:val="center"/>
              <w:rPr>
                <w:rFonts w:eastAsia="新宋体"/>
                <w:szCs w:val="21"/>
              </w:rPr>
            </w:pPr>
          </w:p>
        </w:tc>
      </w:tr>
      <w:tr w14:paraId="2C67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08573A9B">
            <w:pPr>
              <w:jc w:val="center"/>
              <w:rPr>
                <w:rFonts w:eastAsia="新宋体"/>
                <w:szCs w:val="21"/>
              </w:rPr>
            </w:pPr>
            <w:r>
              <w:rPr>
                <w:rFonts w:hint="eastAsia" w:eastAsia="新宋体"/>
                <w:szCs w:val="21"/>
              </w:rPr>
              <w:t>5</w:t>
            </w:r>
          </w:p>
        </w:tc>
        <w:tc>
          <w:tcPr>
            <w:tcW w:w="3419" w:type="dxa"/>
            <w:vAlign w:val="center"/>
          </w:tcPr>
          <w:p w14:paraId="628186AD">
            <w:pPr>
              <w:jc w:val="center"/>
              <w:rPr>
                <w:rFonts w:eastAsia="新宋体"/>
                <w:szCs w:val="21"/>
              </w:rPr>
            </w:pPr>
          </w:p>
        </w:tc>
        <w:tc>
          <w:tcPr>
            <w:tcW w:w="5790" w:type="dxa"/>
            <w:vAlign w:val="center"/>
          </w:tcPr>
          <w:p w14:paraId="5FBC5C25">
            <w:pPr>
              <w:jc w:val="center"/>
              <w:rPr>
                <w:rFonts w:eastAsia="新宋体"/>
                <w:szCs w:val="21"/>
              </w:rPr>
            </w:pPr>
          </w:p>
        </w:tc>
      </w:tr>
      <w:tr w14:paraId="7D0D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115D3EBF">
            <w:pPr>
              <w:jc w:val="center"/>
              <w:rPr>
                <w:rFonts w:eastAsia="新宋体"/>
                <w:szCs w:val="21"/>
              </w:rPr>
            </w:pPr>
            <w:r>
              <w:rPr>
                <w:rFonts w:hint="eastAsia" w:eastAsia="新宋体"/>
                <w:szCs w:val="21"/>
              </w:rPr>
              <w:t>6</w:t>
            </w:r>
          </w:p>
        </w:tc>
        <w:tc>
          <w:tcPr>
            <w:tcW w:w="3419" w:type="dxa"/>
            <w:vAlign w:val="center"/>
          </w:tcPr>
          <w:p w14:paraId="0E4E922B">
            <w:pPr>
              <w:jc w:val="center"/>
              <w:rPr>
                <w:rFonts w:eastAsia="新宋体"/>
                <w:szCs w:val="21"/>
              </w:rPr>
            </w:pPr>
          </w:p>
        </w:tc>
        <w:tc>
          <w:tcPr>
            <w:tcW w:w="5790" w:type="dxa"/>
            <w:vAlign w:val="center"/>
          </w:tcPr>
          <w:p w14:paraId="2ABBA04B">
            <w:pPr>
              <w:jc w:val="center"/>
              <w:rPr>
                <w:rFonts w:eastAsia="新宋体"/>
                <w:szCs w:val="21"/>
              </w:rPr>
            </w:pPr>
          </w:p>
        </w:tc>
      </w:tr>
      <w:tr w14:paraId="537A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vAlign w:val="center"/>
          </w:tcPr>
          <w:p w14:paraId="6A01968C">
            <w:pPr>
              <w:jc w:val="center"/>
              <w:rPr>
                <w:rFonts w:eastAsia="新宋体"/>
                <w:szCs w:val="21"/>
              </w:rPr>
            </w:pPr>
            <w:r>
              <w:rPr>
                <w:rFonts w:hint="eastAsia" w:eastAsia="新宋体"/>
                <w:szCs w:val="21"/>
              </w:rPr>
              <w:t>7</w:t>
            </w:r>
          </w:p>
        </w:tc>
        <w:tc>
          <w:tcPr>
            <w:tcW w:w="3419" w:type="dxa"/>
            <w:vAlign w:val="center"/>
          </w:tcPr>
          <w:p w14:paraId="6F7C30CC">
            <w:pPr>
              <w:jc w:val="center"/>
              <w:rPr>
                <w:rFonts w:eastAsia="新宋体"/>
                <w:szCs w:val="21"/>
              </w:rPr>
            </w:pPr>
          </w:p>
        </w:tc>
        <w:tc>
          <w:tcPr>
            <w:tcW w:w="5790" w:type="dxa"/>
            <w:vAlign w:val="center"/>
          </w:tcPr>
          <w:p w14:paraId="38129E71">
            <w:pPr>
              <w:jc w:val="center"/>
              <w:rPr>
                <w:rFonts w:eastAsia="新宋体"/>
                <w:szCs w:val="21"/>
              </w:rPr>
            </w:pPr>
          </w:p>
        </w:tc>
      </w:tr>
      <w:tr w14:paraId="6045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0" w:type="dxa"/>
            <w:gridSpan w:val="2"/>
            <w:vAlign w:val="center"/>
          </w:tcPr>
          <w:p w14:paraId="60D8C5E3">
            <w:pPr>
              <w:jc w:val="center"/>
              <w:rPr>
                <w:rFonts w:eastAsia="新宋体"/>
                <w:szCs w:val="21"/>
              </w:rPr>
            </w:pPr>
            <w:r>
              <w:rPr>
                <w:rFonts w:hint="eastAsia" w:eastAsia="新宋体"/>
                <w:szCs w:val="21"/>
              </w:rPr>
              <w:t>总    计   价</w:t>
            </w:r>
          </w:p>
        </w:tc>
        <w:tc>
          <w:tcPr>
            <w:tcW w:w="5790" w:type="dxa"/>
            <w:vAlign w:val="center"/>
          </w:tcPr>
          <w:p w14:paraId="64BA8B9D">
            <w:pPr>
              <w:jc w:val="center"/>
              <w:rPr>
                <w:rFonts w:eastAsia="新宋体"/>
                <w:szCs w:val="21"/>
              </w:rPr>
            </w:pPr>
          </w:p>
        </w:tc>
      </w:tr>
    </w:tbl>
    <w:p w14:paraId="400FF7F1">
      <w:pPr>
        <w:spacing w:line="380" w:lineRule="exact"/>
        <w:rPr>
          <w:rFonts w:ascii="新宋体" w:hAnsi="新宋体" w:eastAsia="新宋体" w:cs="宋体"/>
          <w:sz w:val="22"/>
          <w:szCs w:val="22"/>
        </w:rPr>
      </w:pPr>
    </w:p>
    <w:p w14:paraId="6C2A9F56">
      <w:pPr>
        <w:spacing w:line="380" w:lineRule="exact"/>
        <w:rPr>
          <w:rFonts w:ascii="新宋体" w:hAnsi="新宋体" w:eastAsia="新宋体" w:cs="宋体"/>
          <w:sz w:val="22"/>
          <w:szCs w:val="22"/>
        </w:rPr>
      </w:pPr>
      <w:r>
        <w:rPr>
          <w:rFonts w:hint="eastAsia" w:ascii="新宋体" w:hAnsi="新宋体" w:eastAsia="新宋体" w:cs="宋体"/>
          <w:sz w:val="22"/>
          <w:szCs w:val="22"/>
        </w:rPr>
        <w:t>说明：</w:t>
      </w:r>
    </w:p>
    <w:p w14:paraId="783DE32D">
      <w:pPr>
        <w:numPr>
          <w:ilvl w:val="0"/>
          <w:numId w:val="17"/>
        </w:numPr>
        <w:spacing w:line="380" w:lineRule="exact"/>
        <w:rPr>
          <w:rFonts w:ascii="新宋体" w:hAnsi="新宋体" w:eastAsia="新宋体" w:cs="宋体"/>
          <w:sz w:val="22"/>
          <w:szCs w:val="22"/>
        </w:rPr>
      </w:pPr>
      <w:r>
        <w:rPr>
          <w:rFonts w:hint="eastAsia" w:ascii="新宋体" w:hAnsi="新宋体" w:eastAsia="新宋体" w:cs="宋体"/>
          <w:sz w:val="22"/>
          <w:szCs w:val="22"/>
        </w:rPr>
        <w:t>投标分项报价表内总计价应与附件二中“开标一览表”投标总价相一致。</w:t>
      </w:r>
    </w:p>
    <w:p w14:paraId="57FC1E62">
      <w:pPr>
        <w:numPr>
          <w:ilvl w:val="0"/>
          <w:numId w:val="17"/>
        </w:numPr>
        <w:spacing w:line="380" w:lineRule="exact"/>
      </w:pPr>
      <w:r>
        <w:rPr>
          <w:rFonts w:hint="eastAsia" w:ascii="新宋体" w:hAnsi="新宋体" w:eastAsia="新宋体" w:cs="宋体"/>
          <w:sz w:val="22"/>
          <w:szCs w:val="22"/>
        </w:rPr>
        <w:t>不提供此表的报价，视为没有实质性响应采购文件要求。</w:t>
      </w:r>
    </w:p>
    <w:p w14:paraId="76DC19EF">
      <w:pPr>
        <w:numPr>
          <w:ilvl w:val="0"/>
          <w:numId w:val="17"/>
        </w:numPr>
        <w:spacing w:line="380" w:lineRule="exact"/>
      </w:pPr>
      <w:r>
        <w:rPr>
          <w:rFonts w:hint="eastAsia" w:ascii="新宋体" w:hAnsi="新宋体" w:eastAsia="新宋体" w:cs="新宋体"/>
          <w:sz w:val="22"/>
          <w:szCs w:val="22"/>
        </w:rPr>
        <w:t>本表可在不改变格式的情况下根据具体需要自行增减</w:t>
      </w:r>
      <w:r>
        <w:rPr>
          <w:rFonts w:hint="eastAsia" w:ascii="新宋体" w:hAnsi="新宋体" w:eastAsia="新宋体" w:cs="宋体"/>
          <w:sz w:val="22"/>
          <w:szCs w:val="22"/>
        </w:rPr>
        <w:t>。</w:t>
      </w:r>
    </w:p>
    <w:p w14:paraId="4EDCCA67">
      <w:pPr>
        <w:spacing w:line="380" w:lineRule="exact"/>
        <w:ind w:firstLine="4400" w:firstLineChars="2000"/>
        <w:rPr>
          <w:rFonts w:ascii="宋体" w:hAnsi="宋体" w:cs="宋体"/>
          <w:sz w:val="22"/>
        </w:rPr>
      </w:pPr>
    </w:p>
    <w:p w14:paraId="2F858D5C">
      <w:pPr>
        <w:spacing w:line="380" w:lineRule="exact"/>
        <w:ind w:firstLine="4400" w:firstLineChars="2000"/>
        <w:rPr>
          <w:rFonts w:ascii="宋体" w:hAnsi="宋体" w:cs="宋体"/>
          <w:sz w:val="22"/>
        </w:rPr>
      </w:pPr>
      <w:r>
        <w:rPr>
          <w:rFonts w:hint="eastAsia" w:ascii="宋体" w:hAnsi="宋体" w:cs="宋体"/>
          <w:sz w:val="22"/>
        </w:rPr>
        <w:t>供应商全称（盖章）：</w:t>
      </w:r>
    </w:p>
    <w:p w14:paraId="6B558A60">
      <w:pPr>
        <w:spacing w:line="380" w:lineRule="exact"/>
        <w:ind w:firstLine="4400" w:firstLineChars="2000"/>
        <w:rPr>
          <w:rFonts w:ascii="宋体" w:hAnsi="宋体" w:cs="宋体"/>
          <w:sz w:val="22"/>
        </w:rPr>
      </w:pPr>
      <w:r>
        <w:rPr>
          <w:rFonts w:hint="eastAsia" w:ascii="宋体" w:hAnsi="宋体" w:cs="宋体"/>
          <w:sz w:val="22"/>
        </w:rPr>
        <w:t>供应商代表（签名）：</w:t>
      </w:r>
    </w:p>
    <w:p w14:paraId="2D33F689">
      <w:pPr>
        <w:spacing w:line="380" w:lineRule="exact"/>
        <w:ind w:firstLine="4400" w:firstLineChars="2000"/>
        <w:rPr>
          <w:rFonts w:ascii="宋体" w:hAnsi="宋体" w:cs="宋体"/>
          <w:sz w:val="22"/>
        </w:rPr>
      </w:pPr>
      <w:r>
        <w:rPr>
          <w:rFonts w:hint="eastAsia" w:ascii="宋体" w:hAnsi="宋体" w:cs="宋体"/>
          <w:sz w:val="22"/>
        </w:rPr>
        <w:t>日 期：  年  月  日</w:t>
      </w:r>
    </w:p>
    <w:p w14:paraId="57B94982">
      <w:pPr>
        <w:pStyle w:val="4"/>
        <w:rPr>
          <w:rFonts w:ascii="宋体" w:hAnsi="宋体" w:cs="宋体"/>
          <w:sz w:val="22"/>
          <w:szCs w:val="22"/>
        </w:rPr>
      </w:pPr>
      <w:r>
        <w:rPr>
          <w:rFonts w:hint="eastAsia" w:ascii="宋体" w:hAnsi="宋体" w:eastAsia="宋体" w:cs="宋体"/>
          <w:b w:val="0"/>
          <w:bCs w:val="0"/>
          <w:sz w:val="22"/>
          <w:szCs w:val="22"/>
        </w:rPr>
        <w:br w:type="page"/>
      </w:r>
      <w:bookmarkStart w:id="87" w:name="_Toc58832092"/>
      <w:r>
        <w:rPr>
          <w:rFonts w:hint="eastAsia" w:ascii="宋体" w:hAnsi="宋体" w:eastAsia="宋体" w:cs="宋体"/>
          <w:bCs w:val="0"/>
          <w:sz w:val="36"/>
          <w:szCs w:val="36"/>
        </w:rPr>
        <w:t>第五部分   采购内容及要求</w:t>
      </w:r>
      <w:bookmarkEnd w:id="87"/>
    </w:p>
    <w:bookmarkEnd w:id="1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1DA937DF">
      <w:pPr>
        <w:spacing w:line="360" w:lineRule="auto"/>
        <w:rPr>
          <w:rFonts w:eastAsia="新宋体"/>
          <w:b/>
          <w:sz w:val="22"/>
          <w:szCs w:val="22"/>
        </w:rPr>
      </w:pPr>
    </w:p>
    <w:p w14:paraId="23CCB719">
      <w:pPr>
        <w:keepNext/>
        <w:keepLines/>
        <w:spacing w:line="440" w:lineRule="exact"/>
        <w:outlineLvl w:val="0"/>
        <w:rPr>
          <w:rFonts w:ascii="宋体" w:hAnsi="宋体" w:cs="宋体"/>
          <w:b/>
          <w:bCs/>
          <w:sz w:val="22"/>
          <w:szCs w:val="22"/>
        </w:rPr>
      </w:pPr>
      <w:r>
        <w:rPr>
          <w:rFonts w:hint="eastAsia" w:ascii="宋体" w:hAnsi="宋体" w:cs="宋体"/>
          <w:b/>
          <w:bCs/>
          <w:sz w:val="22"/>
          <w:szCs w:val="22"/>
        </w:rPr>
        <w:t>一、项目背景</w:t>
      </w:r>
    </w:p>
    <w:p w14:paraId="6E629CDC">
      <w:pPr>
        <w:pStyle w:val="49"/>
        <w:spacing w:before="0" w:beforeAutospacing="0" w:after="0" w:afterAutospacing="0" w:line="440" w:lineRule="exact"/>
        <w:ind w:firstLine="440" w:firstLineChars="200"/>
        <w:jc w:val="both"/>
        <w:rPr>
          <w:rFonts w:hint="default" w:cs="宋体"/>
          <w:sz w:val="22"/>
          <w:szCs w:val="22"/>
          <w:lang w:val="zh-CN"/>
        </w:rPr>
      </w:pPr>
      <w:r>
        <w:rPr>
          <w:rFonts w:cs="宋体"/>
          <w:sz w:val="22"/>
          <w:szCs w:val="22"/>
          <w:lang w:val="zh-CN"/>
        </w:rPr>
        <w:t>一体化</w:t>
      </w:r>
      <w:bookmarkStart w:id="88" w:name="OLE_LINK2"/>
      <w:r>
        <w:rPr>
          <w:rFonts w:cs="宋体"/>
          <w:sz w:val="22"/>
          <w:szCs w:val="22"/>
          <w:lang w:val="zh-CN"/>
        </w:rPr>
        <w:t>智能化公共数据平台</w:t>
      </w:r>
      <w:bookmarkEnd w:id="88"/>
      <w:r>
        <w:rPr>
          <w:rFonts w:cs="宋体"/>
          <w:sz w:val="22"/>
          <w:szCs w:val="22"/>
          <w:lang w:val="zh-CN"/>
        </w:rPr>
        <w:t>是浙江省政府数字化</w:t>
      </w:r>
      <w:r>
        <w:rPr>
          <w:rFonts w:cs="宋体"/>
          <w:sz w:val="22"/>
          <w:szCs w:val="22"/>
        </w:rPr>
        <w:t>改革</w:t>
      </w:r>
      <w:r>
        <w:rPr>
          <w:rFonts w:cs="宋体"/>
          <w:sz w:val="22"/>
          <w:szCs w:val="22"/>
          <w:lang w:val="zh-CN"/>
        </w:rPr>
        <w:t>的标志性成果，是打破信息孤岛、实现</w:t>
      </w:r>
      <w:r>
        <w:rPr>
          <w:rFonts w:cs="宋体"/>
          <w:sz w:val="22"/>
          <w:szCs w:val="22"/>
        </w:rPr>
        <w:t>数字资源</w:t>
      </w:r>
      <w:r>
        <w:rPr>
          <w:rFonts w:cs="宋体"/>
          <w:sz w:val="22"/>
          <w:szCs w:val="22"/>
          <w:lang w:val="zh-CN"/>
        </w:rPr>
        <w:t>共享的重要抓手，是全方位、系统性推进</w:t>
      </w:r>
      <w:r>
        <w:rPr>
          <w:rFonts w:hint="eastAsia" w:cs="宋体"/>
          <w:sz w:val="22"/>
          <w:szCs w:val="22"/>
          <w:lang w:val="en-US" w:eastAsia="zh-CN"/>
        </w:rPr>
        <w:t>数字政府建设和数字经济发展</w:t>
      </w:r>
      <w:r>
        <w:rPr>
          <w:rFonts w:cs="宋体"/>
          <w:sz w:val="22"/>
          <w:szCs w:val="22"/>
          <w:lang w:val="zh-CN"/>
        </w:rPr>
        <w:t>的强大动力和重要支撑。龙湾区公共数据平台是省市两级平台向龙湾区的拓展和延伸，是提升龙湾区</w:t>
      </w:r>
      <w:r>
        <w:rPr>
          <w:rFonts w:cs="宋体"/>
          <w:sz w:val="22"/>
          <w:szCs w:val="22"/>
        </w:rPr>
        <w:t>数字</w:t>
      </w:r>
      <w:r>
        <w:rPr>
          <w:rFonts w:cs="宋体"/>
          <w:sz w:val="22"/>
          <w:szCs w:val="22"/>
          <w:lang w:val="zh-CN"/>
        </w:rPr>
        <w:t>资源管理能力的基础，是赋能县域治理、推动基层数字化的保障。龙湾区公共数据平台依托</w:t>
      </w:r>
      <w:r>
        <w:rPr>
          <w:rFonts w:cs="宋体"/>
          <w:sz w:val="22"/>
          <w:szCs w:val="22"/>
        </w:rPr>
        <w:t>省、市</w:t>
      </w:r>
      <w:r>
        <w:rPr>
          <w:rFonts w:cs="宋体"/>
          <w:sz w:val="22"/>
          <w:szCs w:val="22"/>
          <w:lang w:val="zh-CN"/>
        </w:rPr>
        <w:t>统一的一</w:t>
      </w:r>
      <w:r>
        <w:rPr>
          <w:rFonts w:cs="宋体"/>
          <w:sz w:val="22"/>
          <w:szCs w:val="22"/>
        </w:rPr>
        <w:t>体</w:t>
      </w:r>
      <w:r>
        <w:rPr>
          <w:rFonts w:cs="宋体"/>
          <w:sz w:val="22"/>
          <w:szCs w:val="22"/>
          <w:lang w:val="zh-CN"/>
        </w:rPr>
        <w:t>化智能化公共数据平台建成，紧扣数字</w:t>
      </w:r>
      <w:r>
        <w:rPr>
          <w:rFonts w:hint="eastAsia" w:cs="宋体"/>
          <w:sz w:val="22"/>
          <w:szCs w:val="22"/>
          <w:lang w:val="en-US" w:eastAsia="zh-CN"/>
        </w:rPr>
        <w:t>政府和数字经济</w:t>
      </w:r>
      <w:r>
        <w:rPr>
          <w:rFonts w:cs="宋体"/>
          <w:sz w:val="22"/>
          <w:szCs w:val="22"/>
          <w:lang w:val="zh-CN"/>
        </w:rPr>
        <w:t>关于</w:t>
      </w:r>
      <w:r>
        <w:rPr>
          <w:rFonts w:cs="宋体"/>
          <w:sz w:val="22"/>
          <w:szCs w:val="22"/>
        </w:rPr>
        <w:t>数字资源</w:t>
      </w:r>
      <w:r>
        <w:rPr>
          <w:rFonts w:cs="宋体"/>
          <w:sz w:val="22"/>
          <w:szCs w:val="22"/>
          <w:lang w:val="zh-CN"/>
        </w:rPr>
        <w:t>共享利用的要求，构建龙湾区数据资源体系，建设龙湾区公共数据平台数据仓，开展</w:t>
      </w:r>
      <w:r>
        <w:rPr>
          <w:rFonts w:cs="宋体"/>
          <w:sz w:val="22"/>
          <w:szCs w:val="22"/>
        </w:rPr>
        <w:t>应用编目、应用管理、资源管理、能力发布、数据</w:t>
      </w:r>
      <w:r>
        <w:rPr>
          <w:rFonts w:cs="宋体"/>
          <w:sz w:val="22"/>
          <w:szCs w:val="22"/>
          <w:lang w:val="zh-CN"/>
        </w:rPr>
        <w:t>目录编制、数据归集、数据共享、数据治理、</w:t>
      </w:r>
      <w:r>
        <w:rPr>
          <w:rFonts w:cs="宋体"/>
          <w:sz w:val="22"/>
          <w:szCs w:val="22"/>
        </w:rPr>
        <w:t>数据开放和数据分析</w:t>
      </w:r>
      <w:r>
        <w:rPr>
          <w:rFonts w:cs="宋体"/>
          <w:sz w:val="22"/>
          <w:szCs w:val="22"/>
          <w:lang w:val="zh-CN"/>
        </w:rPr>
        <w:t>等工作。</w:t>
      </w:r>
    </w:p>
    <w:p w14:paraId="28269D10">
      <w:pPr>
        <w:keepNext/>
        <w:keepLines/>
        <w:spacing w:line="440" w:lineRule="exact"/>
        <w:outlineLvl w:val="0"/>
        <w:rPr>
          <w:rFonts w:ascii="宋体" w:hAnsi="宋体" w:cs="宋体"/>
          <w:b/>
          <w:sz w:val="22"/>
          <w:szCs w:val="22"/>
        </w:rPr>
      </w:pPr>
    </w:p>
    <w:p w14:paraId="01C4A3A9">
      <w:pPr>
        <w:keepNext/>
        <w:keepLines/>
        <w:spacing w:line="440" w:lineRule="exact"/>
        <w:outlineLvl w:val="0"/>
        <w:rPr>
          <w:rFonts w:ascii="宋体" w:hAnsi="宋体" w:cs="宋体"/>
          <w:b/>
          <w:bCs/>
          <w:sz w:val="22"/>
          <w:szCs w:val="22"/>
        </w:rPr>
      </w:pPr>
      <w:r>
        <w:rPr>
          <w:rFonts w:hint="eastAsia" w:ascii="宋体" w:hAnsi="宋体" w:cs="宋体"/>
          <w:b/>
          <w:sz w:val="22"/>
          <w:szCs w:val="22"/>
        </w:rPr>
        <w:t>二、运营</w:t>
      </w:r>
      <w:r>
        <w:rPr>
          <w:rFonts w:hint="eastAsia" w:ascii="宋体" w:hAnsi="宋体" w:cs="宋体"/>
          <w:b/>
          <w:bCs/>
          <w:sz w:val="22"/>
          <w:szCs w:val="22"/>
        </w:rPr>
        <w:t>内容</w:t>
      </w:r>
    </w:p>
    <w:p w14:paraId="0204B5D6">
      <w:pPr>
        <w:keepNext/>
        <w:keepLines/>
        <w:spacing w:line="440" w:lineRule="exact"/>
        <w:ind w:firstLine="442" w:firstLineChars="200"/>
        <w:outlineLvl w:val="0"/>
        <w:rPr>
          <w:rFonts w:ascii="宋体" w:hAnsi="宋体" w:cs="宋体"/>
          <w:sz w:val="22"/>
          <w:szCs w:val="22"/>
        </w:rPr>
      </w:pPr>
      <w:r>
        <w:rPr>
          <w:rFonts w:hint="eastAsia" w:ascii="宋体" w:hAnsi="宋体"/>
          <w:b/>
          <w:bCs/>
          <w:sz w:val="22"/>
          <w:szCs w:val="22"/>
          <w:u w:val="single"/>
        </w:rPr>
        <w:t>▲由于公共数据性质特殊，为保障数据安全和服务质量，中标商需提供现场服务，根据服务内容评估，现场服务团队不得少于4人。特殊时期（如重保期间，重大活动等采购方要求的时间）根据实际需求无条件增派现场服务人员。服务团队成员负责IRS统筹与应用管理、数据编目管理、数据归集共享开放、数据资源体系规划、数据治理、数据分析、数据安全建设管理、基础设施管理、数据资产入表、数据要素×创新等工作。具体分工，可由采购方根据工作实际进行调整。</w:t>
      </w:r>
    </w:p>
    <w:p w14:paraId="1C411C9A">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应用服务</w:t>
      </w:r>
    </w:p>
    <w:p w14:paraId="36BA3803">
      <w:pPr>
        <w:keepNext/>
        <w:keepLines/>
        <w:spacing w:line="440" w:lineRule="exact"/>
        <w:ind w:left="525"/>
        <w:outlineLvl w:val="0"/>
        <w:rPr>
          <w:rFonts w:ascii="宋体" w:hAnsi="宋体" w:cs="宋体"/>
          <w:b/>
          <w:bCs/>
          <w:sz w:val="22"/>
          <w:szCs w:val="22"/>
        </w:rPr>
      </w:pPr>
      <w:r>
        <w:rPr>
          <w:rFonts w:hint="eastAsia" w:ascii="宋体" w:hAnsi="宋体" w:cs="宋体"/>
          <w:b/>
          <w:bCs/>
          <w:sz w:val="22"/>
          <w:szCs w:val="22"/>
        </w:rPr>
        <w:t>1.应用管理</w:t>
      </w:r>
    </w:p>
    <w:p w14:paraId="3053EF4C">
      <w:pPr>
        <w:pStyle w:val="49"/>
        <w:spacing w:before="0" w:beforeAutospacing="0" w:after="0" w:afterAutospacing="0" w:line="440" w:lineRule="exact"/>
        <w:ind w:firstLine="440" w:firstLineChars="200"/>
        <w:jc w:val="both"/>
        <w:rPr>
          <w:rFonts w:hint="default" w:cs="宋体"/>
          <w:color w:val="auto"/>
          <w:sz w:val="22"/>
          <w:szCs w:val="22"/>
        </w:rPr>
      </w:pPr>
      <w:r>
        <w:rPr>
          <w:rFonts w:cs="宋体"/>
          <w:color w:val="auto"/>
          <w:sz w:val="22"/>
          <w:szCs w:val="22"/>
        </w:rPr>
        <w:t>对龙湾区各部门、街道自建系统、上级统建的信息系统的现状、数字资产状态等进行全面、彻底的调查分析，做到信息系统普查全面、准确、无遗漏，明确信息系统第一责任部门，依托省级统建的IRS系统和市级统建的PLMS系统，持续更新完善系统信息，实行对龙湾区IRS 应用的数据申请、云资源申请、两端发布情况进行统计与动态管理。同步推进IRS平台的应用目录子系统、数据目录、组件申请利用、云资源</w:t>
      </w:r>
      <w:r>
        <w:rPr>
          <w:rFonts w:hint="eastAsia" w:cs="宋体"/>
          <w:color w:val="auto"/>
          <w:sz w:val="22"/>
          <w:szCs w:val="22"/>
          <w:lang w:eastAsia="zh-CN"/>
        </w:rPr>
        <w:t>等</w:t>
      </w:r>
      <w:r>
        <w:rPr>
          <w:rFonts w:cs="宋体"/>
          <w:color w:val="auto"/>
          <w:sz w:val="22"/>
          <w:szCs w:val="22"/>
        </w:rPr>
        <w:t>保测评和两端发布、IRS试运行报告等其他省市要求的相关IRS工作。</w:t>
      </w:r>
    </w:p>
    <w:p w14:paraId="2F4D93AE">
      <w:pPr>
        <w:keepNext/>
        <w:keepLines/>
        <w:spacing w:line="440" w:lineRule="exact"/>
        <w:ind w:left="525"/>
        <w:outlineLvl w:val="0"/>
        <w:rPr>
          <w:rFonts w:ascii="宋体" w:hAnsi="宋体" w:cs="宋体"/>
          <w:b/>
          <w:bCs/>
          <w:sz w:val="22"/>
          <w:szCs w:val="22"/>
        </w:rPr>
      </w:pPr>
      <w:r>
        <w:rPr>
          <w:rFonts w:hint="eastAsia" w:ascii="宋体" w:hAnsi="宋体" w:cs="宋体"/>
          <w:b/>
          <w:bCs/>
          <w:sz w:val="22"/>
          <w:szCs w:val="22"/>
        </w:rPr>
        <w:t>2.应用建设</w:t>
      </w:r>
    </w:p>
    <w:p w14:paraId="3ADC83D9">
      <w:pPr>
        <w:pStyle w:val="49"/>
        <w:spacing w:before="0" w:beforeAutospacing="0" w:after="0" w:afterAutospacing="0" w:line="440" w:lineRule="exact"/>
        <w:ind w:firstLine="440" w:firstLineChars="200"/>
        <w:jc w:val="both"/>
        <w:rPr>
          <w:rFonts w:hint="default" w:cs="宋体"/>
          <w:color w:val="auto"/>
          <w:sz w:val="22"/>
          <w:szCs w:val="22"/>
        </w:rPr>
      </w:pPr>
      <w:r>
        <w:rPr>
          <w:rFonts w:cs="宋体"/>
          <w:color w:val="auto"/>
          <w:sz w:val="22"/>
          <w:szCs w:val="22"/>
        </w:rPr>
        <w:t>充分熟悉省市平台部署应用工厂等应用建设工具，形成应用说明文档，对各部门信息化项目建设进行指导。充分熟悉省市公共数据主管部门提供的各类统一插件并能指导区级信息化项目承建单位在开发过程中植入。</w:t>
      </w:r>
      <w:r>
        <w:rPr>
          <w:rFonts w:cs="宋体"/>
          <w:color w:val="auto"/>
          <w:sz w:val="22"/>
          <w:szCs w:val="22"/>
        </w:rPr>
        <w:br w:type="textWrapping"/>
      </w:r>
      <w:r>
        <w:rPr>
          <w:rFonts w:cs="宋体"/>
          <w:color w:val="auto"/>
          <w:sz w:val="22"/>
          <w:szCs w:val="22"/>
        </w:rPr>
        <w:t xml:space="preserve">    2.1通过数据分析工具分析应用关联的项目信息情况，统计 IRS 应用项目信息与 IRS 应用匹配情况，生成IRS 应用未完成项目信息更新的清单，实现PLMS（温州市项目全生命周期管理系统）与IRS 应用项目信息推送关联、项目状态更新。</w:t>
      </w:r>
      <w:r>
        <w:rPr>
          <w:rFonts w:cs="宋体"/>
          <w:color w:val="auto"/>
          <w:sz w:val="22"/>
          <w:szCs w:val="22"/>
        </w:rPr>
        <w:br w:type="textWrapping"/>
      </w:r>
      <w:r>
        <w:rPr>
          <w:rFonts w:cs="宋体"/>
          <w:color w:val="auto"/>
          <w:sz w:val="22"/>
          <w:szCs w:val="22"/>
        </w:rPr>
        <w:t xml:space="preserve">    2.2通过数据分析工具分析应用关联的云资源情况，统计 IRS 应用云资源申请情况，生成IRS应用政务云申请情况、IRS政务云告警的清单，协助部门完成IRS政务云申请、升降配、释放，以及及时处理IRS政务云告警。</w:t>
      </w:r>
      <w:r>
        <w:rPr>
          <w:rFonts w:cs="宋体"/>
          <w:color w:val="auto"/>
          <w:sz w:val="22"/>
          <w:szCs w:val="22"/>
        </w:rPr>
        <w:br w:type="textWrapping"/>
      </w:r>
      <w:r>
        <w:rPr>
          <w:rFonts w:hint="eastAsia" w:cs="宋体"/>
          <w:color w:val="auto"/>
          <w:sz w:val="22"/>
          <w:szCs w:val="22"/>
          <w:lang w:val="en-US" w:eastAsia="zh-CN"/>
        </w:rPr>
        <w:t xml:space="preserve">    </w:t>
      </w:r>
      <w:r>
        <w:rPr>
          <w:rFonts w:cs="宋体"/>
          <w:color w:val="auto"/>
          <w:sz w:val="22"/>
          <w:szCs w:val="22"/>
        </w:rPr>
        <w:t>2.3通过数据分析工具分析应用关联的组件申请情况，统计IRS应用组件申请调用情况，定期生成提供IRS应用未完成组件申请、IRS组件告警的清单，协助部门完成处理IRS组件申请使用与组件告警处理，完成省市关于统一强制组件申请利用相关要求。</w:t>
      </w:r>
      <w:r>
        <w:rPr>
          <w:rFonts w:cs="宋体"/>
          <w:color w:val="auto"/>
          <w:sz w:val="22"/>
          <w:szCs w:val="22"/>
        </w:rPr>
        <w:br w:type="textWrapping"/>
      </w:r>
      <w:r>
        <w:rPr>
          <w:rFonts w:cs="宋体"/>
          <w:color w:val="auto"/>
          <w:sz w:val="22"/>
          <w:szCs w:val="22"/>
        </w:rPr>
        <w:t xml:space="preserve">    2.4通过数据分析工具分析应用关联的数据资源情况，统计IRS应用数据编目情况，定期生成提供 IRS应用未完成数据编目、IRS数据接口告警的清单，协助部门处理IRS数据编目和数据接口告警处理。</w:t>
      </w:r>
      <w:r>
        <w:rPr>
          <w:rFonts w:cs="宋体"/>
          <w:color w:val="auto"/>
          <w:sz w:val="22"/>
          <w:szCs w:val="22"/>
        </w:rPr>
        <w:br w:type="textWrapping"/>
      </w:r>
      <w:r>
        <w:rPr>
          <w:rFonts w:cs="宋体"/>
          <w:color w:val="auto"/>
          <w:sz w:val="22"/>
          <w:szCs w:val="22"/>
        </w:rPr>
        <w:t xml:space="preserve">    2.5IRS试运行报告子系统推进，按照省市IRS要求，将《IRS应用试运行验收报告》作为项目验收的必要条件，协助部门完成试运行报告生成、试运行报告五大指标体系内容整改，及时推动未达标应用整改，解答、支持部门在出具IRS试运行报告流程的相关问题。</w:t>
      </w:r>
    </w:p>
    <w:p w14:paraId="688D6786">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数据服务</w:t>
      </w:r>
    </w:p>
    <w:p w14:paraId="076B2C33">
      <w:pPr>
        <w:pStyle w:val="49"/>
        <w:widowControl w:val="0"/>
        <w:spacing w:before="0" w:beforeAutospacing="0" w:after="0" w:afterAutospacing="0" w:line="440" w:lineRule="exact"/>
        <w:ind w:firstLine="442" w:firstLineChars="200"/>
        <w:jc w:val="both"/>
        <w:rPr>
          <w:rFonts w:hint="default" w:cs="宋体"/>
          <w:b/>
          <w:color w:val="auto"/>
          <w:sz w:val="22"/>
          <w:szCs w:val="22"/>
        </w:rPr>
      </w:pPr>
      <w:bookmarkStart w:id="89" w:name="_Toc509492657"/>
      <w:r>
        <w:rPr>
          <w:rFonts w:cs="宋体"/>
          <w:b/>
          <w:color w:val="auto"/>
          <w:sz w:val="22"/>
          <w:szCs w:val="22"/>
        </w:rPr>
        <w:t>1.</w:t>
      </w:r>
      <w:bookmarkEnd w:id="89"/>
      <w:r>
        <w:rPr>
          <w:rFonts w:cs="宋体"/>
          <w:b/>
          <w:color w:val="auto"/>
          <w:sz w:val="22"/>
          <w:szCs w:val="22"/>
        </w:rPr>
        <w:t>数据编目和管理</w:t>
      </w:r>
    </w:p>
    <w:p w14:paraId="5013F0EF">
      <w:pPr>
        <w:pStyle w:val="49"/>
        <w:spacing w:before="0" w:beforeAutospacing="0" w:after="0" w:afterAutospacing="0" w:line="440" w:lineRule="exact"/>
        <w:ind w:firstLine="440" w:firstLineChars="200"/>
        <w:jc w:val="both"/>
        <w:rPr>
          <w:rFonts w:hint="default" w:cs="宋体"/>
          <w:color w:val="auto"/>
          <w:sz w:val="22"/>
          <w:szCs w:val="22"/>
          <w:lang w:val="zh-CN"/>
        </w:rPr>
      </w:pPr>
      <w:bookmarkStart w:id="90" w:name="_Toc509492658"/>
      <w:r>
        <w:rPr>
          <w:rFonts w:cs="宋体"/>
          <w:color w:val="auto"/>
          <w:sz w:val="22"/>
          <w:szCs w:val="22"/>
          <w:lang w:val="zh-CN"/>
        </w:rPr>
        <w:t>形成信息</w:t>
      </w:r>
      <w:r>
        <w:rPr>
          <w:rFonts w:cs="宋体"/>
          <w:color w:val="auto"/>
          <w:sz w:val="22"/>
          <w:szCs w:val="22"/>
        </w:rPr>
        <w:t>系统目录、</w:t>
      </w:r>
      <w:r>
        <w:rPr>
          <w:rFonts w:cs="宋体"/>
          <w:color w:val="auto"/>
          <w:sz w:val="22"/>
          <w:szCs w:val="22"/>
          <w:lang w:val="zh-CN"/>
        </w:rPr>
        <w:t>数据资源目录，</w:t>
      </w:r>
      <w:r>
        <w:rPr>
          <w:rFonts w:cs="宋体"/>
          <w:color w:val="auto"/>
          <w:sz w:val="22"/>
          <w:szCs w:val="22"/>
        </w:rPr>
        <w:t>按照“一数一源”原则，确定数源单位。按照《公共数据资源目录编制指南》</w:t>
      </w:r>
      <w:r>
        <w:rPr>
          <w:rFonts w:cs="宋体"/>
          <w:color w:val="auto"/>
          <w:sz w:val="22"/>
          <w:szCs w:val="22"/>
          <w:lang w:val="zh-CN"/>
        </w:rPr>
        <w:t>，在</w:t>
      </w:r>
      <w:r>
        <w:rPr>
          <w:rFonts w:cs="宋体"/>
          <w:color w:val="auto"/>
          <w:sz w:val="22"/>
          <w:szCs w:val="22"/>
        </w:rPr>
        <w:t>省</w:t>
      </w:r>
      <w:r>
        <w:rPr>
          <w:rFonts w:cs="宋体"/>
          <w:color w:val="auto"/>
          <w:sz w:val="22"/>
          <w:szCs w:val="22"/>
          <w:lang w:val="zh-CN"/>
        </w:rPr>
        <w:t>市级</w:t>
      </w:r>
      <w:r>
        <w:rPr>
          <w:rFonts w:cs="宋体"/>
          <w:color w:val="auto"/>
          <w:sz w:val="22"/>
          <w:szCs w:val="22"/>
        </w:rPr>
        <w:t>一体化智能化公共数据</w:t>
      </w:r>
      <w:r>
        <w:rPr>
          <w:rFonts w:cs="宋体"/>
          <w:color w:val="auto"/>
          <w:sz w:val="22"/>
          <w:szCs w:val="22"/>
          <w:lang w:val="zh-CN"/>
        </w:rPr>
        <w:t>平台目录系统上进行公共数据的目录新增、删除、修改、查询等操作，针对已编目的公共数据及数据项进行动态管理。</w:t>
      </w:r>
      <w:bookmarkEnd w:id="90"/>
      <w:r>
        <w:rPr>
          <w:rFonts w:cs="宋体"/>
          <w:color w:val="auto"/>
          <w:sz w:val="22"/>
          <w:szCs w:val="22"/>
        </w:rPr>
        <w:t>指导部门进行信息系统和数据目录的动态更新与维护，提供7*</w:t>
      </w:r>
      <w:r>
        <w:rPr>
          <w:rFonts w:hint="default" w:cs="宋体"/>
          <w:color w:val="auto"/>
          <w:sz w:val="22"/>
          <w:szCs w:val="22"/>
        </w:rPr>
        <w:t>24</w:t>
      </w:r>
      <w:r>
        <w:rPr>
          <w:rFonts w:cs="宋体"/>
          <w:color w:val="auto"/>
          <w:sz w:val="22"/>
          <w:szCs w:val="22"/>
        </w:rPr>
        <w:t>小时服务响应，保障全天候咨询到人，解决部门在信息系统普查、公共数据目录编制、提出数据需求、响应需求、部门沟通以及对于整个公共数据目录涉及相关环节存在的问题，确保数据目录工作的顺利进行。对目录进行审核管理</w:t>
      </w:r>
      <w:r>
        <w:rPr>
          <w:rFonts w:cs="宋体"/>
          <w:color w:val="auto"/>
          <w:sz w:val="22"/>
          <w:szCs w:val="22"/>
          <w:lang w:val="zh-CN"/>
        </w:rPr>
        <w:t>。</w:t>
      </w:r>
      <w:r>
        <w:rPr>
          <w:rFonts w:cs="宋体"/>
          <w:color w:val="auto"/>
          <w:sz w:val="22"/>
          <w:szCs w:val="22"/>
        </w:rPr>
        <w:t>对数据</w:t>
      </w:r>
      <w:r>
        <w:rPr>
          <w:rFonts w:cs="宋体"/>
          <w:color w:val="auto"/>
          <w:sz w:val="22"/>
          <w:szCs w:val="22"/>
          <w:lang w:val="zh-CN"/>
        </w:rPr>
        <w:t>分级分类打标。</w:t>
      </w:r>
    </w:p>
    <w:p w14:paraId="451A7DD5">
      <w:pPr>
        <w:pStyle w:val="98"/>
        <w:autoSpaceDE w:val="0"/>
        <w:autoSpaceDN w:val="0"/>
        <w:adjustRightInd w:val="0"/>
        <w:spacing w:line="440" w:lineRule="exact"/>
        <w:ind w:firstLine="449"/>
        <w:outlineLvl w:val="2"/>
        <w:rPr>
          <w:rFonts w:ascii="宋体" w:hAnsi="宋体" w:cs="宋体"/>
          <w:b/>
          <w:bCs/>
          <w:sz w:val="22"/>
          <w:szCs w:val="22"/>
        </w:rPr>
      </w:pPr>
      <w:r>
        <w:rPr>
          <w:rFonts w:hint="eastAsia" w:ascii="宋体" w:hAnsi="宋体" w:cs="宋体"/>
          <w:b/>
          <w:bCs/>
          <w:sz w:val="22"/>
          <w:szCs w:val="22"/>
        </w:rPr>
        <w:t>2.数据归集</w:t>
      </w:r>
    </w:p>
    <w:p w14:paraId="5ED6BF31">
      <w:pPr>
        <w:widowControl/>
        <w:spacing w:line="440" w:lineRule="exact"/>
        <w:ind w:firstLine="440" w:firstLineChars="200"/>
        <w:rPr>
          <w:rFonts w:ascii="宋体" w:hAnsi="宋体"/>
          <w:sz w:val="22"/>
          <w:szCs w:val="22"/>
        </w:rPr>
      </w:pPr>
      <w:r>
        <w:rPr>
          <w:rFonts w:hint="eastAsia" w:ascii="宋体" w:hAnsi="宋体"/>
          <w:sz w:val="22"/>
          <w:szCs w:val="22"/>
        </w:rPr>
        <w:t>保障数据归集子系统7*24小时正常运行。负责数据归集系统的日常运维工作，承接省、市两级批量数据回流工作，提供按需归集数据服务，提供数据归集系统运维管理、培训和咨询服务，配合省、市里考核指标的准备及市区县的特殊取数要求。</w:t>
      </w:r>
    </w:p>
    <w:p w14:paraId="5ADBFB03">
      <w:pPr>
        <w:pStyle w:val="98"/>
        <w:autoSpaceDE w:val="0"/>
        <w:autoSpaceDN w:val="0"/>
        <w:adjustRightInd w:val="0"/>
        <w:spacing w:line="440" w:lineRule="exact"/>
        <w:ind w:firstLine="449"/>
        <w:outlineLvl w:val="2"/>
        <w:rPr>
          <w:rFonts w:ascii="宋体" w:hAnsi="宋体" w:cs="宋体"/>
          <w:b/>
          <w:bCs/>
          <w:sz w:val="22"/>
          <w:szCs w:val="22"/>
        </w:rPr>
      </w:pPr>
      <w:r>
        <w:rPr>
          <w:rFonts w:hint="eastAsia" w:ascii="宋体" w:hAnsi="宋体" w:cs="宋体"/>
          <w:b/>
          <w:bCs/>
          <w:sz w:val="22"/>
          <w:szCs w:val="22"/>
        </w:rPr>
        <w:t>3.数据治理</w:t>
      </w:r>
    </w:p>
    <w:p w14:paraId="61E6A5D4">
      <w:pPr>
        <w:widowControl/>
        <w:spacing w:line="440" w:lineRule="exact"/>
        <w:ind w:firstLine="440" w:firstLineChars="200"/>
        <w:rPr>
          <w:rFonts w:ascii="宋体" w:hAnsi="宋体" w:cs="宋体"/>
          <w:sz w:val="22"/>
          <w:szCs w:val="22"/>
        </w:rPr>
      </w:pPr>
      <w:r>
        <w:rPr>
          <w:rFonts w:hint="eastAsia" w:ascii="宋体" w:hAnsi="宋体" w:cs="宋体"/>
          <w:sz w:val="22"/>
          <w:szCs w:val="22"/>
        </w:rPr>
        <w:t>根据省市数据治理专项行动和相关要求，围绕数据准确性、完整性、及时性的目标，对本地数据进行治理。收集部门用数需求，针对核心数据开展专项质量提升，定期通报数据治理情况。开展常态化质量监测，响应数据治理系统工单，跟踪工单反馈和整改情况，提升数据质量。对工单进行分析，提炼系统性问题并形成数据治理管理机制。</w:t>
      </w:r>
    </w:p>
    <w:p w14:paraId="5BB3333F">
      <w:pPr>
        <w:pStyle w:val="98"/>
        <w:autoSpaceDE w:val="0"/>
        <w:autoSpaceDN w:val="0"/>
        <w:adjustRightInd w:val="0"/>
        <w:spacing w:line="440" w:lineRule="exact"/>
        <w:ind w:firstLine="449"/>
        <w:outlineLvl w:val="2"/>
        <w:rPr>
          <w:rFonts w:ascii="宋体" w:hAnsi="宋体" w:cs="宋体"/>
          <w:b/>
          <w:bCs/>
          <w:sz w:val="22"/>
          <w:szCs w:val="22"/>
        </w:rPr>
      </w:pPr>
      <w:bookmarkStart w:id="91" w:name="_Toc69369681"/>
      <w:bookmarkStart w:id="92" w:name="_Toc69367724"/>
      <w:r>
        <w:rPr>
          <w:rFonts w:hint="eastAsia" w:ascii="宋体" w:hAnsi="宋体" w:cs="宋体"/>
          <w:b/>
          <w:bCs/>
          <w:sz w:val="22"/>
          <w:szCs w:val="22"/>
        </w:rPr>
        <w:t>4.数据分析</w:t>
      </w:r>
      <w:bookmarkEnd w:id="91"/>
      <w:bookmarkEnd w:id="92"/>
      <w:r>
        <w:rPr>
          <w:rFonts w:hint="eastAsia" w:ascii="宋体" w:hAnsi="宋体" w:cs="宋体"/>
          <w:b/>
          <w:bCs/>
          <w:sz w:val="22"/>
          <w:szCs w:val="22"/>
        </w:rPr>
        <w:t>服务</w:t>
      </w:r>
    </w:p>
    <w:p w14:paraId="19DE0E90">
      <w:pPr>
        <w:pStyle w:val="5"/>
        <w:spacing w:line="440" w:lineRule="exact"/>
        <w:ind w:firstLine="440" w:firstLineChars="200"/>
        <w:rPr>
          <w:rFonts w:ascii="宋体" w:hAnsi="宋体" w:cs="宋体"/>
          <w:sz w:val="22"/>
          <w:szCs w:val="22"/>
        </w:rPr>
      </w:pPr>
      <w:r>
        <w:rPr>
          <w:rFonts w:hint="eastAsia" w:ascii="宋体" w:hAnsi="宋体"/>
          <w:sz w:val="22"/>
          <w:szCs w:val="22"/>
        </w:rPr>
        <w:t>提供数据分析、比对、统计、校验、补充字段等技术支撑服务。按需为龙湾区业务部门提供数据分析、比对、统计、校验、补充字段等技术支撑服务；对已归集数据开展关联分析和数据挖掘，定期形成数据分析报告。</w:t>
      </w:r>
    </w:p>
    <w:p w14:paraId="30DEB43D">
      <w:pPr>
        <w:pStyle w:val="5"/>
        <w:spacing w:line="440" w:lineRule="exact"/>
        <w:ind w:firstLine="440" w:firstLineChars="200"/>
        <w:rPr>
          <w:rFonts w:ascii="宋体" w:hAnsi="宋体" w:cs="宋体"/>
          <w:sz w:val="22"/>
          <w:szCs w:val="22"/>
        </w:rPr>
      </w:pPr>
      <w:r>
        <w:rPr>
          <w:rFonts w:hint="eastAsia" w:ascii="宋体" w:hAnsi="宋体" w:cs="宋体"/>
          <w:sz w:val="22"/>
          <w:szCs w:val="22"/>
        </w:rPr>
        <w:t>提供一整套数据分析服务（省市已具备能力可复用省市系统），支持浙政钉用户体系和浙里办用户体系，具备传统业务报表、电子表格、仪表板、数据填报、数据查询、数据比对、数据API接口输入与输出、批量数据下载与输出等功能，实现更加精准高效的数据分析服务，支撑龙湾区数据探索、专题分析和持续运营需求。通过数据分析服务，实现自助式数据分析能力下沉，推动普适性的企业级生产工具在部门应用，助力部门优化决策、降低成本、提高效率、赋能公共管理与服务。为项目专职服务人员做好该工具使用培训。</w:t>
      </w:r>
    </w:p>
    <w:p w14:paraId="6F7534D2">
      <w:pPr>
        <w:pStyle w:val="98"/>
        <w:autoSpaceDE w:val="0"/>
        <w:autoSpaceDN w:val="0"/>
        <w:adjustRightInd w:val="0"/>
        <w:spacing w:line="440" w:lineRule="exact"/>
        <w:ind w:firstLine="449"/>
        <w:outlineLvl w:val="2"/>
        <w:rPr>
          <w:rFonts w:ascii="宋体" w:hAnsi="宋体" w:cs="宋体"/>
          <w:b/>
          <w:bCs/>
          <w:sz w:val="22"/>
          <w:szCs w:val="22"/>
        </w:rPr>
      </w:pPr>
      <w:bookmarkStart w:id="93" w:name="_Toc69367725"/>
      <w:bookmarkStart w:id="94" w:name="_Toc69369682"/>
      <w:r>
        <w:rPr>
          <w:rFonts w:hint="eastAsia" w:ascii="宋体" w:hAnsi="宋体" w:cs="宋体"/>
          <w:b/>
          <w:bCs/>
          <w:sz w:val="22"/>
          <w:szCs w:val="22"/>
        </w:rPr>
        <w:t>5.数据共享</w:t>
      </w:r>
      <w:bookmarkEnd w:id="93"/>
      <w:bookmarkEnd w:id="94"/>
    </w:p>
    <w:p w14:paraId="4A819B19">
      <w:pPr>
        <w:spacing w:line="440" w:lineRule="exact"/>
        <w:ind w:firstLine="420"/>
        <w:rPr>
          <w:rFonts w:ascii="宋体" w:hAnsi="宋体" w:cs="宋体"/>
          <w:sz w:val="22"/>
          <w:szCs w:val="22"/>
        </w:rPr>
      </w:pPr>
      <w:r>
        <w:rPr>
          <w:rFonts w:hint="eastAsia" w:ascii="宋体" w:hAnsi="宋体" w:cs="宋体"/>
          <w:sz w:val="22"/>
          <w:szCs w:val="22"/>
        </w:rPr>
        <w:t>通过省市统建的数据共享系统（包括一体化智能化公共数据平台和odps系统），接入龙湾区级数据和服务接口，实现省市县数据共享整体统一。建立健全数据共享管理与数据安全制度流程规范。支撑龙湾区各级部门应用场景，并基于已有的场景应用进行数据归集与共享开放。</w:t>
      </w:r>
    </w:p>
    <w:p w14:paraId="7CCBA5E1">
      <w:pPr>
        <w:pStyle w:val="98"/>
        <w:autoSpaceDE w:val="0"/>
        <w:autoSpaceDN w:val="0"/>
        <w:adjustRightInd w:val="0"/>
        <w:spacing w:line="440" w:lineRule="exact"/>
        <w:ind w:firstLine="449"/>
        <w:outlineLvl w:val="2"/>
        <w:rPr>
          <w:rFonts w:ascii="宋体" w:hAnsi="宋体" w:cs="宋体"/>
          <w:sz w:val="22"/>
          <w:szCs w:val="22"/>
        </w:rPr>
      </w:pPr>
      <w:r>
        <w:rPr>
          <w:rFonts w:hint="eastAsia" w:ascii="宋体" w:hAnsi="宋体" w:cs="宋体"/>
          <w:b/>
          <w:bCs/>
          <w:sz w:val="22"/>
          <w:szCs w:val="22"/>
        </w:rPr>
        <w:t>6.数据开放</w:t>
      </w:r>
    </w:p>
    <w:p w14:paraId="3C870CCC">
      <w:pPr>
        <w:pStyle w:val="98"/>
        <w:autoSpaceDE w:val="0"/>
        <w:autoSpaceDN w:val="0"/>
        <w:adjustRightInd w:val="0"/>
        <w:spacing w:line="440" w:lineRule="exact"/>
        <w:ind w:firstLine="0" w:firstLineChars="0"/>
        <w:outlineLvl w:val="2"/>
        <w:rPr>
          <w:rFonts w:ascii="宋体" w:hAnsi="宋体" w:cs="宋体"/>
          <w:sz w:val="22"/>
          <w:szCs w:val="22"/>
        </w:rPr>
      </w:pPr>
      <w:r>
        <w:rPr>
          <w:rFonts w:hint="eastAsia" w:ascii="宋体" w:hAnsi="宋体" w:cs="宋体"/>
          <w:sz w:val="22"/>
          <w:szCs w:val="22"/>
        </w:rPr>
        <w:t xml:space="preserve">    配合温州市数据开放平台管理，提供数据审核、数据管理等服务；指导用户获取、使用数据，解决数据使用期间遇到的问题。积极配合数林指数考核、上级部门工作要求，协调处理重点开放数据清单内容，沟通部门开放数据；挖掘可对社会开放的公共数据，进一步推进公共数据高质量开放。</w:t>
      </w:r>
    </w:p>
    <w:p w14:paraId="61C01DB9">
      <w:pPr>
        <w:pStyle w:val="98"/>
        <w:autoSpaceDE w:val="0"/>
        <w:autoSpaceDN w:val="0"/>
        <w:adjustRightInd w:val="0"/>
        <w:spacing w:line="440" w:lineRule="exact"/>
        <w:ind w:firstLine="449"/>
        <w:outlineLvl w:val="2"/>
        <w:rPr>
          <w:rFonts w:ascii="宋体" w:hAnsi="宋体" w:cs="宋体"/>
          <w:sz w:val="22"/>
          <w:szCs w:val="22"/>
        </w:rPr>
      </w:pPr>
      <w:r>
        <w:rPr>
          <w:rFonts w:hint="eastAsia" w:ascii="宋体" w:hAnsi="宋体" w:cs="宋体"/>
          <w:b/>
          <w:bCs/>
          <w:sz w:val="22"/>
          <w:szCs w:val="22"/>
        </w:rPr>
        <w:t>7.数据资源体系规划</w:t>
      </w:r>
      <w:r>
        <w:rPr>
          <w:rFonts w:hint="eastAsia" w:ascii="宋体" w:hAnsi="宋体" w:cs="宋体"/>
          <w:b/>
          <w:bCs/>
          <w:sz w:val="22"/>
          <w:szCs w:val="22"/>
        </w:rPr>
        <w:tab/>
      </w:r>
    </w:p>
    <w:p w14:paraId="40E97A21">
      <w:pPr>
        <w:pStyle w:val="98"/>
        <w:autoSpaceDE w:val="0"/>
        <w:autoSpaceDN w:val="0"/>
        <w:adjustRightInd w:val="0"/>
        <w:spacing w:line="440" w:lineRule="exact"/>
        <w:ind w:firstLine="440"/>
        <w:outlineLvl w:val="2"/>
        <w:rPr>
          <w:rFonts w:ascii="宋体" w:hAnsi="宋体" w:cs="宋体"/>
          <w:sz w:val="22"/>
          <w:szCs w:val="22"/>
        </w:rPr>
      </w:pPr>
      <w:r>
        <w:rPr>
          <w:rFonts w:hint="eastAsia" w:ascii="宋体" w:hAnsi="宋体" w:cs="宋体"/>
          <w:sz w:val="22"/>
          <w:szCs w:val="22"/>
        </w:rPr>
        <w:t>依托省市统建的公共数据平台，结合龙湾已经建设的各类平台，针对龙湾区信息化实际现状进行顶层架构规划，面对全区数据资源体系建设过程中的难点和痛点进行剖析，构建符合实际需求的数据资源体系和管理体系，切实有效推进数据资源体系工作的同时，避免重复建设。为龙湾区数字化建设夯实数据底座。协助大数据管理中心做好数据规划工作。</w:t>
      </w:r>
    </w:p>
    <w:p w14:paraId="6E53204C">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数据资产入表服务</w:t>
      </w:r>
    </w:p>
    <w:p w14:paraId="7C782A74">
      <w:pPr>
        <w:pStyle w:val="98"/>
        <w:autoSpaceDE w:val="0"/>
        <w:autoSpaceDN w:val="0"/>
        <w:adjustRightInd w:val="0"/>
        <w:spacing w:line="440" w:lineRule="exact"/>
        <w:ind w:firstLine="440"/>
        <w:outlineLvl w:val="2"/>
        <w:rPr>
          <w:rFonts w:ascii="宋体" w:hAnsi="宋体" w:cs="宋体"/>
          <w:sz w:val="22"/>
          <w:szCs w:val="22"/>
        </w:rPr>
      </w:pPr>
      <w:r>
        <w:rPr>
          <w:rFonts w:hint="eastAsia" w:ascii="宋体" w:hAnsi="宋体" w:cs="宋体"/>
          <w:sz w:val="22"/>
          <w:szCs w:val="22"/>
        </w:rPr>
        <w:t>提供数据资产入表服务，根据采购方要求配合进行梳理数据资产、数据合规与确权、数据成本计量、数据质量评价、数据价值评估以及数据资产登记入表。服务期内，成功完成至少一个数据资产入表案例。</w:t>
      </w:r>
    </w:p>
    <w:p w14:paraId="101EE5A5">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数据要素×创新服务</w:t>
      </w:r>
    </w:p>
    <w:p w14:paraId="20D51174">
      <w:pPr>
        <w:pStyle w:val="98"/>
        <w:autoSpaceDE w:val="0"/>
        <w:autoSpaceDN w:val="0"/>
        <w:adjustRightInd w:val="0"/>
        <w:spacing w:line="440" w:lineRule="exact"/>
        <w:ind w:firstLine="440"/>
        <w:outlineLvl w:val="2"/>
        <w:rPr>
          <w:rFonts w:ascii="宋体" w:hAnsi="宋体" w:cs="宋体"/>
          <w:sz w:val="22"/>
          <w:szCs w:val="22"/>
        </w:rPr>
      </w:pPr>
      <w:r>
        <w:rPr>
          <w:rFonts w:hint="eastAsia" w:ascii="宋体" w:hAnsi="宋体" w:cs="宋体"/>
          <w:sz w:val="22"/>
          <w:szCs w:val="22"/>
        </w:rPr>
        <w:t>根据采购人在公共数据治理相关业务的开展、稳定运行及安全管理方面的需求，同时参照浙江省和温州市在公共数据管理方面的法律法规、规章制度、技术标准，并结合采购人的数据管理具体规定，设定了以下服务目标：实现数据开放的统一汇聚、高效处理、顺畅流通以及专业化数据服务。主要工作内容包含对瓯海区数据要素用户基于数据应用场景的应答响应、供需对接、数据集获取、互动反馈、数据质量管控等全流程进行记录、解答、更新、处理和管理等服务，同时承接上级交办数据要素×数据治理服务相关工作任务，为数据要素×应用提供持续可用的安全有用数据。数据要素×创新工作以应用场景为导向，围绕政府侧、企业侧或产业服务等相关的单位机构，包括但不限于聚焦老年人康养、企业创新研发、供应链协同等数据服务和数据产品需求，在服务期内</w:t>
      </w:r>
      <w:r>
        <w:rPr>
          <w:rFonts w:hint="eastAsia" w:ascii="宋体" w:hAnsi="宋体" w:cs="宋体"/>
          <w:sz w:val="22"/>
          <w:szCs w:val="22"/>
          <w:highlight w:val="none"/>
        </w:rPr>
        <w:t>开展至少</w:t>
      </w:r>
      <w:r>
        <w:rPr>
          <w:rFonts w:hint="default" w:ascii="宋体" w:hAnsi="宋体" w:cs="宋体"/>
          <w:sz w:val="22"/>
          <w:szCs w:val="22"/>
          <w:highlight w:val="none"/>
        </w:rPr>
        <w:t>五</w:t>
      </w:r>
      <w:r>
        <w:rPr>
          <w:rFonts w:hint="eastAsia" w:ascii="宋体" w:hAnsi="宋体" w:cs="宋体"/>
          <w:sz w:val="22"/>
          <w:szCs w:val="22"/>
          <w:highlight w:val="none"/>
        </w:rPr>
        <w:t>个数智赋</w:t>
      </w:r>
      <w:r>
        <w:rPr>
          <w:rFonts w:hint="eastAsia" w:ascii="宋体" w:hAnsi="宋体" w:cs="宋体"/>
          <w:sz w:val="22"/>
          <w:szCs w:val="22"/>
        </w:rPr>
        <w:t>能应用场景的谋划和试点推广。</w:t>
      </w:r>
    </w:p>
    <w:p w14:paraId="34E256A2">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数据安全服务</w:t>
      </w:r>
    </w:p>
    <w:p w14:paraId="5BDF0802">
      <w:pPr>
        <w:spacing w:line="440" w:lineRule="exact"/>
        <w:ind w:firstLine="440" w:firstLineChars="200"/>
        <w:rPr>
          <w:rFonts w:ascii="宋体" w:hAnsi="宋体" w:cs="宋体"/>
          <w:sz w:val="22"/>
          <w:szCs w:val="22"/>
        </w:rPr>
      </w:pPr>
      <w:r>
        <w:rPr>
          <w:rFonts w:hint="eastAsia" w:ascii="宋体" w:hAnsi="宋体" w:cs="宋体"/>
          <w:sz w:val="22"/>
          <w:szCs w:val="22"/>
        </w:rPr>
        <w:t>乙方需参考省市安全要求，利用符合省市安全考核指标的安全设备、工具或平台，提供数据安全服务、数据安全制度建设服务和咨询服务。通过安全专家团队协助建立龙湾数据安全标准规范，指导各部门落实数据安全保障工作，提升安全管理水平。具体内容要求如下：</w:t>
      </w:r>
    </w:p>
    <w:tbl>
      <w:tblPr>
        <w:tblStyle w:val="56"/>
        <w:tblW w:w="98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3"/>
        <w:gridCol w:w="1797"/>
        <w:gridCol w:w="7042"/>
      </w:tblGrid>
      <w:tr w14:paraId="2A2E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013" w:type="dxa"/>
            <w:shd w:val="clear" w:color="auto" w:fill="DAEEF3"/>
            <w:vAlign w:val="center"/>
          </w:tcPr>
          <w:p w14:paraId="0E1385BD">
            <w:pPr>
              <w:spacing w:line="360" w:lineRule="exact"/>
              <w:jc w:val="center"/>
              <w:rPr>
                <w:rFonts w:ascii="宋体" w:hAnsi="宋体" w:cs="宋体"/>
                <w:b/>
                <w:sz w:val="22"/>
                <w:szCs w:val="22"/>
              </w:rPr>
            </w:pPr>
            <w:r>
              <w:rPr>
                <w:rFonts w:hint="eastAsia" w:ascii="宋体" w:hAnsi="宋体" w:cs="宋体"/>
                <w:b/>
                <w:sz w:val="22"/>
                <w:szCs w:val="22"/>
              </w:rPr>
              <w:t>序号</w:t>
            </w:r>
          </w:p>
        </w:tc>
        <w:tc>
          <w:tcPr>
            <w:tcW w:w="1797" w:type="dxa"/>
            <w:shd w:val="clear" w:color="auto" w:fill="DAEEF3"/>
            <w:vAlign w:val="center"/>
          </w:tcPr>
          <w:p w14:paraId="2CBB12CD">
            <w:pPr>
              <w:spacing w:line="360" w:lineRule="exact"/>
              <w:jc w:val="center"/>
              <w:rPr>
                <w:rFonts w:ascii="宋体" w:hAnsi="宋体" w:cs="宋体"/>
                <w:b/>
                <w:sz w:val="22"/>
                <w:szCs w:val="22"/>
              </w:rPr>
            </w:pPr>
            <w:r>
              <w:rPr>
                <w:rFonts w:hint="eastAsia" w:ascii="宋体" w:hAnsi="宋体" w:cs="宋体"/>
                <w:b/>
                <w:sz w:val="22"/>
                <w:szCs w:val="22"/>
              </w:rPr>
              <w:t>名称</w:t>
            </w:r>
          </w:p>
        </w:tc>
        <w:tc>
          <w:tcPr>
            <w:tcW w:w="7042" w:type="dxa"/>
            <w:shd w:val="clear" w:color="auto" w:fill="DAEEF3"/>
            <w:vAlign w:val="center"/>
          </w:tcPr>
          <w:p w14:paraId="4A82687B">
            <w:pPr>
              <w:spacing w:line="360" w:lineRule="exact"/>
              <w:jc w:val="center"/>
              <w:rPr>
                <w:rFonts w:ascii="宋体" w:hAnsi="宋体" w:cs="宋体"/>
                <w:b/>
                <w:sz w:val="22"/>
                <w:szCs w:val="22"/>
              </w:rPr>
            </w:pPr>
            <w:r>
              <w:rPr>
                <w:rFonts w:hint="eastAsia" w:ascii="宋体" w:hAnsi="宋体" w:cs="宋体"/>
                <w:b/>
                <w:sz w:val="22"/>
                <w:szCs w:val="22"/>
              </w:rPr>
              <w:t>详细描述</w:t>
            </w:r>
          </w:p>
        </w:tc>
      </w:tr>
      <w:tr w14:paraId="7FA07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 w:type="dxa"/>
            <w:vAlign w:val="center"/>
          </w:tcPr>
          <w:p w14:paraId="0F282722">
            <w:pPr>
              <w:spacing w:line="360" w:lineRule="exact"/>
              <w:jc w:val="center"/>
              <w:rPr>
                <w:rFonts w:ascii="宋体" w:hAnsi="宋体" w:cs="宋体"/>
                <w:sz w:val="22"/>
                <w:szCs w:val="22"/>
              </w:rPr>
            </w:pPr>
            <w:r>
              <w:rPr>
                <w:rFonts w:hint="eastAsia" w:ascii="宋体" w:hAnsi="宋体" w:cs="宋体"/>
                <w:sz w:val="22"/>
                <w:szCs w:val="22"/>
              </w:rPr>
              <w:t>1</w:t>
            </w:r>
          </w:p>
        </w:tc>
        <w:tc>
          <w:tcPr>
            <w:tcW w:w="1797" w:type="dxa"/>
            <w:vAlign w:val="center"/>
          </w:tcPr>
          <w:p w14:paraId="37BDDFD2">
            <w:pPr>
              <w:spacing w:line="360" w:lineRule="exact"/>
              <w:jc w:val="center"/>
              <w:rPr>
                <w:rFonts w:ascii="宋体" w:hAnsi="宋体" w:cs="宋体"/>
                <w:sz w:val="22"/>
                <w:szCs w:val="22"/>
              </w:rPr>
            </w:pPr>
            <w:bookmarkStart w:id="95" w:name="OLE_LINK23"/>
            <w:bookmarkStart w:id="96" w:name="OLE_LINK22"/>
            <w:r>
              <w:rPr>
                <w:rFonts w:hint="eastAsia" w:ascii="宋体" w:hAnsi="宋体" w:cs="宋体"/>
                <w:sz w:val="22"/>
                <w:szCs w:val="22"/>
              </w:rPr>
              <w:t>数据安全管理体系</w:t>
            </w:r>
            <w:bookmarkEnd w:id="95"/>
            <w:bookmarkEnd w:id="96"/>
            <w:r>
              <w:rPr>
                <w:rFonts w:hint="eastAsia" w:ascii="宋体" w:hAnsi="宋体" w:cs="宋体"/>
                <w:sz w:val="22"/>
                <w:szCs w:val="22"/>
              </w:rPr>
              <w:t>建设服务</w:t>
            </w:r>
          </w:p>
        </w:tc>
        <w:tc>
          <w:tcPr>
            <w:tcW w:w="7042" w:type="dxa"/>
            <w:vAlign w:val="center"/>
          </w:tcPr>
          <w:p w14:paraId="495A9858">
            <w:pPr>
              <w:spacing w:line="360" w:lineRule="exact"/>
              <w:rPr>
                <w:rFonts w:ascii="宋体" w:hAnsi="宋体" w:cs="宋体"/>
                <w:sz w:val="22"/>
                <w:szCs w:val="22"/>
              </w:rPr>
            </w:pPr>
            <w:r>
              <w:rPr>
                <w:rFonts w:hint="eastAsia" w:ascii="宋体" w:hAnsi="宋体" w:cs="宋体"/>
                <w:sz w:val="22"/>
                <w:szCs w:val="22"/>
              </w:rPr>
              <w:t>数据安全制度梳理：</w:t>
            </w:r>
          </w:p>
          <w:p w14:paraId="2BC93E58">
            <w:pPr>
              <w:spacing w:line="360" w:lineRule="exact"/>
              <w:rPr>
                <w:rFonts w:ascii="宋体" w:hAnsi="宋体" w:cs="宋体"/>
                <w:sz w:val="22"/>
                <w:szCs w:val="22"/>
              </w:rPr>
            </w:pPr>
            <w:r>
              <w:rPr>
                <w:rFonts w:hint="eastAsia" w:ascii="宋体" w:hAnsi="宋体" w:cs="宋体"/>
                <w:sz w:val="22"/>
                <w:szCs w:val="22"/>
              </w:rPr>
              <w:t>（1）协助完善数据安全相关制度，并对现有数据安全管理制度规范进行优化和修订。</w:t>
            </w:r>
          </w:p>
          <w:p w14:paraId="3B0A6CD2">
            <w:pPr>
              <w:pStyle w:val="53"/>
              <w:spacing w:after="0" w:line="360" w:lineRule="exact"/>
              <w:ind w:firstLine="0" w:firstLineChars="0"/>
              <w:rPr>
                <w:rFonts w:ascii="宋体" w:hAnsi="宋体" w:cs="宋体"/>
                <w:b w:val="0"/>
                <w:sz w:val="22"/>
                <w:szCs w:val="22"/>
              </w:rPr>
            </w:pPr>
            <w:r>
              <w:rPr>
                <w:rFonts w:hint="eastAsia" w:ascii="宋体" w:hAnsi="宋体" w:cs="宋体"/>
                <w:b w:val="0"/>
                <w:sz w:val="22"/>
                <w:szCs w:val="22"/>
              </w:rPr>
              <w:t>（</w:t>
            </w:r>
            <w:r>
              <w:rPr>
                <w:rFonts w:ascii="宋体" w:hAnsi="宋体" w:cs="宋体"/>
                <w:b w:val="0"/>
                <w:sz w:val="22"/>
                <w:szCs w:val="22"/>
              </w:rPr>
              <w:t>2</w:t>
            </w:r>
            <w:r>
              <w:rPr>
                <w:rFonts w:hint="eastAsia" w:ascii="宋体" w:hAnsi="宋体" w:cs="宋体"/>
                <w:b w:val="0"/>
                <w:sz w:val="22"/>
                <w:szCs w:val="22"/>
              </w:rPr>
              <w:t>）通过安全专家团队协助建立龙湾区数据安全标准规范，指导各级政务部门落实数据安全保障工作，提升安全管理水平。制定安全规范要求以规范化的流程指导网络安全管理工作的具体落实，避免管理规程中“无规可依”的情况。</w:t>
            </w:r>
          </w:p>
        </w:tc>
      </w:tr>
      <w:tr w14:paraId="7C33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 w:type="dxa"/>
            <w:vAlign w:val="center"/>
          </w:tcPr>
          <w:p w14:paraId="682540C8">
            <w:pPr>
              <w:spacing w:line="360" w:lineRule="exact"/>
              <w:jc w:val="center"/>
              <w:rPr>
                <w:rFonts w:ascii="宋体" w:hAnsi="宋体" w:cs="宋体"/>
                <w:sz w:val="22"/>
                <w:szCs w:val="22"/>
              </w:rPr>
            </w:pPr>
            <w:r>
              <w:rPr>
                <w:rFonts w:hint="eastAsia" w:ascii="宋体" w:hAnsi="宋体" w:cs="宋体"/>
                <w:sz w:val="22"/>
                <w:szCs w:val="22"/>
              </w:rPr>
              <w:t>2</w:t>
            </w:r>
          </w:p>
        </w:tc>
        <w:tc>
          <w:tcPr>
            <w:tcW w:w="1797" w:type="dxa"/>
            <w:vAlign w:val="center"/>
          </w:tcPr>
          <w:p w14:paraId="17B1B051">
            <w:pPr>
              <w:spacing w:line="360" w:lineRule="exact"/>
              <w:jc w:val="center"/>
              <w:rPr>
                <w:rFonts w:ascii="宋体" w:hAnsi="宋体" w:cs="宋体"/>
                <w:sz w:val="22"/>
                <w:szCs w:val="22"/>
              </w:rPr>
            </w:pPr>
            <w:r>
              <w:rPr>
                <w:rFonts w:hint="eastAsia" w:ascii="宋体" w:hAnsi="宋体" w:cs="宋体"/>
                <w:sz w:val="22"/>
                <w:szCs w:val="22"/>
              </w:rPr>
              <w:t>数据资产梳理及分类分级服务</w:t>
            </w:r>
          </w:p>
        </w:tc>
        <w:tc>
          <w:tcPr>
            <w:tcW w:w="7042" w:type="dxa"/>
            <w:vAlign w:val="center"/>
          </w:tcPr>
          <w:p w14:paraId="2F93CCB7">
            <w:pPr>
              <w:spacing w:line="360" w:lineRule="exact"/>
              <w:rPr>
                <w:rFonts w:ascii="宋体" w:hAnsi="宋体" w:cs="宋体"/>
                <w:sz w:val="22"/>
                <w:szCs w:val="22"/>
              </w:rPr>
            </w:pPr>
            <w:r>
              <w:rPr>
                <w:rFonts w:hint="eastAsia" w:ascii="宋体" w:hAnsi="宋体" w:cs="宋体"/>
                <w:sz w:val="22"/>
                <w:szCs w:val="22"/>
              </w:rPr>
              <w:t>数据分类分级人工服务：</w:t>
            </w:r>
          </w:p>
          <w:p w14:paraId="333581F4">
            <w:pPr>
              <w:spacing w:line="360" w:lineRule="exact"/>
              <w:rPr>
                <w:rFonts w:ascii="宋体" w:hAnsi="宋体" w:cs="宋体"/>
                <w:sz w:val="22"/>
                <w:szCs w:val="22"/>
              </w:rPr>
            </w:pPr>
            <w:r>
              <w:rPr>
                <w:rFonts w:hint="eastAsia" w:ascii="宋体" w:hAnsi="宋体" w:cs="宋体"/>
                <w:sz w:val="22"/>
                <w:szCs w:val="22"/>
              </w:rPr>
              <w:t>（1）制定数据分类分级细则，敏感数据分类分级平台持续运维，及时将新增的元数据进行分类分级，对已接入元数据定期完成分类分级检查，按照规范/标准更新标签</w:t>
            </w:r>
          </w:p>
        </w:tc>
      </w:tr>
      <w:tr w14:paraId="74B77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 w:type="dxa"/>
            <w:vAlign w:val="center"/>
          </w:tcPr>
          <w:p w14:paraId="363E2A94">
            <w:pPr>
              <w:spacing w:line="360" w:lineRule="exact"/>
              <w:jc w:val="center"/>
              <w:rPr>
                <w:rFonts w:ascii="宋体" w:hAnsi="宋体" w:cs="宋体"/>
                <w:sz w:val="22"/>
                <w:szCs w:val="22"/>
              </w:rPr>
            </w:pPr>
            <w:r>
              <w:rPr>
                <w:rFonts w:hint="eastAsia" w:ascii="宋体" w:hAnsi="宋体" w:cs="宋体"/>
                <w:sz w:val="22"/>
                <w:szCs w:val="22"/>
              </w:rPr>
              <w:t>3</w:t>
            </w:r>
          </w:p>
        </w:tc>
        <w:tc>
          <w:tcPr>
            <w:tcW w:w="1797" w:type="dxa"/>
            <w:vAlign w:val="center"/>
          </w:tcPr>
          <w:p w14:paraId="76725CFD">
            <w:pPr>
              <w:spacing w:line="360" w:lineRule="exact"/>
              <w:jc w:val="center"/>
              <w:rPr>
                <w:rFonts w:ascii="宋体" w:hAnsi="宋体" w:cs="宋体"/>
                <w:sz w:val="22"/>
                <w:szCs w:val="22"/>
              </w:rPr>
            </w:pPr>
            <w:r>
              <w:rPr>
                <w:rFonts w:hint="eastAsia" w:ascii="宋体" w:hAnsi="宋体" w:cs="宋体"/>
                <w:sz w:val="22"/>
                <w:szCs w:val="22"/>
              </w:rPr>
              <w:t>数据全生命周期安全防护能力建设服务</w:t>
            </w:r>
          </w:p>
        </w:tc>
        <w:tc>
          <w:tcPr>
            <w:tcW w:w="7042" w:type="dxa"/>
            <w:vAlign w:val="center"/>
          </w:tcPr>
          <w:p w14:paraId="680BD1BF">
            <w:pPr>
              <w:spacing w:line="360" w:lineRule="exact"/>
              <w:rPr>
                <w:rFonts w:ascii="宋体" w:hAnsi="宋体" w:cs="宋体"/>
                <w:sz w:val="22"/>
                <w:szCs w:val="22"/>
              </w:rPr>
            </w:pPr>
            <w:r>
              <w:rPr>
                <w:rFonts w:hint="eastAsia" w:ascii="宋体" w:hAnsi="宋体" w:cs="宋体"/>
                <w:sz w:val="22"/>
                <w:szCs w:val="22"/>
              </w:rPr>
              <w:t>提供安全制度体系服务、数据分级分类服务、身份鉴别与权限管控服务、水印溯源服务、API接口安全服务、数据脱敏服务、数据防泄漏服务、数据安全态势感知运营服务</w:t>
            </w:r>
          </w:p>
        </w:tc>
      </w:tr>
      <w:tr w14:paraId="23CA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 w:type="dxa"/>
            <w:vAlign w:val="center"/>
          </w:tcPr>
          <w:p w14:paraId="4486A54E">
            <w:pPr>
              <w:spacing w:line="360" w:lineRule="exact"/>
              <w:jc w:val="center"/>
              <w:rPr>
                <w:rFonts w:ascii="宋体" w:hAnsi="宋体" w:cs="宋体"/>
                <w:sz w:val="22"/>
                <w:szCs w:val="22"/>
              </w:rPr>
            </w:pPr>
            <w:r>
              <w:rPr>
                <w:rFonts w:hint="eastAsia" w:ascii="宋体" w:hAnsi="宋体" w:cs="宋体"/>
                <w:sz w:val="22"/>
                <w:szCs w:val="22"/>
              </w:rPr>
              <w:t>4</w:t>
            </w:r>
          </w:p>
        </w:tc>
        <w:tc>
          <w:tcPr>
            <w:tcW w:w="1797" w:type="dxa"/>
            <w:vAlign w:val="center"/>
          </w:tcPr>
          <w:p w14:paraId="6C55A65D">
            <w:pPr>
              <w:spacing w:line="360" w:lineRule="exact"/>
              <w:jc w:val="center"/>
              <w:rPr>
                <w:rFonts w:ascii="宋体" w:hAnsi="宋体" w:cs="宋体"/>
                <w:sz w:val="22"/>
                <w:szCs w:val="22"/>
              </w:rPr>
            </w:pPr>
            <w:r>
              <w:rPr>
                <w:rFonts w:hint="eastAsia" w:ascii="宋体" w:hAnsi="宋体" w:cs="宋体"/>
                <w:sz w:val="22"/>
                <w:szCs w:val="22"/>
              </w:rPr>
              <w:t>数据安全运营服务体系建设服务</w:t>
            </w:r>
          </w:p>
        </w:tc>
        <w:tc>
          <w:tcPr>
            <w:tcW w:w="7042" w:type="dxa"/>
            <w:vAlign w:val="center"/>
          </w:tcPr>
          <w:p w14:paraId="2A7CD0B9">
            <w:pPr>
              <w:spacing w:line="360" w:lineRule="exact"/>
              <w:rPr>
                <w:rFonts w:ascii="宋体" w:hAnsi="宋体" w:cs="宋体"/>
                <w:sz w:val="22"/>
                <w:szCs w:val="22"/>
              </w:rPr>
            </w:pPr>
            <w:r>
              <w:rPr>
                <w:rFonts w:hint="eastAsia" w:ascii="宋体" w:hAnsi="宋体" w:cs="宋体"/>
                <w:sz w:val="22"/>
                <w:szCs w:val="22"/>
              </w:rPr>
              <w:t>（1）数据安全检查：对公共数据平台接口接入系统进行专项安全检查，主要从管理制度、应用对接规范、后端服务对接规范、监管运维四个方面进行管理访谈和技术核查，数据共享接口安全专项检查，及时发现隐患并进行处置。</w:t>
            </w:r>
          </w:p>
          <w:p w14:paraId="580231F9">
            <w:pPr>
              <w:spacing w:line="360" w:lineRule="exact"/>
              <w:rPr>
                <w:rFonts w:ascii="宋体" w:hAnsi="宋体" w:cs="宋体"/>
                <w:sz w:val="22"/>
                <w:szCs w:val="22"/>
              </w:rPr>
            </w:pPr>
            <w:r>
              <w:rPr>
                <w:rFonts w:hint="eastAsia" w:ascii="宋体" w:hAnsi="宋体" w:cs="宋体"/>
                <w:sz w:val="22"/>
                <w:szCs w:val="22"/>
              </w:rPr>
              <w:t>（2）数据安全驻场运维：通过专业的安全技术人员提供日常5*8小时（重保期间7*24小时）的数据安全驻场服务，工作内容包括安全告警服务、数据安全设备维护、数据安全设备日志分析与监控、安全事件应急响应服务、重大时刻安全保障、协助数据安全加固。</w:t>
            </w:r>
          </w:p>
          <w:p w14:paraId="6F49E26E">
            <w:pPr>
              <w:pStyle w:val="53"/>
              <w:spacing w:after="0" w:line="360" w:lineRule="exact"/>
              <w:ind w:firstLine="0" w:firstLineChars="0"/>
              <w:rPr>
                <w:rFonts w:ascii="宋体" w:hAnsi="宋体" w:cs="宋体"/>
                <w:b w:val="0"/>
                <w:sz w:val="22"/>
                <w:szCs w:val="22"/>
              </w:rPr>
            </w:pPr>
            <w:r>
              <w:rPr>
                <w:rFonts w:hint="eastAsia" w:ascii="宋体" w:hAnsi="宋体" w:cs="宋体"/>
                <w:b w:val="0"/>
                <w:sz w:val="22"/>
                <w:szCs w:val="22"/>
              </w:rPr>
              <w:t>（3）对龙湾区所有系统开展按照省市要求进行数据安全指导和抽查，完成上级关于数据安全的任务。</w:t>
            </w:r>
          </w:p>
        </w:tc>
      </w:tr>
    </w:tbl>
    <w:p w14:paraId="511EFD61">
      <w:pPr>
        <w:spacing w:line="440" w:lineRule="exact"/>
        <w:ind w:firstLine="391" w:firstLineChars="177"/>
        <w:rPr>
          <w:rFonts w:ascii="宋体" w:hAnsi="宋体" w:cs="宋体"/>
          <w:b/>
          <w:sz w:val="22"/>
          <w:szCs w:val="22"/>
        </w:rPr>
      </w:pPr>
      <w:r>
        <w:rPr>
          <w:rFonts w:hint="eastAsia" w:ascii="宋体" w:hAnsi="宋体" w:cs="宋体"/>
          <w:b/>
          <w:sz w:val="22"/>
          <w:szCs w:val="22"/>
          <w:u w:val="single"/>
        </w:rPr>
        <w:t>本项目要求中标供应商自行提供以下工具产品用于本项目的安全运维服务</w:t>
      </w:r>
      <w:r>
        <w:rPr>
          <w:rFonts w:hint="eastAsia" w:ascii="宋体" w:hAnsi="宋体" w:cs="宋体"/>
          <w:b/>
          <w:sz w:val="22"/>
          <w:szCs w:val="22"/>
        </w:rPr>
        <w:t>：</w:t>
      </w:r>
    </w:p>
    <w:p w14:paraId="15692DCB">
      <w:pPr>
        <w:pStyle w:val="6"/>
        <w:spacing w:before="0" w:after="0" w:line="440" w:lineRule="exact"/>
        <w:ind w:firstLine="442" w:firstLineChars="200"/>
        <w:jc w:val="both"/>
        <w:rPr>
          <w:rFonts w:ascii="宋体" w:hAnsi="宋体" w:eastAsia="宋体" w:cs="宋体"/>
          <w:sz w:val="22"/>
          <w:szCs w:val="22"/>
        </w:rPr>
      </w:pPr>
      <w:bookmarkStart w:id="97" w:name="_Toc106960997"/>
      <w:r>
        <w:rPr>
          <w:rFonts w:hint="eastAsia" w:ascii="宋体" w:hAnsi="宋体" w:eastAsia="宋体" w:cs="宋体"/>
          <w:sz w:val="22"/>
          <w:szCs w:val="22"/>
        </w:rPr>
        <w:t>5.1服务清单</w:t>
      </w:r>
      <w:bookmarkEnd w:id="97"/>
    </w:p>
    <w:tbl>
      <w:tblPr>
        <w:tblStyle w:val="5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65"/>
        <w:gridCol w:w="6645"/>
        <w:gridCol w:w="880"/>
      </w:tblGrid>
      <w:tr w14:paraId="25D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auto" w:fill="BEBEBE"/>
            <w:vAlign w:val="center"/>
          </w:tcPr>
          <w:p w14:paraId="6321A7EF">
            <w:pPr>
              <w:widowControl/>
              <w:spacing w:line="360" w:lineRule="exact"/>
              <w:jc w:val="left"/>
              <w:rPr>
                <w:rFonts w:ascii="宋体" w:hAnsi="宋体" w:cs="宋体"/>
                <w:b/>
                <w:bCs/>
                <w:kern w:val="0"/>
                <w:sz w:val="22"/>
                <w:szCs w:val="22"/>
              </w:rPr>
            </w:pPr>
            <w:r>
              <w:rPr>
                <w:rFonts w:hint="eastAsia" w:ascii="宋体" w:hAnsi="宋体" w:cs="宋体"/>
                <w:b/>
                <w:bCs/>
                <w:kern w:val="0"/>
                <w:sz w:val="22"/>
                <w:szCs w:val="22"/>
              </w:rPr>
              <w:t>序号</w:t>
            </w:r>
          </w:p>
        </w:tc>
        <w:tc>
          <w:tcPr>
            <w:tcW w:w="1665" w:type="dxa"/>
            <w:shd w:val="clear" w:color="auto" w:fill="BEBEBE"/>
            <w:noWrap/>
            <w:vAlign w:val="center"/>
          </w:tcPr>
          <w:p w14:paraId="11F5E82C">
            <w:pPr>
              <w:widowControl/>
              <w:spacing w:line="360" w:lineRule="exact"/>
              <w:jc w:val="center"/>
              <w:rPr>
                <w:rFonts w:ascii="宋体" w:hAnsi="宋体" w:cs="宋体"/>
                <w:b/>
                <w:bCs/>
                <w:kern w:val="0"/>
                <w:sz w:val="22"/>
                <w:szCs w:val="22"/>
              </w:rPr>
            </w:pPr>
            <w:r>
              <w:rPr>
                <w:rFonts w:hint="eastAsia" w:ascii="宋体" w:hAnsi="宋体" w:cs="宋体"/>
                <w:b/>
                <w:bCs/>
                <w:kern w:val="0"/>
                <w:sz w:val="22"/>
                <w:szCs w:val="22"/>
              </w:rPr>
              <w:t>建设内容</w:t>
            </w:r>
          </w:p>
        </w:tc>
        <w:tc>
          <w:tcPr>
            <w:tcW w:w="6645" w:type="dxa"/>
            <w:shd w:val="clear" w:color="auto" w:fill="BEBEBE"/>
            <w:vAlign w:val="center"/>
          </w:tcPr>
          <w:p w14:paraId="450B8333">
            <w:pPr>
              <w:widowControl/>
              <w:spacing w:line="360" w:lineRule="exact"/>
              <w:jc w:val="center"/>
              <w:rPr>
                <w:rFonts w:ascii="宋体" w:hAnsi="宋体" w:cs="宋体"/>
                <w:b/>
                <w:bCs/>
                <w:kern w:val="0"/>
                <w:sz w:val="22"/>
                <w:szCs w:val="22"/>
              </w:rPr>
            </w:pPr>
            <w:r>
              <w:rPr>
                <w:rFonts w:hint="eastAsia" w:ascii="宋体" w:hAnsi="宋体" w:cs="宋体"/>
                <w:b/>
                <w:bCs/>
                <w:kern w:val="0"/>
                <w:sz w:val="22"/>
                <w:szCs w:val="22"/>
              </w:rPr>
              <w:t>建设规格</w:t>
            </w:r>
          </w:p>
        </w:tc>
        <w:tc>
          <w:tcPr>
            <w:tcW w:w="880" w:type="dxa"/>
            <w:shd w:val="clear" w:color="auto" w:fill="BEBEBE"/>
            <w:vAlign w:val="center"/>
          </w:tcPr>
          <w:p w14:paraId="3C6168D4">
            <w:pPr>
              <w:widowControl/>
              <w:spacing w:line="360" w:lineRule="exact"/>
              <w:jc w:val="center"/>
              <w:rPr>
                <w:rFonts w:ascii="宋体" w:hAnsi="宋体" w:cs="宋体"/>
                <w:b/>
                <w:bCs/>
                <w:kern w:val="0"/>
                <w:sz w:val="22"/>
                <w:szCs w:val="22"/>
              </w:rPr>
            </w:pPr>
            <w:r>
              <w:rPr>
                <w:rFonts w:hint="eastAsia" w:ascii="宋体" w:hAnsi="宋体" w:cs="宋体"/>
                <w:b/>
                <w:bCs/>
                <w:kern w:val="0"/>
                <w:sz w:val="22"/>
                <w:szCs w:val="22"/>
              </w:rPr>
              <w:t>数量</w:t>
            </w:r>
          </w:p>
        </w:tc>
      </w:tr>
      <w:tr w14:paraId="7D32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AC7FD21">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c>
          <w:tcPr>
            <w:tcW w:w="1665" w:type="dxa"/>
            <w:shd w:val="clear" w:color="auto" w:fill="auto"/>
            <w:noWrap/>
            <w:vAlign w:val="center"/>
          </w:tcPr>
          <w:p w14:paraId="4F2C3375">
            <w:pPr>
              <w:widowControl/>
              <w:spacing w:line="360" w:lineRule="exact"/>
              <w:jc w:val="center"/>
              <w:rPr>
                <w:rFonts w:ascii="宋体" w:hAnsi="宋体" w:cs="宋体"/>
                <w:kern w:val="0"/>
                <w:sz w:val="22"/>
                <w:szCs w:val="22"/>
              </w:rPr>
            </w:pPr>
            <w:r>
              <w:rPr>
                <w:rFonts w:hint="eastAsia" w:ascii="宋体" w:hAnsi="宋体" w:cs="宋体"/>
                <w:kern w:val="0"/>
                <w:sz w:val="22"/>
                <w:szCs w:val="22"/>
              </w:rPr>
              <w:t>安全制度体系服务</w:t>
            </w:r>
          </w:p>
        </w:tc>
        <w:tc>
          <w:tcPr>
            <w:tcW w:w="6645" w:type="dxa"/>
            <w:shd w:val="clear" w:color="auto" w:fill="auto"/>
            <w:vAlign w:val="center"/>
          </w:tcPr>
          <w:p w14:paraId="1428684D">
            <w:pPr>
              <w:widowControl/>
              <w:spacing w:line="360" w:lineRule="exact"/>
              <w:rPr>
                <w:rFonts w:ascii="宋体" w:hAnsi="宋体" w:cs="宋体"/>
                <w:kern w:val="0"/>
                <w:sz w:val="22"/>
                <w:szCs w:val="22"/>
              </w:rPr>
            </w:pPr>
            <w:r>
              <w:rPr>
                <w:rFonts w:hint="eastAsia" w:ascii="宋体" w:hAnsi="宋体" w:cs="宋体"/>
                <w:kern w:val="0"/>
                <w:sz w:val="22"/>
                <w:szCs w:val="22"/>
              </w:rPr>
              <w:t>通过安全专家团队协助建立龙湾区数据安全标准规范，指导各级政务部门落实数据安全保障工作，提升安全管理水平。制定安全规范要求以规范化的流程指导网络安全管理工作的具体落实，避免管理规程中“无规可依”的情况。</w:t>
            </w:r>
          </w:p>
        </w:tc>
        <w:tc>
          <w:tcPr>
            <w:tcW w:w="880" w:type="dxa"/>
            <w:shd w:val="clear" w:color="000000" w:fill="FFFFFF"/>
            <w:vAlign w:val="center"/>
          </w:tcPr>
          <w:p w14:paraId="66575571">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5F8D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7FDE85EA">
            <w:pPr>
              <w:widowControl/>
              <w:spacing w:line="360" w:lineRule="exact"/>
              <w:jc w:val="center"/>
              <w:rPr>
                <w:rFonts w:ascii="宋体" w:hAnsi="宋体" w:cs="宋体"/>
                <w:kern w:val="0"/>
                <w:sz w:val="22"/>
                <w:szCs w:val="22"/>
              </w:rPr>
            </w:pPr>
            <w:r>
              <w:rPr>
                <w:rFonts w:hint="eastAsia" w:ascii="宋体" w:hAnsi="宋体" w:cs="宋体"/>
                <w:kern w:val="0"/>
                <w:sz w:val="22"/>
                <w:szCs w:val="22"/>
              </w:rPr>
              <w:t>2</w:t>
            </w:r>
          </w:p>
        </w:tc>
        <w:tc>
          <w:tcPr>
            <w:tcW w:w="1665" w:type="dxa"/>
            <w:shd w:val="clear" w:color="auto" w:fill="auto"/>
            <w:noWrap/>
            <w:vAlign w:val="center"/>
          </w:tcPr>
          <w:p w14:paraId="309D9390">
            <w:pPr>
              <w:widowControl/>
              <w:spacing w:line="360" w:lineRule="exact"/>
              <w:jc w:val="center"/>
              <w:rPr>
                <w:rFonts w:ascii="宋体" w:hAnsi="宋体" w:cs="宋体"/>
                <w:kern w:val="0"/>
                <w:sz w:val="22"/>
                <w:szCs w:val="22"/>
              </w:rPr>
            </w:pPr>
            <w:r>
              <w:rPr>
                <w:rFonts w:hint="eastAsia" w:ascii="宋体" w:hAnsi="宋体" w:cs="宋体"/>
                <w:kern w:val="0"/>
                <w:sz w:val="22"/>
                <w:szCs w:val="22"/>
              </w:rPr>
              <w:t>数据分级分类服务</w:t>
            </w:r>
          </w:p>
        </w:tc>
        <w:tc>
          <w:tcPr>
            <w:tcW w:w="6645" w:type="dxa"/>
            <w:shd w:val="clear" w:color="000000" w:fill="FFFFFF"/>
            <w:vAlign w:val="center"/>
          </w:tcPr>
          <w:p w14:paraId="3831A8CC">
            <w:pPr>
              <w:widowControl/>
              <w:spacing w:line="360" w:lineRule="exact"/>
              <w:rPr>
                <w:rFonts w:ascii="宋体" w:hAnsi="宋体" w:cs="宋体"/>
                <w:kern w:val="0"/>
                <w:sz w:val="22"/>
                <w:szCs w:val="22"/>
              </w:rPr>
            </w:pPr>
            <w:r>
              <w:rPr>
                <w:rFonts w:hint="eastAsia" w:ascii="宋体" w:hAnsi="宋体" w:cs="宋体"/>
                <w:kern w:val="0"/>
                <w:sz w:val="22"/>
                <w:szCs w:val="22"/>
              </w:rPr>
              <w:t>针对龙湾公共数据平台所涉及的数据资源进行数据资产测绘及敏感数据梳理：</w:t>
            </w:r>
          </w:p>
        </w:tc>
        <w:tc>
          <w:tcPr>
            <w:tcW w:w="880" w:type="dxa"/>
            <w:shd w:val="clear" w:color="000000" w:fill="FFFFFF"/>
            <w:vAlign w:val="center"/>
          </w:tcPr>
          <w:p w14:paraId="6A2956E7">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55C4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086C033">
            <w:pPr>
              <w:widowControl/>
              <w:spacing w:line="360" w:lineRule="exact"/>
              <w:jc w:val="center"/>
              <w:rPr>
                <w:rFonts w:ascii="宋体" w:hAnsi="宋体" w:cs="宋体"/>
                <w:kern w:val="0"/>
                <w:sz w:val="22"/>
                <w:szCs w:val="22"/>
              </w:rPr>
            </w:pPr>
            <w:r>
              <w:rPr>
                <w:rFonts w:hint="eastAsia" w:ascii="宋体" w:hAnsi="宋体" w:cs="宋体"/>
                <w:kern w:val="0"/>
                <w:sz w:val="22"/>
                <w:szCs w:val="22"/>
              </w:rPr>
              <w:t>3</w:t>
            </w:r>
          </w:p>
        </w:tc>
        <w:tc>
          <w:tcPr>
            <w:tcW w:w="1665" w:type="dxa"/>
            <w:shd w:val="clear" w:color="auto" w:fill="auto"/>
            <w:noWrap/>
            <w:vAlign w:val="center"/>
          </w:tcPr>
          <w:p w14:paraId="3813EF98">
            <w:pPr>
              <w:widowControl/>
              <w:spacing w:line="360" w:lineRule="exact"/>
              <w:jc w:val="center"/>
              <w:rPr>
                <w:rFonts w:ascii="宋体" w:hAnsi="宋体" w:cs="宋体"/>
                <w:kern w:val="0"/>
                <w:sz w:val="22"/>
                <w:szCs w:val="22"/>
              </w:rPr>
            </w:pPr>
            <w:r>
              <w:rPr>
                <w:rFonts w:hint="eastAsia" w:ascii="宋体" w:hAnsi="宋体" w:cs="宋体"/>
                <w:kern w:val="0"/>
                <w:sz w:val="22"/>
                <w:szCs w:val="22"/>
              </w:rPr>
              <w:t>身份鉴别与权限管控服务</w:t>
            </w:r>
          </w:p>
        </w:tc>
        <w:tc>
          <w:tcPr>
            <w:tcW w:w="6645" w:type="dxa"/>
            <w:shd w:val="clear" w:color="000000" w:fill="FFFFFF"/>
            <w:vAlign w:val="center"/>
          </w:tcPr>
          <w:p w14:paraId="3039BE1D">
            <w:pPr>
              <w:widowControl/>
              <w:spacing w:line="360" w:lineRule="exact"/>
              <w:rPr>
                <w:rFonts w:ascii="宋体" w:hAnsi="宋体" w:cs="宋体"/>
                <w:kern w:val="0"/>
                <w:sz w:val="22"/>
                <w:szCs w:val="22"/>
              </w:rPr>
            </w:pPr>
            <w:r>
              <w:rPr>
                <w:rFonts w:hint="eastAsia" w:ascii="宋体" w:hAnsi="宋体" w:cs="宋体"/>
                <w:kern w:val="0"/>
                <w:sz w:val="22"/>
                <w:szCs w:val="22"/>
              </w:rPr>
              <w:t>面向内部运维人员访问公共数据平台进行多维身份鉴别处理。针对数据资源具体操作过程进行权限的统一管控，防止非法数据源系统的接入。</w:t>
            </w:r>
          </w:p>
        </w:tc>
        <w:tc>
          <w:tcPr>
            <w:tcW w:w="880" w:type="dxa"/>
            <w:shd w:val="clear" w:color="000000" w:fill="FFFFFF"/>
            <w:vAlign w:val="center"/>
          </w:tcPr>
          <w:p w14:paraId="5B69B768">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761E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002C6F6">
            <w:pPr>
              <w:widowControl/>
              <w:spacing w:line="360" w:lineRule="exact"/>
              <w:jc w:val="center"/>
              <w:rPr>
                <w:rFonts w:ascii="宋体" w:hAnsi="宋体" w:cs="宋体"/>
                <w:kern w:val="0"/>
                <w:sz w:val="22"/>
                <w:szCs w:val="22"/>
              </w:rPr>
            </w:pPr>
            <w:r>
              <w:rPr>
                <w:rFonts w:ascii="宋体" w:hAnsi="宋体" w:cs="宋体"/>
                <w:kern w:val="0"/>
                <w:sz w:val="22"/>
                <w:szCs w:val="22"/>
              </w:rPr>
              <w:t>4</w:t>
            </w:r>
          </w:p>
        </w:tc>
        <w:tc>
          <w:tcPr>
            <w:tcW w:w="1665" w:type="dxa"/>
            <w:shd w:val="clear" w:color="auto" w:fill="auto"/>
            <w:noWrap/>
            <w:vAlign w:val="center"/>
          </w:tcPr>
          <w:p w14:paraId="6E9FBAF0">
            <w:pPr>
              <w:widowControl/>
              <w:spacing w:line="360" w:lineRule="exact"/>
              <w:jc w:val="center"/>
              <w:rPr>
                <w:rFonts w:ascii="宋体" w:hAnsi="宋体" w:cs="宋体"/>
                <w:kern w:val="0"/>
                <w:sz w:val="22"/>
                <w:szCs w:val="22"/>
              </w:rPr>
            </w:pPr>
            <w:r>
              <w:rPr>
                <w:rFonts w:hint="eastAsia" w:ascii="宋体" w:hAnsi="宋体" w:cs="宋体"/>
                <w:kern w:val="0"/>
                <w:sz w:val="22"/>
                <w:szCs w:val="22"/>
              </w:rPr>
              <w:t>水印溯源服务</w:t>
            </w:r>
          </w:p>
        </w:tc>
        <w:tc>
          <w:tcPr>
            <w:tcW w:w="6645" w:type="dxa"/>
            <w:shd w:val="clear" w:color="000000" w:fill="FFFFFF"/>
            <w:vAlign w:val="center"/>
          </w:tcPr>
          <w:p w14:paraId="0C68B3CE">
            <w:pPr>
              <w:widowControl/>
              <w:spacing w:line="360" w:lineRule="exact"/>
              <w:rPr>
                <w:rFonts w:ascii="宋体" w:hAnsi="宋体" w:cs="宋体"/>
                <w:kern w:val="0"/>
                <w:sz w:val="22"/>
                <w:szCs w:val="22"/>
              </w:rPr>
            </w:pPr>
            <w:r>
              <w:rPr>
                <w:rFonts w:hint="eastAsia" w:ascii="宋体" w:hAnsi="宋体" w:cs="宋体"/>
                <w:kern w:val="0"/>
                <w:sz w:val="22"/>
                <w:szCs w:val="22"/>
              </w:rPr>
              <w:t>经过水印标注处理的数据，分发到其他单位进行数据的应用。在外发数据发生数据丢失、泄漏、外流，通过水印溯源产品跟踪到数据泄露的单位、泄露时间及相关责任人员。</w:t>
            </w:r>
          </w:p>
        </w:tc>
        <w:tc>
          <w:tcPr>
            <w:tcW w:w="880" w:type="dxa"/>
            <w:shd w:val="clear" w:color="000000" w:fill="FFFFFF"/>
            <w:vAlign w:val="center"/>
          </w:tcPr>
          <w:p w14:paraId="083ACA6B">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539A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81225E9">
            <w:pPr>
              <w:widowControl/>
              <w:spacing w:line="360" w:lineRule="exact"/>
              <w:jc w:val="center"/>
              <w:rPr>
                <w:rFonts w:ascii="宋体" w:hAnsi="宋体" w:cs="宋体"/>
                <w:kern w:val="0"/>
                <w:sz w:val="22"/>
                <w:szCs w:val="22"/>
              </w:rPr>
            </w:pPr>
            <w:r>
              <w:rPr>
                <w:rFonts w:ascii="宋体" w:hAnsi="宋体" w:cs="宋体"/>
                <w:kern w:val="0"/>
                <w:sz w:val="22"/>
                <w:szCs w:val="22"/>
              </w:rPr>
              <w:t>5</w:t>
            </w:r>
          </w:p>
        </w:tc>
        <w:tc>
          <w:tcPr>
            <w:tcW w:w="1665" w:type="dxa"/>
            <w:shd w:val="clear" w:color="auto" w:fill="auto"/>
            <w:noWrap/>
            <w:vAlign w:val="center"/>
          </w:tcPr>
          <w:p w14:paraId="74257239">
            <w:pPr>
              <w:widowControl/>
              <w:spacing w:line="360" w:lineRule="exact"/>
              <w:jc w:val="center"/>
              <w:rPr>
                <w:rFonts w:ascii="宋体" w:hAnsi="宋体" w:cs="宋体"/>
                <w:kern w:val="0"/>
                <w:sz w:val="22"/>
                <w:szCs w:val="22"/>
              </w:rPr>
            </w:pPr>
            <w:r>
              <w:rPr>
                <w:rFonts w:hint="eastAsia" w:ascii="宋体" w:hAnsi="宋体" w:cs="宋体"/>
                <w:kern w:val="0"/>
                <w:sz w:val="22"/>
                <w:szCs w:val="22"/>
              </w:rPr>
              <w:t>API接口监测服务</w:t>
            </w:r>
          </w:p>
        </w:tc>
        <w:tc>
          <w:tcPr>
            <w:tcW w:w="6645" w:type="dxa"/>
            <w:shd w:val="clear" w:color="000000" w:fill="FFFFFF"/>
            <w:vAlign w:val="center"/>
          </w:tcPr>
          <w:p w14:paraId="30CB3266">
            <w:pPr>
              <w:widowControl/>
              <w:spacing w:line="360" w:lineRule="exact"/>
              <w:rPr>
                <w:rFonts w:ascii="宋体" w:hAnsi="宋体" w:cs="宋体"/>
                <w:kern w:val="0"/>
                <w:sz w:val="22"/>
                <w:szCs w:val="22"/>
              </w:rPr>
            </w:pPr>
            <w:r>
              <w:rPr>
                <w:rFonts w:hint="eastAsia" w:ascii="宋体" w:hAnsi="宋体" w:cs="宋体"/>
                <w:kern w:val="0"/>
                <w:sz w:val="22"/>
                <w:szCs w:val="22"/>
              </w:rPr>
              <w:t>识别梳理业务系统接口以及业务系统用户，检测API上存在的漏洞，防止发生机密数据因API自身漏洞造成的数据泄露事件发生</w:t>
            </w:r>
            <w:r>
              <w:rPr>
                <w:rFonts w:hint="eastAsia" w:ascii="宋体" w:hAnsi="宋体" w:cs="宋体"/>
                <w:kern w:val="0"/>
                <w:sz w:val="22"/>
                <w:szCs w:val="22"/>
                <w:lang w:eastAsia="zh-CN"/>
              </w:rPr>
              <w:t>。</w:t>
            </w:r>
          </w:p>
        </w:tc>
        <w:tc>
          <w:tcPr>
            <w:tcW w:w="880" w:type="dxa"/>
            <w:shd w:val="clear" w:color="000000" w:fill="FFFFFF"/>
            <w:vAlign w:val="center"/>
          </w:tcPr>
          <w:p w14:paraId="6345B85C">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4F96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DE4DFBB">
            <w:pPr>
              <w:widowControl/>
              <w:spacing w:line="360" w:lineRule="exact"/>
              <w:jc w:val="center"/>
              <w:rPr>
                <w:rFonts w:ascii="宋体" w:hAnsi="宋体" w:cs="宋体"/>
                <w:kern w:val="0"/>
                <w:sz w:val="22"/>
                <w:szCs w:val="22"/>
              </w:rPr>
            </w:pPr>
            <w:r>
              <w:rPr>
                <w:rFonts w:ascii="宋体" w:hAnsi="宋体" w:cs="宋体"/>
                <w:kern w:val="0"/>
                <w:sz w:val="22"/>
                <w:szCs w:val="22"/>
              </w:rPr>
              <w:t>6</w:t>
            </w:r>
          </w:p>
        </w:tc>
        <w:tc>
          <w:tcPr>
            <w:tcW w:w="1665" w:type="dxa"/>
            <w:shd w:val="clear" w:color="auto" w:fill="auto"/>
            <w:noWrap/>
            <w:vAlign w:val="center"/>
          </w:tcPr>
          <w:p w14:paraId="590131D2">
            <w:pPr>
              <w:widowControl/>
              <w:spacing w:line="360" w:lineRule="exact"/>
              <w:jc w:val="center"/>
              <w:rPr>
                <w:rFonts w:ascii="宋体" w:hAnsi="宋体" w:cs="宋体"/>
                <w:kern w:val="0"/>
                <w:sz w:val="22"/>
                <w:szCs w:val="22"/>
              </w:rPr>
            </w:pPr>
            <w:r>
              <w:rPr>
                <w:rFonts w:hint="eastAsia" w:ascii="宋体" w:hAnsi="宋体" w:cs="宋体"/>
                <w:kern w:val="0"/>
                <w:sz w:val="22"/>
                <w:szCs w:val="22"/>
              </w:rPr>
              <w:t>数据脱敏服务</w:t>
            </w:r>
          </w:p>
        </w:tc>
        <w:tc>
          <w:tcPr>
            <w:tcW w:w="6645" w:type="dxa"/>
            <w:shd w:val="clear" w:color="000000" w:fill="FFFFFF"/>
            <w:vAlign w:val="center"/>
          </w:tcPr>
          <w:p w14:paraId="51D2FC52">
            <w:pPr>
              <w:widowControl/>
              <w:spacing w:line="360" w:lineRule="exact"/>
              <w:rPr>
                <w:rFonts w:ascii="宋体" w:hAnsi="宋体" w:cs="宋体"/>
                <w:kern w:val="0"/>
                <w:sz w:val="22"/>
                <w:szCs w:val="22"/>
              </w:rPr>
            </w:pPr>
            <w:r>
              <w:rPr>
                <w:rFonts w:hint="eastAsia" w:ascii="宋体" w:hAnsi="宋体" w:cs="宋体"/>
                <w:kern w:val="0"/>
                <w:sz w:val="22"/>
                <w:szCs w:val="22"/>
              </w:rPr>
              <w:t>针对数据交换、业务分析等场景，基于敏感数据自动发现，通过脱敏技术对敏感数据按需进行脱敏处理。</w:t>
            </w:r>
          </w:p>
        </w:tc>
        <w:tc>
          <w:tcPr>
            <w:tcW w:w="880" w:type="dxa"/>
            <w:shd w:val="clear" w:color="000000" w:fill="FFFFFF"/>
            <w:vAlign w:val="center"/>
          </w:tcPr>
          <w:p w14:paraId="5330B3C9">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477D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4DA23447">
            <w:pPr>
              <w:widowControl/>
              <w:spacing w:line="360" w:lineRule="exact"/>
              <w:jc w:val="center"/>
              <w:rPr>
                <w:rFonts w:ascii="宋体" w:hAnsi="宋体" w:cs="宋体"/>
                <w:kern w:val="0"/>
                <w:sz w:val="22"/>
                <w:szCs w:val="22"/>
              </w:rPr>
            </w:pPr>
            <w:r>
              <w:rPr>
                <w:rFonts w:ascii="宋体" w:hAnsi="宋体" w:cs="宋体"/>
                <w:kern w:val="0"/>
                <w:sz w:val="22"/>
                <w:szCs w:val="22"/>
              </w:rPr>
              <w:t>7</w:t>
            </w:r>
          </w:p>
        </w:tc>
        <w:tc>
          <w:tcPr>
            <w:tcW w:w="1665" w:type="dxa"/>
            <w:shd w:val="clear" w:color="auto" w:fill="auto"/>
            <w:noWrap/>
            <w:vAlign w:val="center"/>
          </w:tcPr>
          <w:p w14:paraId="01397F63">
            <w:pPr>
              <w:widowControl/>
              <w:spacing w:line="360" w:lineRule="exact"/>
              <w:jc w:val="center"/>
              <w:rPr>
                <w:rFonts w:ascii="宋体" w:hAnsi="宋体" w:cs="宋体"/>
                <w:kern w:val="0"/>
                <w:sz w:val="22"/>
                <w:szCs w:val="22"/>
              </w:rPr>
            </w:pPr>
            <w:r>
              <w:rPr>
                <w:rFonts w:hint="eastAsia" w:ascii="宋体" w:hAnsi="宋体" w:cs="宋体"/>
                <w:kern w:val="0"/>
                <w:sz w:val="22"/>
                <w:szCs w:val="22"/>
              </w:rPr>
              <w:t>数据防泄漏服务</w:t>
            </w:r>
          </w:p>
        </w:tc>
        <w:tc>
          <w:tcPr>
            <w:tcW w:w="6645" w:type="dxa"/>
            <w:shd w:val="clear" w:color="000000" w:fill="FFFFFF"/>
            <w:vAlign w:val="center"/>
          </w:tcPr>
          <w:p w14:paraId="5719DFBD">
            <w:pPr>
              <w:widowControl/>
              <w:spacing w:line="360" w:lineRule="exact"/>
              <w:rPr>
                <w:rFonts w:ascii="宋体" w:hAnsi="宋体" w:cs="宋体"/>
                <w:kern w:val="0"/>
                <w:sz w:val="22"/>
                <w:szCs w:val="22"/>
              </w:rPr>
            </w:pPr>
            <w:r>
              <w:rPr>
                <w:rFonts w:hint="eastAsia" w:ascii="宋体" w:hAnsi="宋体" w:cs="宋体"/>
                <w:kern w:val="0"/>
                <w:sz w:val="22"/>
                <w:szCs w:val="22"/>
              </w:rPr>
              <w:t>数据防泄漏服务能够防止指定的敏感数据或信息资产通过网络以违反安全策略规定的形式流出政务网，是保护公共数据资产的根本方法。</w:t>
            </w:r>
          </w:p>
        </w:tc>
        <w:tc>
          <w:tcPr>
            <w:tcW w:w="880" w:type="dxa"/>
            <w:shd w:val="clear" w:color="000000" w:fill="FFFFFF"/>
            <w:vAlign w:val="center"/>
          </w:tcPr>
          <w:p w14:paraId="163AE03B">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r w14:paraId="4DC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C018806">
            <w:pPr>
              <w:widowControl/>
              <w:spacing w:line="360" w:lineRule="exact"/>
              <w:jc w:val="center"/>
              <w:rPr>
                <w:rFonts w:ascii="宋体" w:hAnsi="宋体" w:cs="宋体"/>
                <w:kern w:val="0"/>
                <w:sz w:val="22"/>
                <w:szCs w:val="22"/>
              </w:rPr>
            </w:pPr>
            <w:r>
              <w:rPr>
                <w:rFonts w:ascii="宋体" w:hAnsi="宋体" w:cs="宋体"/>
                <w:kern w:val="0"/>
                <w:sz w:val="22"/>
                <w:szCs w:val="22"/>
              </w:rPr>
              <w:t>8</w:t>
            </w:r>
          </w:p>
        </w:tc>
        <w:tc>
          <w:tcPr>
            <w:tcW w:w="1665" w:type="dxa"/>
            <w:shd w:val="clear" w:color="auto" w:fill="auto"/>
            <w:noWrap/>
            <w:vAlign w:val="center"/>
          </w:tcPr>
          <w:p w14:paraId="2EE999BF">
            <w:pPr>
              <w:widowControl/>
              <w:spacing w:line="360" w:lineRule="exact"/>
              <w:jc w:val="center"/>
              <w:rPr>
                <w:rFonts w:ascii="宋体" w:hAnsi="宋体" w:cs="宋体"/>
                <w:kern w:val="0"/>
                <w:sz w:val="22"/>
                <w:szCs w:val="22"/>
              </w:rPr>
            </w:pPr>
            <w:r>
              <w:rPr>
                <w:rFonts w:hint="eastAsia" w:ascii="宋体" w:hAnsi="宋体" w:cs="宋体"/>
                <w:kern w:val="0"/>
                <w:sz w:val="22"/>
                <w:szCs w:val="22"/>
              </w:rPr>
              <w:t>数据安全态势感知运营服务</w:t>
            </w:r>
          </w:p>
        </w:tc>
        <w:tc>
          <w:tcPr>
            <w:tcW w:w="6645" w:type="dxa"/>
            <w:shd w:val="clear" w:color="000000" w:fill="FFFFFF"/>
            <w:vAlign w:val="center"/>
          </w:tcPr>
          <w:p w14:paraId="500377DD">
            <w:pPr>
              <w:widowControl/>
              <w:spacing w:line="360" w:lineRule="exact"/>
              <w:rPr>
                <w:rFonts w:ascii="宋体" w:hAnsi="宋体" w:cs="宋体"/>
                <w:kern w:val="0"/>
                <w:sz w:val="22"/>
                <w:szCs w:val="22"/>
              </w:rPr>
            </w:pPr>
            <w:r>
              <w:rPr>
                <w:rFonts w:hint="eastAsia" w:ascii="宋体" w:hAnsi="宋体" w:cs="宋体"/>
                <w:kern w:val="0"/>
                <w:sz w:val="22"/>
                <w:szCs w:val="22"/>
              </w:rPr>
              <w:t>以数据生命周期及数据使用业务场景为核心，建立常态化的数据回流全流程安全监测预警服务，从体系化的角度出发，以风险控制各个阶段为抓手，为龙湾区公共数据平台安全运营工作提供有效的支撑。</w:t>
            </w:r>
          </w:p>
        </w:tc>
        <w:tc>
          <w:tcPr>
            <w:tcW w:w="880" w:type="dxa"/>
            <w:shd w:val="clear" w:color="000000" w:fill="FFFFFF"/>
            <w:vAlign w:val="center"/>
          </w:tcPr>
          <w:p w14:paraId="0985E521">
            <w:pPr>
              <w:widowControl/>
              <w:spacing w:line="360" w:lineRule="exact"/>
              <w:jc w:val="center"/>
              <w:rPr>
                <w:rFonts w:ascii="宋体" w:hAnsi="宋体" w:cs="宋体"/>
                <w:kern w:val="0"/>
                <w:sz w:val="22"/>
                <w:szCs w:val="22"/>
              </w:rPr>
            </w:pPr>
            <w:r>
              <w:rPr>
                <w:rFonts w:hint="eastAsia" w:ascii="宋体" w:hAnsi="宋体" w:cs="宋体"/>
                <w:kern w:val="0"/>
                <w:sz w:val="22"/>
                <w:szCs w:val="22"/>
              </w:rPr>
              <w:t>1</w:t>
            </w:r>
          </w:p>
        </w:tc>
      </w:tr>
    </w:tbl>
    <w:p w14:paraId="0FBD0B4E">
      <w:pPr>
        <w:pStyle w:val="7"/>
        <w:spacing w:before="0" w:after="0" w:line="440" w:lineRule="exact"/>
        <w:rPr>
          <w:rFonts w:ascii="宋体" w:hAnsi="宋体" w:cs="宋体"/>
          <w:sz w:val="22"/>
          <w:szCs w:val="22"/>
        </w:rPr>
      </w:pPr>
    </w:p>
    <w:p w14:paraId="19ED241E">
      <w:pPr>
        <w:pStyle w:val="7"/>
        <w:spacing w:before="0" w:after="0" w:line="440" w:lineRule="exact"/>
        <w:rPr>
          <w:rFonts w:ascii="宋体" w:hAnsi="宋体" w:cs="宋体"/>
          <w:sz w:val="22"/>
          <w:szCs w:val="22"/>
        </w:rPr>
      </w:pPr>
      <w:r>
        <w:rPr>
          <w:rFonts w:hint="eastAsia" w:ascii="宋体" w:hAnsi="宋体" w:cs="宋体"/>
          <w:sz w:val="22"/>
          <w:szCs w:val="22"/>
        </w:rPr>
        <w:t>5.2服务参数</w:t>
      </w:r>
    </w:p>
    <w:p w14:paraId="35F58F1D">
      <w:pPr>
        <w:pStyle w:val="8"/>
        <w:numPr>
          <w:ilvl w:val="0"/>
          <w:numId w:val="19"/>
        </w:numPr>
        <w:rPr>
          <w:rFonts w:ascii="宋体" w:hAnsi="宋体" w:cs="宋体"/>
          <w:sz w:val="22"/>
          <w:szCs w:val="22"/>
        </w:rPr>
      </w:pPr>
      <w:r>
        <w:rPr>
          <w:rFonts w:hint="eastAsia" w:ascii="宋体" w:hAnsi="宋体" w:cs="宋体"/>
          <w:sz w:val="22"/>
          <w:szCs w:val="22"/>
        </w:rPr>
        <w:t>安全制度体系服务</w:t>
      </w:r>
    </w:p>
    <w:tbl>
      <w:tblPr>
        <w:tblStyle w:val="56"/>
        <w:tblW w:w="9846" w:type="dxa"/>
        <w:tblInd w:w="0" w:type="dxa"/>
        <w:tblLayout w:type="fixed"/>
        <w:tblCellMar>
          <w:top w:w="0" w:type="dxa"/>
          <w:left w:w="108" w:type="dxa"/>
          <w:bottom w:w="0" w:type="dxa"/>
          <w:right w:w="108" w:type="dxa"/>
        </w:tblCellMar>
      </w:tblPr>
      <w:tblGrid>
        <w:gridCol w:w="1483"/>
        <w:gridCol w:w="8363"/>
      </w:tblGrid>
      <w:tr w14:paraId="7CEA723D">
        <w:tblPrEx>
          <w:tblCellMar>
            <w:top w:w="0" w:type="dxa"/>
            <w:left w:w="108" w:type="dxa"/>
            <w:bottom w:w="0" w:type="dxa"/>
            <w:right w:w="108" w:type="dxa"/>
          </w:tblCellMar>
        </w:tblPrEx>
        <w:trPr>
          <w:trHeight w:val="454" w:hRule="atLeast"/>
        </w:trPr>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1B35D74A">
            <w:pPr>
              <w:widowControl/>
              <w:jc w:val="center"/>
              <w:rPr>
                <w:rFonts w:ascii="宋体" w:cs="宋体"/>
                <w:bCs/>
                <w:sz w:val="22"/>
                <w:szCs w:val="22"/>
              </w:rPr>
            </w:pPr>
            <w:r>
              <w:rPr>
                <w:rFonts w:hint="eastAsia" w:ascii="宋体" w:cs="宋体"/>
                <w:bCs/>
                <w:sz w:val="22"/>
                <w:szCs w:val="22"/>
              </w:rPr>
              <w:t>指标项</w:t>
            </w:r>
          </w:p>
        </w:tc>
        <w:tc>
          <w:tcPr>
            <w:tcW w:w="8363" w:type="dxa"/>
            <w:tcBorders>
              <w:top w:val="single" w:color="auto" w:sz="4" w:space="0"/>
              <w:left w:val="nil"/>
              <w:bottom w:val="single" w:color="auto" w:sz="4" w:space="0"/>
              <w:right w:val="single" w:color="auto" w:sz="4" w:space="0"/>
            </w:tcBorders>
            <w:shd w:val="clear" w:color="auto" w:fill="FFFFFF"/>
            <w:vAlign w:val="center"/>
          </w:tcPr>
          <w:p w14:paraId="70416A2D">
            <w:pPr>
              <w:widowControl/>
              <w:jc w:val="center"/>
              <w:rPr>
                <w:rFonts w:ascii="宋体" w:cs="宋体"/>
                <w:bCs/>
                <w:sz w:val="22"/>
                <w:szCs w:val="22"/>
              </w:rPr>
            </w:pPr>
            <w:r>
              <w:rPr>
                <w:rFonts w:hint="eastAsia" w:ascii="宋体" w:cs="宋体"/>
                <w:bCs/>
                <w:sz w:val="22"/>
                <w:szCs w:val="22"/>
              </w:rPr>
              <w:t>指标要求</w:t>
            </w:r>
          </w:p>
        </w:tc>
      </w:tr>
      <w:tr w14:paraId="10B7066C">
        <w:tblPrEx>
          <w:tblCellMar>
            <w:top w:w="0" w:type="dxa"/>
            <w:left w:w="108" w:type="dxa"/>
            <w:bottom w:w="0" w:type="dxa"/>
            <w:right w:w="108" w:type="dxa"/>
          </w:tblCellMar>
        </w:tblPrEx>
        <w:trPr>
          <w:trHeight w:val="624" w:hRule="atLeast"/>
        </w:trPr>
        <w:tc>
          <w:tcPr>
            <w:tcW w:w="1483" w:type="dxa"/>
            <w:tcBorders>
              <w:top w:val="single" w:color="auto" w:sz="4" w:space="0"/>
              <w:left w:val="single" w:color="auto" w:sz="4" w:space="0"/>
              <w:bottom w:val="single" w:color="auto" w:sz="4" w:space="0"/>
              <w:right w:val="single" w:color="auto" w:sz="4" w:space="0"/>
            </w:tcBorders>
            <w:vAlign w:val="center"/>
          </w:tcPr>
          <w:p w14:paraId="626EF26F">
            <w:pPr>
              <w:widowControl/>
              <w:jc w:val="center"/>
              <w:rPr>
                <w:rFonts w:ascii="宋体" w:cs="宋体"/>
                <w:b/>
                <w:sz w:val="22"/>
                <w:szCs w:val="22"/>
              </w:rPr>
            </w:pPr>
            <w:r>
              <w:rPr>
                <w:rFonts w:hint="eastAsia" w:ascii="宋体" w:cs="宋体"/>
                <w:sz w:val="22"/>
                <w:szCs w:val="22"/>
              </w:rPr>
              <w:t>安全管理体系建设服务</w:t>
            </w:r>
          </w:p>
        </w:tc>
        <w:tc>
          <w:tcPr>
            <w:tcW w:w="8363" w:type="dxa"/>
            <w:tcBorders>
              <w:top w:val="nil"/>
              <w:left w:val="nil"/>
              <w:bottom w:val="single" w:color="auto" w:sz="4" w:space="0"/>
              <w:right w:val="single" w:color="auto" w:sz="4" w:space="0"/>
            </w:tcBorders>
            <w:vAlign w:val="center"/>
          </w:tcPr>
          <w:p w14:paraId="7F1BD47E">
            <w:pPr>
              <w:widowControl/>
              <w:jc w:val="left"/>
              <w:rPr>
                <w:rFonts w:ascii="宋体" w:cs="宋体"/>
                <w:b/>
                <w:sz w:val="22"/>
                <w:szCs w:val="22"/>
              </w:rPr>
            </w:pPr>
            <w:r>
              <w:rPr>
                <w:rFonts w:hint="eastAsia" w:ascii="宋体" w:cs="宋体"/>
                <w:sz w:val="22"/>
                <w:szCs w:val="22"/>
              </w:rPr>
              <w:t>按照省市数据安全工作要求，制定数据安全总体策略、方针、目标和原则，完善数据全生命周期管理制度。输出覆盖安全管理、安全建设、运营管理三个维度的考核评价指标，从多维度、细粒度评估和考核安全建设成效，引导制定针对性的数字政府数据安全保障体系构建和能力提升方案。</w:t>
            </w:r>
          </w:p>
        </w:tc>
      </w:tr>
    </w:tbl>
    <w:p w14:paraId="1201D6EB">
      <w:pPr>
        <w:pStyle w:val="8"/>
        <w:numPr>
          <w:ilvl w:val="0"/>
          <w:numId w:val="19"/>
        </w:numPr>
        <w:rPr>
          <w:rFonts w:ascii="宋体" w:hAnsi="宋体" w:cs="宋体"/>
          <w:sz w:val="22"/>
          <w:szCs w:val="22"/>
        </w:rPr>
      </w:pPr>
      <w:r>
        <w:rPr>
          <w:rFonts w:hint="eastAsia" w:ascii="宋体" w:hAnsi="宋体" w:cs="宋体"/>
          <w:sz w:val="22"/>
          <w:szCs w:val="22"/>
        </w:rPr>
        <w:t>数据分类分级服务</w:t>
      </w:r>
    </w:p>
    <w:tbl>
      <w:tblPr>
        <w:tblStyle w:val="5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699"/>
      </w:tblGrid>
      <w:tr w14:paraId="5860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5" w:type="dxa"/>
            <w:vAlign w:val="center"/>
          </w:tcPr>
          <w:p w14:paraId="6E97FB32">
            <w:pPr>
              <w:widowControl/>
              <w:jc w:val="center"/>
              <w:rPr>
                <w:rFonts w:ascii="宋体" w:cs="宋体"/>
                <w:bCs/>
                <w:sz w:val="22"/>
                <w:szCs w:val="22"/>
              </w:rPr>
            </w:pPr>
            <w:r>
              <w:rPr>
                <w:rFonts w:hint="eastAsia" w:ascii="宋体" w:cs="宋体"/>
                <w:bCs/>
                <w:sz w:val="22"/>
                <w:szCs w:val="22"/>
              </w:rPr>
              <w:t>指标项</w:t>
            </w:r>
          </w:p>
        </w:tc>
        <w:tc>
          <w:tcPr>
            <w:tcW w:w="8699" w:type="dxa"/>
            <w:vAlign w:val="center"/>
          </w:tcPr>
          <w:p w14:paraId="0359B308">
            <w:pPr>
              <w:widowControl/>
              <w:jc w:val="center"/>
              <w:rPr>
                <w:rFonts w:ascii="宋体" w:cs="宋体"/>
                <w:bCs/>
                <w:sz w:val="22"/>
                <w:szCs w:val="22"/>
              </w:rPr>
            </w:pPr>
            <w:r>
              <w:rPr>
                <w:rFonts w:hint="eastAsia" w:ascii="宋体" w:cs="宋体"/>
                <w:bCs/>
                <w:sz w:val="22"/>
                <w:szCs w:val="22"/>
              </w:rPr>
              <w:t>技术参数</w:t>
            </w:r>
          </w:p>
        </w:tc>
      </w:tr>
      <w:tr w14:paraId="2E27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restart"/>
            <w:vAlign w:val="center"/>
          </w:tcPr>
          <w:p w14:paraId="627A5601">
            <w:pPr>
              <w:widowControl/>
              <w:jc w:val="center"/>
              <w:rPr>
                <w:rFonts w:ascii="宋体" w:cs="宋体"/>
                <w:b/>
                <w:sz w:val="22"/>
                <w:szCs w:val="22"/>
              </w:rPr>
            </w:pPr>
            <w:r>
              <w:rPr>
                <w:rFonts w:hint="eastAsia" w:ascii="宋体" w:cs="宋体"/>
                <w:sz w:val="22"/>
                <w:szCs w:val="22"/>
              </w:rPr>
              <w:t>数据源资产管理</w:t>
            </w:r>
          </w:p>
        </w:tc>
        <w:tc>
          <w:tcPr>
            <w:tcW w:w="8699" w:type="dxa"/>
            <w:vAlign w:val="center"/>
          </w:tcPr>
          <w:p w14:paraId="29AE22F3">
            <w:pPr>
              <w:widowControl/>
              <w:jc w:val="left"/>
              <w:rPr>
                <w:rFonts w:ascii="宋体" w:cs="宋体"/>
                <w:b/>
                <w:sz w:val="22"/>
                <w:szCs w:val="22"/>
              </w:rPr>
            </w:pPr>
            <w:r>
              <w:rPr>
                <w:rFonts w:hint="eastAsia" w:ascii="宋体" w:cs="宋体"/>
                <w:sz w:val="22"/>
                <w:szCs w:val="22"/>
              </w:rPr>
              <w:t>支持导入各类数据文件（</w:t>
            </w:r>
            <w:r>
              <w:rPr>
                <w:rFonts w:hint="eastAsia" w:ascii="宋体" w:hAnsi="宋体" w:cs="宋体"/>
                <w:sz w:val="22"/>
                <w:szCs w:val="22"/>
              </w:rPr>
              <w:t>MySQL、Oracle、PostgreSQL、Hive、SQLServer、IPMALA、MongoDB、ElasticSearch</w:t>
            </w:r>
            <w:r>
              <w:rPr>
                <w:rFonts w:hint="eastAsia" w:ascii="宋体" w:hAnsi="宋体" w:cs="宋体"/>
                <w:sz w:val="22"/>
                <w:szCs w:val="22"/>
                <w:lang w:eastAsia="zh-CN"/>
              </w:rPr>
              <w:t>等</w:t>
            </w:r>
            <w:r>
              <w:rPr>
                <w:rFonts w:hint="eastAsia" w:ascii="宋体" w:cs="宋体"/>
                <w:sz w:val="22"/>
                <w:szCs w:val="22"/>
              </w:rPr>
              <w:t>结构化数据和本地文件/FTP/SFTP 等非结构化数据），并可指定行业模板维度进行分类分级</w:t>
            </w:r>
          </w:p>
        </w:tc>
      </w:tr>
      <w:tr w14:paraId="0F9C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3FBAD00D">
            <w:pPr>
              <w:widowControl/>
              <w:jc w:val="center"/>
              <w:rPr>
                <w:rFonts w:ascii="宋体" w:cs="宋体"/>
                <w:b/>
                <w:sz w:val="22"/>
                <w:szCs w:val="22"/>
              </w:rPr>
            </w:pPr>
          </w:p>
        </w:tc>
        <w:tc>
          <w:tcPr>
            <w:tcW w:w="8699" w:type="dxa"/>
            <w:vAlign w:val="center"/>
          </w:tcPr>
          <w:p w14:paraId="57A702D7">
            <w:pPr>
              <w:widowControl/>
              <w:jc w:val="left"/>
              <w:rPr>
                <w:rFonts w:ascii="宋体" w:cs="宋体"/>
                <w:b/>
                <w:sz w:val="22"/>
                <w:szCs w:val="22"/>
              </w:rPr>
            </w:pPr>
            <w:r>
              <w:rPr>
                <w:rFonts w:hint="eastAsia" w:ascii="宋体" w:cs="宋体"/>
                <w:sz w:val="22"/>
                <w:szCs w:val="22"/>
              </w:rPr>
              <w:t>支持在对各类数据源进行分类分级的同时，对其全文的敏感字段出现次数进行统计。</w:t>
            </w:r>
          </w:p>
        </w:tc>
      </w:tr>
      <w:tr w14:paraId="51FF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06D74517">
            <w:pPr>
              <w:widowControl/>
              <w:jc w:val="center"/>
              <w:rPr>
                <w:rFonts w:ascii="宋体" w:cs="宋体"/>
                <w:b/>
                <w:sz w:val="22"/>
                <w:szCs w:val="22"/>
              </w:rPr>
            </w:pPr>
          </w:p>
        </w:tc>
        <w:tc>
          <w:tcPr>
            <w:tcW w:w="8699" w:type="dxa"/>
            <w:vAlign w:val="center"/>
          </w:tcPr>
          <w:p w14:paraId="3DD5C9E0">
            <w:pPr>
              <w:widowControl/>
              <w:jc w:val="left"/>
              <w:rPr>
                <w:rFonts w:ascii="宋体" w:cs="宋体"/>
                <w:b/>
                <w:sz w:val="22"/>
                <w:szCs w:val="22"/>
              </w:rPr>
            </w:pPr>
            <w:r>
              <w:rPr>
                <w:rFonts w:hint="eastAsia" w:ascii="宋体" w:cs="宋体"/>
                <w:sz w:val="22"/>
                <w:szCs w:val="22"/>
              </w:rPr>
              <w:t>支持创建数据源时，将数据源绑定对应的部门、责任人。每个数据源都可以使用不同的行业模板，达到不同行业模板的多数据源并行执行分类分级任务</w:t>
            </w:r>
          </w:p>
        </w:tc>
      </w:tr>
      <w:tr w14:paraId="32BF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A1420BA">
            <w:pPr>
              <w:widowControl/>
              <w:jc w:val="center"/>
              <w:rPr>
                <w:rFonts w:ascii="宋体" w:cs="宋体"/>
                <w:b/>
                <w:sz w:val="22"/>
                <w:szCs w:val="22"/>
              </w:rPr>
            </w:pPr>
          </w:p>
        </w:tc>
        <w:tc>
          <w:tcPr>
            <w:tcW w:w="8699" w:type="dxa"/>
            <w:vAlign w:val="center"/>
          </w:tcPr>
          <w:p w14:paraId="71C853E4">
            <w:pPr>
              <w:widowControl/>
              <w:jc w:val="left"/>
              <w:rPr>
                <w:rFonts w:ascii="宋体" w:cs="宋体"/>
                <w:b/>
                <w:sz w:val="22"/>
                <w:szCs w:val="22"/>
              </w:rPr>
            </w:pPr>
            <w:r>
              <w:rPr>
                <w:rFonts w:hint="eastAsia" w:ascii="宋体" w:cs="宋体"/>
                <w:sz w:val="22"/>
                <w:szCs w:val="22"/>
              </w:rPr>
              <w:t>支持手动添加数据源，编辑数据源名称、数据源类型、主机及端口、库名/实例名、版本号、账号、密码等信息，也可以批量导入数据库，进行数据资产管理。</w:t>
            </w:r>
          </w:p>
        </w:tc>
      </w:tr>
      <w:tr w14:paraId="3954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1E0F139">
            <w:pPr>
              <w:widowControl/>
              <w:jc w:val="center"/>
              <w:rPr>
                <w:rFonts w:ascii="宋体" w:cs="宋体"/>
                <w:b/>
                <w:sz w:val="22"/>
                <w:szCs w:val="22"/>
              </w:rPr>
            </w:pPr>
          </w:p>
        </w:tc>
        <w:tc>
          <w:tcPr>
            <w:tcW w:w="8699" w:type="dxa"/>
            <w:vAlign w:val="center"/>
          </w:tcPr>
          <w:p w14:paraId="0D67D7BF">
            <w:pPr>
              <w:widowControl/>
              <w:jc w:val="left"/>
              <w:rPr>
                <w:rFonts w:ascii="宋体" w:cs="宋体"/>
                <w:b/>
                <w:sz w:val="22"/>
                <w:szCs w:val="22"/>
              </w:rPr>
            </w:pPr>
            <w:r>
              <w:rPr>
                <w:rFonts w:hint="eastAsia" w:ascii="宋体" w:cs="宋体"/>
                <w:sz w:val="22"/>
                <w:szCs w:val="22"/>
              </w:rPr>
              <w:t>支持通过指定的IP段、端口段，定时扫描发现当前环境下的数据库资产。</w:t>
            </w:r>
          </w:p>
        </w:tc>
      </w:tr>
      <w:tr w14:paraId="6F8A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2F54AE93">
            <w:pPr>
              <w:widowControl/>
              <w:jc w:val="center"/>
              <w:rPr>
                <w:rFonts w:ascii="宋体" w:cs="宋体"/>
                <w:b/>
                <w:sz w:val="22"/>
                <w:szCs w:val="22"/>
              </w:rPr>
            </w:pPr>
          </w:p>
        </w:tc>
        <w:tc>
          <w:tcPr>
            <w:tcW w:w="8699" w:type="dxa"/>
            <w:vAlign w:val="center"/>
          </w:tcPr>
          <w:p w14:paraId="6F01F5D3">
            <w:pPr>
              <w:widowControl/>
              <w:jc w:val="left"/>
              <w:rPr>
                <w:rFonts w:ascii="宋体" w:cs="宋体"/>
                <w:b/>
                <w:sz w:val="22"/>
                <w:szCs w:val="22"/>
              </w:rPr>
            </w:pPr>
            <w:r>
              <w:rPr>
                <w:rFonts w:hint="eastAsia" w:ascii="宋体" w:cs="宋体"/>
                <w:sz w:val="22"/>
                <w:szCs w:val="22"/>
              </w:rPr>
              <w:t>★支持数据资产被动发现功能，通过联动数据库审计设备，解析被审计语句中的数据库资产信息，实现数据库资产录入，并自动新增对应数据库的分类分级扫描任务。（需提供截图证明）</w:t>
            </w:r>
          </w:p>
        </w:tc>
      </w:tr>
      <w:tr w14:paraId="007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382F347">
            <w:pPr>
              <w:widowControl/>
              <w:jc w:val="center"/>
              <w:rPr>
                <w:rFonts w:ascii="宋体" w:cs="宋体"/>
                <w:b/>
                <w:sz w:val="22"/>
                <w:szCs w:val="22"/>
              </w:rPr>
            </w:pPr>
          </w:p>
        </w:tc>
        <w:tc>
          <w:tcPr>
            <w:tcW w:w="8699" w:type="dxa"/>
            <w:vAlign w:val="center"/>
          </w:tcPr>
          <w:p w14:paraId="2FEBC44F">
            <w:pPr>
              <w:widowControl/>
              <w:jc w:val="left"/>
              <w:rPr>
                <w:rFonts w:ascii="宋体" w:cs="宋体"/>
                <w:b/>
                <w:sz w:val="22"/>
                <w:szCs w:val="22"/>
              </w:rPr>
            </w:pPr>
            <w:r>
              <w:rPr>
                <w:rFonts w:hint="eastAsia" w:ascii="宋体" w:cs="宋体"/>
                <w:sz w:val="22"/>
                <w:szCs w:val="22"/>
              </w:rPr>
              <w:t>支持数据源展示功能，至少包括但不限于数据源名称、数据源类型、主机及端口、创建用户、创建时间等数据源基本信息，也支持展示具体每个数据源的库、表、字段信息。</w:t>
            </w:r>
          </w:p>
        </w:tc>
      </w:tr>
      <w:tr w14:paraId="63F6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62F25DC6">
            <w:pPr>
              <w:widowControl/>
              <w:jc w:val="center"/>
              <w:rPr>
                <w:rFonts w:ascii="宋体" w:cs="宋体"/>
                <w:b/>
                <w:sz w:val="22"/>
                <w:szCs w:val="22"/>
              </w:rPr>
            </w:pPr>
          </w:p>
        </w:tc>
        <w:tc>
          <w:tcPr>
            <w:tcW w:w="8699" w:type="dxa"/>
            <w:vAlign w:val="center"/>
          </w:tcPr>
          <w:p w14:paraId="00185FB0">
            <w:pPr>
              <w:widowControl/>
              <w:jc w:val="left"/>
              <w:rPr>
                <w:rFonts w:ascii="宋体" w:cs="宋体"/>
                <w:b/>
                <w:sz w:val="22"/>
                <w:szCs w:val="22"/>
              </w:rPr>
            </w:pPr>
            <w:r>
              <w:rPr>
                <w:rFonts w:hint="eastAsia" w:ascii="宋体" w:cs="宋体"/>
                <w:sz w:val="22"/>
                <w:szCs w:val="22"/>
              </w:rPr>
              <w:t>支持数据源“一键删除”功能。当数据源删除后，对应数据源关联的数据分类分级任务、数据资产目录、数据库账号信息、数据风险</w:t>
            </w:r>
            <w:r>
              <w:rPr>
                <w:rFonts w:hint="eastAsia" w:ascii="宋体" w:cs="宋体"/>
                <w:sz w:val="22"/>
                <w:szCs w:val="22"/>
                <w:lang w:eastAsia="zh-CN"/>
              </w:rPr>
              <w:t>监测</w:t>
            </w:r>
            <w:r>
              <w:rPr>
                <w:rFonts w:hint="eastAsia" w:ascii="宋体" w:cs="宋体"/>
                <w:sz w:val="22"/>
                <w:szCs w:val="22"/>
              </w:rPr>
              <w:t>任务都将被自动删除，系统其他模块自动感知数据源环境变化，无需手动再次更新。</w:t>
            </w:r>
          </w:p>
        </w:tc>
      </w:tr>
      <w:tr w14:paraId="5175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restart"/>
            <w:vAlign w:val="center"/>
          </w:tcPr>
          <w:p w14:paraId="2E1992DA">
            <w:pPr>
              <w:widowControl/>
              <w:jc w:val="center"/>
              <w:rPr>
                <w:rFonts w:ascii="宋体" w:cs="宋体"/>
                <w:b/>
                <w:sz w:val="22"/>
                <w:szCs w:val="22"/>
              </w:rPr>
            </w:pPr>
            <w:r>
              <w:rPr>
                <w:rFonts w:hint="eastAsia" w:ascii="宋体" w:cs="宋体"/>
                <w:sz w:val="22"/>
                <w:szCs w:val="22"/>
              </w:rPr>
              <w:t>分类分级管理</w:t>
            </w:r>
          </w:p>
        </w:tc>
        <w:tc>
          <w:tcPr>
            <w:tcW w:w="8699" w:type="dxa"/>
            <w:vAlign w:val="center"/>
          </w:tcPr>
          <w:p w14:paraId="6A0B20E9">
            <w:pPr>
              <w:widowControl/>
              <w:jc w:val="left"/>
              <w:rPr>
                <w:rFonts w:ascii="宋体" w:cs="宋体"/>
                <w:b/>
                <w:sz w:val="22"/>
                <w:szCs w:val="22"/>
              </w:rPr>
            </w:pPr>
            <w:r>
              <w:rPr>
                <w:rFonts w:hint="eastAsia" w:ascii="宋体" w:cs="宋体"/>
                <w:sz w:val="22"/>
                <w:szCs w:val="22"/>
              </w:rPr>
              <w:t>应支持分类分级任务管理，包括对任务的启动、终止，并展示任务的执行进度情况。支持任务的定时启动，自动发现敏感数据的动态变化。</w:t>
            </w:r>
          </w:p>
        </w:tc>
      </w:tr>
      <w:tr w14:paraId="1557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770EADA">
            <w:pPr>
              <w:widowControl/>
              <w:jc w:val="center"/>
              <w:rPr>
                <w:rFonts w:ascii="宋体" w:cs="宋体"/>
                <w:b/>
                <w:sz w:val="22"/>
                <w:szCs w:val="22"/>
              </w:rPr>
            </w:pPr>
          </w:p>
        </w:tc>
        <w:tc>
          <w:tcPr>
            <w:tcW w:w="8699" w:type="dxa"/>
            <w:vAlign w:val="center"/>
          </w:tcPr>
          <w:p w14:paraId="209E321B">
            <w:pPr>
              <w:widowControl/>
              <w:jc w:val="left"/>
              <w:rPr>
                <w:rFonts w:ascii="宋体" w:cs="宋体"/>
                <w:b/>
                <w:sz w:val="22"/>
                <w:szCs w:val="22"/>
              </w:rPr>
            </w:pPr>
            <w:r>
              <w:rPr>
                <w:rFonts w:hint="eastAsia" w:ascii="宋体" w:cs="宋体"/>
                <w:sz w:val="22"/>
                <w:szCs w:val="22"/>
              </w:rPr>
              <w:t>内置不少于70种常见敏感字段识别规则和150种规则因子，且支持自定义创建识别规则。自定义规则包括但不限于正则、字典等。具备结合算法识别能力以保障敏感数据识别精准度，至少包括但不限于正则+luhn、NER算法等。</w:t>
            </w:r>
          </w:p>
        </w:tc>
      </w:tr>
      <w:tr w14:paraId="67C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2015191D">
            <w:pPr>
              <w:widowControl/>
              <w:jc w:val="center"/>
              <w:rPr>
                <w:rFonts w:ascii="宋体" w:cs="宋体"/>
                <w:b/>
                <w:sz w:val="22"/>
                <w:szCs w:val="22"/>
              </w:rPr>
            </w:pPr>
          </w:p>
        </w:tc>
        <w:tc>
          <w:tcPr>
            <w:tcW w:w="8699" w:type="dxa"/>
            <w:vAlign w:val="center"/>
          </w:tcPr>
          <w:p w14:paraId="1B08D5E1">
            <w:pPr>
              <w:widowControl/>
              <w:jc w:val="left"/>
              <w:rPr>
                <w:rFonts w:ascii="宋体" w:cs="宋体"/>
                <w:b/>
                <w:sz w:val="22"/>
                <w:szCs w:val="22"/>
              </w:rPr>
            </w:pPr>
            <w:r>
              <w:rPr>
                <w:rFonts w:hint="eastAsia" w:ascii="宋体" w:cs="宋体"/>
                <w:sz w:val="22"/>
                <w:szCs w:val="22"/>
              </w:rPr>
              <w:t>产品需内置各类分类分级模板，并支持自定义扩展类别，可识别区分诸如专利文件、代码、论文、工作报告等敏感信息文件。</w:t>
            </w:r>
          </w:p>
        </w:tc>
      </w:tr>
      <w:tr w14:paraId="3F8E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636C9562">
            <w:pPr>
              <w:widowControl/>
              <w:jc w:val="center"/>
              <w:rPr>
                <w:rFonts w:ascii="宋体" w:cs="宋体"/>
                <w:b/>
                <w:sz w:val="22"/>
                <w:szCs w:val="22"/>
              </w:rPr>
            </w:pPr>
          </w:p>
        </w:tc>
        <w:tc>
          <w:tcPr>
            <w:tcW w:w="8699" w:type="dxa"/>
            <w:vAlign w:val="center"/>
          </w:tcPr>
          <w:p w14:paraId="7D353E08">
            <w:pPr>
              <w:widowControl/>
              <w:jc w:val="left"/>
              <w:rPr>
                <w:rFonts w:ascii="宋体" w:cs="宋体"/>
                <w:b/>
                <w:sz w:val="22"/>
                <w:szCs w:val="22"/>
              </w:rPr>
            </w:pPr>
            <w:r>
              <w:rPr>
                <w:rFonts w:hint="eastAsia" w:ascii="宋体" w:cs="宋体"/>
                <w:sz w:val="22"/>
                <w:szCs w:val="22"/>
              </w:rPr>
              <w:t>支持规则因子批量转化为规则配置，且支持规则因子和规则配置的批量删除。</w:t>
            </w:r>
          </w:p>
        </w:tc>
      </w:tr>
      <w:tr w14:paraId="6C7A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52583FFA">
            <w:pPr>
              <w:widowControl/>
              <w:jc w:val="center"/>
              <w:rPr>
                <w:rFonts w:ascii="宋体" w:cs="宋体"/>
                <w:b/>
                <w:sz w:val="22"/>
                <w:szCs w:val="22"/>
              </w:rPr>
            </w:pPr>
          </w:p>
        </w:tc>
        <w:tc>
          <w:tcPr>
            <w:tcW w:w="8699" w:type="dxa"/>
            <w:vAlign w:val="center"/>
          </w:tcPr>
          <w:p w14:paraId="7C1D0DCF">
            <w:pPr>
              <w:widowControl/>
              <w:jc w:val="left"/>
              <w:rPr>
                <w:rFonts w:ascii="宋体" w:cs="宋体"/>
                <w:b/>
                <w:sz w:val="22"/>
                <w:szCs w:val="22"/>
              </w:rPr>
            </w:pPr>
            <w:r>
              <w:rPr>
                <w:rFonts w:hint="eastAsia" w:ascii="宋体" w:cs="宋体"/>
                <w:sz w:val="22"/>
                <w:szCs w:val="22"/>
              </w:rPr>
              <w:t>支持分类模板的管理，支持自定义模板导入。且内置的行业法规标准模板，需包括但不限于网络安全法、数据安全法、个人信息安全规范、政府、金融、医疗、教育、运营商、GDPR、CCPA、网约车、工业互联网、公安等10+，不同行业的同业务类型字段识别逻辑应有所不同。同时应支持对内置模板进行下载或克隆。</w:t>
            </w:r>
          </w:p>
        </w:tc>
      </w:tr>
      <w:tr w14:paraId="583E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57232F6E">
            <w:pPr>
              <w:widowControl/>
              <w:jc w:val="center"/>
              <w:rPr>
                <w:rFonts w:ascii="宋体" w:cs="宋体"/>
                <w:b/>
                <w:sz w:val="22"/>
                <w:szCs w:val="22"/>
              </w:rPr>
            </w:pPr>
          </w:p>
        </w:tc>
        <w:tc>
          <w:tcPr>
            <w:tcW w:w="8699" w:type="dxa"/>
            <w:vAlign w:val="center"/>
          </w:tcPr>
          <w:p w14:paraId="542F3A39">
            <w:pPr>
              <w:widowControl/>
              <w:jc w:val="left"/>
              <w:rPr>
                <w:rFonts w:ascii="宋体" w:cs="宋体"/>
                <w:b/>
                <w:sz w:val="22"/>
                <w:szCs w:val="22"/>
              </w:rPr>
            </w:pPr>
            <w:r>
              <w:rPr>
                <w:rFonts w:hint="eastAsia" w:ascii="宋体" w:cs="宋体"/>
                <w:sz w:val="22"/>
                <w:szCs w:val="22"/>
              </w:rPr>
              <w:t>支持规则标签功能，对于命中特定规则的数据，可对其打上自定义标签，标签结果可体现在相应的报表统计中</w:t>
            </w:r>
          </w:p>
        </w:tc>
      </w:tr>
      <w:tr w14:paraId="608E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36561A7B">
            <w:pPr>
              <w:widowControl/>
              <w:jc w:val="center"/>
              <w:rPr>
                <w:rFonts w:ascii="宋体" w:cs="宋体"/>
                <w:b/>
                <w:sz w:val="22"/>
                <w:szCs w:val="22"/>
              </w:rPr>
            </w:pPr>
          </w:p>
        </w:tc>
        <w:tc>
          <w:tcPr>
            <w:tcW w:w="8699" w:type="dxa"/>
            <w:vAlign w:val="center"/>
          </w:tcPr>
          <w:p w14:paraId="0E5572F7">
            <w:pPr>
              <w:widowControl/>
              <w:jc w:val="left"/>
              <w:rPr>
                <w:rFonts w:ascii="宋体" w:cs="宋体"/>
                <w:b/>
                <w:sz w:val="22"/>
                <w:szCs w:val="22"/>
              </w:rPr>
            </w:pPr>
            <w:r>
              <w:rPr>
                <w:rFonts w:hint="eastAsia" w:ascii="宋体" w:cs="宋体"/>
                <w:sz w:val="22"/>
                <w:szCs w:val="22"/>
              </w:rPr>
              <w:t>应具备自动推荐引擎，当同一列中识别出多种字段信息时，需提供该列数据的规则命中列表，并给出精确的较高的推荐结果，便于用户根据手工修改确认梳理，实现迅速、高效的手动确认。</w:t>
            </w:r>
          </w:p>
        </w:tc>
      </w:tr>
      <w:tr w14:paraId="3D71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5DAB40A6">
            <w:pPr>
              <w:widowControl/>
              <w:jc w:val="center"/>
              <w:rPr>
                <w:rFonts w:ascii="宋体" w:cs="宋体"/>
                <w:b/>
                <w:sz w:val="22"/>
                <w:szCs w:val="22"/>
              </w:rPr>
            </w:pPr>
          </w:p>
        </w:tc>
        <w:tc>
          <w:tcPr>
            <w:tcW w:w="8699" w:type="dxa"/>
            <w:vAlign w:val="center"/>
          </w:tcPr>
          <w:p w14:paraId="29107C1D">
            <w:pPr>
              <w:widowControl/>
              <w:jc w:val="left"/>
              <w:rPr>
                <w:rFonts w:ascii="宋体" w:cs="宋体"/>
                <w:b/>
                <w:sz w:val="22"/>
                <w:szCs w:val="22"/>
              </w:rPr>
            </w:pPr>
            <w:r>
              <w:rPr>
                <w:rFonts w:hint="eastAsia" w:ascii="宋体" w:cs="宋体"/>
                <w:sz w:val="22"/>
                <w:szCs w:val="22"/>
              </w:rPr>
              <w:t>支持有监督学习模型的训练与预测；用户可将已梳理好/部分梳理的数据输入至分类分级平台进行深度训练以及学习。</w:t>
            </w:r>
          </w:p>
        </w:tc>
      </w:tr>
      <w:tr w14:paraId="4AA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1D2815A9">
            <w:pPr>
              <w:widowControl/>
              <w:jc w:val="center"/>
              <w:rPr>
                <w:rFonts w:ascii="宋体" w:cs="宋体"/>
                <w:b/>
                <w:sz w:val="22"/>
                <w:szCs w:val="22"/>
              </w:rPr>
            </w:pPr>
          </w:p>
        </w:tc>
        <w:tc>
          <w:tcPr>
            <w:tcW w:w="8699" w:type="dxa"/>
            <w:vAlign w:val="center"/>
          </w:tcPr>
          <w:p w14:paraId="54363B66">
            <w:pPr>
              <w:widowControl/>
              <w:jc w:val="left"/>
              <w:rPr>
                <w:rFonts w:ascii="宋体" w:cs="宋体"/>
                <w:b/>
                <w:sz w:val="22"/>
                <w:szCs w:val="22"/>
              </w:rPr>
            </w:pPr>
            <w:r>
              <w:rPr>
                <w:rFonts w:hint="eastAsia" w:ascii="宋体" w:cs="宋体"/>
                <w:sz w:val="22"/>
                <w:szCs w:val="22"/>
              </w:rPr>
              <w:t>有监督学习模型至少需包括快速神经网络、深度神经网络、传统集成学习等至少3种类型，并可支持配置训练轮数、学习率等参数，以便满足不同场景的学习训练要求</w:t>
            </w:r>
          </w:p>
        </w:tc>
      </w:tr>
      <w:tr w14:paraId="0D16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654DD6B">
            <w:pPr>
              <w:widowControl/>
              <w:jc w:val="center"/>
              <w:rPr>
                <w:rFonts w:ascii="宋体" w:cs="宋体"/>
                <w:b/>
                <w:sz w:val="22"/>
                <w:szCs w:val="22"/>
              </w:rPr>
            </w:pPr>
          </w:p>
        </w:tc>
        <w:tc>
          <w:tcPr>
            <w:tcW w:w="8699" w:type="dxa"/>
            <w:vAlign w:val="center"/>
          </w:tcPr>
          <w:p w14:paraId="7BCA81A8">
            <w:pPr>
              <w:widowControl/>
              <w:jc w:val="left"/>
              <w:rPr>
                <w:rFonts w:ascii="宋体" w:cs="宋体"/>
                <w:b/>
                <w:sz w:val="22"/>
                <w:szCs w:val="22"/>
              </w:rPr>
            </w:pPr>
            <w:r>
              <w:rPr>
                <w:rFonts w:hint="eastAsia" w:ascii="宋体" w:cs="宋体"/>
                <w:sz w:val="22"/>
                <w:szCs w:val="22"/>
              </w:rPr>
              <w:t>支持通过对字段内容、字段名称、字段注释、表名和表注释、系统…进行模糊匹配，提高数据自动分类分级准确性。</w:t>
            </w:r>
          </w:p>
        </w:tc>
      </w:tr>
      <w:tr w14:paraId="0C0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4B039EB2">
            <w:pPr>
              <w:widowControl/>
              <w:jc w:val="center"/>
              <w:rPr>
                <w:rFonts w:ascii="宋体" w:cs="宋体"/>
                <w:b/>
                <w:sz w:val="22"/>
                <w:szCs w:val="22"/>
              </w:rPr>
            </w:pPr>
          </w:p>
        </w:tc>
        <w:tc>
          <w:tcPr>
            <w:tcW w:w="8699" w:type="dxa"/>
            <w:vAlign w:val="center"/>
          </w:tcPr>
          <w:p w14:paraId="1F2F5D42">
            <w:pPr>
              <w:widowControl/>
              <w:jc w:val="left"/>
              <w:rPr>
                <w:rFonts w:ascii="宋体" w:cs="宋体"/>
                <w:b/>
                <w:sz w:val="22"/>
                <w:szCs w:val="22"/>
              </w:rPr>
            </w:pPr>
            <w:r>
              <w:rPr>
                <w:rFonts w:hint="eastAsia" w:ascii="宋体" w:cs="宋体"/>
                <w:sz w:val="22"/>
                <w:szCs w:val="22"/>
              </w:rPr>
              <w:t>支持对相似表、相似字段进行聚合并在页面中统一展示，以便于人工二次确认或修改分类分级结果，提供“梳理向导”功能提高人工效能。</w:t>
            </w:r>
          </w:p>
        </w:tc>
      </w:tr>
      <w:tr w14:paraId="1766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restart"/>
            <w:vAlign w:val="center"/>
          </w:tcPr>
          <w:p w14:paraId="06878D6B">
            <w:pPr>
              <w:widowControl/>
              <w:jc w:val="center"/>
              <w:rPr>
                <w:rFonts w:ascii="宋体" w:cs="宋体"/>
                <w:b/>
                <w:sz w:val="22"/>
                <w:szCs w:val="22"/>
              </w:rPr>
            </w:pPr>
            <w:r>
              <w:rPr>
                <w:rFonts w:hint="eastAsia" w:ascii="宋体" w:cs="宋体"/>
                <w:sz w:val="22"/>
                <w:szCs w:val="22"/>
              </w:rPr>
              <w:t>数据库安全评估</w:t>
            </w:r>
          </w:p>
        </w:tc>
        <w:tc>
          <w:tcPr>
            <w:tcW w:w="8699" w:type="dxa"/>
            <w:vAlign w:val="center"/>
          </w:tcPr>
          <w:p w14:paraId="7DE391AA">
            <w:pPr>
              <w:widowControl/>
              <w:jc w:val="left"/>
              <w:rPr>
                <w:rFonts w:ascii="宋体" w:cs="宋体"/>
                <w:b/>
                <w:sz w:val="22"/>
                <w:szCs w:val="22"/>
              </w:rPr>
            </w:pPr>
            <w:r>
              <w:rPr>
                <w:rFonts w:hint="eastAsia" w:ascii="宋体" w:cs="宋体"/>
                <w:sz w:val="22"/>
                <w:szCs w:val="22"/>
              </w:rPr>
              <w:t>提供数据库脆弱性检查功能，脆弱性检查至少包括数据库漏洞检查、配置项检查、弱口令检查等手段实现安全评估，并提供图表分析结果和数据源安全排名，实现对数据库状况的安全监控和评估。</w:t>
            </w:r>
          </w:p>
        </w:tc>
      </w:tr>
      <w:tr w14:paraId="7E1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598D25C2">
            <w:pPr>
              <w:widowControl/>
              <w:jc w:val="center"/>
              <w:rPr>
                <w:rFonts w:ascii="宋体" w:cs="宋体"/>
                <w:b/>
                <w:sz w:val="22"/>
                <w:szCs w:val="22"/>
              </w:rPr>
            </w:pPr>
          </w:p>
        </w:tc>
        <w:tc>
          <w:tcPr>
            <w:tcW w:w="8699" w:type="dxa"/>
            <w:vAlign w:val="center"/>
          </w:tcPr>
          <w:p w14:paraId="26E6F526">
            <w:pPr>
              <w:widowControl/>
              <w:jc w:val="left"/>
              <w:rPr>
                <w:rFonts w:ascii="宋体" w:cs="宋体"/>
                <w:b/>
                <w:sz w:val="22"/>
                <w:szCs w:val="22"/>
              </w:rPr>
            </w:pPr>
            <w:r>
              <w:rPr>
                <w:rFonts w:hint="eastAsia" w:ascii="宋体" w:cs="宋体"/>
                <w:sz w:val="22"/>
                <w:szCs w:val="22"/>
              </w:rPr>
              <w:t>支持账号权限发现功能，至少包括但不限于数据库账号、数据源名称、拥有权限、禁止权限、状态和密码有效期等信息，同时支持检测账号动态变化和权限变更。</w:t>
            </w:r>
          </w:p>
        </w:tc>
      </w:tr>
      <w:tr w14:paraId="11F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73D675F3">
            <w:pPr>
              <w:widowControl/>
              <w:jc w:val="center"/>
              <w:rPr>
                <w:rFonts w:ascii="宋体" w:cs="宋体"/>
                <w:b/>
                <w:sz w:val="22"/>
                <w:szCs w:val="22"/>
              </w:rPr>
            </w:pPr>
          </w:p>
        </w:tc>
        <w:tc>
          <w:tcPr>
            <w:tcW w:w="8699" w:type="dxa"/>
            <w:vAlign w:val="center"/>
          </w:tcPr>
          <w:p w14:paraId="54731CFC">
            <w:pPr>
              <w:widowControl/>
              <w:jc w:val="left"/>
              <w:rPr>
                <w:rFonts w:ascii="宋体" w:cs="宋体"/>
                <w:b/>
                <w:sz w:val="22"/>
                <w:szCs w:val="22"/>
              </w:rPr>
            </w:pPr>
            <w:r>
              <w:rPr>
                <w:rFonts w:hint="eastAsia" w:ascii="宋体" w:cs="宋体"/>
                <w:sz w:val="22"/>
                <w:szCs w:val="22"/>
              </w:rPr>
              <w:t>支持对风险</w:t>
            </w:r>
            <w:r>
              <w:rPr>
                <w:rFonts w:hint="eastAsia" w:ascii="宋体" w:cs="宋体"/>
                <w:sz w:val="22"/>
                <w:szCs w:val="22"/>
                <w:lang w:eastAsia="zh-CN"/>
              </w:rPr>
              <w:t>监测</w:t>
            </w:r>
            <w:r>
              <w:rPr>
                <w:rFonts w:hint="eastAsia" w:ascii="宋体" w:cs="宋体"/>
                <w:sz w:val="22"/>
                <w:szCs w:val="22"/>
              </w:rPr>
              <w:t>任务的管理，包括任务的启动、查询、编辑。</w:t>
            </w:r>
          </w:p>
        </w:tc>
      </w:tr>
      <w:tr w14:paraId="5CFE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55" w:type="dxa"/>
            <w:vMerge w:val="continue"/>
            <w:vAlign w:val="center"/>
          </w:tcPr>
          <w:p w14:paraId="0C5DF2CE">
            <w:pPr>
              <w:widowControl/>
              <w:jc w:val="center"/>
              <w:rPr>
                <w:rFonts w:ascii="宋体" w:cs="宋体"/>
                <w:b/>
                <w:sz w:val="22"/>
                <w:szCs w:val="22"/>
              </w:rPr>
            </w:pPr>
          </w:p>
        </w:tc>
        <w:tc>
          <w:tcPr>
            <w:tcW w:w="8699" w:type="dxa"/>
            <w:vAlign w:val="center"/>
          </w:tcPr>
          <w:p w14:paraId="0232AC39">
            <w:pPr>
              <w:widowControl/>
              <w:jc w:val="left"/>
              <w:rPr>
                <w:rFonts w:ascii="宋体" w:cs="宋体"/>
                <w:b/>
                <w:sz w:val="22"/>
                <w:szCs w:val="22"/>
              </w:rPr>
            </w:pPr>
            <w:r>
              <w:rPr>
                <w:rFonts w:hint="eastAsia" w:ascii="宋体" w:cs="宋体"/>
                <w:sz w:val="22"/>
                <w:szCs w:val="22"/>
              </w:rPr>
              <w:t>内置不少于2600种数据库漏洞库，提供风险检测的数据库漏洞检测，至少包括但不限于漏洞名称、CVE编号、漏洞等级、漏洞描述、解决建议、数据库类型、数据库版本、操作等信息。</w:t>
            </w:r>
          </w:p>
        </w:tc>
      </w:tr>
    </w:tbl>
    <w:p w14:paraId="3EF2C0A6">
      <w:pPr>
        <w:pStyle w:val="8"/>
        <w:numPr>
          <w:ilvl w:val="0"/>
          <w:numId w:val="19"/>
        </w:numPr>
        <w:rPr>
          <w:rFonts w:ascii="宋体" w:hAnsi="宋体" w:cs="宋体"/>
          <w:sz w:val="22"/>
          <w:szCs w:val="22"/>
        </w:rPr>
      </w:pPr>
      <w:r>
        <w:rPr>
          <w:rFonts w:hint="eastAsia" w:ascii="宋体" w:hAnsi="宋体" w:cs="宋体"/>
          <w:sz w:val="22"/>
          <w:szCs w:val="22"/>
        </w:rPr>
        <w:t>身份鉴别与权限管控服务</w:t>
      </w:r>
    </w:p>
    <w:tbl>
      <w:tblPr>
        <w:tblStyle w:val="56"/>
        <w:tblW w:w="100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9"/>
        <w:gridCol w:w="8823"/>
      </w:tblGrid>
      <w:tr w14:paraId="13A77A19">
        <w:tblPrEx>
          <w:tblCellMar>
            <w:top w:w="0" w:type="dxa"/>
            <w:left w:w="108" w:type="dxa"/>
            <w:bottom w:w="0" w:type="dxa"/>
            <w:right w:w="108" w:type="dxa"/>
          </w:tblCellMar>
        </w:tblPrEx>
        <w:trPr>
          <w:trHeight w:val="454" w:hRule="atLeast"/>
        </w:trPr>
        <w:tc>
          <w:tcPr>
            <w:tcW w:w="1199" w:type="dxa"/>
            <w:shd w:val="clear" w:color="auto" w:fill="FFFFFF"/>
            <w:vAlign w:val="center"/>
          </w:tcPr>
          <w:p w14:paraId="656277E0">
            <w:pPr>
              <w:pStyle w:val="5"/>
              <w:ind w:firstLine="0"/>
              <w:jc w:val="center"/>
              <w:rPr>
                <w:rFonts w:ascii="宋体" w:cs="宋体"/>
                <w:bCs/>
                <w:sz w:val="22"/>
                <w:szCs w:val="22"/>
              </w:rPr>
            </w:pPr>
            <w:r>
              <w:rPr>
                <w:rFonts w:hint="eastAsia" w:ascii="宋体" w:cs="宋体"/>
                <w:bCs/>
                <w:sz w:val="22"/>
                <w:szCs w:val="22"/>
              </w:rPr>
              <w:t>指标项</w:t>
            </w:r>
          </w:p>
        </w:tc>
        <w:tc>
          <w:tcPr>
            <w:tcW w:w="8823" w:type="dxa"/>
            <w:shd w:val="clear" w:color="auto" w:fill="FFFFFF"/>
            <w:vAlign w:val="center"/>
          </w:tcPr>
          <w:p w14:paraId="597DAAFF">
            <w:pPr>
              <w:pStyle w:val="5"/>
              <w:ind w:firstLine="0"/>
              <w:jc w:val="center"/>
              <w:rPr>
                <w:rFonts w:ascii="宋体" w:cs="宋体"/>
                <w:bCs/>
                <w:sz w:val="22"/>
                <w:szCs w:val="22"/>
              </w:rPr>
            </w:pPr>
            <w:r>
              <w:rPr>
                <w:rFonts w:hint="eastAsia" w:ascii="宋体" w:cs="宋体"/>
                <w:bCs/>
                <w:sz w:val="22"/>
                <w:szCs w:val="22"/>
              </w:rPr>
              <w:t>指标要求</w:t>
            </w:r>
          </w:p>
        </w:tc>
      </w:tr>
      <w:tr w14:paraId="4206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shd w:val="clear" w:color="auto" w:fill="auto"/>
            <w:vAlign w:val="center"/>
          </w:tcPr>
          <w:p w14:paraId="135434BA">
            <w:pPr>
              <w:pStyle w:val="5"/>
              <w:ind w:firstLine="0"/>
              <w:jc w:val="center"/>
              <w:rPr>
                <w:rFonts w:ascii="宋体" w:cs="宋体"/>
                <w:b/>
                <w:sz w:val="22"/>
                <w:szCs w:val="22"/>
              </w:rPr>
            </w:pPr>
            <w:r>
              <w:rPr>
                <w:rFonts w:hint="eastAsia" w:ascii="宋体" w:cs="宋体"/>
                <w:sz w:val="22"/>
                <w:szCs w:val="22"/>
              </w:rPr>
              <w:t>网络隐身</w:t>
            </w:r>
          </w:p>
        </w:tc>
        <w:tc>
          <w:tcPr>
            <w:tcW w:w="8823" w:type="dxa"/>
            <w:shd w:val="clear" w:color="auto" w:fill="auto"/>
            <w:vAlign w:val="center"/>
          </w:tcPr>
          <w:p w14:paraId="51487923">
            <w:pPr>
              <w:pStyle w:val="5"/>
              <w:ind w:firstLine="0"/>
              <w:rPr>
                <w:rFonts w:ascii="宋体" w:cs="宋体"/>
                <w:b/>
                <w:sz w:val="22"/>
                <w:szCs w:val="22"/>
              </w:rPr>
            </w:pPr>
            <w:r>
              <w:rPr>
                <w:rFonts w:hint="eastAsia" w:ascii="宋体" w:cs="宋体"/>
                <w:sz w:val="22"/>
                <w:szCs w:val="22"/>
              </w:rPr>
              <w:t>支持UDP+TCP单包授权机制，UDP+TCP方式默认不开放端口，可避免业务应用的端口被扫描，进而避免利用端口对业务应用发起攻击的风险。</w:t>
            </w:r>
          </w:p>
        </w:tc>
      </w:tr>
      <w:tr w14:paraId="014C2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6D1F79C9">
            <w:pPr>
              <w:pStyle w:val="5"/>
              <w:ind w:firstLine="0"/>
              <w:jc w:val="center"/>
              <w:rPr>
                <w:rFonts w:ascii="宋体" w:cs="宋体"/>
                <w:b/>
                <w:sz w:val="22"/>
                <w:szCs w:val="22"/>
              </w:rPr>
            </w:pPr>
            <w:r>
              <w:rPr>
                <w:rFonts w:hint="eastAsia" w:ascii="宋体" w:cs="宋体"/>
                <w:sz w:val="22"/>
                <w:szCs w:val="22"/>
              </w:rPr>
              <w:t>用户身份管理</w:t>
            </w:r>
          </w:p>
        </w:tc>
        <w:tc>
          <w:tcPr>
            <w:tcW w:w="8823" w:type="dxa"/>
            <w:shd w:val="clear" w:color="auto" w:fill="auto"/>
            <w:vAlign w:val="center"/>
          </w:tcPr>
          <w:p w14:paraId="6C4C5C71">
            <w:pPr>
              <w:pStyle w:val="5"/>
              <w:ind w:firstLine="0"/>
              <w:rPr>
                <w:rFonts w:ascii="宋体" w:cs="宋体"/>
                <w:b/>
                <w:sz w:val="22"/>
                <w:szCs w:val="22"/>
              </w:rPr>
            </w:pPr>
            <w:r>
              <w:rPr>
                <w:rFonts w:hint="eastAsia" w:ascii="宋体" w:cs="宋体"/>
                <w:sz w:val="22"/>
                <w:szCs w:val="22"/>
              </w:rPr>
              <w:t>支持用户身份属性的自定义扩展，以便管理员可以根据自身需要对用户属性扩展，而不需要重新部署或升级系统程序。</w:t>
            </w:r>
          </w:p>
        </w:tc>
      </w:tr>
      <w:tr w14:paraId="0119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111C14F8">
            <w:pPr>
              <w:pStyle w:val="5"/>
              <w:ind w:firstLine="0"/>
              <w:jc w:val="center"/>
              <w:rPr>
                <w:rFonts w:ascii="宋体" w:cs="宋体"/>
                <w:b/>
                <w:sz w:val="22"/>
                <w:szCs w:val="22"/>
              </w:rPr>
            </w:pPr>
          </w:p>
        </w:tc>
        <w:tc>
          <w:tcPr>
            <w:tcW w:w="8823" w:type="dxa"/>
            <w:shd w:val="clear" w:color="auto" w:fill="auto"/>
            <w:vAlign w:val="center"/>
          </w:tcPr>
          <w:p w14:paraId="3728F1DD">
            <w:pPr>
              <w:pStyle w:val="5"/>
              <w:ind w:firstLine="0"/>
              <w:rPr>
                <w:rFonts w:ascii="宋体" w:cs="宋体"/>
                <w:b/>
                <w:sz w:val="22"/>
                <w:szCs w:val="22"/>
              </w:rPr>
            </w:pPr>
            <w:r>
              <w:rPr>
                <w:rFonts w:hint="eastAsia" w:ascii="宋体" w:cs="宋体"/>
                <w:sz w:val="22"/>
                <w:szCs w:val="22"/>
              </w:rPr>
              <w:t>支持提供用户、组织、用户分组的统一管理功能，包括用户信息批量删除、锁定、停用、修改有效期，并可以用户导入、用户状态管理、用户同步等功能。</w:t>
            </w:r>
          </w:p>
        </w:tc>
      </w:tr>
      <w:tr w14:paraId="6DF3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99" w:type="dxa"/>
            <w:vMerge w:val="continue"/>
            <w:shd w:val="clear" w:color="auto" w:fill="auto"/>
            <w:vAlign w:val="center"/>
          </w:tcPr>
          <w:p w14:paraId="16242A0C">
            <w:pPr>
              <w:pStyle w:val="5"/>
              <w:ind w:firstLine="0"/>
              <w:jc w:val="center"/>
              <w:rPr>
                <w:rFonts w:ascii="宋体" w:cs="宋体"/>
                <w:b/>
                <w:sz w:val="22"/>
                <w:szCs w:val="22"/>
              </w:rPr>
            </w:pPr>
          </w:p>
        </w:tc>
        <w:tc>
          <w:tcPr>
            <w:tcW w:w="8823" w:type="dxa"/>
            <w:shd w:val="clear" w:color="auto" w:fill="auto"/>
            <w:vAlign w:val="center"/>
          </w:tcPr>
          <w:p w14:paraId="2F0C059A">
            <w:pPr>
              <w:pStyle w:val="5"/>
              <w:ind w:firstLine="0"/>
              <w:rPr>
                <w:rFonts w:ascii="宋体" w:cs="宋体"/>
                <w:b/>
                <w:sz w:val="22"/>
                <w:szCs w:val="22"/>
              </w:rPr>
            </w:pPr>
            <w:r>
              <w:rPr>
                <w:rFonts w:hint="eastAsia" w:ascii="宋体" w:cs="宋体"/>
                <w:sz w:val="22"/>
                <w:szCs w:val="22"/>
              </w:rPr>
              <w:t>支持向第三方应用系统提供身份同步接口，接口支持访问认证及授权保护。</w:t>
            </w:r>
          </w:p>
        </w:tc>
      </w:tr>
      <w:tr w14:paraId="339C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334EA050">
            <w:pPr>
              <w:pStyle w:val="5"/>
              <w:ind w:firstLine="0"/>
              <w:jc w:val="center"/>
              <w:rPr>
                <w:rFonts w:ascii="宋体" w:cs="宋体"/>
                <w:b/>
                <w:sz w:val="22"/>
                <w:szCs w:val="22"/>
              </w:rPr>
            </w:pPr>
            <w:r>
              <w:rPr>
                <w:rFonts w:hint="eastAsia" w:ascii="宋体" w:cs="宋体"/>
                <w:sz w:val="22"/>
                <w:szCs w:val="22"/>
              </w:rPr>
              <w:t>应用管理</w:t>
            </w:r>
          </w:p>
        </w:tc>
        <w:tc>
          <w:tcPr>
            <w:tcW w:w="8823" w:type="dxa"/>
            <w:shd w:val="clear" w:color="auto" w:fill="auto"/>
            <w:vAlign w:val="center"/>
          </w:tcPr>
          <w:p w14:paraId="6789C98A">
            <w:pPr>
              <w:pStyle w:val="5"/>
              <w:ind w:firstLine="0"/>
              <w:rPr>
                <w:rFonts w:ascii="宋体" w:cs="宋体"/>
                <w:b/>
                <w:sz w:val="22"/>
                <w:szCs w:val="22"/>
              </w:rPr>
            </w:pPr>
            <w:r>
              <w:rPr>
                <w:rFonts w:hint="eastAsia" w:ascii="宋体" w:cs="宋体"/>
                <w:sz w:val="22"/>
                <w:szCs w:val="22"/>
              </w:rPr>
              <w:t>支持反向代理应用(四七层）、隧道应用(四七层TCP/UDP应用)的代理和发布，以满足不同业务应用发布的需要</w:t>
            </w:r>
          </w:p>
        </w:tc>
      </w:tr>
      <w:tr w14:paraId="234FF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5B68FAAD">
            <w:pPr>
              <w:pStyle w:val="5"/>
              <w:ind w:firstLine="0"/>
              <w:jc w:val="center"/>
              <w:rPr>
                <w:rFonts w:ascii="宋体" w:cs="宋体"/>
                <w:b/>
                <w:sz w:val="22"/>
                <w:szCs w:val="22"/>
              </w:rPr>
            </w:pPr>
          </w:p>
        </w:tc>
        <w:tc>
          <w:tcPr>
            <w:tcW w:w="8823" w:type="dxa"/>
            <w:shd w:val="clear" w:color="auto" w:fill="auto"/>
            <w:vAlign w:val="center"/>
          </w:tcPr>
          <w:p w14:paraId="14F96FEF">
            <w:pPr>
              <w:pStyle w:val="5"/>
              <w:ind w:firstLine="0"/>
              <w:rPr>
                <w:rFonts w:ascii="宋体" w:cs="宋体"/>
                <w:b/>
                <w:sz w:val="22"/>
                <w:szCs w:val="22"/>
              </w:rPr>
            </w:pPr>
            <w:r>
              <w:rPr>
                <w:rFonts w:hint="eastAsia" w:ascii="宋体" w:cs="宋体"/>
                <w:sz w:val="22"/>
                <w:szCs w:val="22"/>
              </w:rPr>
              <w:t>支持提供应用资源的统一发布及管理功能，支持发布OIDC、Oauth2.0、CAS、SAML等应用类型。</w:t>
            </w:r>
          </w:p>
        </w:tc>
      </w:tr>
      <w:tr w14:paraId="3ADEE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BC44EAE">
            <w:pPr>
              <w:pStyle w:val="5"/>
              <w:ind w:firstLine="0"/>
              <w:jc w:val="center"/>
              <w:rPr>
                <w:rFonts w:ascii="宋体" w:cs="宋体"/>
                <w:b/>
                <w:sz w:val="22"/>
                <w:szCs w:val="22"/>
              </w:rPr>
            </w:pPr>
          </w:p>
        </w:tc>
        <w:tc>
          <w:tcPr>
            <w:tcW w:w="8823" w:type="dxa"/>
            <w:shd w:val="clear" w:color="auto" w:fill="auto"/>
            <w:vAlign w:val="center"/>
          </w:tcPr>
          <w:p w14:paraId="008D7695">
            <w:pPr>
              <w:pStyle w:val="5"/>
              <w:ind w:firstLine="0"/>
              <w:rPr>
                <w:rFonts w:ascii="宋体" w:cs="宋体"/>
                <w:b/>
                <w:sz w:val="22"/>
                <w:szCs w:val="22"/>
              </w:rPr>
            </w:pPr>
            <w:r>
              <w:rPr>
                <w:rFonts w:hint="eastAsia" w:ascii="宋体" w:cs="宋体"/>
                <w:sz w:val="22"/>
                <w:szCs w:val="22"/>
              </w:rPr>
              <w:t>★支持虚拟服务发布，以实现应用只提供安全访问通道，而不做控制的场景，比如CA服务器需要放在零信任后面做隐藏，但是需要对外开放服务场景。（需提供截图证明）</w:t>
            </w:r>
          </w:p>
        </w:tc>
      </w:tr>
      <w:tr w14:paraId="16227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78FB8C88">
            <w:pPr>
              <w:pStyle w:val="5"/>
              <w:ind w:firstLine="0"/>
              <w:jc w:val="center"/>
              <w:rPr>
                <w:rFonts w:ascii="宋体" w:cs="宋体"/>
                <w:b/>
                <w:sz w:val="22"/>
                <w:szCs w:val="22"/>
              </w:rPr>
            </w:pPr>
          </w:p>
        </w:tc>
        <w:tc>
          <w:tcPr>
            <w:tcW w:w="8823" w:type="dxa"/>
            <w:shd w:val="clear" w:color="auto" w:fill="auto"/>
            <w:vAlign w:val="center"/>
          </w:tcPr>
          <w:p w14:paraId="7E1912BC">
            <w:pPr>
              <w:pStyle w:val="5"/>
              <w:ind w:firstLine="0"/>
              <w:rPr>
                <w:rFonts w:ascii="宋体" w:cs="宋体"/>
                <w:b/>
                <w:sz w:val="22"/>
                <w:szCs w:val="22"/>
              </w:rPr>
            </w:pPr>
            <w:r>
              <w:rPr>
                <w:rFonts w:hint="eastAsia" w:ascii="宋体" w:cs="宋体"/>
                <w:sz w:val="22"/>
                <w:szCs w:val="22"/>
              </w:rPr>
              <w:t>支持WEB应用访问透传控制，按照规则对特定URL不进行权限检查放过,从而满足对一些公共可访问的特定URL进行例外放行的需要。</w:t>
            </w:r>
          </w:p>
        </w:tc>
      </w:tr>
      <w:tr w14:paraId="3DBE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426C269">
            <w:pPr>
              <w:pStyle w:val="5"/>
              <w:ind w:firstLine="0"/>
              <w:jc w:val="center"/>
              <w:rPr>
                <w:rFonts w:ascii="宋体" w:cs="宋体"/>
                <w:b/>
                <w:sz w:val="22"/>
                <w:szCs w:val="22"/>
              </w:rPr>
            </w:pPr>
          </w:p>
        </w:tc>
        <w:tc>
          <w:tcPr>
            <w:tcW w:w="8823" w:type="dxa"/>
            <w:shd w:val="clear" w:color="auto" w:fill="auto"/>
            <w:vAlign w:val="center"/>
          </w:tcPr>
          <w:p w14:paraId="7D7318DA">
            <w:pPr>
              <w:pStyle w:val="5"/>
              <w:ind w:firstLine="0"/>
              <w:rPr>
                <w:rFonts w:ascii="宋体" w:cs="宋体"/>
                <w:b/>
                <w:sz w:val="22"/>
                <w:szCs w:val="22"/>
              </w:rPr>
            </w:pPr>
            <w:r>
              <w:rPr>
                <w:rFonts w:hint="eastAsia" w:ascii="宋体" w:cs="宋体"/>
                <w:sz w:val="22"/>
                <w:szCs w:val="22"/>
              </w:rPr>
              <w:t>提供应用限流限速，支持通过限制请求并发设置相应阈值进行限流限速，缓解大量并发访问给业务应用造成的压力和资源消耗，从而确保业务的连续性、可用性。</w:t>
            </w:r>
          </w:p>
        </w:tc>
      </w:tr>
      <w:tr w14:paraId="13CA8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17CAF4FC">
            <w:pPr>
              <w:pStyle w:val="5"/>
              <w:ind w:firstLine="0"/>
              <w:jc w:val="center"/>
              <w:rPr>
                <w:rFonts w:ascii="宋体" w:cs="宋体"/>
                <w:b/>
                <w:sz w:val="22"/>
                <w:szCs w:val="22"/>
              </w:rPr>
            </w:pPr>
          </w:p>
        </w:tc>
        <w:tc>
          <w:tcPr>
            <w:tcW w:w="8823" w:type="dxa"/>
            <w:shd w:val="clear" w:color="auto" w:fill="auto"/>
            <w:vAlign w:val="center"/>
          </w:tcPr>
          <w:p w14:paraId="0EB8B8F2">
            <w:pPr>
              <w:pStyle w:val="5"/>
              <w:ind w:firstLine="0"/>
              <w:rPr>
                <w:rFonts w:ascii="宋体" w:cs="宋体"/>
                <w:b/>
                <w:sz w:val="22"/>
                <w:szCs w:val="22"/>
              </w:rPr>
            </w:pPr>
            <w:r>
              <w:rPr>
                <w:rFonts w:hint="eastAsia" w:ascii="宋体" w:cs="宋体"/>
                <w:sz w:val="22"/>
                <w:szCs w:val="22"/>
              </w:rPr>
              <w:t>提供应用限流限速，支持通过限制请求大小设置相应阈值进行限流限速，缓解大量请求访问给业务应用造成的压力和资源消耗，从而确保业务的连续性、可用性。</w:t>
            </w:r>
          </w:p>
        </w:tc>
      </w:tr>
      <w:tr w14:paraId="57EC4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50555AFD">
            <w:pPr>
              <w:pStyle w:val="5"/>
              <w:ind w:firstLine="0"/>
              <w:jc w:val="center"/>
              <w:rPr>
                <w:rFonts w:ascii="宋体" w:cs="宋体"/>
                <w:b/>
                <w:sz w:val="22"/>
                <w:szCs w:val="22"/>
              </w:rPr>
            </w:pPr>
          </w:p>
        </w:tc>
        <w:tc>
          <w:tcPr>
            <w:tcW w:w="8823" w:type="dxa"/>
            <w:shd w:val="clear" w:color="auto" w:fill="auto"/>
            <w:vAlign w:val="center"/>
          </w:tcPr>
          <w:p w14:paraId="17BA2523">
            <w:pPr>
              <w:pStyle w:val="5"/>
              <w:ind w:firstLine="0"/>
              <w:rPr>
                <w:rFonts w:ascii="宋体" w:cs="宋体"/>
                <w:b/>
                <w:sz w:val="22"/>
                <w:szCs w:val="22"/>
              </w:rPr>
            </w:pPr>
            <w:r>
              <w:rPr>
                <w:rFonts w:hint="eastAsia" w:ascii="宋体" w:cs="宋体"/>
                <w:sz w:val="22"/>
                <w:szCs w:val="22"/>
              </w:rPr>
              <w:t>支持WEB水印设置，支持水印内容标记账号、时间、手机号，并可文字大小配置，通过水印对访问业务的用户形成安全警示和威慑，缓解敏感业务数据泄露的风险，并便于安全事件之后通过水印信息溯源追责。</w:t>
            </w:r>
          </w:p>
        </w:tc>
      </w:tr>
      <w:tr w14:paraId="7D60B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18487F19">
            <w:pPr>
              <w:pStyle w:val="5"/>
              <w:ind w:firstLine="0"/>
              <w:jc w:val="center"/>
              <w:rPr>
                <w:rFonts w:ascii="宋体" w:cs="宋体"/>
                <w:b/>
                <w:sz w:val="22"/>
                <w:szCs w:val="22"/>
              </w:rPr>
            </w:pPr>
            <w:r>
              <w:rPr>
                <w:rFonts w:hint="eastAsia" w:ascii="宋体" w:cs="宋体"/>
                <w:sz w:val="22"/>
                <w:szCs w:val="22"/>
              </w:rPr>
              <w:t>可信身份认证</w:t>
            </w:r>
          </w:p>
        </w:tc>
        <w:tc>
          <w:tcPr>
            <w:tcW w:w="8823" w:type="dxa"/>
            <w:shd w:val="clear" w:color="auto" w:fill="auto"/>
            <w:vAlign w:val="center"/>
          </w:tcPr>
          <w:p w14:paraId="27615EBC">
            <w:pPr>
              <w:pStyle w:val="5"/>
              <w:ind w:firstLine="0"/>
              <w:rPr>
                <w:rFonts w:ascii="宋体" w:cs="宋体"/>
                <w:b/>
                <w:sz w:val="22"/>
                <w:szCs w:val="22"/>
              </w:rPr>
            </w:pPr>
            <w:r>
              <w:rPr>
                <w:rFonts w:hint="eastAsia" w:ascii="宋体" w:cs="宋体"/>
                <w:sz w:val="22"/>
                <w:szCs w:val="22"/>
              </w:rPr>
              <w:t>支持用户名+密码、AD、LDAP用户登录认证。</w:t>
            </w:r>
          </w:p>
        </w:tc>
      </w:tr>
      <w:tr w14:paraId="66EC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99" w:type="dxa"/>
            <w:vMerge w:val="continue"/>
            <w:shd w:val="clear" w:color="auto" w:fill="auto"/>
            <w:vAlign w:val="center"/>
          </w:tcPr>
          <w:p w14:paraId="64056DA4">
            <w:pPr>
              <w:pStyle w:val="5"/>
              <w:ind w:firstLine="0"/>
              <w:jc w:val="center"/>
              <w:rPr>
                <w:rFonts w:ascii="宋体" w:cs="宋体"/>
                <w:b/>
                <w:sz w:val="22"/>
                <w:szCs w:val="22"/>
              </w:rPr>
            </w:pPr>
          </w:p>
        </w:tc>
        <w:tc>
          <w:tcPr>
            <w:tcW w:w="8823" w:type="dxa"/>
            <w:shd w:val="clear" w:color="auto" w:fill="auto"/>
            <w:vAlign w:val="center"/>
          </w:tcPr>
          <w:p w14:paraId="614F82BC">
            <w:pPr>
              <w:pStyle w:val="5"/>
              <w:ind w:firstLine="0"/>
              <w:rPr>
                <w:rFonts w:ascii="宋体" w:cs="宋体"/>
                <w:b/>
                <w:sz w:val="22"/>
                <w:szCs w:val="22"/>
              </w:rPr>
            </w:pPr>
            <w:r>
              <w:rPr>
                <w:rFonts w:hint="eastAsia" w:ascii="宋体" w:cs="宋体"/>
                <w:sz w:val="22"/>
                <w:szCs w:val="22"/>
              </w:rPr>
              <w:t>提供认证策略配置，可为不同组织的用户设置不同的用户认证、多因子认证方式，以便对处于不同的组织机构的用户实现不同程度的认证管控。</w:t>
            </w:r>
          </w:p>
        </w:tc>
      </w:tr>
      <w:tr w14:paraId="345B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5A67CD3A">
            <w:pPr>
              <w:pStyle w:val="5"/>
              <w:ind w:firstLine="0"/>
              <w:jc w:val="center"/>
              <w:rPr>
                <w:rFonts w:ascii="宋体" w:cs="宋体"/>
                <w:b/>
                <w:sz w:val="22"/>
                <w:szCs w:val="22"/>
              </w:rPr>
            </w:pPr>
          </w:p>
        </w:tc>
        <w:tc>
          <w:tcPr>
            <w:tcW w:w="8823" w:type="dxa"/>
            <w:shd w:val="clear" w:color="auto" w:fill="auto"/>
            <w:vAlign w:val="center"/>
          </w:tcPr>
          <w:p w14:paraId="275F55B5">
            <w:pPr>
              <w:pStyle w:val="5"/>
              <w:ind w:firstLine="0"/>
              <w:rPr>
                <w:rFonts w:ascii="宋体" w:cs="宋体"/>
                <w:b/>
                <w:sz w:val="22"/>
                <w:szCs w:val="22"/>
              </w:rPr>
            </w:pPr>
            <w:r>
              <w:rPr>
                <w:rFonts w:hint="eastAsia" w:ascii="宋体" w:cs="宋体"/>
                <w:sz w:val="22"/>
                <w:szCs w:val="22"/>
              </w:rPr>
              <w:t>当用户以非信任位置、非信任时间进行登录时，建立增强认证规则，需要进行多因子认证，以加强并提升用户身份的安全。</w:t>
            </w:r>
          </w:p>
        </w:tc>
      </w:tr>
      <w:tr w14:paraId="5252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4984EBC">
            <w:pPr>
              <w:pStyle w:val="5"/>
              <w:ind w:firstLine="0"/>
              <w:jc w:val="center"/>
              <w:rPr>
                <w:rFonts w:ascii="宋体" w:cs="宋体"/>
                <w:b/>
                <w:sz w:val="22"/>
                <w:szCs w:val="22"/>
              </w:rPr>
            </w:pPr>
          </w:p>
        </w:tc>
        <w:tc>
          <w:tcPr>
            <w:tcW w:w="8823" w:type="dxa"/>
            <w:shd w:val="clear" w:color="auto" w:fill="auto"/>
            <w:vAlign w:val="center"/>
          </w:tcPr>
          <w:p w14:paraId="11B08C47">
            <w:pPr>
              <w:pStyle w:val="5"/>
              <w:ind w:firstLine="0"/>
              <w:rPr>
                <w:rFonts w:ascii="宋体" w:cs="宋体"/>
                <w:b/>
                <w:sz w:val="22"/>
                <w:szCs w:val="22"/>
              </w:rPr>
            </w:pPr>
            <w:r>
              <w:rPr>
                <w:rFonts w:hint="eastAsia" w:ascii="宋体" w:cs="宋体"/>
                <w:sz w:val="22"/>
                <w:szCs w:val="22"/>
              </w:rPr>
              <w:t>支持通过使用OTP提供动态口令，实现多因子认证。</w:t>
            </w:r>
          </w:p>
        </w:tc>
      </w:tr>
      <w:tr w14:paraId="6FED9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1EDF8B86">
            <w:pPr>
              <w:pStyle w:val="5"/>
              <w:ind w:firstLine="0"/>
              <w:jc w:val="center"/>
              <w:rPr>
                <w:rFonts w:ascii="宋体" w:cs="宋体"/>
                <w:b/>
                <w:sz w:val="22"/>
                <w:szCs w:val="22"/>
              </w:rPr>
            </w:pPr>
            <w:r>
              <w:rPr>
                <w:rFonts w:hint="eastAsia" w:ascii="宋体" w:cs="宋体"/>
                <w:sz w:val="22"/>
                <w:szCs w:val="22"/>
              </w:rPr>
              <w:t>总览展示与告警</w:t>
            </w:r>
          </w:p>
        </w:tc>
        <w:tc>
          <w:tcPr>
            <w:tcW w:w="8823" w:type="dxa"/>
            <w:shd w:val="clear" w:color="auto" w:fill="auto"/>
            <w:vAlign w:val="center"/>
          </w:tcPr>
          <w:p w14:paraId="6D02DE9A">
            <w:pPr>
              <w:pStyle w:val="5"/>
              <w:ind w:firstLine="0"/>
              <w:rPr>
                <w:rFonts w:ascii="宋体" w:cs="宋体"/>
                <w:sz w:val="22"/>
                <w:szCs w:val="22"/>
              </w:rPr>
            </w:pPr>
            <w:r>
              <w:rPr>
                <w:rFonts w:hint="eastAsia" w:ascii="宋体" w:cs="宋体"/>
                <w:sz w:val="22"/>
                <w:szCs w:val="22"/>
              </w:rPr>
              <w:t>展示各个资产的访问控制情况、攻击防护情况、数据脱敏情况、设备运行情况</w:t>
            </w:r>
          </w:p>
        </w:tc>
      </w:tr>
      <w:tr w14:paraId="2DA7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E757F81">
            <w:pPr>
              <w:pStyle w:val="5"/>
              <w:ind w:firstLine="0"/>
              <w:jc w:val="center"/>
              <w:rPr>
                <w:rFonts w:ascii="宋体" w:cs="宋体"/>
                <w:b/>
                <w:sz w:val="22"/>
                <w:szCs w:val="22"/>
              </w:rPr>
            </w:pPr>
          </w:p>
        </w:tc>
        <w:tc>
          <w:tcPr>
            <w:tcW w:w="8823" w:type="dxa"/>
            <w:shd w:val="clear" w:color="auto" w:fill="auto"/>
            <w:vAlign w:val="center"/>
          </w:tcPr>
          <w:p w14:paraId="44428618">
            <w:pPr>
              <w:pStyle w:val="5"/>
              <w:ind w:firstLine="0"/>
              <w:rPr>
                <w:rFonts w:ascii="宋体" w:cs="宋体"/>
                <w:sz w:val="22"/>
                <w:szCs w:val="22"/>
              </w:rPr>
            </w:pPr>
            <w:r>
              <w:rPr>
                <w:rFonts w:hint="eastAsia" w:ascii="宋体" w:cs="宋体"/>
                <w:sz w:val="22"/>
                <w:szCs w:val="22"/>
              </w:rPr>
              <w:t>支持风险告警查询，且查询条件支持常见的账号、数据库名、客户端工具、操作系统用户名、客户端IP、操作类型、SQL关键字、执行结果、影响行数、执行时长等字段</w:t>
            </w:r>
          </w:p>
        </w:tc>
      </w:tr>
      <w:tr w14:paraId="2210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shd w:val="clear" w:color="auto" w:fill="auto"/>
            <w:vAlign w:val="center"/>
          </w:tcPr>
          <w:p w14:paraId="74384741">
            <w:pPr>
              <w:pStyle w:val="5"/>
              <w:ind w:firstLine="0"/>
              <w:jc w:val="center"/>
              <w:rPr>
                <w:rFonts w:ascii="宋体" w:cs="宋体"/>
                <w:b/>
                <w:sz w:val="22"/>
                <w:szCs w:val="22"/>
              </w:rPr>
            </w:pPr>
            <w:r>
              <w:rPr>
                <w:rFonts w:hint="eastAsia" w:ascii="宋体" w:cs="宋体"/>
                <w:sz w:val="22"/>
                <w:szCs w:val="22"/>
              </w:rPr>
              <w:t>敏感数据扫描</w:t>
            </w:r>
          </w:p>
        </w:tc>
        <w:tc>
          <w:tcPr>
            <w:tcW w:w="8823" w:type="dxa"/>
            <w:shd w:val="clear" w:color="auto" w:fill="auto"/>
            <w:vAlign w:val="center"/>
          </w:tcPr>
          <w:p w14:paraId="72D8F303">
            <w:pPr>
              <w:pStyle w:val="5"/>
              <w:ind w:firstLine="0"/>
              <w:rPr>
                <w:rFonts w:ascii="宋体" w:cs="宋体"/>
                <w:sz w:val="22"/>
                <w:szCs w:val="22"/>
              </w:rPr>
            </w:pPr>
            <w:r>
              <w:rPr>
                <w:rFonts w:hint="eastAsia" w:ascii="宋体" w:cs="宋体"/>
                <w:sz w:val="22"/>
                <w:szCs w:val="22"/>
              </w:rPr>
              <w:t>支持扫描发现14种敏感信息，包括身份证、银行卡、手机号、座机号、军官证、护照号、车牌号、MAC地址、日期、时间、港澳台通行证、台胞证、邮箱、中文姓名等，同时支持自定义敏感数据扫描规则。</w:t>
            </w:r>
          </w:p>
        </w:tc>
      </w:tr>
      <w:tr w14:paraId="5467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0BA04972">
            <w:pPr>
              <w:pStyle w:val="5"/>
              <w:ind w:firstLine="0"/>
              <w:jc w:val="center"/>
              <w:rPr>
                <w:rFonts w:ascii="宋体" w:cs="宋体"/>
                <w:b/>
                <w:sz w:val="22"/>
                <w:szCs w:val="22"/>
              </w:rPr>
            </w:pPr>
            <w:r>
              <w:rPr>
                <w:rFonts w:hint="eastAsia" w:ascii="宋体" w:cs="宋体"/>
                <w:sz w:val="22"/>
                <w:szCs w:val="22"/>
              </w:rPr>
              <w:t>访问控制</w:t>
            </w:r>
          </w:p>
        </w:tc>
        <w:tc>
          <w:tcPr>
            <w:tcW w:w="8823" w:type="dxa"/>
            <w:shd w:val="clear" w:color="auto" w:fill="auto"/>
            <w:vAlign w:val="center"/>
          </w:tcPr>
          <w:p w14:paraId="3D44C850">
            <w:pPr>
              <w:pStyle w:val="5"/>
              <w:ind w:firstLine="0"/>
              <w:rPr>
                <w:rFonts w:ascii="宋体" w:cs="宋体"/>
                <w:sz w:val="22"/>
                <w:szCs w:val="22"/>
              </w:rPr>
            </w:pPr>
            <w:r>
              <w:rPr>
                <w:rFonts w:hint="eastAsia" w:ascii="宋体" w:cs="宋体"/>
                <w:sz w:val="22"/>
                <w:szCs w:val="22"/>
              </w:rPr>
              <w:t>支持多种数据来源筛选管控，包括IP、客户端主机名、操作系统用户名、客户端工具名、客户端端口、数据库账号、数据库名、对象组、数据级别、操作类型、SQL关键字、SQL长度、执行时长、影响行数、返回结果集等</w:t>
            </w:r>
          </w:p>
        </w:tc>
      </w:tr>
      <w:tr w14:paraId="1A63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1B887F77">
            <w:pPr>
              <w:pStyle w:val="5"/>
              <w:ind w:firstLine="0"/>
              <w:jc w:val="center"/>
              <w:rPr>
                <w:rFonts w:ascii="宋体" w:cs="宋体"/>
                <w:b/>
                <w:sz w:val="22"/>
                <w:szCs w:val="22"/>
              </w:rPr>
            </w:pPr>
          </w:p>
        </w:tc>
        <w:tc>
          <w:tcPr>
            <w:tcW w:w="8823" w:type="dxa"/>
            <w:shd w:val="clear" w:color="auto" w:fill="auto"/>
            <w:vAlign w:val="center"/>
          </w:tcPr>
          <w:p w14:paraId="5AB46A4A">
            <w:pPr>
              <w:pStyle w:val="5"/>
              <w:ind w:firstLine="0"/>
              <w:rPr>
                <w:rFonts w:ascii="宋体" w:cs="宋体"/>
                <w:sz w:val="22"/>
                <w:szCs w:val="22"/>
              </w:rPr>
            </w:pPr>
            <w:r>
              <w:rPr>
                <w:rFonts w:hint="eastAsia" w:ascii="宋体" w:cs="宋体"/>
                <w:sz w:val="22"/>
                <w:szCs w:val="22"/>
              </w:rPr>
              <w:t>支持与数据分级分类系统结合，实现基于身份认证和数据分级分类细粒度访问控制</w:t>
            </w:r>
          </w:p>
        </w:tc>
      </w:tr>
      <w:tr w14:paraId="48602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21F05C98">
            <w:pPr>
              <w:pStyle w:val="5"/>
              <w:ind w:firstLine="0"/>
              <w:jc w:val="center"/>
              <w:rPr>
                <w:rFonts w:ascii="宋体" w:cs="宋体"/>
                <w:b/>
                <w:sz w:val="22"/>
                <w:szCs w:val="22"/>
              </w:rPr>
            </w:pPr>
          </w:p>
        </w:tc>
        <w:tc>
          <w:tcPr>
            <w:tcW w:w="8823" w:type="dxa"/>
            <w:shd w:val="clear" w:color="auto" w:fill="auto"/>
            <w:vAlign w:val="center"/>
          </w:tcPr>
          <w:p w14:paraId="0BF8BB4C">
            <w:pPr>
              <w:pStyle w:val="5"/>
              <w:ind w:firstLine="0"/>
              <w:rPr>
                <w:rFonts w:ascii="宋体" w:cs="宋体"/>
                <w:sz w:val="22"/>
                <w:szCs w:val="22"/>
              </w:rPr>
            </w:pPr>
            <w:r>
              <w:rPr>
                <w:rFonts w:hint="eastAsia" w:ascii="宋体" w:cs="宋体"/>
                <w:sz w:val="22"/>
                <w:szCs w:val="22"/>
              </w:rPr>
              <w:t>对于越权的动作可以选择：阻断、脱敏、仅告警</w:t>
            </w:r>
          </w:p>
        </w:tc>
      </w:tr>
      <w:tr w14:paraId="6217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8533C9E">
            <w:pPr>
              <w:pStyle w:val="5"/>
              <w:ind w:firstLine="0"/>
              <w:jc w:val="center"/>
              <w:rPr>
                <w:rFonts w:ascii="宋体" w:cs="宋体"/>
                <w:b/>
                <w:sz w:val="22"/>
                <w:szCs w:val="22"/>
              </w:rPr>
            </w:pPr>
          </w:p>
        </w:tc>
        <w:tc>
          <w:tcPr>
            <w:tcW w:w="8823" w:type="dxa"/>
            <w:shd w:val="clear" w:color="auto" w:fill="auto"/>
            <w:vAlign w:val="center"/>
          </w:tcPr>
          <w:p w14:paraId="5A86E79F">
            <w:pPr>
              <w:pStyle w:val="5"/>
              <w:ind w:firstLine="0"/>
              <w:rPr>
                <w:rFonts w:ascii="宋体" w:cs="宋体"/>
                <w:sz w:val="22"/>
                <w:szCs w:val="22"/>
              </w:rPr>
            </w:pPr>
            <w:r>
              <w:rPr>
                <w:rFonts w:hint="eastAsia" w:ascii="宋体" w:cs="宋体"/>
                <w:sz w:val="22"/>
                <w:szCs w:val="22"/>
              </w:rPr>
              <w:t>支持阻断未经授权的逻辑备份操作，如mysqldump、oracle exp、pg_dump等</w:t>
            </w:r>
          </w:p>
        </w:tc>
      </w:tr>
      <w:tr w14:paraId="45A3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3EB5551">
            <w:pPr>
              <w:pStyle w:val="5"/>
              <w:ind w:firstLine="0"/>
              <w:jc w:val="center"/>
              <w:rPr>
                <w:rFonts w:ascii="宋体" w:cs="宋体"/>
                <w:b/>
                <w:sz w:val="22"/>
                <w:szCs w:val="22"/>
              </w:rPr>
            </w:pPr>
          </w:p>
        </w:tc>
        <w:tc>
          <w:tcPr>
            <w:tcW w:w="8823" w:type="dxa"/>
            <w:shd w:val="clear" w:color="auto" w:fill="auto"/>
            <w:vAlign w:val="center"/>
          </w:tcPr>
          <w:p w14:paraId="047E3CAB">
            <w:pPr>
              <w:pStyle w:val="5"/>
              <w:ind w:firstLine="0"/>
              <w:rPr>
                <w:rFonts w:ascii="宋体" w:cs="宋体"/>
                <w:sz w:val="22"/>
                <w:szCs w:val="22"/>
              </w:rPr>
            </w:pPr>
            <w:r>
              <w:rPr>
                <w:rFonts w:hint="eastAsia" w:ascii="宋体" w:cs="宋体"/>
                <w:sz w:val="22"/>
                <w:szCs w:val="22"/>
              </w:rPr>
              <w:t>支持分组管理进行分组管控</w:t>
            </w:r>
          </w:p>
        </w:tc>
      </w:tr>
      <w:tr w14:paraId="17FA0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BF4913A">
            <w:pPr>
              <w:pStyle w:val="5"/>
              <w:ind w:firstLine="0"/>
              <w:jc w:val="center"/>
              <w:rPr>
                <w:rFonts w:ascii="宋体" w:cs="宋体"/>
                <w:b/>
                <w:sz w:val="22"/>
                <w:szCs w:val="22"/>
              </w:rPr>
            </w:pPr>
          </w:p>
        </w:tc>
        <w:tc>
          <w:tcPr>
            <w:tcW w:w="8823" w:type="dxa"/>
            <w:shd w:val="clear" w:color="auto" w:fill="auto"/>
            <w:vAlign w:val="center"/>
          </w:tcPr>
          <w:p w14:paraId="2E6AA4F6">
            <w:pPr>
              <w:pStyle w:val="5"/>
              <w:ind w:firstLine="0"/>
              <w:rPr>
                <w:rFonts w:ascii="宋体" w:cs="宋体"/>
                <w:sz w:val="22"/>
                <w:szCs w:val="22"/>
              </w:rPr>
            </w:pPr>
            <w:r>
              <w:rPr>
                <w:rFonts w:hint="eastAsia" w:ascii="宋体" w:cs="宋体"/>
                <w:sz w:val="22"/>
                <w:szCs w:val="22"/>
              </w:rPr>
              <w:t>实现资产和访问控制、身份认证直接的对应</w:t>
            </w:r>
          </w:p>
        </w:tc>
      </w:tr>
      <w:tr w14:paraId="6F6A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0BBE9C19">
            <w:pPr>
              <w:pStyle w:val="5"/>
              <w:ind w:firstLine="0"/>
              <w:jc w:val="center"/>
              <w:rPr>
                <w:rFonts w:ascii="宋体" w:cs="宋体"/>
                <w:b/>
                <w:sz w:val="22"/>
                <w:szCs w:val="22"/>
              </w:rPr>
            </w:pPr>
            <w:r>
              <w:rPr>
                <w:rFonts w:hint="eastAsia" w:ascii="宋体" w:cs="宋体"/>
                <w:sz w:val="22"/>
                <w:szCs w:val="22"/>
              </w:rPr>
              <w:t>安全防护能力</w:t>
            </w:r>
          </w:p>
        </w:tc>
        <w:tc>
          <w:tcPr>
            <w:tcW w:w="8823" w:type="dxa"/>
            <w:shd w:val="clear" w:color="auto" w:fill="auto"/>
            <w:vAlign w:val="center"/>
          </w:tcPr>
          <w:p w14:paraId="7F33161B">
            <w:pPr>
              <w:pStyle w:val="5"/>
              <w:ind w:firstLine="0"/>
              <w:rPr>
                <w:rFonts w:ascii="宋体" w:cs="宋体"/>
                <w:sz w:val="22"/>
                <w:szCs w:val="22"/>
              </w:rPr>
            </w:pPr>
            <w:r>
              <w:rPr>
                <w:rFonts w:hint="eastAsia" w:ascii="宋体" w:cs="宋体"/>
                <w:sz w:val="22"/>
                <w:szCs w:val="22"/>
              </w:rPr>
              <w:t>内置的特征策略包含缓冲区溢出、SQL注入、提权、数据库内核入侵探测等常见攻击特征，内置多种数据库安全规则。</w:t>
            </w:r>
          </w:p>
        </w:tc>
      </w:tr>
      <w:tr w14:paraId="5031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47304F2">
            <w:pPr>
              <w:pStyle w:val="5"/>
              <w:ind w:firstLine="0"/>
              <w:jc w:val="center"/>
              <w:rPr>
                <w:rFonts w:ascii="宋体" w:cs="宋体"/>
                <w:b/>
                <w:sz w:val="22"/>
                <w:szCs w:val="22"/>
              </w:rPr>
            </w:pPr>
          </w:p>
        </w:tc>
        <w:tc>
          <w:tcPr>
            <w:tcW w:w="8823" w:type="dxa"/>
            <w:shd w:val="clear" w:color="auto" w:fill="auto"/>
            <w:vAlign w:val="center"/>
          </w:tcPr>
          <w:p w14:paraId="12D41B3E">
            <w:pPr>
              <w:pStyle w:val="5"/>
              <w:ind w:firstLine="0"/>
              <w:rPr>
                <w:rFonts w:ascii="宋体" w:cs="宋体"/>
                <w:sz w:val="22"/>
                <w:szCs w:val="22"/>
              </w:rPr>
            </w:pPr>
            <w:r>
              <w:rPr>
                <w:rFonts w:hint="eastAsia" w:ascii="宋体" w:cs="宋体"/>
                <w:sz w:val="22"/>
                <w:szCs w:val="22"/>
              </w:rPr>
              <w:t>自定义规则支持根据账号、数据库名、客户端工具、操作系统用户名、客户端IP、操作类型、SQL关键字等制定防护策略</w:t>
            </w:r>
          </w:p>
        </w:tc>
      </w:tr>
      <w:tr w14:paraId="49E8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74E271BF">
            <w:pPr>
              <w:pStyle w:val="5"/>
              <w:ind w:firstLine="0"/>
              <w:jc w:val="center"/>
              <w:rPr>
                <w:rFonts w:ascii="宋体" w:cs="宋体"/>
                <w:b/>
                <w:sz w:val="22"/>
                <w:szCs w:val="22"/>
              </w:rPr>
            </w:pPr>
          </w:p>
        </w:tc>
        <w:tc>
          <w:tcPr>
            <w:tcW w:w="8823" w:type="dxa"/>
            <w:shd w:val="clear" w:color="auto" w:fill="auto"/>
            <w:vAlign w:val="center"/>
          </w:tcPr>
          <w:p w14:paraId="605F75E5">
            <w:pPr>
              <w:pStyle w:val="5"/>
              <w:ind w:firstLine="0"/>
              <w:rPr>
                <w:rFonts w:ascii="宋体" w:cs="宋体"/>
                <w:sz w:val="22"/>
                <w:szCs w:val="22"/>
              </w:rPr>
            </w:pPr>
            <w:r>
              <w:rPr>
                <w:rFonts w:hint="eastAsia" w:ascii="宋体" w:cs="宋体"/>
                <w:sz w:val="22"/>
                <w:szCs w:val="22"/>
              </w:rPr>
              <w:t>自定义规则支持根据执行结果、影响行数、执行时长等设置防护策略</w:t>
            </w:r>
          </w:p>
        </w:tc>
      </w:tr>
      <w:tr w14:paraId="0620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72251A01">
            <w:pPr>
              <w:pStyle w:val="5"/>
              <w:ind w:firstLine="0"/>
              <w:jc w:val="center"/>
              <w:rPr>
                <w:rFonts w:ascii="宋体" w:cs="宋体"/>
                <w:b/>
                <w:sz w:val="22"/>
                <w:szCs w:val="22"/>
              </w:rPr>
            </w:pPr>
          </w:p>
        </w:tc>
        <w:tc>
          <w:tcPr>
            <w:tcW w:w="8823" w:type="dxa"/>
            <w:shd w:val="clear" w:color="auto" w:fill="auto"/>
            <w:vAlign w:val="center"/>
          </w:tcPr>
          <w:p w14:paraId="1F9FDBFB">
            <w:pPr>
              <w:pStyle w:val="5"/>
              <w:ind w:firstLine="0"/>
              <w:rPr>
                <w:rFonts w:ascii="宋体" w:cs="宋体"/>
                <w:sz w:val="22"/>
                <w:szCs w:val="22"/>
              </w:rPr>
            </w:pPr>
            <w:r>
              <w:rPr>
                <w:rFonts w:hint="eastAsia" w:ascii="宋体" w:cs="宋体"/>
                <w:sz w:val="22"/>
                <w:szCs w:val="22"/>
              </w:rPr>
              <w:t>自定义规则支持针对不同的数据库类型进行独立的策略动作设置</w:t>
            </w:r>
          </w:p>
        </w:tc>
      </w:tr>
      <w:tr w14:paraId="11094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7AEBE8C0">
            <w:pPr>
              <w:pStyle w:val="5"/>
              <w:ind w:firstLine="0"/>
              <w:jc w:val="center"/>
              <w:rPr>
                <w:rFonts w:ascii="宋体" w:cs="宋体"/>
                <w:b/>
                <w:sz w:val="22"/>
                <w:szCs w:val="22"/>
              </w:rPr>
            </w:pPr>
          </w:p>
        </w:tc>
        <w:tc>
          <w:tcPr>
            <w:tcW w:w="8823" w:type="dxa"/>
            <w:shd w:val="clear" w:color="auto" w:fill="auto"/>
            <w:vAlign w:val="center"/>
          </w:tcPr>
          <w:p w14:paraId="765E6188">
            <w:pPr>
              <w:pStyle w:val="5"/>
              <w:ind w:firstLine="0"/>
              <w:rPr>
                <w:rFonts w:ascii="宋体" w:cs="宋体"/>
                <w:sz w:val="22"/>
                <w:szCs w:val="22"/>
              </w:rPr>
            </w:pPr>
            <w:r>
              <w:rPr>
                <w:rFonts w:hint="eastAsia" w:ascii="宋体" w:cs="宋体"/>
                <w:sz w:val="22"/>
                <w:szCs w:val="22"/>
              </w:rPr>
              <w:t>支持基于返回行数的sql访问控制</w:t>
            </w:r>
          </w:p>
        </w:tc>
      </w:tr>
      <w:tr w14:paraId="439A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1AE5F44">
            <w:pPr>
              <w:pStyle w:val="5"/>
              <w:ind w:firstLine="0"/>
              <w:jc w:val="center"/>
              <w:rPr>
                <w:rFonts w:ascii="宋体" w:cs="宋体"/>
                <w:b/>
                <w:sz w:val="22"/>
                <w:szCs w:val="22"/>
              </w:rPr>
            </w:pPr>
          </w:p>
        </w:tc>
        <w:tc>
          <w:tcPr>
            <w:tcW w:w="8823" w:type="dxa"/>
            <w:shd w:val="clear" w:color="auto" w:fill="auto"/>
            <w:vAlign w:val="center"/>
          </w:tcPr>
          <w:p w14:paraId="4068B510">
            <w:pPr>
              <w:pStyle w:val="5"/>
              <w:ind w:firstLine="0"/>
              <w:rPr>
                <w:rFonts w:ascii="宋体" w:cs="宋体"/>
                <w:sz w:val="22"/>
                <w:szCs w:val="22"/>
              </w:rPr>
            </w:pPr>
            <w:r>
              <w:rPr>
                <w:rFonts w:hint="eastAsia" w:ascii="宋体" w:cs="宋体"/>
                <w:sz w:val="22"/>
                <w:szCs w:val="22"/>
              </w:rPr>
              <w:t>支持基于一定时间范围内基于同一会话、同一ip、同一用户、同一工具等维度对数据库访问频次及返回行数的限制</w:t>
            </w:r>
          </w:p>
        </w:tc>
      </w:tr>
      <w:tr w14:paraId="6609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66B9A462">
            <w:pPr>
              <w:pStyle w:val="5"/>
              <w:ind w:firstLine="0"/>
              <w:jc w:val="center"/>
              <w:rPr>
                <w:rFonts w:ascii="宋体" w:cs="宋体"/>
                <w:b/>
                <w:sz w:val="22"/>
                <w:szCs w:val="22"/>
              </w:rPr>
            </w:pPr>
          </w:p>
        </w:tc>
        <w:tc>
          <w:tcPr>
            <w:tcW w:w="8823" w:type="dxa"/>
            <w:shd w:val="clear" w:color="auto" w:fill="auto"/>
            <w:vAlign w:val="center"/>
          </w:tcPr>
          <w:p w14:paraId="0ED5DFA0">
            <w:pPr>
              <w:pStyle w:val="5"/>
              <w:ind w:firstLine="0"/>
              <w:rPr>
                <w:rFonts w:ascii="宋体" w:cs="宋体"/>
                <w:sz w:val="22"/>
                <w:szCs w:val="22"/>
              </w:rPr>
            </w:pPr>
            <w:r>
              <w:rPr>
                <w:rFonts w:hint="eastAsia" w:ascii="宋体" w:cs="宋体"/>
                <w:sz w:val="22"/>
                <w:szCs w:val="22"/>
              </w:rPr>
              <w:t>支持数据库防护虚拟补丁技术，防护未升级数据库，并可以更新维护</w:t>
            </w:r>
          </w:p>
        </w:tc>
      </w:tr>
      <w:tr w14:paraId="6FF1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3EE68DF">
            <w:pPr>
              <w:pStyle w:val="5"/>
              <w:ind w:firstLine="0"/>
              <w:jc w:val="center"/>
              <w:rPr>
                <w:rFonts w:ascii="宋体" w:cs="宋体"/>
                <w:b/>
                <w:sz w:val="22"/>
                <w:szCs w:val="22"/>
              </w:rPr>
            </w:pPr>
          </w:p>
        </w:tc>
        <w:tc>
          <w:tcPr>
            <w:tcW w:w="8823" w:type="dxa"/>
            <w:shd w:val="clear" w:color="auto" w:fill="auto"/>
            <w:vAlign w:val="center"/>
          </w:tcPr>
          <w:p w14:paraId="7192C110">
            <w:pPr>
              <w:pStyle w:val="5"/>
              <w:ind w:firstLine="0"/>
              <w:rPr>
                <w:rFonts w:ascii="宋体" w:cs="宋体"/>
                <w:sz w:val="22"/>
                <w:szCs w:val="22"/>
              </w:rPr>
            </w:pPr>
            <w:r>
              <w:rPr>
                <w:rFonts w:hint="eastAsia" w:ascii="宋体" w:cs="宋体"/>
                <w:sz w:val="22"/>
                <w:szCs w:val="22"/>
              </w:rPr>
              <w:t>支持数据库“隐身”，使黑客无法通过常用手段扫描数据库漏洞，从而达到保护数据库的目的。</w:t>
            </w:r>
          </w:p>
        </w:tc>
      </w:tr>
      <w:tr w14:paraId="6464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755F3BD6">
            <w:pPr>
              <w:pStyle w:val="5"/>
              <w:ind w:firstLine="0"/>
              <w:jc w:val="center"/>
              <w:rPr>
                <w:rFonts w:ascii="宋体" w:cs="宋体"/>
                <w:b/>
                <w:sz w:val="22"/>
                <w:szCs w:val="22"/>
              </w:rPr>
            </w:pPr>
          </w:p>
        </w:tc>
        <w:tc>
          <w:tcPr>
            <w:tcW w:w="8823" w:type="dxa"/>
            <w:shd w:val="clear" w:color="auto" w:fill="auto"/>
            <w:vAlign w:val="center"/>
          </w:tcPr>
          <w:p w14:paraId="50D01333">
            <w:pPr>
              <w:pStyle w:val="5"/>
              <w:ind w:firstLine="0"/>
              <w:rPr>
                <w:rFonts w:ascii="宋体" w:cs="宋体"/>
                <w:sz w:val="22"/>
                <w:szCs w:val="22"/>
              </w:rPr>
            </w:pPr>
            <w:r>
              <w:rPr>
                <w:rFonts w:hint="eastAsia" w:ascii="宋体" w:cs="宋体"/>
                <w:sz w:val="22"/>
                <w:szCs w:val="22"/>
              </w:rPr>
              <w:t>支持IP组、操作系统用户名组、客户端主机名组、客户端工具名组、数据库账号组、时间组和对象组的分组管理</w:t>
            </w:r>
          </w:p>
        </w:tc>
      </w:tr>
      <w:tr w14:paraId="564D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F40C996">
            <w:pPr>
              <w:pStyle w:val="5"/>
              <w:ind w:firstLine="0"/>
              <w:jc w:val="center"/>
              <w:rPr>
                <w:rFonts w:ascii="宋体" w:cs="宋体"/>
                <w:b/>
                <w:sz w:val="22"/>
                <w:szCs w:val="22"/>
              </w:rPr>
            </w:pPr>
          </w:p>
        </w:tc>
        <w:tc>
          <w:tcPr>
            <w:tcW w:w="8823" w:type="dxa"/>
            <w:shd w:val="clear" w:color="auto" w:fill="auto"/>
            <w:vAlign w:val="center"/>
          </w:tcPr>
          <w:p w14:paraId="0502E927">
            <w:pPr>
              <w:pStyle w:val="5"/>
              <w:ind w:firstLine="0"/>
              <w:rPr>
                <w:rFonts w:ascii="宋体" w:cs="宋体"/>
                <w:sz w:val="22"/>
                <w:szCs w:val="22"/>
              </w:rPr>
            </w:pPr>
            <w:r>
              <w:rPr>
                <w:rFonts w:hint="eastAsia" w:ascii="宋体" w:cs="宋体"/>
                <w:sz w:val="22"/>
                <w:szCs w:val="22"/>
              </w:rPr>
              <w:t>拦截阻断功能API化，可通过http请求供外部调用</w:t>
            </w:r>
          </w:p>
        </w:tc>
      </w:tr>
      <w:tr w14:paraId="6F8FE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151301C8">
            <w:pPr>
              <w:pStyle w:val="5"/>
              <w:ind w:firstLine="0"/>
              <w:jc w:val="center"/>
              <w:rPr>
                <w:rFonts w:ascii="宋体" w:cs="宋体"/>
                <w:b/>
                <w:sz w:val="22"/>
                <w:szCs w:val="22"/>
              </w:rPr>
            </w:pPr>
          </w:p>
        </w:tc>
        <w:tc>
          <w:tcPr>
            <w:tcW w:w="8823" w:type="dxa"/>
            <w:shd w:val="clear" w:color="auto" w:fill="auto"/>
            <w:vAlign w:val="center"/>
          </w:tcPr>
          <w:p w14:paraId="04EC8DFC">
            <w:pPr>
              <w:pStyle w:val="5"/>
              <w:ind w:firstLine="0"/>
              <w:rPr>
                <w:rFonts w:ascii="宋体" w:cs="宋体"/>
                <w:sz w:val="22"/>
                <w:szCs w:val="22"/>
              </w:rPr>
            </w:pPr>
            <w:r>
              <w:rPr>
                <w:rFonts w:hint="eastAsia" w:ascii="宋体" w:cs="宋体"/>
                <w:sz w:val="22"/>
                <w:szCs w:val="22"/>
              </w:rPr>
              <w:t>支持IP组、数据库账号组、组和时间组的导入和导出</w:t>
            </w:r>
          </w:p>
        </w:tc>
      </w:tr>
      <w:tr w14:paraId="2B96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DA25EFA">
            <w:pPr>
              <w:pStyle w:val="5"/>
              <w:ind w:firstLine="0"/>
              <w:jc w:val="center"/>
              <w:rPr>
                <w:rFonts w:ascii="宋体" w:cs="宋体"/>
                <w:b/>
                <w:sz w:val="22"/>
                <w:szCs w:val="22"/>
              </w:rPr>
            </w:pPr>
          </w:p>
        </w:tc>
        <w:tc>
          <w:tcPr>
            <w:tcW w:w="8823" w:type="dxa"/>
            <w:shd w:val="clear" w:color="auto" w:fill="auto"/>
            <w:vAlign w:val="center"/>
          </w:tcPr>
          <w:p w14:paraId="39449755">
            <w:pPr>
              <w:pStyle w:val="5"/>
              <w:ind w:firstLine="0"/>
              <w:rPr>
                <w:rFonts w:ascii="宋体" w:cs="宋体"/>
                <w:sz w:val="22"/>
                <w:szCs w:val="22"/>
              </w:rPr>
            </w:pPr>
            <w:r>
              <w:rPr>
                <w:rFonts w:hint="eastAsia" w:ascii="宋体" w:cs="宋体"/>
                <w:sz w:val="22"/>
                <w:szCs w:val="22"/>
              </w:rPr>
              <w:t>支持对接基于身份鉴别服务的动态授权访问控制，支持持续鉴别用户身份安全，动态授权访问数据库。</w:t>
            </w:r>
          </w:p>
        </w:tc>
      </w:tr>
      <w:tr w14:paraId="45B0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746F90FB">
            <w:pPr>
              <w:pStyle w:val="5"/>
              <w:ind w:firstLine="0"/>
              <w:jc w:val="center"/>
              <w:rPr>
                <w:rFonts w:ascii="宋体" w:cs="宋体"/>
                <w:b/>
                <w:sz w:val="22"/>
                <w:szCs w:val="22"/>
              </w:rPr>
            </w:pPr>
            <w:r>
              <w:rPr>
                <w:rFonts w:hint="eastAsia" w:ascii="宋体" w:cs="宋体"/>
                <w:sz w:val="22"/>
                <w:szCs w:val="22"/>
              </w:rPr>
              <w:t>权限管理</w:t>
            </w:r>
          </w:p>
        </w:tc>
        <w:tc>
          <w:tcPr>
            <w:tcW w:w="8823" w:type="dxa"/>
            <w:shd w:val="clear" w:color="auto" w:fill="auto"/>
            <w:vAlign w:val="center"/>
          </w:tcPr>
          <w:p w14:paraId="36EC7811">
            <w:pPr>
              <w:pStyle w:val="5"/>
              <w:ind w:firstLine="0"/>
              <w:rPr>
                <w:rFonts w:ascii="宋体" w:cs="宋体"/>
                <w:b/>
                <w:sz w:val="22"/>
                <w:szCs w:val="22"/>
              </w:rPr>
            </w:pPr>
            <w:r>
              <w:rPr>
                <w:rFonts w:hint="eastAsia" w:ascii="宋体" w:cs="宋体"/>
                <w:sz w:val="22"/>
                <w:szCs w:val="22"/>
              </w:rPr>
              <w:t>支持从应用资源选择用户、组织机构、用户组，方便管理员进行权限配置，提升运维水平。</w:t>
            </w:r>
          </w:p>
        </w:tc>
      </w:tr>
      <w:tr w14:paraId="42774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90D0FD7">
            <w:pPr>
              <w:pStyle w:val="5"/>
              <w:ind w:firstLine="0"/>
              <w:jc w:val="center"/>
              <w:rPr>
                <w:rFonts w:ascii="宋体" w:cs="宋体"/>
                <w:b/>
                <w:sz w:val="22"/>
                <w:szCs w:val="22"/>
              </w:rPr>
            </w:pPr>
          </w:p>
        </w:tc>
        <w:tc>
          <w:tcPr>
            <w:tcW w:w="8823" w:type="dxa"/>
            <w:shd w:val="clear" w:color="auto" w:fill="auto"/>
            <w:vAlign w:val="center"/>
          </w:tcPr>
          <w:p w14:paraId="7A191441">
            <w:pPr>
              <w:pStyle w:val="5"/>
              <w:ind w:firstLine="0"/>
              <w:rPr>
                <w:rFonts w:ascii="宋体" w:cs="宋体"/>
                <w:b/>
                <w:sz w:val="22"/>
                <w:szCs w:val="22"/>
              </w:rPr>
            </w:pPr>
            <w:r>
              <w:rPr>
                <w:rFonts w:hint="eastAsia" w:ascii="宋体" w:cs="宋体"/>
                <w:sz w:val="22"/>
                <w:szCs w:val="22"/>
              </w:rPr>
              <w:t>支持从应用资源组选择用户、组织机构、用户组，以实现应用组资源的被批量授予用户，减轻管理员的负担。</w:t>
            </w:r>
          </w:p>
        </w:tc>
      </w:tr>
      <w:tr w14:paraId="085D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5434131D">
            <w:pPr>
              <w:pStyle w:val="5"/>
              <w:ind w:firstLine="0"/>
              <w:jc w:val="center"/>
              <w:rPr>
                <w:rFonts w:ascii="宋体" w:cs="宋体"/>
                <w:b/>
                <w:sz w:val="22"/>
                <w:szCs w:val="22"/>
              </w:rPr>
            </w:pPr>
          </w:p>
        </w:tc>
        <w:tc>
          <w:tcPr>
            <w:tcW w:w="8823" w:type="dxa"/>
            <w:shd w:val="clear" w:color="auto" w:fill="auto"/>
            <w:vAlign w:val="center"/>
          </w:tcPr>
          <w:p w14:paraId="771CFD11">
            <w:pPr>
              <w:pStyle w:val="5"/>
              <w:ind w:firstLine="0"/>
              <w:rPr>
                <w:rFonts w:ascii="宋体" w:cs="宋体"/>
                <w:b/>
                <w:sz w:val="22"/>
                <w:szCs w:val="22"/>
              </w:rPr>
            </w:pPr>
            <w:r>
              <w:rPr>
                <w:rFonts w:hint="eastAsia" w:ascii="宋体" w:cs="宋体"/>
                <w:sz w:val="22"/>
                <w:szCs w:val="22"/>
              </w:rPr>
              <w:t>支持用户自助申请访问权限，管理员进行权限审批，提升用户使用体验，减少管理员的运维负担，加强对权限的管控。</w:t>
            </w:r>
          </w:p>
        </w:tc>
      </w:tr>
      <w:tr w14:paraId="6EBF5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1E90F2EB">
            <w:pPr>
              <w:pStyle w:val="5"/>
              <w:ind w:firstLine="0"/>
              <w:jc w:val="center"/>
              <w:rPr>
                <w:rFonts w:ascii="宋体" w:cs="宋体"/>
                <w:b/>
                <w:sz w:val="22"/>
                <w:szCs w:val="22"/>
              </w:rPr>
            </w:pPr>
            <w:r>
              <w:rPr>
                <w:rFonts w:hint="eastAsia" w:ascii="宋体" w:cs="宋体"/>
                <w:sz w:val="22"/>
                <w:szCs w:val="22"/>
              </w:rPr>
              <w:t>动态访问控制</w:t>
            </w:r>
          </w:p>
        </w:tc>
        <w:tc>
          <w:tcPr>
            <w:tcW w:w="8823" w:type="dxa"/>
            <w:shd w:val="clear" w:color="auto" w:fill="auto"/>
            <w:vAlign w:val="center"/>
          </w:tcPr>
          <w:p w14:paraId="75CC873C">
            <w:pPr>
              <w:pStyle w:val="5"/>
              <w:ind w:firstLine="0"/>
              <w:rPr>
                <w:rFonts w:ascii="宋体" w:cs="宋体"/>
                <w:b/>
                <w:sz w:val="22"/>
                <w:szCs w:val="22"/>
              </w:rPr>
            </w:pPr>
            <w:r>
              <w:rPr>
                <w:rFonts w:hint="eastAsia" w:ascii="宋体" w:cs="宋体"/>
                <w:sz w:val="22"/>
                <w:szCs w:val="22"/>
              </w:rPr>
              <w:t>支持基于访问时间、网段、位置的环境属性设置访问控制策略。</w:t>
            </w:r>
          </w:p>
        </w:tc>
      </w:tr>
      <w:tr w14:paraId="56E3B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7283060">
            <w:pPr>
              <w:pStyle w:val="5"/>
              <w:ind w:firstLine="0"/>
              <w:jc w:val="center"/>
              <w:rPr>
                <w:rFonts w:ascii="宋体" w:cs="宋体"/>
                <w:b/>
                <w:sz w:val="22"/>
                <w:szCs w:val="22"/>
              </w:rPr>
            </w:pPr>
          </w:p>
        </w:tc>
        <w:tc>
          <w:tcPr>
            <w:tcW w:w="8823" w:type="dxa"/>
            <w:shd w:val="clear" w:color="auto" w:fill="auto"/>
            <w:vAlign w:val="center"/>
          </w:tcPr>
          <w:p w14:paraId="72F28949">
            <w:pPr>
              <w:pStyle w:val="5"/>
              <w:ind w:firstLine="0"/>
              <w:rPr>
                <w:rFonts w:ascii="宋体" w:cs="宋体"/>
                <w:b/>
                <w:sz w:val="22"/>
                <w:szCs w:val="22"/>
              </w:rPr>
            </w:pPr>
            <w:r>
              <w:rPr>
                <w:rFonts w:hint="eastAsia" w:ascii="宋体" w:cs="宋体"/>
                <w:sz w:val="22"/>
                <w:szCs w:val="22"/>
              </w:rPr>
              <w:t>支持基于终端设备操作系统类型、IP、运行进程、运行的录屏软件、运行的远控软件、端口等终端属性设置访问控制策略。</w:t>
            </w:r>
          </w:p>
        </w:tc>
      </w:tr>
      <w:tr w14:paraId="210BD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49C8A35">
            <w:pPr>
              <w:pStyle w:val="5"/>
              <w:ind w:firstLine="0"/>
              <w:jc w:val="center"/>
              <w:rPr>
                <w:rFonts w:ascii="宋体" w:cs="宋体"/>
                <w:b/>
                <w:sz w:val="22"/>
                <w:szCs w:val="22"/>
              </w:rPr>
            </w:pPr>
          </w:p>
        </w:tc>
        <w:tc>
          <w:tcPr>
            <w:tcW w:w="8823" w:type="dxa"/>
            <w:shd w:val="clear" w:color="auto" w:fill="auto"/>
            <w:vAlign w:val="center"/>
          </w:tcPr>
          <w:p w14:paraId="5E3B30CA">
            <w:pPr>
              <w:pStyle w:val="5"/>
              <w:ind w:firstLine="0"/>
              <w:rPr>
                <w:rFonts w:ascii="宋体" w:cs="宋体"/>
                <w:b/>
                <w:sz w:val="22"/>
                <w:szCs w:val="22"/>
              </w:rPr>
            </w:pPr>
            <w:r>
              <w:rPr>
                <w:rFonts w:hint="eastAsia" w:ascii="宋体" w:cs="宋体"/>
                <w:sz w:val="22"/>
                <w:szCs w:val="22"/>
              </w:rPr>
              <w:t>访问控制策略处置支持登出、拒绝访问。</w:t>
            </w:r>
          </w:p>
        </w:tc>
      </w:tr>
      <w:tr w14:paraId="3F902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121F2776">
            <w:pPr>
              <w:pStyle w:val="5"/>
              <w:ind w:firstLine="0"/>
              <w:jc w:val="center"/>
              <w:rPr>
                <w:rFonts w:ascii="宋体" w:cs="宋体"/>
                <w:b/>
                <w:sz w:val="22"/>
                <w:szCs w:val="22"/>
              </w:rPr>
            </w:pPr>
          </w:p>
        </w:tc>
        <w:tc>
          <w:tcPr>
            <w:tcW w:w="8823" w:type="dxa"/>
            <w:shd w:val="clear" w:color="auto" w:fill="auto"/>
            <w:vAlign w:val="center"/>
          </w:tcPr>
          <w:p w14:paraId="791EBFA6">
            <w:pPr>
              <w:pStyle w:val="5"/>
              <w:ind w:firstLine="0"/>
              <w:rPr>
                <w:rFonts w:ascii="宋体" w:cs="宋体"/>
                <w:b/>
                <w:sz w:val="22"/>
                <w:szCs w:val="22"/>
              </w:rPr>
            </w:pPr>
            <w:r>
              <w:rPr>
                <w:rFonts w:hint="eastAsia" w:ascii="宋体" w:cs="宋体"/>
                <w:sz w:val="22"/>
                <w:szCs w:val="22"/>
              </w:rPr>
              <w:t>支持不符合环境感知基线、资源访问基线的环境，作出二次认证、阻止认证等联动处置。</w:t>
            </w:r>
          </w:p>
        </w:tc>
      </w:tr>
      <w:tr w14:paraId="71CAD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4C7A90EF">
            <w:pPr>
              <w:pStyle w:val="5"/>
              <w:ind w:firstLine="0"/>
              <w:jc w:val="center"/>
              <w:rPr>
                <w:rFonts w:ascii="宋体" w:cs="宋体"/>
                <w:b/>
                <w:sz w:val="22"/>
                <w:szCs w:val="22"/>
              </w:rPr>
            </w:pPr>
          </w:p>
        </w:tc>
        <w:tc>
          <w:tcPr>
            <w:tcW w:w="8823" w:type="dxa"/>
            <w:shd w:val="clear" w:color="auto" w:fill="auto"/>
            <w:vAlign w:val="center"/>
          </w:tcPr>
          <w:p w14:paraId="6FF8A173">
            <w:pPr>
              <w:rPr>
                <w:rFonts w:ascii="宋体" w:cs="宋体"/>
                <w:b/>
                <w:sz w:val="22"/>
                <w:szCs w:val="22"/>
              </w:rPr>
            </w:pPr>
            <w:r>
              <w:rPr>
                <w:rFonts w:hint="eastAsia" w:ascii="宋体" w:cs="宋体"/>
                <w:sz w:val="22"/>
                <w:szCs w:val="22"/>
              </w:rPr>
              <w:t>支持用户行为分析，支持访问地址变更、非常用IP表等用户行为数据采集，以实现基于用户行为状况的访问控制措施。</w:t>
            </w:r>
          </w:p>
        </w:tc>
      </w:tr>
      <w:tr w14:paraId="359A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restart"/>
            <w:shd w:val="clear" w:color="auto" w:fill="auto"/>
            <w:vAlign w:val="center"/>
          </w:tcPr>
          <w:p w14:paraId="25F19FCA">
            <w:pPr>
              <w:pStyle w:val="5"/>
              <w:ind w:firstLine="0"/>
              <w:jc w:val="center"/>
              <w:rPr>
                <w:rFonts w:ascii="宋体" w:cs="宋体"/>
                <w:b/>
                <w:sz w:val="22"/>
                <w:szCs w:val="22"/>
              </w:rPr>
            </w:pPr>
            <w:r>
              <w:rPr>
                <w:rFonts w:hint="eastAsia" w:ascii="宋体" w:cs="宋体"/>
                <w:sz w:val="22"/>
                <w:szCs w:val="22"/>
              </w:rPr>
              <w:t>风险事件</w:t>
            </w:r>
          </w:p>
        </w:tc>
        <w:tc>
          <w:tcPr>
            <w:tcW w:w="8823" w:type="dxa"/>
            <w:shd w:val="clear" w:color="auto" w:fill="auto"/>
            <w:vAlign w:val="center"/>
          </w:tcPr>
          <w:p w14:paraId="499EB682">
            <w:pPr>
              <w:pStyle w:val="5"/>
              <w:ind w:firstLine="0"/>
              <w:rPr>
                <w:rFonts w:ascii="宋体" w:cs="宋体"/>
                <w:b/>
                <w:sz w:val="22"/>
                <w:szCs w:val="22"/>
              </w:rPr>
            </w:pPr>
            <w:r>
              <w:rPr>
                <w:rFonts w:hint="eastAsia" w:ascii="宋体" w:cs="宋体"/>
                <w:sz w:val="22"/>
                <w:szCs w:val="22"/>
              </w:rPr>
              <w:t>支持记录终端的风险事件，包含终端项是否长时间未操作、是否使用USB存储、是否开启wifi、是否开启多网卡等环境感知项。</w:t>
            </w:r>
          </w:p>
        </w:tc>
      </w:tr>
      <w:tr w14:paraId="3717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99" w:type="dxa"/>
            <w:vMerge w:val="continue"/>
            <w:shd w:val="clear" w:color="auto" w:fill="auto"/>
            <w:vAlign w:val="center"/>
          </w:tcPr>
          <w:p w14:paraId="4C83E814">
            <w:pPr>
              <w:pStyle w:val="5"/>
              <w:ind w:firstLine="0"/>
              <w:jc w:val="center"/>
              <w:rPr>
                <w:rFonts w:ascii="宋体" w:cs="宋体"/>
                <w:b/>
                <w:sz w:val="22"/>
                <w:szCs w:val="22"/>
              </w:rPr>
            </w:pPr>
          </w:p>
        </w:tc>
        <w:tc>
          <w:tcPr>
            <w:tcW w:w="8823" w:type="dxa"/>
            <w:shd w:val="clear" w:color="auto" w:fill="auto"/>
            <w:vAlign w:val="center"/>
          </w:tcPr>
          <w:p w14:paraId="670E3AE4">
            <w:pPr>
              <w:pStyle w:val="5"/>
              <w:ind w:firstLine="0"/>
              <w:rPr>
                <w:rFonts w:ascii="宋体" w:cs="宋体"/>
                <w:b/>
                <w:sz w:val="22"/>
                <w:szCs w:val="22"/>
              </w:rPr>
            </w:pPr>
            <w:r>
              <w:rPr>
                <w:rFonts w:hint="eastAsia" w:ascii="宋体" w:cs="宋体"/>
                <w:sz w:val="22"/>
                <w:szCs w:val="22"/>
              </w:rPr>
              <w:t>支持记录用户的风险事件，包含用户账号</w:t>
            </w:r>
            <w:r>
              <w:rPr>
                <w:rFonts w:hint="eastAsia" w:ascii="宋体" w:cs="宋体"/>
                <w:sz w:val="22"/>
                <w:szCs w:val="22"/>
                <w:lang w:eastAsia="zh-CN"/>
              </w:rPr>
              <w:t>失效</w:t>
            </w:r>
            <w:r>
              <w:rPr>
                <w:rFonts w:hint="eastAsia" w:ascii="宋体" w:cs="宋体"/>
                <w:sz w:val="22"/>
                <w:szCs w:val="22"/>
              </w:rPr>
              <w:t>、同账号多Ip登录、同账号更换浏览器登录等用户行为特征项。</w:t>
            </w:r>
          </w:p>
        </w:tc>
      </w:tr>
      <w:tr w14:paraId="3782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0772019">
            <w:pPr>
              <w:pStyle w:val="5"/>
              <w:ind w:firstLine="0"/>
              <w:jc w:val="center"/>
              <w:rPr>
                <w:rFonts w:ascii="宋体" w:cs="宋体"/>
                <w:b/>
                <w:sz w:val="22"/>
                <w:szCs w:val="22"/>
              </w:rPr>
            </w:pPr>
          </w:p>
        </w:tc>
        <w:tc>
          <w:tcPr>
            <w:tcW w:w="8823" w:type="dxa"/>
            <w:shd w:val="clear" w:color="auto" w:fill="auto"/>
            <w:vAlign w:val="center"/>
          </w:tcPr>
          <w:p w14:paraId="1527C576">
            <w:pPr>
              <w:pStyle w:val="5"/>
              <w:ind w:firstLine="0"/>
              <w:rPr>
                <w:rFonts w:ascii="宋体" w:cs="宋体"/>
                <w:b/>
                <w:sz w:val="22"/>
                <w:szCs w:val="22"/>
              </w:rPr>
            </w:pPr>
            <w:r>
              <w:rPr>
                <w:rFonts w:hint="eastAsia" w:ascii="宋体" w:cs="宋体"/>
                <w:sz w:val="22"/>
                <w:szCs w:val="22"/>
              </w:rPr>
              <w:t>风险事件支持告警外发配置，可外发至pulsar服务和JMS服务。</w:t>
            </w:r>
          </w:p>
        </w:tc>
      </w:tr>
      <w:tr w14:paraId="4E20B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9" w:type="dxa"/>
            <w:vMerge w:val="continue"/>
            <w:shd w:val="clear" w:color="auto" w:fill="auto"/>
            <w:vAlign w:val="center"/>
          </w:tcPr>
          <w:p w14:paraId="08611EE2">
            <w:pPr>
              <w:pStyle w:val="5"/>
              <w:ind w:firstLine="0"/>
              <w:jc w:val="center"/>
              <w:rPr>
                <w:rFonts w:ascii="宋体" w:cs="宋体"/>
                <w:b/>
                <w:sz w:val="22"/>
                <w:szCs w:val="22"/>
              </w:rPr>
            </w:pPr>
          </w:p>
        </w:tc>
        <w:tc>
          <w:tcPr>
            <w:tcW w:w="8823" w:type="dxa"/>
            <w:shd w:val="clear" w:color="auto" w:fill="auto"/>
            <w:vAlign w:val="center"/>
          </w:tcPr>
          <w:p w14:paraId="1624EE9E">
            <w:pPr>
              <w:pStyle w:val="5"/>
              <w:ind w:firstLine="0"/>
              <w:rPr>
                <w:rFonts w:ascii="宋体" w:cs="宋体"/>
                <w:b/>
                <w:sz w:val="22"/>
                <w:szCs w:val="22"/>
              </w:rPr>
            </w:pPr>
            <w:r>
              <w:rPr>
                <w:rFonts w:hint="eastAsia" w:ascii="宋体" w:cs="宋体"/>
                <w:sz w:val="22"/>
                <w:szCs w:val="22"/>
              </w:rPr>
              <w:t>支持配置安全响应策略，支持当触发风险事件时，触发注销用户、锁定账号、锁定API、锁定应用访问API等安全措施，保护内部应用数据安全。</w:t>
            </w:r>
          </w:p>
        </w:tc>
      </w:tr>
    </w:tbl>
    <w:p w14:paraId="3E7DA33A">
      <w:pPr>
        <w:pStyle w:val="38"/>
        <w:tabs>
          <w:tab w:val="right" w:leader="dot" w:pos="9628"/>
        </w:tabs>
      </w:pPr>
    </w:p>
    <w:p w14:paraId="27C5DAC4">
      <w:pPr>
        <w:pStyle w:val="8"/>
        <w:numPr>
          <w:ilvl w:val="0"/>
          <w:numId w:val="19"/>
        </w:numPr>
        <w:rPr>
          <w:rFonts w:ascii="宋体" w:hAnsi="宋体" w:cs="宋体"/>
          <w:sz w:val="22"/>
          <w:szCs w:val="22"/>
        </w:rPr>
      </w:pPr>
      <w:r>
        <w:rPr>
          <w:rFonts w:hint="eastAsia" w:ascii="宋体" w:hAnsi="宋体" w:cs="宋体"/>
          <w:sz w:val="22"/>
          <w:szCs w:val="22"/>
        </w:rPr>
        <w:t xml:space="preserve">水印溯源服务 </w:t>
      </w:r>
    </w:p>
    <w:tbl>
      <w:tblPr>
        <w:tblStyle w:val="5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685"/>
      </w:tblGrid>
      <w:tr w14:paraId="40C7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shd w:val="clear" w:color="auto" w:fill="FFFFFF"/>
            <w:vAlign w:val="center"/>
          </w:tcPr>
          <w:p w14:paraId="251E6F1E">
            <w:pPr>
              <w:widowControl/>
              <w:jc w:val="center"/>
              <w:rPr>
                <w:rFonts w:ascii="宋体" w:cs="宋体"/>
                <w:bCs/>
                <w:sz w:val="22"/>
                <w:szCs w:val="22"/>
              </w:rPr>
            </w:pPr>
            <w:r>
              <w:rPr>
                <w:rFonts w:hint="eastAsia" w:ascii="宋体" w:cs="宋体"/>
                <w:bCs/>
                <w:sz w:val="22"/>
                <w:szCs w:val="22"/>
              </w:rPr>
              <w:t>指标项</w:t>
            </w:r>
          </w:p>
        </w:tc>
        <w:tc>
          <w:tcPr>
            <w:tcW w:w="8685" w:type="dxa"/>
            <w:shd w:val="clear" w:color="auto" w:fill="FFFFFF"/>
            <w:vAlign w:val="center"/>
          </w:tcPr>
          <w:p w14:paraId="1DE67A97">
            <w:pPr>
              <w:widowControl/>
              <w:jc w:val="center"/>
              <w:rPr>
                <w:rFonts w:ascii="宋体" w:cs="宋体"/>
                <w:bCs/>
                <w:sz w:val="22"/>
                <w:szCs w:val="22"/>
              </w:rPr>
            </w:pPr>
            <w:r>
              <w:rPr>
                <w:rFonts w:hint="eastAsia" w:ascii="宋体" w:cs="宋体"/>
                <w:bCs/>
                <w:sz w:val="22"/>
                <w:szCs w:val="22"/>
              </w:rPr>
              <w:t>技术参数</w:t>
            </w:r>
          </w:p>
        </w:tc>
      </w:tr>
      <w:tr w14:paraId="7B59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restart"/>
            <w:vAlign w:val="center"/>
          </w:tcPr>
          <w:p w14:paraId="67D03FD3">
            <w:pPr>
              <w:widowControl/>
              <w:jc w:val="center"/>
              <w:rPr>
                <w:rFonts w:ascii="宋体" w:cs="宋体"/>
                <w:b/>
                <w:sz w:val="22"/>
                <w:szCs w:val="22"/>
              </w:rPr>
            </w:pPr>
            <w:r>
              <w:rPr>
                <w:rFonts w:hint="eastAsia" w:ascii="宋体" w:cs="宋体"/>
                <w:sz w:val="22"/>
                <w:szCs w:val="22"/>
              </w:rPr>
              <w:t>数据源管理</w:t>
            </w:r>
          </w:p>
        </w:tc>
        <w:tc>
          <w:tcPr>
            <w:tcW w:w="8685" w:type="dxa"/>
            <w:vAlign w:val="center"/>
          </w:tcPr>
          <w:p w14:paraId="5DC81821">
            <w:pPr>
              <w:jc w:val="left"/>
              <w:rPr>
                <w:rFonts w:ascii="宋体" w:cs="宋体"/>
                <w:b/>
                <w:sz w:val="22"/>
                <w:szCs w:val="22"/>
              </w:rPr>
            </w:pPr>
            <w:r>
              <w:rPr>
                <w:rFonts w:hint="eastAsia" w:ascii="宋体" w:cs="宋体"/>
                <w:sz w:val="22"/>
                <w:szCs w:val="22"/>
              </w:rPr>
              <w:t>支持</w:t>
            </w:r>
            <w:r>
              <w:rPr>
                <w:rFonts w:hint="eastAsia" w:ascii="宋体" w:cs="宋体"/>
                <w:sz w:val="22"/>
                <w:szCs w:val="22"/>
                <w:lang w:eastAsia="zh-CN"/>
              </w:rPr>
              <w:t>对</w:t>
            </w:r>
            <w:r>
              <w:rPr>
                <w:rFonts w:hint="eastAsia" w:ascii="宋体" w:cs="宋体"/>
                <w:sz w:val="22"/>
                <w:szCs w:val="22"/>
              </w:rPr>
              <w:t>数据源进行新增、编辑、删除等操作，并支持对于数据源对应的数据结构进行同步。</w:t>
            </w:r>
          </w:p>
        </w:tc>
      </w:tr>
      <w:tr w14:paraId="6BC6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2DFF7952">
            <w:pPr>
              <w:widowControl/>
              <w:jc w:val="center"/>
              <w:rPr>
                <w:rFonts w:ascii="宋体" w:cs="宋体"/>
                <w:b/>
                <w:sz w:val="22"/>
                <w:szCs w:val="22"/>
              </w:rPr>
            </w:pPr>
          </w:p>
        </w:tc>
        <w:tc>
          <w:tcPr>
            <w:tcW w:w="8685" w:type="dxa"/>
            <w:vAlign w:val="center"/>
          </w:tcPr>
          <w:p w14:paraId="6A9456F0">
            <w:pPr>
              <w:jc w:val="left"/>
              <w:rPr>
                <w:rFonts w:ascii="宋体" w:cs="宋体"/>
                <w:b/>
                <w:sz w:val="22"/>
                <w:szCs w:val="22"/>
              </w:rPr>
            </w:pPr>
            <w:r>
              <w:rPr>
                <w:rFonts w:hint="eastAsia" w:ascii="宋体" w:cs="宋体"/>
                <w:sz w:val="22"/>
                <w:szCs w:val="22"/>
              </w:rPr>
              <w:t>支持以数据资产目录形式对于数据源对应的元数据信息进行查看，同时支持同步分类分级的结果，以及对于敏感数据列进行手动标记。</w:t>
            </w:r>
          </w:p>
        </w:tc>
      </w:tr>
      <w:tr w14:paraId="7159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restart"/>
            <w:vAlign w:val="center"/>
          </w:tcPr>
          <w:p w14:paraId="206FA36A">
            <w:pPr>
              <w:widowControl/>
              <w:jc w:val="center"/>
              <w:rPr>
                <w:rFonts w:ascii="宋体" w:cs="宋体"/>
                <w:b/>
                <w:sz w:val="22"/>
                <w:szCs w:val="22"/>
              </w:rPr>
            </w:pPr>
            <w:r>
              <w:rPr>
                <w:rFonts w:hint="eastAsia" w:ascii="宋体" w:cs="宋体"/>
                <w:sz w:val="22"/>
                <w:szCs w:val="22"/>
              </w:rPr>
              <w:t>敏感标签管理</w:t>
            </w:r>
          </w:p>
        </w:tc>
        <w:tc>
          <w:tcPr>
            <w:tcW w:w="8685" w:type="dxa"/>
            <w:vAlign w:val="center"/>
          </w:tcPr>
          <w:p w14:paraId="0A649DA3">
            <w:pPr>
              <w:jc w:val="left"/>
              <w:rPr>
                <w:rFonts w:ascii="宋体" w:cs="宋体"/>
                <w:b/>
                <w:sz w:val="22"/>
                <w:szCs w:val="22"/>
              </w:rPr>
            </w:pPr>
            <w:r>
              <w:rPr>
                <w:rFonts w:hint="eastAsia" w:ascii="宋体" w:cs="宋体"/>
                <w:sz w:val="22"/>
                <w:szCs w:val="22"/>
              </w:rPr>
              <w:t>系统内置敏感标签包括：姓名、手机号、身份证、银行卡、军官证、邮政编码、详细地址、护照号、国籍编码、日期、时间、驾驶证编号、邮箱、股票代码、股票名称、基金代码、基金名称、机构名称、组织机构代码、纳税识别号、统一社会信用代码、固定电话、港澳通行证、台胞证、营业执照、IMEI、IP地址、IPv6地址、JDBC连接串、MAC地址、MEID、URL地址、车架号、血型、城市、学历、性别、婚姻状况、民族、政治面貌、省份、车牌号、学科名称、学科代码、宗教信仰、整数、浮点数。</w:t>
            </w:r>
          </w:p>
        </w:tc>
      </w:tr>
      <w:tr w14:paraId="7CC8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145A74CD">
            <w:pPr>
              <w:widowControl/>
              <w:jc w:val="center"/>
              <w:rPr>
                <w:rFonts w:ascii="宋体" w:cs="宋体"/>
                <w:b/>
                <w:sz w:val="22"/>
                <w:szCs w:val="22"/>
              </w:rPr>
            </w:pPr>
          </w:p>
        </w:tc>
        <w:tc>
          <w:tcPr>
            <w:tcW w:w="8685" w:type="dxa"/>
            <w:vAlign w:val="center"/>
          </w:tcPr>
          <w:p w14:paraId="4459292C">
            <w:pPr>
              <w:jc w:val="left"/>
              <w:rPr>
                <w:rFonts w:ascii="宋体" w:cs="宋体"/>
                <w:b/>
                <w:sz w:val="22"/>
                <w:szCs w:val="22"/>
              </w:rPr>
            </w:pPr>
            <w:r>
              <w:rPr>
                <w:rFonts w:hint="eastAsia" w:ascii="宋体" w:cs="宋体"/>
                <w:sz w:val="22"/>
                <w:szCs w:val="22"/>
              </w:rPr>
              <w:t>支持对于敏感标签对应的发现规则进行配置，配置内容包括：判断主体、发现条件，并支持对于发现效果进行测试。</w:t>
            </w:r>
          </w:p>
        </w:tc>
      </w:tr>
      <w:tr w14:paraId="28B4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34CDB4D0">
            <w:pPr>
              <w:widowControl/>
              <w:jc w:val="center"/>
              <w:rPr>
                <w:rFonts w:ascii="宋体" w:cs="宋体"/>
                <w:b/>
                <w:sz w:val="22"/>
                <w:szCs w:val="22"/>
              </w:rPr>
            </w:pPr>
          </w:p>
        </w:tc>
        <w:tc>
          <w:tcPr>
            <w:tcW w:w="8685" w:type="dxa"/>
            <w:vAlign w:val="center"/>
          </w:tcPr>
          <w:p w14:paraId="551D686C">
            <w:pPr>
              <w:jc w:val="left"/>
              <w:rPr>
                <w:rFonts w:ascii="宋体" w:cs="宋体"/>
                <w:b/>
                <w:sz w:val="22"/>
                <w:szCs w:val="22"/>
              </w:rPr>
            </w:pPr>
            <w:r>
              <w:rPr>
                <w:rFonts w:hint="eastAsia" w:ascii="宋体" w:cs="宋体"/>
                <w:sz w:val="22"/>
                <w:szCs w:val="22"/>
              </w:rPr>
              <w:t>支持对于敏感标签对应的脱敏规则进行配置，配置内容包括：规则名称、是否启用、脱敏算法、脱敏分段，并支持对于脱敏效果进行测试。</w:t>
            </w:r>
          </w:p>
        </w:tc>
      </w:tr>
      <w:tr w14:paraId="7277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restart"/>
            <w:vAlign w:val="center"/>
          </w:tcPr>
          <w:p w14:paraId="12CB5E35">
            <w:pPr>
              <w:widowControl/>
              <w:jc w:val="center"/>
              <w:rPr>
                <w:rFonts w:ascii="宋体" w:cs="宋体"/>
                <w:b/>
                <w:sz w:val="22"/>
                <w:szCs w:val="22"/>
              </w:rPr>
            </w:pPr>
            <w:r>
              <w:rPr>
                <w:rFonts w:hint="eastAsia" w:ascii="宋体" w:cs="宋体"/>
                <w:sz w:val="22"/>
                <w:szCs w:val="22"/>
              </w:rPr>
              <w:t>敏感数据发现</w:t>
            </w:r>
          </w:p>
        </w:tc>
        <w:tc>
          <w:tcPr>
            <w:tcW w:w="8685" w:type="dxa"/>
            <w:vAlign w:val="center"/>
          </w:tcPr>
          <w:p w14:paraId="0E97BA95">
            <w:pPr>
              <w:tabs>
                <w:tab w:val="left" w:pos="1792"/>
              </w:tabs>
              <w:jc w:val="left"/>
              <w:rPr>
                <w:rFonts w:ascii="宋体" w:cs="宋体"/>
                <w:b/>
                <w:sz w:val="22"/>
                <w:szCs w:val="22"/>
              </w:rPr>
            </w:pPr>
            <w:r>
              <w:rPr>
                <w:rFonts w:hint="eastAsia" w:ascii="宋体" w:cs="宋体"/>
                <w:sz w:val="22"/>
                <w:szCs w:val="22"/>
              </w:rPr>
              <w:t>支持全量/增量两种方式进行敏感数据发现，同时支持对于数据采样行业、命中阈值、脱敏模板进行配置。</w:t>
            </w:r>
            <w:r>
              <w:rPr>
                <w:rFonts w:hint="eastAsia" w:ascii="宋体" w:cs="宋体"/>
                <w:sz w:val="22"/>
                <w:szCs w:val="22"/>
              </w:rPr>
              <w:tab/>
            </w:r>
          </w:p>
        </w:tc>
      </w:tr>
      <w:tr w14:paraId="6D39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3F58BE48">
            <w:pPr>
              <w:widowControl/>
              <w:jc w:val="center"/>
              <w:rPr>
                <w:rFonts w:ascii="宋体" w:cs="宋体"/>
                <w:b/>
                <w:sz w:val="22"/>
                <w:szCs w:val="22"/>
              </w:rPr>
            </w:pPr>
          </w:p>
        </w:tc>
        <w:tc>
          <w:tcPr>
            <w:tcW w:w="8685" w:type="dxa"/>
            <w:vAlign w:val="center"/>
          </w:tcPr>
          <w:p w14:paraId="6699F89A">
            <w:pPr>
              <w:tabs>
                <w:tab w:val="left" w:pos="1792"/>
              </w:tabs>
              <w:jc w:val="left"/>
              <w:rPr>
                <w:rFonts w:ascii="宋体" w:cs="宋体"/>
                <w:b/>
                <w:sz w:val="22"/>
                <w:szCs w:val="22"/>
              </w:rPr>
            </w:pPr>
            <w:r>
              <w:rPr>
                <w:rFonts w:hint="eastAsia" w:ascii="宋体" w:cs="宋体"/>
                <w:sz w:val="22"/>
                <w:szCs w:val="22"/>
              </w:rPr>
              <w:t>支持对于发现任务提供可视化监控，监控信息包括：任务状态、开始运行时间、耗时、已处理表格数、剩余表格数、发现敏感字段数、正在处理表格清单、详细运行日志，并支持原始日志的下载。</w:t>
            </w:r>
          </w:p>
        </w:tc>
      </w:tr>
      <w:tr w14:paraId="1DEE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58396F27">
            <w:pPr>
              <w:widowControl/>
              <w:jc w:val="center"/>
              <w:rPr>
                <w:rFonts w:ascii="宋体" w:cs="宋体"/>
                <w:b/>
                <w:sz w:val="22"/>
                <w:szCs w:val="22"/>
              </w:rPr>
            </w:pPr>
          </w:p>
        </w:tc>
        <w:tc>
          <w:tcPr>
            <w:tcW w:w="8685" w:type="dxa"/>
            <w:vAlign w:val="center"/>
          </w:tcPr>
          <w:p w14:paraId="782F2973">
            <w:pPr>
              <w:tabs>
                <w:tab w:val="left" w:pos="1792"/>
              </w:tabs>
              <w:jc w:val="left"/>
              <w:rPr>
                <w:rFonts w:ascii="宋体" w:cs="宋体"/>
                <w:b/>
                <w:sz w:val="22"/>
                <w:szCs w:val="22"/>
              </w:rPr>
            </w:pPr>
            <w:r>
              <w:rPr>
                <w:rFonts w:hint="eastAsia" w:ascii="宋体" w:cs="宋体"/>
                <w:sz w:val="22"/>
                <w:szCs w:val="22"/>
              </w:rPr>
              <w:t>支持对于任务发现的敏感数据提供人工确认功能，提供字段名、字段注释、数据样本、推荐结果等展示信息，支持查看更多样本数据。</w:t>
            </w:r>
          </w:p>
        </w:tc>
      </w:tr>
      <w:tr w14:paraId="56B9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restart"/>
            <w:vAlign w:val="center"/>
          </w:tcPr>
          <w:p w14:paraId="51BFDBB2">
            <w:pPr>
              <w:widowControl/>
              <w:jc w:val="center"/>
              <w:rPr>
                <w:rFonts w:ascii="宋体" w:cs="宋体"/>
                <w:b/>
                <w:sz w:val="22"/>
                <w:szCs w:val="22"/>
              </w:rPr>
            </w:pPr>
            <w:r>
              <w:rPr>
                <w:rFonts w:hint="eastAsia" w:ascii="宋体" w:cs="宋体"/>
                <w:sz w:val="22"/>
                <w:szCs w:val="22"/>
              </w:rPr>
              <w:t>数据水印</w:t>
            </w:r>
          </w:p>
        </w:tc>
        <w:tc>
          <w:tcPr>
            <w:tcW w:w="8685" w:type="dxa"/>
            <w:vAlign w:val="center"/>
          </w:tcPr>
          <w:p w14:paraId="339827BC">
            <w:pPr>
              <w:tabs>
                <w:tab w:val="left" w:pos="1792"/>
              </w:tabs>
              <w:jc w:val="left"/>
              <w:rPr>
                <w:rFonts w:ascii="宋体" w:cs="宋体"/>
                <w:b/>
                <w:sz w:val="22"/>
                <w:szCs w:val="22"/>
              </w:rPr>
            </w:pPr>
            <w:r>
              <w:rPr>
                <w:rFonts w:hint="eastAsia" w:ascii="宋体" w:cs="宋体"/>
                <w:sz w:val="22"/>
                <w:szCs w:val="22"/>
              </w:rPr>
              <w:t>支持脱敏水印、内容修改水印、伪行水印、伪列水印4种水印算法对于数据打上水印信息，并提供对应的可视化配置页面。</w:t>
            </w:r>
          </w:p>
        </w:tc>
      </w:tr>
      <w:tr w14:paraId="0090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Merge w:val="continue"/>
            <w:vAlign w:val="center"/>
          </w:tcPr>
          <w:p w14:paraId="71D8EC2E">
            <w:pPr>
              <w:widowControl/>
              <w:jc w:val="center"/>
              <w:rPr>
                <w:rFonts w:ascii="宋体" w:cs="宋体"/>
                <w:b/>
                <w:sz w:val="22"/>
                <w:szCs w:val="22"/>
              </w:rPr>
            </w:pPr>
          </w:p>
        </w:tc>
        <w:tc>
          <w:tcPr>
            <w:tcW w:w="8685" w:type="dxa"/>
            <w:vAlign w:val="center"/>
          </w:tcPr>
          <w:p w14:paraId="6582F05A">
            <w:pPr>
              <w:tabs>
                <w:tab w:val="left" w:pos="1792"/>
              </w:tabs>
              <w:jc w:val="left"/>
              <w:rPr>
                <w:rFonts w:ascii="宋体" w:cs="宋体"/>
                <w:b/>
                <w:sz w:val="22"/>
                <w:szCs w:val="22"/>
              </w:rPr>
            </w:pPr>
            <w:r>
              <w:rPr>
                <w:rFonts w:hint="eastAsia" w:ascii="宋体" w:cs="宋体"/>
                <w:sz w:val="22"/>
                <w:szCs w:val="22"/>
              </w:rPr>
              <w:t>支持通过excel文件导入或手动输入样本数据两种方式，实现带有水印数据的水印信息溯源。</w:t>
            </w:r>
          </w:p>
        </w:tc>
      </w:tr>
      <w:tr w14:paraId="4B8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Align w:val="center"/>
          </w:tcPr>
          <w:p w14:paraId="65102930">
            <w:pPr>
              <w:widowControl/>
              <w:jc w:val="center"/>
              <w:rPr>
                <w:rFonts w:ascii="宋体" w:cs="宋体"/>
                <w:b/>
                <w:sz w:val="22"/>
                <w:szCs w:val="22"/>
              </w:rPr>
            </w:pPr>
            <w:r>
              <w:rPr>
                <w:rFonts w:hint="eastAsia" w:ascii="宋体" w:cs="宋体"/>
                <w:sz w:val="22"/>
                <w:szCs w:val="22"/>
              </w:rPr>
              <w:t>API接口开放</w:t>
            </w:r>
          </w:p>
        </w:tc>
        <w:tc>
          <w:tcPr>
            <w:tcW w:w="8685" w:type="dxa"/>
            <w:vAlign w:val="center"/>
          </w:tcPr>
          <w:p w14:paraId="1B52DF09">
            <w:pPr>
              <w:tabs>
                <w:tab w:val="left" w:pos="1792"/>
              </w:tabs>
              <w:jc w:val="left"/>
              <w:rPr>
                <w:rFonts w:ascii="宋体" w:cs="宋体"/>
                <w:b/>
                <w:sz w:val="22"/>
                <w:szCs w:val="22"/>
              </w:rPr>
            </w:pPr>
            <w:r>
              <w:rPr>
                <w:rFonts w:hint="eastAsia" w:ascii="宋体" w:cs="宋体"/>
                <w:sz w:val="22"/>
                <w:szCs w:val="22"/>
              </w:rPr>
              <w:t>★支持以API形式将数据脱敏与数据水印能力进行对外提供，具体包括接口包括：数据源清单接口、查询水印算法可用列表接口、水印列表接口、新增水印接口、批量删除水印接口、数据水印处理接口、查询脱敏算法可用列表接口、脱敏算法测试接口、数据脱敏接口（需提供截图证明）</w:t>
            </w:r>
          </w:p>
        </w:tc>
      </w:tr>
      <w:tr w14:paraId="0CDC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9" w:type="dxa"/>
            <w:vAlign w:val="center"/>
          </w:tcPr>
          <w:p w14:paraId="347DD749">
            <w:pPr>
              <w:widowControl/>
              <w:jc w:val="center"/>
              <w:rPr>
                <w:rFonts w:ascii="宋体" w:cs="宋体"/>
                <w:b/>
                <w:sz w:val="22"/>
                <w:szCs w:val="22"/>
              </w:rPr>
            </w:pPr>
            <w:r>
              <w:rPr>
                <w:rFonts w:hint="eastAsia" w:ascii="宋体" w:cs="宋体"/>
                <w:sz w:val="22"/>
                <w:szCs w:val="22"/>
              </w:rPr>
              <w:t>水印算法</w:t>
            </w:r>
          </w:p>
        </w:tc>
        <w:tc>
          <w:tcPr>
            <w:tcW w:w="8685" w:type="dxa"/>
            <w:vAlign w:val="center"/>
          </w:tcPr>
          <w:p w14:paraId="2D229FD4">
            <w:pPr>
              <w:tabs>
                <w:tab w:val="left" w:pos="1792"/>
              </w:tabs>
              <w:jc w:val="left"/>
              <w:rPr>
                <w:rFonts w:ascii="宋体" w:cs="宋体"/>
                <w:b/>
                <w:sz w:val="22"/>
                <w:szCs w:val="22"/>
              </w:rPr>
            </w:pPr>
            <w:r>
              <w:rPr>
                <w:rFonts w:hint="eastAsia" w:ascii="宋体" w:cs="宋体"/>
                <w:sz w:val="22"/>
                <w:szCs w:val="22"/>
              </w:rPr>
              <w:t>水印：根据所选的水印信息，对数据添加水印标记，可实现数据所有权声明和数据泄漏追溯</w:t>
            </w:r>
          </w:p>
        </w:tc>
      </w:tr>
    </w:tbl>
    <w:p w14:paraId="36C3B3F6">
      <w:pPr>
        <w:pStyle w:val="8"/>
        <w:numPr>
          <w:ilvl w:val="0"/>
          <w:numId w:val="19"/>
        </w:numPr>
        <w:rPr>
          <w:rFonts w:ascii="宋体" w:hAnsi="宋体" w:cs="宋体"/>
          <w:sz w:val="22"/>
          <w:szCs w:val="22"/>
        </w:rPr>
      </w:pPr>
      <w:r>
        <w:rPr>
          <w:rFonts w:hint="eastAsia" w:ascii="宋体" w:hAnsi="宋体" w:cs="宋体"/>
          <w:sz w:val="22"/>
          <w:szCs w:val="22"/>
        </w:rPr>
        <w:t>A</w:t>
      </w:r>
      <w:r>
        <w:rPr>
          <w:rFonts w:ascii="宋体" w:hAnsi="宋体" w:cs="宋体"/>
          <w:sz w:val="22"/>
          <w:szCs w:val="22"/>
        </w:rPr>
        <w:t>PI</w:t>
      </w:r>
      <w:r>
        <w:rPr>
          <w:rFonts w:hint="eastAsia" w:ascii="宋体" w:hAnsi="宋体" w:cs="宋体"/>
          <w:sz w:val="22"/>
          <w:szCs w:val="22"/>
        </w:rPr>
        <w:t>接口监测服务</w:t>
      </w:r>
    </w:p>
    <w:tbl>
      <w:tblPr>
        <w:tblStyle w:val="56"/>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739"/>
      </w:tblGrid>
      <w:tr w14:paraId="13E2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shd w:val="clear" w:color="auto" w:fill="FFFFFF"/>
            <w:vAlign w:val="center"/>
          </w:tcPr>
          <w:p w14:paraId="52D4649E">
            <w:pPr>
              <w:widowControl/>
              <w:jc w:val="center"/>
              <w:rPr>
                <w:rFonts w:ascii="宋体" w:cs="宋体"/>
                <w:bCs/>
                <w:sz w:val="22"/>
                <w:szCs w:val="22"/>
              </w:rPr>
            </w:pPr>
            <w:r>
              <w:rPr>
                <w:rFonts w:hint="eastAsia" w:ascii="宋体" w:cs="宋体"/>
                <w:bCs/>
                <w:sz w:val="22"/>
                <w:szCs w:val="22"/>
              </w:rPr>
              <w:t>指标项</w:t>
            </w:r>
          </w:p>
        </w:tc>
        <w:tc>
          <w:tcPr>
            <w:tcW w:w="8739" w:type="dxa"/>
            <w:shd w:val="clear" w:color="auto" w:fill="FFFFFF"/>
            <w:vAlign w:val="center"/>
          </w:tcPr>
          <w:p w14:paraId="638A784B">
            <w:pPr>
              <w:widowControl/>
              <w:jc w:val="center"/>
              <w:rPr>
                <w:rFonts w:ascii="宋体" w:cs="宋体"/>
                <w:bCs/>
                <w:sz w:val="22"/>
                <w:szCs w:val="22"/>
              </w:rPr>
            </w:pPr>
            <w:r>
              <w:rPr>
                <w:rFonts w:hint="eastAsia" w:ascii="宋体" w:cs="宋体"/>
                <w:bCs/>
                <w:sz w:val="22"/>
                <w:szCs w:val="22"/>
              </w:rPr>
              <w:t>技术参数</w:t>
            </w:r>
          </w:p>
        </w:tc>
      </w:tr>
      <w:tr w14:paraId="6CD2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25677387">
            <w:pPr>
              <w:pStyle w:val="49"/>
              <w:spacing w:line="360" w:lineRule="auto"/>
              <w:jc w:val="center"/>
              <w:rPr>
                <w:rFonts w:hint="default"/>
                <w:bCs/>
                <w:sz w:val="22"/>
                <w:szCs w:val="22"/>
              </w:rPr>
            </w:pPr>
            <w:r>
              <w:rPr>
                <w:sz w:val="22"/>
                <w:szCs w:val="22"/>
              </w:rPr>
              <w:t>应用资产识别</w:t>
            </w:r>
          </w:p>
        </w:tc>
        <w:tc>
          <w:tcPr>
            <w:tcW w:w="8739" w:type="dxa"/>
          </w:tcPr>
          <w:p w14:paraId="21794317">
            <w:pPr>
              <w:pStyle w:val="49"/>
              <w:rPr>
                <w:rFonts w:hint="default"/>
                <w:b/>
                <w:sz w:val="22"/>
                <w:szCs w:val="22"/>
              </w:rPr>
            </w:pPr>
            <w:r>
              <w:rPr>
                <w:sz w:val="22"/>
                <w:szCs w:val="22"/>
              </w:rPr>
              <w:t>自动识别流量中的应用系统。</w:t>
            </w:r>
          </w:p>
        </w:tc>
      </w:tr>
      <w:tr w14:paraId="5FDD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1972F115">
            <w:pPr>
              <w:pStyle w:val="49"/>
              <w:spacing w:line="360" w:lineRule="auto"/>
              <w:jc w:val="center"/>
              <w:rPr>
                <w:rFonts w:hint="default"/>
                <w:bCs/>
                <w:sz w:val="22"/>
                <w:szCs w:val="22"/>
              </w:rPr>
            </w:pPr>
          </w:p>
        </w:tc>
        <w:tc>
          <w:tcPr>
            <w:tcW w:w="8739" w:type="dxa"/>
          </w:tcPr>
          <w:p w14:paraId="0DE9D8ED">
            <w:pPr>
              <w:pStyle w:val="49"/>
              <w:rPr>
                <w:rFonts w:hint="default"/>
                <w:b/>
                <w:sz w:val="22"/>
                <w:szCs w:val="22"/>
              </w:rPr>
            </w:pPr>
            <w:r>
              <w:rPr>
                <w:sz w:val="22"/>
                <w:szCs w:val="22"/>
              </w:rPr>
              <w:t>支持列表结构呈现应用清单，展示包括资产名称、资产域名、部署IP等基本信息；展示关联接口数、关联文件数等统计信息；展示资产的敏感数据识别信息。</w:t>
            </w:r>
          </w:p>
        </w:tc>
      </w:tr>
      <w:tr w14:paraId="6F79B2FC">
        <w:tblPrEx>
          <w:tblCellMar>
            <w:top w:w="0" w:type="dxa"/>
            <w:left w:w="108" w:type="dxa"/>
            <w:bottom w:w="0" w:type="dxa"/>
            <w:right w:w="108" w:type="dxa"/>
          </w:tblCellMar>
        </w:tblPrEx>
        <w:trPr>
          <w:trHeight w:val="280" w:hRule="atLeast"/>
          <w:jc w:val="center"/>
        </w:trPr>
        <w:tc>
          <w:tcPr>
            <w:tcW w:w="1107" w:type="dxa"/>
            <w:vMerge w:val="continue"/>
            <w:vAlign w:val="center"/>
          </w:tcPr>
          <w:p w14:paraId="434BB5D9">
            <w:pPr>
              <w:pStyle w:val="49"/>
              <w:spacing w:line="360" w:lineRule="auto"/>
              <w:jc w:val="center"/>
              <w:rPr>
                <w:rFonts w:hint="default"/>
                <w:bCs/>
                <w:sz w:val="22"/>
                <w:szCs w:val="22"/>
              </w:rPr>
            </w:pPr>
          </w:p>
        </w:tc>
        <w:tc>
          <w:tcPr>
            <w:tcW w:w="8739" w:type="dxa"/>
          </w:tcPr>
          <w:p w14:paraId="5E35F6E5">
            <w:pPr>
              <w:pStyle w:val="49"/>
              <w:rPr>
                <w:rFonts w:hint="default"/>
                <w:sz w:val="22"/>
                <w:szCs w:val="22"/>
              </w:rPr>
            </w:pPr>
            <w:r>
              <w:rPr>
                <w:sz w:val="22"/>
                <w:szCs w:val="22"/>
              </w:rPr>
              <w:t>支持在对发现时间、活跃时间、访问量等</w:t>
            </w:r>
            <w:r>
              <w:rPr>
                <w:rFonts w:hint="eastAsia"/>
                <w:sz w:val="22"/>
                <w:szCs w:val="22"/>
                <w:lang w:eastAsia="zh-CN"/>
              </w:rPr>
              <w:t>维度</w:t>
            </w:r>
            <w:r>
              <w:rPr>
                <w:sz w:val="22"/>
                <w:szCs w:val="22"/>
              </w:rPr>
              <w:t>进行排序。</w:t>
            </w:r>
          </w:p>
        </w:tc>
      </w:tr>
      <w:tr w14:paraId="03B0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5137326D">
            <w:pPr>
              <w:pStyle w:val="49"/>
              <w:spacing w:line="360" w:lineRule="auto"/>
              <w:jc w:val="center"/>
              <w:rPr>
                <w:rFonts w:hint="default"/>
                <w:bCs/>
                <w:sz w:val="22"/>
                <w:szCs w:val="22"/>
              </w:rPr>
            </w:pPr>
          </w:p>
        </w:tc>
        <w:tc>
          <w:tcPr>
            <w:tcW w:w="8739" w:type="dxa"/>
          </w:tcPr>
          <w:p w14:paraId="2F0F11F3">
            <w:pPr>
              <w:pStyle w:val="49"/>
              <w:rPr>
                <w:rFonts w:hint="default"/>
                <w:sz w:val="22"/>
                <w:szCs w:val="22"/>
              </w:rPr>
            </w:pPr>
            <w:r>
              <w:rPr>
                <w:sz w:val="22"/>
                <w:szCs w:val="22"/>
              </w:rPr>
              <w:t>支持树形展示应用下API结构，树结构最高深度支持到24层，呈现应用维度画像、API维度画像。</w:t>
            </w:r>
          </w:p>
        </w:tc>
      </w:tr>
      <w:tr w14:paraId="4A6F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3D0A68D0">
            <w:pPr>
              <w:pStyle w:val="49"/>
              <w:spacing w:line="360" w:lineRule="auto"/>
              <w:jc w:val="center"/>
              <w:rPr>
                <w:rFonts w:hint="default"/>
                <w:bCs/>
                <w:sz w:val="22"/>
                <w:szCs w:val="22"/>
              </w:rPr>
            </w:pPr>
          </w:p>
        </w:tc>
        <w:tc>
          <w:tcPr>
            <w:tcW w:w="8739" w:type="dxa"/>
          </w:tcPr>
          <w:p w14:paraId="5E0182EC">
            <w:pPr>
              <w:pStyle w:val="49"/>
              <w:rPr>
                <w:rFonts w:hint="default"/>
                <w:sz w:val="22"/>
                <w:szCs w:val="22"/>
              </w:rPr>
            </w:pPr>
            <w:r>
              <w:rPr>
                <w:sz w:val="22"/>
                <w:szCs w:val="22"/>
              </w:rPr>
              <w:t>支持监测应用的生命周期变化，并可通过可视化方式修改生命周期的打标周期。</w:t>
            </w:r>
          </w:p>
        </w:tc>
      </w:tr>
      <w:tr w14:paraId="3848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23C58535">
            <w:pPr>
              <w:pStyle w:val="49"/>
              <w:spacing w:line="360" w:lineRule="auto"/>
              <w:jc w:val="center"/>
              <w:rPr>
                <w:rFonts w:hint="default"/>
                <w:bCs/>
                <w:sz w:val="22"/>
                <w:szCs w:val="22"/>
              </w:rPr>
            </w:pPr>
            <w:r>
              <w:rPr>
                <w:sz w:val="22"/>
                <w:szCs w:val="22"/>
              </w:rPr>
              <w:t>接口资产识别</w:t>
            </w:r>
          </w:p>
        </w:tc>
        <w:tc>
          <w:tcPr>
            <w:tcW w:w="8739" w:type="dxa"/>
          </w:tcPr>
          <w:p w14:paraId="60BD6427">
            <w:pPr>
              <w:pStyle w:val="49"/>
              <w:rPr>
                <w:rFonts w:hint="default"/>
                <w:b/>
                <w:sz w:val="22"/>
                <w:szCs w:val="22"/>
              </w:rPr>
            </w:pPr>
            <w:r>
              <w:rPr>
                <w:sz w:val="22"/>
                <w:szCs w:val="22"/>
              </w:rPr>
              <w:t>支持列表结构呈现接口清单，展示接口所属应用、接口名称、接口URI、接口类型及接口敏感属性等信息。</w:t>
            </w:r>
          </w:p>
        </w:tc>
      </w:tr>
      <w:tr w14:paraId="7615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56BFC75E">
            <w:pPr>
              <w:pStyle w:val="49"/>
              <w:spacing w:line="360" w:lineRule="auto"/>
              <w:jc w:val="center"/>
              <w:rPr>
                <w:rFonts w:hint="default"/>
                <w:sz w:val="22"/>
                <w:szCs w:val="22"/>
              </w:rPr>
            </w:pPr>
          </w:p>
        </w:tc>
        <w:tc>
          <w:tcPr>
            <w:tcW w:w="8739" w:type="dxa"/>
          </w:tcPr>
          <w:p w14:paraId="38A114CC">
            <w:pPr>
              <w:pStyle w:val="49"/>
              <w:rPr>
                <w:rFonts w:hint="default"/>
                <w:sz w:val="22"/>
                <w:szCs w:val="22"/>
              </w:rPr>
            </w:pPr>
            <w:r>
              <w:rPr>
                <w:sz w:val="22"/>
                <w:szCs w:val="22"/>
              </w:rPr>
              <w:t>支持根据策略自动识别划分静态资源页面和数据共享API，支持可视化多指标组合配置划分规则，配置指标维度包括：URL、请求用户代理、请求方法、响应内容类型、请求头、响应头、响应码、请求体、响应体。</w:t>
            </w:r>
          </w:p>
        </w:tc>
      </w:tr>
      <w:tr w14:paraId="17FB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66E2EEB2">
            <w:pPr>
              <w:pStyle w:val="49"/>
              <w:spacing w:line="360" w:lineRule="auto"/>
              <w:jc w:val="center"/>
              <w:rPr>
                <w:rFonts w:hint="default"/>
                <w:sz w:val="22"/>
                <w:szCs w:val="22"/>
              </w:rPr>
            </w:pPr>
          </w:p>
        </w:tc>
        <w:tc>
          <w:tcPr>
            <w:tcW w:w="8739" w:type="dxa"/>
          </w:tcPr>
          <w:p w14:paraId="39716C82">
            <w:pPr>
              <w:pStyle w:val="49"/>
              <w:rPr>
                <w:rFonts w:hint="default"/>
                <w:sz w:val="22"/>
                <w:szCs w:val="22"/>
              </w:rPr>
            </w:pPr>
            <w:r>
              <w:rPr>
                <w:sz w:val="22"/>
                <w:szCs w:val="22"/>
              </w:rPr>
              <w:t>支持监测API的生命周期变化，并可通过可视化方式修改生命周期的打标周期。</w:t>
            </w:r>
          </w:p>
        </w:tc>
      </w:tr>
      <w:tr w14:paraId="14EE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7992E86C">
            <w:pPr>
              <w:pStyle w:val="49"/>
              <w:spacing w:line="360" w:lineRule="auto"/>
              <w:jc w:val="center"/>
              <w:rPr>
                <w:rFonts w:hint="default"/>
                <w:bCs/>
                <w:sz w:val="22"/>
                <w:szCs w:val="22"/>
              </w:rPr>
            </w:pPr>
            <w:r>
              <w:rPr>
                <w:sz w:val="22"/>
                <w:szCs w:val="22"/>
              </w:rPr>
              <w:t>识别方式</w:t>
            </w:r>
          </w:p>
        </w:tc>
        <w:tc>
          <w:tcPr>
            <w:tcW w:w="8739" w:type="dxa"/>
          </w:tcPr>
          <w:p w14:paraId="3A8E430B">
            <w:pPr>
              <w:pStyle w:val="49"/>
              <w:rPr>
                <w:rFonts w:hint="default"/>
                <w:b/>
                <w:sz w:val="22"/>
                <w:szCs w:val="22"/>
              </w:rPr>
            </w:pPr>
            <w:r>
              <w:rPr>
                <w:sz w:val="22"/>
                <w:szCs w:val="22"/>
              </w:rPr>
              <w:t>支持丰富的敏感数据识别技术：包括正则表达式、关键字典等先进技术自定义创建识别规则。</w:t>
            </w:r>
          </w:p>
        </w:tc>
      </w:tr>
      <w:tr w14:paraId="64D1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7B7930C5">
            <w:pPr>
              <w:pStyle w:val="49"/>
              <w:spacing w:line="360" w:lineRule="auto"/>
              <w:jc w:val="center"/>
              <w:rPr>
                <w:rFonts w:hint="default"/>
                <w:bCs/>
                <w:sz w:val="22"/>
                <w:szCs w:val="22"/>
              </w:rPr>
            </w:pPr>
          </w:p>
        </w:tc>
        <w:tc>
          <w:tcPr>
            <w:tcW w:w="8739" w:type="dxa"/>
          </w:tcPr>
          <w:p w14:paraId="75E379F4">
            <w:pPr>
              <w:pStyle w:val="49"/>
              <w:rPr>
                <w:rFonts w:hint="default"/>
                <w:b/>
                <w:sz w:val="22"/>
                <w:szCs w:val="22"/>
              </w:rPr>
            </w:pPr>
            <w:r>
              <w:rPr>
                <w:sz w:val="22"/>
                <w:szCs w:val="22"/>
              </w:rPr>
              <w:t>支持控制识别敏感数据标签的位置，可定义识别请求头/响应头/请求体/响应体。</w:t>
            </w:r>
          </w:p>
        </w:tc>
      </w:tr>
      <w:tr w14:paraId="5155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7D3A3950">
            <w:pPr>
              <w:pStyle w:val="49"/>
              <w:spacing w:line="360" w:lineRule="auto"/>
              <w:jc w:val="center"/>
              <w:rPr>
                <w:rFonts w:hint="default"/>
                <w:bCs/>
                <w:sz w:val="22"/>
                <w:szCs w:val="22"/>
              </w:rPr>
            </w:pPr>
          </w:p>
        </w:tc>
        <w:tc>
          <w:tcPr>
            <w:tcW w:w="8739" w:type="dxa"/>
          </w:tcPr>
          <w:p w14:paraId="1123E148">
            <w:pPr>
              <w:pStyle w:val="49"/>
              <w:rPr>
                <w:rFonts w:hint="default"/>
                <w:sz w:val="22"/>
                <w:szCs w:val="22"/>
              </w:rPr>
            </w:pPr>
            <w:r>
              <w:rPr>
                <w:sz w:val="22"/>
                <w:szCs w:val="22"/>
              </w:rPr>
              <w:t>内置100+敏感数据标签，包括身份证号、手机号、银行卡号、姓名、地址、邮箱等</w:t>
            </w:r>
          </w:p>
        </w:tc>
      </w:tr>
      <w:tr w14:paraId="48A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7AC37160">
            <w:pPr>
              <w:pStyle w:val="49"/>
              <w:spacing w:line="360" w:lineRule="auto"/>
              <w:jc w:val="center"/>
              <w:rPr>
                <w:rFonts w:hint="default"/>
                <w:bCs/>
                <w:sz w:val="22"/>
                <w:szCs w:val="22"/>
              </w:rPr>
            </w:pPr>
            <w:r>
              <w:rPr>
                <w:sz w:val="22"/>
                <w:szCs w:val="22"/>
              </w:rPr>
              <w:t>资产脆弱性</w:t>
            </w:r>
          </w:p>
        </w:tc>
        <w:tc>
          <w:tcPr>
            <w:tcW w:w="8739" w:type="dxa"/>
          </w:tcPr>
          <w:p w14:paraId="33AA76EB">
            <w:pPr>
              <w:pStyle w:val="49"/>
              <w:rPr>
                <w:rFonts w:hint="default"/>
                <w:b/>
                <w:sz w:val="22"/>
                <w:szCs w:val="22"/>
              </w:rPr>
            </w:pPr>
            <w:r>
              <w:rPr>
                <w:sz w:val="22"/>
                <w:szCs w:val="22"/>
              </w:rPr>
              <w:t>内置资产脆弱性漏洞识别规则。</w:t>
            </w:r>
          </w:p>
        </w:tc>
      </w:tr>
      <w:tr w14:paraId="683B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788F0A7F">
            <w:pPr>
              <w:pStyle w:val="49"/>
              <w:spacing w:line="360" w:lineRule="auto"/>
              <w:jc w:val="center"/>
              <w:rPr>
                <w:rFonts w:hint="default"/>
                <w:bCs/>
                <w:sz w:val="22"/>
                <w:szCs w:val="22"/>
              </w:rPr>
            </w:pPr>
          </w:p>
        </w:tc>
        <w:tc>
          <w:tcPr>
            <w:tcW w:w="8739" w:type="dxa"/>
          </w:tcPr>
          <w:p w14:paraId="052E3906">
            <w:pPr>
              <w:pStyle w:val="49"/>
              <w:rPr>
                <w:rFonts w:hint="default"/>
                <w:b/>
                <w:sz w:val="22"/>
                <w:szCs w:val="22"/>
              </w:rPr>
            </w:pPr>
            <w:r>
              <w:rPr>
                <w:sz w:val="22"/>
                <w:szCs w:val="22"/>
              </w:rPr>
              <w:t>★内置的脆弱性风险策略监测规则达到2000条左右可覆盖常用应用漏洞进行监测。其中未授权漏洞支持100条监测规则，可覆盖Apache Spark、OpenAPI、Weblogic等常用组件未授权漏洞监测。命令执行漏洞支持近1000 条监测规则。</w:t>
            </w:r>
            <w:r>
              <w:rPr>
                <w:bCs/>
                <w:sz w:val="22"/>
                <w:szCs w:val="22"/>
              </w:rPr>
              <w:t>（需提供截图证明）</w:t>
            </w:r>
          </w:p>
        </w:tc>
      </w:tr>
      <w:tr w14:paraId="68F3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70F69E70">
            <w:pPr>
              <w:pStyle w:val="49"/>
              <w:spacing w:line="360" w:lineRule="auto"/>
              <w:jc w:val="center"/>
              <w:rPr>
                <w:rFonts w:hint="default"/>
                <w:bCs/>
                <w:sz w:val="22"/>
                <w:szCs w:val="22"/>
              </w:rPr>
            </w:pPr>
          </w:p>
        </w:tc>
        <w:tc>
          <w:tcPr>
            <w:tcW w:w="8739" w:type="dxa"/>
          </w:tcPr>
          <w:p w14:paraId="2FEB7EA6">
            <w:pPr>
              <w:pStyle w:val="49"/>
              <w:rPr>
                <w:rFonts w:hint="default"/>
                <w:sz w:val="22"/>
                <w:szCs w:val="22"/>
              </w:rPr>
            </w:pPr>
            <w:r>
              <w:rPr>
                <w:sz w:val="22"/>
                <w:szCs w:val="22"/>
              </w:rPr>
              <w:t>提供样例可视化和完整的修复流程，可覆盖：确认、下发、修复、验证、关闭等关键流程。</w:t>
            </w:r>
          </w:p>
        </w:tc>
      </w:tr>
      <w:tr w14:paraId="603C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34E96B56">
            <w:pPr>
              <w:pStyle w:val="49"/>
              <w:spacing w:line="360" w:lineRule="auto"/>
              <w:jc w:val="center"/>
              <w:rPr>
                <w:rFonts w:hint="default"/>
                <w:bCs/>
                <w:sz w:val="22"/>
                <w:szCs w:val="22"/>
              </w:rPr>
            </w:pPr>
          </w:p>
        </w:tc>
        <w:tc>
          <w:tcPr>
            <w:tcW w:w="8739" w:type="dxa"/>
          </w:tcPr>
          <w:p w14:paraId="1FDBA145">
            <w:pPr>
              <w:pStyle w:val="49"/>
              <w:rPr>
                <w:rFonts w:hint="default"/>
                <w:sz w:val="22"/>
                <w:szCs w:val="22"/>
              </w:rPr>
            </w:pPr>
            <w:r>
              <w:rPr>
                <w:sz w:val="22"/>
                <w:szCs w:val="22"/>
              </w:rPr>
              <w:t>脆弱性风险具有丰富的、有助于用户分析的风险详情，包含：风险基础信息、历史处置记录、告警信息、影响面评估、可被利用方式、修复建议等。其中影响面评估可从去重数据量、访问量、数据标签、访问域等维度进行综合分析，与所有脆弱性 API进行对比，形成整体影响面评估结果。</w:t>
            </w:r>
          </w:p>
        </w:tc>
      </w:tr>
      <w:tr w14:paraId="0D5A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3C7B2B9B">
            <w:pPr>
              <w:pStyle w:val="49"/>
              <w:spacing w:line="360" w:lineRule="auto"/>
              <w:jc w:val="center"/>
              <w:rPr>
                <w:rFonts w:hint="default"/>
                <w:bCs/>
                <w:sz w:val="22"/>
                <w:szCs w:val="22"/>
              </w:rPr>
            </w:pPr>
          </w:p>
        </w:tc>
        <w:tc>
          <w:tcPr>
            <w:tcW w:w="8739" w:type="dxa"/>
          </w:tcPr>
          <w:p w14:paraId="33E50FD0">
            <w:pPr>
              <w:pStyle w:val="49"/>
              <w:rPr>
                <w:rFonts w:hint="default"/>
                <w:b/>
                <w:sz w:val="22"/>
                <w:szCs w:val="22"/>
              </w:rPr>
            </w:pPr>
            <w:r>
              <w:rPr>
                <w:sz w:val="22"/>
                <w:szCs w:val="22"/>
              </w:rPr>
              <w:t>自动识别接口脆弱性，自动留存证据样例，并提出对应的修复建议。</w:t>
            </w:r>
          </w:p>
        </w:tc>
      </w:tr>
      <w:tr w14:paraId="265D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3689298E">
            <w:pPr>
              <w:pStyle w:val="49"/>
              <w:spacing w:line="360" w:lineRule="auto"/>
              <w:jc w:val="center"/>
              <w:rPr>
                <w:rFonts w:hint="default"/>
                <w:bCs/>
                <w:sz w:val="22"/>
                <w:szCs w:val="22"/>
              </w:rPr>
            </w:pPr>
            <w:r>
              <w:rPr>
                <w:sz w:val="22"/>
                <w:szCs w:val="22"/>
              </w:rPr>
              <w:t>行为风险</w:t>
            </w:r>
          </w:p>
        </w:tc>
        <w:tc>
          <w:tcPr>
            <w:tcW w:w="8739" w:type="dxa"/>
          </w:tcPr>
          <w:p w14:paraId="44E6E82C">
            <w:pPr>
              <w:pStyle w:val="49"/>
              <w:rPr>
                <w:rFonts w:hint="default"/>
                <w:b/>
                <w:sz w:val="22"/>
                <w:szCs w:val="22"/>
              </w:rPr>
            </w:pPr>
            <w:r>
              <w:rPr>
                <w:sz w:val="22"/>
                <w:szCs w:val="22"/>
              </w:rPr>
              <w:t>内置主体行为风险识别策略。</w:t>
            </w:r>
          </w:p>
        </w:tc>
      </w:tr>
      <w:tr w14:paraId="5B66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6A8E2351">
            <w:pPr>
              <w:pStyle w:val="49"/>
              <w:spacing w:line="360" w:lineRule="auto"/>
              <w:jc w:val="center"/>
              <w:rPr>
                <w:rFonts w:hint="default"/>
                <w:bCs/>
                <w:sz w:val="22"/>
                <w:szCs w:val="22"/>
              </w:rPr>
            </w:pPr>
          </w:p>
        </w:tc>
        <w:tc>
          <w:tcPr>
            <w:tcW w:w="8739" w:type="dxa"/>
          </w:tcPr>
          <w:p w14:paraId="6EB72C7B">
            <w:pPr>
              <w:pStyle w:val="49"/>
              <w:rPr>
                <w:rFonts w:hint="default"/>
                <w:b/>
                <w:sz w:val="22"/>
                <w:szCs w:val="22"/>
              </w:rPr>
            </w:pPr>
            <w:r>
              <w:rPr>
                <w:sz w:val="22"/>
                <w:szCs w:val="22"/>
              </w:rPr>
              <w:t>★支持以IP、账号、IP+API、账号+API、数据维度进行行为风险配置。支持通过多种指标组合自定义配置新增风险策略，例如：请求数据标签、返回数据标签、下载文件、上传文件、访问频次、登录账号数、账号密码去重数、手机号验证码去重数、操作时间等。支持以滑动窗口计数方式匹配监测规则。</w:t>
            </w:r>
            <w:r>
              <w:rPr>
                <w:bCs/>
                <w:sz w:val="22"/>
                <w:szCs w:val="22"/>
              </w:rPr>
              <w:t>（需提供截图证明）</w:t>
            </w:r>
          </w:p>
        </w:tc>
      </w:tr>
      <w:tr w14:paraId="467A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31D9230F">
            <w:pPr>
              <w:pStyle w:val="49"/>
              <w:spacing w:line="360" w:lineRule="auto"/>
              <w:jc w:val="center"/>
              <w:rPr>
                <w:rFonts w:hint="default"/>
                <w:bCs/>
                <w:sz w:val="22"/>
                <w:szCs w:val="22"/>
              </w:rPr>
            </w:pPr>
          </w:p>
        </w:tc>
        <w:tc>
          <w:tcPr>
            <w:tcW w:w="8739" w:type="dxa"/>
          </w:tcPr>
          <w:p w14:paraId="7CD1AAE2">
            <w:pPr>
              <w:pStyle w:val="49"/>
              <w:rPr>
                <w:rFonts w:hint="default"/>
                <w:sz w:val="22"/>
                <w:szCs w:val="22"/>
              </w:rPr>
            </w:pPr>
            <w:r>
              <w:rPr>
                <w:sz w:val="22"/>
                <w:szCs w:val="22"/>
              </w:rPr>
              <w:t>支持以数据为维度进行风险监测，以数据为线索可配置分析访问 API 数、访问应用数、登录账号数、访问 IP、操作时间等内容，可适用于洞察二次封装风险、核心数据防泄漏场景。</w:t>
            </w:r>
          </w:p>
        </w:tc>
      </w:tr>
      <w:tr w14:paraId="1831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06D8B4BF">
            <w:pPr>
              <w:pStyle w:val="49"/>
              <w:spacing w:line="360" w:lineRule="auto"/>
              <w:jc w:val="center"/>
              <w:rPr>
                <w:rFonts w:hint="default"/>
                <w:bCs/>
                <w:sz w:val="22"/>
                <w:szCs w:val="22"/>
              </w:rPr>
            </w:pPr>
          </w:p>
        </w:tc>
        <w:tc>
          <w:tcPr>
            <w:tcW w:w="8739" w:type="dxa"/>
          </w:tcPr>
          <w:p w14:paraId="43597EE7">
            <w:pPr>
              <w:pStyle w:val="49"/>
              <w:rPr>
                <w:rFonts w:hint="default"/>
                <w:sz w:val="22"/>
                <w:szCs w:val="22"/>
              </w:rPr>
            </w:pPr>
            <w:r>
              <w:rPr>
                <w:sz w:val="22"/>
                <w:szCs w:val="22"/>
              </w:rPr>
              <w:t>对于数据维度的风险，支持提供丰富的审计详情信息和分析维度，可根据风险日志自动绘制API风险链路关系。</w:t>
            </w:r>
          </w:p>
        </w:tc>
      </w:tr>
      <w:tr w14:paraId="4159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vAlign w:val="center"/>
          </w:tcPr>
          <w:p w14:paraId="76FC8F45">
            <w:pPr>
              <w:pStyle w:val="49"/>
              <w:spacing w:line="360" w:lineRule="auto"/>
              <w:jc w:val="center"/>
              <w:rPr>
                <w:rFonts w:hint="default"/>
                <w:bCs/>
                <w:sz w:val="22"/>
                <w:szCs w:val="22"/>
              </w:rPr>
            </w:pPr>
          </w:p>
        </w:tc>
        <w:tc>
          <w:tcPr>
            <w:tcW w:w="8739" w:type="dxa"/>
          </w:tcPr>
          <w:p w14:paraId="164D9B70">
            <w:pPr>
              <w:pStyle w:val="49"/>
              <w:rPr>
                <w:rFonts w:hint="default"/>
                <w:sz w:val="22"/>
                <w:szCs w:val="22"/>
              </w:rPr>
            </w:pPr>
            <w:r>
              <w:rPr>
                <w:sz w:val="22"/>
                <w:szCs w:val="22"/>
              </w:rPr>
              <w:t>当监测到流量中有风险行为时自动预警，历史风险日志自动合并，提高运营效率，同一主体触发相同的风险会自动累计风险触发次数和去重数据量。</w:t>
            </w:r>
          </w:p>
        </w:tc>
      </w:tr>
      <w:tr w14:paraId="01CC1333">
        <w:tblPrEx>
          <w:tblCellMar>
            <w:top w:w="0" w:type="dxa"/>
            <w:left w:w="108" w:type="dxa"/>
            <w:bottom w:w="0" w:type="dxa"/>
            <w:right w:w="108" w:type="dxa"/>
          </w:tblCellMar>
        </w:tblPrEx>
        <w:trPr>
          <w:trHeight w:val="280" w:hRule="atLeast"/>
          <w:jc w:val="center"/>
        </w:trPr>
        <w:tc>
          <w:tcPr>
            <w:tcW w:w="1107" w:type="dxa"/>
            <w:vMerge w:val="continue"/>
            <w:vAlign w:val="center"/>
          </w:tcPr>
          <w:p w14:paraId="32BFBFCB">
            <w:pPr>
              <w:pStyle w:val="49"/>
              <w:spacing w:line="360" w:lineRule="auto"/>
              <w:jc w:val="center"/>
              <w:rPr>
                <w:rFonts w:hint="default"/>
                <w:bCs/>
                <w:sz w:val="22"/>
                <w:szCs w:val="22"/>
              </w:rPr>
            </w:pPr>
          </w:p>
        </w:tc>
        <w:tc>
          <w:tcPr>
            <w:tcW w:w="8739" w:type="dxa"/>
          </w:tcPr>
          <w:p w14:paraId="70C5D0D1">
            <w:pPr>
              <w:pStyle w:val="49"/>
              <w:rPr>
                <w:rFonts w:hint="default"/>
                <w:sz w:val="22"/>
                <w:szCs w:val="22"/>
              </w:rPr>
            </w:pPr>
            <w:r>
              <w:rPr>
                <w:sz w:val="22"/>
                <w:szCs w:val="22"/>
              </w:rPr>
              <w:t>支持对风险主体行为进行统计分析，统计</w:t>
            </w:r>
            <w:r>
              <w:rPr>
                <w:rFonts w:hint="eastAsia"/>
                <w:sz w:val="22"/>
                <w:szCs w:val="22"/>
                <w:lang w:eastAsia="zh-CN"/>
              </w:rPr>
              <w:t>维度</w:t>
            </w:r>
            <w:r>
              <w:rPr>
                <w:sz w:val="22"/>
                <w:szCs w:val="22"/>
              </w:rPr>
              <w:t>包括：访问UA、访问账号或IP、访问应用、访问量、访问敏感数据等。</w:t>
            </w:r>
          </w:p>
        </w:tc>
      </w:tr>
      <w:tr w14:paraId="133B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restart"/>
            <w:vAlign w:val="center"/>
          </w:tcPr>
          <w:p w14:paraId="34DC587C">
            <w:pPr>
              <w:pStyle w:val="49"/>
              <w:spacing w:line="360" w:lineRule="auto"/>
              <w:jc w:val="center"/>
              <w:rPr>
                <w:rFonts w:hint="default"/>
                <w:bCs/>
                <w:sz w:val="22"/>
                <w:szCs w:val="22"/>
              </w:rPr>
            </w:pPr>
            <w:r>
              <w:rPr>
                <w:sz w:val="22"/>
                <w:szCs w:val="22"/>
              </w:rPr>
              <w:t>日志检索</w:t>
            </w:r>
          </w:p>
        </w:tc>
        <w:tc>
          <w:tcPr>
            <w:tcW w:w="8739" w:type="dxa"/>
            <w:vAlign w:val="center"/>
          </w:tcPr>
          <w:p w14:paraId="3CAE9A63">
            <w:pPr>
              <w:pStyle w:val="49"/>
              <w:rPr>
                <w:rFonts w:hint="default"/>
                <w:sz w:val="22"/>
                <w:szCs w:val="22"/>
              </w:rPr>
            </w:pPr>
            <w:r>
              <w:rPr>
                <w:sz w:val="22"/>
                <w:szCs w:val="22"/>
              </w:rPr>
              <w:t>支持审计记录完整的语句详情信息。包括：发生时间、 API 路径、服务端 IP、服务端端口、 客户端 IP、客户端口、请求概要信息、返回概要信息、结果、请求数据标签、返回数据标签、文件名称、文件MD5、流量VLAN ID、审计日志ID 、抓包网卡、会话ID、协议等多个审计信息。</w:t>
            </w:r>
          </w:p>
        </w:tc>
      </w:tr>
      <w:tr w14:paraId="3204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tcPr>
          <w:p w14:paraId="4AC65E8B">
            <w:pPr>
              <w:pStyle w:val="49"/>
              <w:spacing w:line="360" w:lineRule="auto"/>
              <w:rPr>
                <w:rFonts w:hint="default"/>
                <w:bCs/>
                <w:sz w:val="22"/>
                <w:szCs w:val="22"/>
              </w:rPr>
            </w:pPr>
          </w:p>
        </w:tc>
        <w:tc>
          <w:tcPr>
            <w:tcW w:w="8739" w:type="dxa"/>
            <w:vAlign w:val="center"/>
          </w:tcPr>
          <w:p w14:paraId="76BF2D1B">
            <w:pPr>
              <w:pStyle w:val="49"/>
              <w:rPr>
                <w:rFonts w:hint="default"/>
                <w:sz w:val="22"/>
                <w:szCs w:val="22"/>
              </w:rPr>
            </w:pPr>
            <w:r>
              <w:rPr>
                <w:sz w:val="22"/>
                <w:szCs w:val="22"/>
              </w:rPr>
              <w:t>消息头包含request URL和request method常规信息，包含host、connection、token、user-agent、accept、cache-control、accept-encoding、cookie等请求头信息和请求参数信息，包含server、date、content-type、content-length、connection等响应头信息。</w:t>
            </w:r>
          </w:p>
        </w:tc>
      </w:tr>
      <w:tr w14:paraId="4EA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tcPr>
          <w:p w14:paraId="29C69E62">
            <w:pPr>
              <w:pStyle w:val="49"/>
              <w:spacing w:line="360" w:lineRule="auto"/>
              <w:rPr>
                <w:rFonts w:hint="default"/>
                <w:bCs/>
                <w:sz w:val="22"/>
                <w:szCs w:val="22"/>
              </w:rPr>
            </w:pPr>
          </w:p>
        </w:tc>
        <w:tc>
          <w:tcPr>
            <w:tcW w:w="8739" w:type="dxa"/>
            <w:vAlign w:val="center"/>
          </w:tcPr>
          <w:p w14:paraId="2983F50C">
            <w:pPr>
              <w:pStyle w:val="49"/>
              <w:rPr>
                <w:rFonts w:hint="default"/>
                <w:sz w:val="22"/>
                <w:szCs w:val="22"/>
              </w:rPr>
            </w:pPr>
            <w:r>
              <w:rPr>
                <w:sz w:val="22"/>
                <w:szCs w:val="22"/>
              </w:rPr>
              <w:t>支持留存全量的 API 操作日志，最高可审计的单日志大小为 16MB，支持配置日志留存时间，默认日志完整保存 180天以上。</w:t>
            </w:r>
          </w:p>
        </w:tc>
      </w:tr>
      <w:tr w14:paraId="3A4E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07" w:type="dxa"/>
            <w:vMerge w:val="continue"/>
          </w:tcPr>
          <w:p w14:paraId="58A42332">
            <w:pPr>
              <w:pStyle w:val="49"/>
              <w:spacing w:line="360" w:lineRule="auto"/>
              <w:rPr>
                <w:rFonts w:hint="default"/>
                <w:bCs/>
                <w:sz w:val="22"/>
                <w:szCs w:val="22"/>
              </w:rPr>
            </w:pPr>
          </w:p>
        </w:tc>
        <w:tc>
          <w:tcPr>
            <w:tcW w:w="8739" w:type="dxa"/>
            <w:vAlign w:val="center"/>
          </w:tcPr>
          <w:p w14:paraId="148418AA">
            <w:pPr>
              <w:pStyle w:val="49"/>
              <w:rPr>
                <w:rFonts w:hint="default"/>
                <w:sz w:val="22"/>
                <w:szCs w:val="22"/>
              </w:rPr>
            </w:pPr>
            <w:r>
              <w:rPr>
                <w:sz w:val="22"/>
                <w:szCs w:val="22"/>
              </w:rPr>
              <w:t>审计日志详情支持绘制出客户端访问应用的访问关系图。支持 JSON 格式化展示日志信息，并统计日志中包含的敏感数据数量，点击敏感数据标签可高亮敏感数据位置。支持对日志中的数据进行检索。</w:t>
            </w:r>
          </w:p>
        </w:tc>
      </w:tr>
    </w:tbl>
    <w:p w14:paraId="4EF8E60F">
      <w:pPr>
        <w:pStyle w:val="8"/>
        <w:numPr>
          <w:ilvl w:val="0"/>
          <w:numId w:val="19"/>
        </w:numPr>
        <w:rPr>
          <w:rFonts w:ascii="宋体" w:hAnsi="宋体" w:cs="宋体"/>
          <w:sz w:val="22"/>
          <w:szCs w:val="22"/>
        </w:rPr>
      </w:pPr>
      <w:r>
        <w:rPr>
          <w:rFonts w:hint="eastAsia" w:ascii="宋体" w:hAnsi="宋体" w:cs="宋体"/>
          <w:sz w:val="22"/>
          <w:szCs w:val="22"/>
        </w:rPr>
        <w:t>数据脱敏服务</w:t>
      </w:r>
    </w:p>
    <w:tbl>
      <w:tblPr>
        <w:tblStyle w:val="5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744"/>
      </w:tblGrid>
      <w:tr w14:paraId="73E5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dxa"/>
            <w:shd w:val="clear" w:color="auto" w:fill="FFFFFF"/>
            <w:vAlign w:val="center"/>
          </w:tcPr>
          <w:p w14:paraId="4F04E42A">
            <w:pPr>
              <w:widowControl/>
              <w:jc w:val="center"/>
              <w:rPr>
                <w:rFonts w:ascii="宋体" w:cs="宋体"/>
                <w:bCs/>
                <w:sz w:val="22"/>
                <w:szCs w:val="22"/>
              </w:rPr>
            </w:pPr>
            <w:r>
              <w:rPr>
                <w:rFonts w:hint="eastAsia" w:ascii="宋体" w:cs="宋体"/>
                <w:bCs/>
                <w:sz w:val="22"/>
                <w:szCs w:val="22"/>
              </w:rPr>
              <w:t>指标项</w:t>
            </w:r>
          </w:p>
        </w:tc>
        <w:tc>
          <w:tcPr>
            <w:tcW w:w="8744" w:type="dxa"/>
            <w:shd w:val="clear" w:color="auto" w:fill="FFFFFF"/>
            <w:vAlign w:val="center"/>
          </w:tcPr>
          <w:p w14:paraId="5F07CBB5">
            <w:pPr>
              <w:widowControl/>
              <w:jc w:val="center"/>
              <w:rPr>
                <w:rFonts w:ascii="宋体" w:cs="宋体"/>
                <w:bCs/>
                <w:sz w:val="22"/>
                <w:szCs w:val="22"/>
              </w:rPr>
            </w:pPr>
            <w:r>
              <w:rPr>
                <w:rFonts w:hint="eastAsia" w:ascii="宋体" w:cs="宋体"/>
                <w:bCs/>
                <w:sz w:val="22"/>
                <w:szCs w:val="22"/>
              </w:rPr>
              <w:t>技术参数</w:t>
            </w:r>
          </w:p>
        </w:tc>
      </w:tr>
      <w:tr w14:paraId="7A5D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restart"/>
            <w:vAlign w:val="center"/>
          </w:tcPr>
          <w:p w14:paraId="60EC62AA">
            <w:pPr>
              <w:widowControl/>
              <w:jc w:val="center"/>
              <w:rPr>
                <w:rFonts w:ascii="宋体" w:cs="宋体"/>
                <w:b/>
                <w:sz w:val="22"/>
                <w:szCs w:val="22"/>
              </w:rPr>
            </w:pPr>
            <w:r>
              <w:rPr>
                <w:rFonts w:hint="eastAsia" w:ascii="宋体" w:cs="宋体"/>
                <w:sz w:val="22"/>
                <w:szCs w:val="22"/>
              </w:rPr>
              <w:t>数据源管理</w:t>
            </w:r>
          </w:p>
        </w:tc>
        <w:tc>
          <w:tcPr>
            <w:tcW w:w="8744" w:type="dxa"/>
            <w:vAlign w:val="center"/>
          </w:tcPr>
          <w:p w14:paraId="4E0DDFCB">
            <w:pPr>
              <w:jc w:val="left"/>
              <w:rPr>
                <w:rFonts w:ascii="宋体" w:cs="宋体"/>
                <w:b/>
                <w:sz w:val="22"/>
                <w:szCs w:val="22"/>
              </w:rPr>
            </w:pPr>
            <w:r>
              <w:rPr>
                <w:rFonts w:hint="eastAsia" w:ascii="宋体" w:cs="宋体"/>
                <w:sz w:val="22"/>
                <w:szCs w:val="22"/>
              </w:rPr>
              <w:t>支持</w:t>
            </w:r>
            <w:r>
              <w:rPr>
                <w:rFonts w:hint="eastAsia" w:ascii="宋体" w:cs="宋体"/>
                <w:sz w:val="22"/>
                <w:szCs w:val="22"/>
                <w:lang w:eastAsia="zh-CN"/>
              </w:rPr>
              <w:t>对</w:t>
            </w:r>
            <w:r>
              <w:rPr>
                <w:rFonts w:hint="eastAsia" w:ascii="宋体" w:cs="宋体"/>
                <w:sz w:val="22"/>
                <w:szCs w:val="22"/>
              </w:rPr>
              <w:t>数据源进行新增、编辑、删除等操作，并支持对于数据源对应的数据结构进行同步。</w:t>
            </w:r>
          </w:p>
        </w:tc>
      </w:tr>
      <w:tr w14:paraId="6EDF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3862CE94">
            <w:pPr>
              <w:widowControl/>
              <w:jc w:val="center"/>
              <w:rPr>
                <w:rFonts w:ascii="宋体" w:cs="宋体"/>
                <w:b/>
                <w:sz w:val="22"/>
                <w:szCs w:val="22"/>
              </w:rPr>
            </w:pPr>
          </w:p>
        </w:tc>
        <w:tc>
          <w:tcPr>
            <w:tcW w:w="8744" w:type="dxa"/>
            <w:vAlign w:val="center"/>
          </w:tcPr>
          <w:p w14:paraId="510B5E12">
            <w:pPr>
              <w:jc w:val="left"/>
              <w:rPr>
                <w:rFonts w:ascii="宋体" w:cs="宋体"/>
                <w:b/>
                <w:sz w:val="22"/>
                <w:szCs w:val="22"/>
              </w:rPr>
            </w:pPr>
            <w:r>
              <w:rPr>
                <w:rFonts w:hint="eastAsia" w:ascii="宋体" w:cs="宋体"/>
                <w:sz w:val="22"/>
                <w:szCs w:val="22"/>
              </w:rPr>
              <w:t>支持以数据资产目录形式对于数据源对应的元数据信息进行查看，同时支持同步分类分级的结果，以及对于敏感数据列进行手动标记。</w:t>
            </w:r>
          </w:p>
        </w:tc>
      </w:tr>
      <w:tr w14:paraId="0D8F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restart"/>
            <w:vAlign w:val="center"/>
          </w:tcPr>
          <w:p w14:paraId="07BF3C6D">
            <w:pPr>
              <w:widowControl/>
              <w:jc w:val="center"/>
              <w:rPr>
                <w:rFonts w:ascii="宋体" w:cs="宋体"/>
                <w:b/>
                <w:sz w:val="22"/>
                <w:szCs w:val="22"/>
              </w:rPr>
            </w:pPr>
            <w:r>
              <w:rPr>
                <w:rFonts w:hint="eastAsia" w:ascii="宋体" w:cs="宋体"/>
                <w:sz w:val="22"/>
                <w:szCs w:val="22"/>
              </w:rPr>
              <w:t>数据脱敏</w:t>
            </w:r>
          </w:p>
        </w:tc>
        <w:tc>
          <w:tcPr>
            <w:tcW w:w="8744" w:type="dxa"/>
            <w:vAlign w:val="center"/>
          </w:tcPr>
          <w:p w14:paraId="25F5AB9D">
            <w:pPr>
              <w:tabs>
                <w:tab w:val="left" w:pos="1792"/>
              </w:tabs>
              <w:jc w:val="left"/>
              <w:rPr>
                <w:rFonts w:ascii="宋体" w:cs="宋体"/>
                <w:b/>
                <w:sz w:val="22"/>
                <w:szCs w:val="22"/>
              </w:rPr>
            </w:pPr>
            <w:r>
              <w:rPr>
                <w:rFonts w:hint="eastAsia" w:ascii="宋体" w:cs="宋体"/>
                <w:sz w:val="22"/>
                <w:szCs w:val="22"/>
              </w:rPr>
              <w:t>支持对于脱敏任务的基础信息及对应的脱敏规则进行配置，基础信息包括任务名称、数据流向、输入源、对象同步、脱敏表格、增量配置、数据筛选、输出目标、Schema映射、数据覆盖方式。</w:t>
            </w:r>
          </w:p>
        </w:tc>
      </w:tr>
      <w:tr w14:paraId="7D09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4871FA3A">
            <w:pPr>
              <w:widowControl/>
              <w:jc w:val="center"/>
              <w:rPr>
                <w:rFonts w:ascii="宋体" w:cs="宋体"/>
                <w:b/>
                <w:sz w:val="22"/>
                <w:szCs w:val="22"/>
              </w:rPr>
            </w:pPr>
          </w:p>
        </w:tc>
        <w:tc>
          <w:tcPr>
            <w:tcW w:w="8744" w:type="dxa"/>
            <w:vAlign w:val="center"/>
          </w:tcPr>
          <w:p w14:paraId="135AAA0C">
            <w:pPr>
              <w:tabs>
                <w:tab w:val="left" w:pos="1792"/>
              </w:tabs>
              <w:jc w:val="left"/>
              <w:rPr>
                <w:rFonts w:ascii="宋体" w:cs="宋体"/>
                <w:b/>
                <w:sz w:val="22"/>
                <w:szCs w:val="22"/>
              </w:rPr>
            </w:pPr>
            <w:r>
              <w:rPr>
                <w:rFonts w:hint="eastAsia" w:ascii="宋体" w:cs="宋体"/>
                <w:sz w:val="22"/>
                <w:szCs w:val="22"/>
              </w:rPr>
              <w:t>支持对于任务的运行环境进行检测，检测项包括：输入源网络连接、输入源权限、输入源字符集、输出目标网络连接、输出目标权限、输出目标字符集，检测结果需包含检测值、推荐值及处理意见。</w:t>
            </w:r>
          </w:p>
        </w:tc>
      </w:tr>
      <w:tr w14:paraId="1F76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19C9BFCD">
            <w:pPr>
              <w:widowControl/>
              <w:jc w:val="center"/>
              <w:rPr>
                <w:rFonts w:ascii="宋体" w:cs="宋体"/>
                <w:b/>
                <w:sz w:val="22"/>
                <w:szCs w:val="22"/>
              </w:rPr>
            </w:pPr>
          </w:p>
        </w:tc>
        <w:tc>
          <w:tcPr>
            <w:tcW w:w="8744" w:type="dxa"/>
            <w:vAlign w:val="center"/>
          </w:tcPr>
          <w:p w14:paraId="29DA5FA0">
            <w:pPr>
              <w:tabs>
                <w:tab w:val="left" w:pos="1792"/>
              </w:tabs>
              <w:jc w:val="left"/>
              <w:rPr>
                <w:rFonts w:ascii="宋体" w:cs="宋体"/>
                <w:b/>
                <w:sz w:val="22"/>
                <w:szCs w:val="22"/>
              </w:rPr>
            </w:pPr>
            <w:r>
              <w:rPr>
                <w:rFonts w:hint="eastAsia" w:ascii="宋体" w:cs="宋体"/>
                <w:sz w:val="22"/>
                <w:szCs w:val="22"/>
              </w:rPr>
              <w:t>★支持对于数据脱敏任务提供可视化监控，监控信息包括：任务状态、开始运行时间、耗时、处理速度、已处理表格数、剩余表格数、正在处理表格清单、详细运行日志、表格处理明细、对象同步明细。并支持原始日志下载、表格终止/重跑、对象终止/重跑等操作。（需提供截图证明）</w:t>
            </w:r>
          </w:p>
        </w:tc>
      </w:tr>
      <w:tr w14:paraId="19E9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234B25C6">
            <w:pPr>
              <w:widowControl/>
              <w:jc w:val="center"/>
              <w:rPr>
                <w:rFonts w:ascii="宋体" w:cs="宋体"/>
                <w:b/>
                <w:sz w:val="22"/>
                <w:szCs w:val="22"/>
              </w:rPr>
            </w:pPr>
          </w:p>
        </w:tc>
        <w:tc>
          <w:tcPr>
            <w:tcW w:w="8744" w:type="dxa"/>
            <w:vAlign w:val="center"/>
          </w:tcPr>
          <w:p w14:paraId="58B805D6">
            <w:pPr>
              <w:tabs>
                <w:tab w:val="left" w:pos="1792"/>
              </w:tabs>
              <w:jc w:val="left"/>
              <w:rPr>
                <w:rFonts w:ascii="宋体" w:cs="宋体"/>
                <w:b/>
                <w:sz w:val="22"/>
                <w:szCs w:val="22"/>
              </w:rPr>
            </w:pPr>
            <w:r>
              <w:rPr>
                <w:rFonts w:hint="eastAsia" w:ascii="宋体" w:cs="宋体"/>
                <w:sz w:val="22"/>
                <w:szCs w:val="22"/>
              </w:rPr>
              <w:t>提供</w:t>
            </w:r>
            <w:r>
              <w:rPr>
                <w:rFonts w:hint="eastAsia" w:ascii="宋体" w:cs="宋体"/>
                <w:sz w:val="22"/>
                <w:szCs w:val="22"/>
                <w:lang w:eastAsia="zh-CN"/>
              </w:rPr>
              <w:t>针对</w:t>
            </w:r>
            <w:r>
              <w:rPr>
                <w:rFonts w:hint="eastAsia" w:ascii="宋体" w:cs="宋体"/>
                <w:sz w:val="22"/>
                <w:szCs w:val="22"/>
              </w:rPr>
              <w:t>每个数据脱敏任务的运行报告，包括任务概况、数据处理明细、对象同步明细、任务运行日志等信息。</w:t>
            </w:r>
          </w:p>
        </w:tc>
      </w:tr>
      <w:tr w14:paraId="2FEF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restart"/>
            <w:vAlign w:val="center"/>
          </w:tcPr>
          <w:p w14:paraId="4BB2E729">
            <w:pPr>
              <w:widowControl/>
              <w:jc w:val="center"/>
              <w:rPr>
                <w:rFonts w:ascii="宋体" w:cs="宋体"/>
                <w:b/>
                <w:sz w:val="22"/>
                <w:szCs w:val="22"/>
              </w:rPr>
            </w:pPr>
            <w:r>
              <w:rPr>
                <w:rFonts w:hint="eastAsia" w:ascii="宋体" w:cs="宋体"/>
                <w:sz w:val="22"/>
                <w:szCs w:val="22"/>
              </w:rPr>
              <w:t>脱敏算法</w:t>
            </w:r>
          </w:p>
        </w:tc>
        <w:tc>
          <w:tcPr>
            <w:tcW w:w="8744" w:type="dxa"/>
            <w:vAlign w:val="center"/>
          </w:tcPr>
          <w:p w14:paraId="7B37DC03">
            <w:pPr>
              <w:tabs>
                <w:tab w:val="left" w:pos="1792"/>
              </w:tabs>
              <w:jc w:val="left"/>
              <w:rPr>
                <w:rFonts w:ascii="宋体" w:cs="宋体"/>
                <w:b/>
                <w:sz w:val="22"/>
                <w:szCs w:val="22"/>
              </w:rPr>
            </w:pPr>
            <w:r>
              <w:rPr>
                <w:rFonts w:hint="eastAsia" w:ascii="宋体" w:cs="宋体"/>
                <w:sz w:val="22"/>
                <w:szCs w:val="22"/>
              </w:rPr>
              <w:t>静态脱敏支持不低于20类，240种及以上的脱敏算法</w:t>
            </w:r>
          </w:p>
        </w:tc>
      </w:tr>
      <w:tr w14:paraId="4C3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0B59D944">
            <w:pPr>
              <w:widowControl/>
              <w:jc w:val="center"/>
              <w:rPr>
                <w:rFonts w:ascii="宋体" w:cs="宋体"/>
                <w:b/>
                <w:sz w:val="22"/>
                <w:szCs w:val="22"/>
              </w:rPr>
            </w:pPr>
          </w:p>
        </w:tc>
        <w:tc>
          <w:tcPr>
            <w:tcW w:w="8744" w:type="dxa"/>
            <w:vAlign w:val="center"/>
          </w:tcPr>
          <w:p w14:paraId="793A0F1D">
            <w:pPr>
              <w:tabs>
                <w:tab w:val="left" w:pos="1792"/>
              </w:tabs>
              <w:jc w:val="left"/>
              <w:rPr>
                <w:rFonts w:ascii="宋体" w:cs="宋体"/>
                <w:b/>
                <w:sz w:val="22"/>
                <w:szCs w:val="22"/>
              </w:rPr>
            </w:pPr>
            <w:r>
              <w:rPr>
                <w:rFonts w:hint="eastAsia" w:ascii="宋体" w:cs="宋体"/>
                <w:sz w:val="22"/>
                <w:szCs w:val="22"/>
              </w:rPr>
              <w:t>保留频次：对类别属性的数据进行编码，去除字段内容含义，仅保留类别区分性。适用于机器学习等数据分析中需保留标签区分性的场景</w:t>
            </w:r>
          </w:p>
        </w:tc>
      </w:tr>
      <w:tr w14:paraId="78A5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6DD64B6A">
            <w:pPr>
              <w:widowControl/>
              <w:jc w:val="center"/>
              <w:rPr>
                <w:rFonts w:ascii="宋体" w:cs="宋体"/>
                <w:b/>
                <w:sz w:val="22"/>
                <w:szCs w:val="22"/>
              </w:rPr>
            </w:pPr>
          </w:p>
        </w:tc>
        <w:tc>
          <w:tcPr>
            <w:tcW w:w="8744" w:type="dxa"/>
            <w:vAlign w:val="center"/>
          </w:tcPr>
          <w:p w14:paraId="5B3BF0DC">
            <w:pPr>
              <w:tabs>
                <w:tab w:val="left" w:pos="1792"/>
              </w:tabs>
              <w:jc w:val="left"/>
              <w:rPr>
                <w:rFonts w:ascii="宋体" w:cs="宋体"/>
                <w:b/>
                <w:sz w:val="22"/>
                <w:szCs w:val="22"/>
              </w:rPr>
            </w:pPr>
            <w:r>
              <w:rPr>
                <w:rFonts w:hint="eastAsia" w:ascii="宋体" w:cs="宋体"/>
                <w:sz w:val="22"/>
                <w:szCs w:val="22"/>
              </w:rPr>
              <w:t>编码：根据所选参数指定的编码方式对数据进行编码。支持的编码方式有：UTF-8/GBK。</w:t>
            </w:r>
          </w:p>
        </w:tc>
      </w:tr>
      <w:tr w14:paraId="4B4C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19F4A7A9">
            <w:pPr>
              <w:widowControl/>
              <w:jc w:val="center"/>
              <w:rPr>
                <w:rFonts w:ascii="宋体" w:cs="宋体"/>
                <w:b/>
                <w:sz w:val="22"/>
                <w:szCs w:val="22"/>
              </w:rPr>
            </w:pPr>
          </w:p>
        </w:tc>
        <w:tc>
          <w:tcPr>
            <w:tcW w:w="8744" w:type="dxa"/>
            <w:vAlign w:val="center"/>
          </w:tcPr>
          <w:p w14:paraId="3C245072">
            <w:pPr>
              <w:tabs>
                <w:tab w:val="left" w:pos="1792"/>
              </w:tabs>
              <w:jc w:val="left"/>
              <w:rPr>
                <w:rFonts w:ascii="宋体" w:cs="宋体"/>
                <w:b/>
                <w:sz w:val="22"/>
                <w:szCs w:val="22"/>
              </w:rPr>
            </w:pPr>
            <w:r>
              <w:rPr>
                <w:rFonts w:hint="eastAsia" w:ascii="宋体" w:cs="宋体"/>
                <w:sz w:val="22"/>
                <w:szCs w:val="22"/>
              </w:rPr>
              <w:t>标准化：对数值类型的数据进行标准化缩放，使得数据均值归为0，方差归为1。本算法脱敏后的数据基本保留数据分布类型，可后续用于常见的分类、聚类等数据分析任务。</w:t>
            </w:r>
          </w:p>
        </w:tc>
      </w:tr>
      <w:tr w14:paraId="7B0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071EBBFE">
            <w:pPr>
              <w:widowControl/>
              <w:jc w:val="center"/>
              <w:rPr>
                <w:rFonts w:ascii="宋体" w:cs="宋体"/>
                <w:b/>
                <w:sz w:val="22"/>
                <w:szCs w:val="22"/>
              </w:rPr>
            </w:pPr>
          </w:p>
        </w:tc>
        <w:tc>
          <w:tcPr>
            <w:tcW w:w="8744" w:type="dxa"/>
            <w:vAlign w:val="center"/>
          </w:tcPr>
          <w:p w14:paraId="19B9F2C4">
            <w:pPr>
              <w:jc w:val="left"/>
              <w:rPr>
                <w:rFonts w:ascii="宋体" w:cs="宋体"/>
                <w:b/>
                <w:sz w:val="22"/>
                <w:szCs w:val="22"/>
              </w:rPr>
            </w:pPr>
            <w:r>
              <w:rPr>
                <w:rFonts w:hint="eastAsia" w:ascii="宋体" w:cs="宋体"/>
                <w:sz w:val="22"/>
                <w:szCs w:val="22"/>
              </w:rPr>
              <w:t>仿真：根据所选的参数生成格式、语义等属性与原数据相同且符合校验规则的仿真数据</w:t>
            </w:r>
          </w:p>
        </w:tc>
      </w:tr>
      <w:tr w14:paraId="3D3D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4445A638">
            <w:pPr>
              <w:widowControl/>
              <w:jc w:val="center"/>
              <w:rPr>
                <w:rFonts w:ascii="宋体" w:cs="宋体"/>
                <w:b/>
                <w:sz w:val="22"/>
                <w:szCs w:val="22"/>
              </w:rPr>
            </w:pPr>
          </w:p>
        </w:tc>
        <w:tc>
          <w:tcPr>
            <w:tcW w:w="8744" w:type="dxa"/>
            <w:vAlign w:val="center"/>
          </w:tcPr>
          <w:p w14:paraId="7476918F">
            <w:pPr>
              <w:jc w:val="left"/>
              <w:rPr>
                <w:rFonts w:ascii="宋体" w:cs="宋体"/>
                <w:b/>
                <w:sz w:val="22"/>
                <w:szCs w:val="22"/>
              </w:rPr>
            </w:pPr>
            <w:r>
              <w:rPr>
                <w:rFonts w:hint="eastAsia" w:ascii="宋体" w:cs="宋体"/>
                <w:sz w:val="22"/>
                <w:szCs w:val="22"/>
              </w:rPr>
              <w:t>分布重建：根据指定的直方图的数量对原数据分布进行估计和采样重建。本算法可以使得脱敏后的数据保留原数据的高阶统计特征，适用于对数据质量有较高要求的分析场景</w:t>
            </w:r>
          </w:p>
        </w:tc>
      </w:tr>
      <w:tr w14:paraId="224A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31428677">
            <w:pPr>
              <w:widowControl/>
              <w:jc w:val="center"/>
              <w:rPr>
                <w:rFonts w:ascii="宋体" w:cs="宋体"/>
                <w:b/>
                <w:sz w:val="22"/>
                <w:szCs w:val="22"/>
              </w:rPr>
            </w:pPr>
          </w:p>
        </w:tc>
        <w:tc>
          <w:tcPr>
            <w:tcW w:w="8744" w:type="dxa"/>
            <w:vAlign w:val="center"/>
          </w:tcPr>
          <w:p w14:paraId="0FA38A63">
            <w:pPr>
              <w:jc w:val="left"/>
              <w:rPr>
                <w:rFonts w:ascii="宋体" w:cs="宋体"/>
                <w:b/>
                <w:sz w:val="22"/>
                <w:szCs w:val="22"/>
              </w:rPr>
            </w:pPr>
            <w:r>
              <w:rPr>
                <w:rFonts w:hint="eastAsia" w:ascii="宋体" w:cs="宋体"/>
                <w:sz w:val="22"/>
                <w:szCs w:val="22"/>
              </w:rPr>
              <w:t>分割：根据所选的参数对数据进行分割，保留指定区域的数据</w:t>
            </w:r>
          </w:p>
        </w:tc>
      </w:tr>
      <w:tr w14:paraId="583A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2DFF2B8B">
            <w:pPr>
              <w:widowControl/>
              <w:jc w:val="center"/>
              <w:rPr>
                <w:rFonts w:ascii="宋体" w:cs="宋体"/>
                <w:b/>
                <w:sz w:val="22"/>
                <w:szCs w:val="22"/>
              </w:rPr>
            </w:pPr>
          </w:p>
        </w:tc>
        <w:tc>
          <w:tcPr>
            <w:tcW w:w="8744" w:type="dxa"/>
            <w:vAlign w:val="center"/>
          </w:tcPr>
          <w:p w14:paraId="39C020CA">
            <w:pPr>
              <w:jc w:val="left"/>
              <w:rPr>
                <w:rFonts w:ascii="宋体" w:cs="宋体"/>
                <w:b/>
                <w:sz w:val="22"/>
                <w:szCs w:val="22"/>
              </w:rPr>
            </w:pPr>
            <w:r>
              <w:rPr>
                <w:rFonts w:hint="eastAsia" w:ascii="宋体" w:cs="宋体"/>
                <w:sz w:val="22"/>
                <w:szCs w:val="22"/>
              </w:rPr>
              <w:t>归一化：对数值类型的数据进行归一化缩放，将数据线性缩放至[0,1]区间。本算法脱敏后的数据可限定数据范围，保留数据相对大小，剔除量纲影响，可根据分析模型和分析需求选用本算法</w:t>
            </w:r>
          </w:p>
        </w:tc>
      </w:tr>
      <w:tr w14:paraId="20E5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4A6B1229">
            <w:pPr>
              <w:widowControl/>
              <w:jc w:val="center"/>
              <w:rPr>
                <w:rFonts w:ascii="宋体" w:cs="宋体"/>
                <w:b/>
                <w:sz w:val="22"/>
                <w:szCs w:val="22"/>
              </w:rPr>
            </w:pPr>
          </w:p>
        </w:tc>
        <w:tc>
          <w:tcPr>
            <w:tcW w:w="8744" w:type="dxa"/>
            <w:vAlign w:val="center"/>
          </w:tcPr>
          <w:p w14:paraId="78785804">
            <w:pPr>
              <w:jc w:val="left"/>
              <w:rPr>
                <w:rFonts w:ascii="宋体" w:cs="宋体"/>
                <w:b/>
                <w:sz w:val="22"/>
                <w:szCs w:val="22"/>
              </w:rPr>
            </w:pPr>
            <w:r>
              <w:rPr>
                <w:rFonts w:hint="eastAsia" w:ascii="宋体" w:cs="宋体"/>
                <w:sz w:val="22"/>
                <w:szCs w:val="22"/>
              </w:rPr>
              <w:t>一致性：根据所选的参数（若有）生成格式类似、符合校验规则（若有）且支持相同的数据在指定的表、列中在脱敏后仍保持一致。</w:t>
            </w:r>
          </w:p>
        </w:tc>
      </w:tr>
      <w:tr w14:paraId="2F43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625D77F3">
            <w:pPr>
              <w:widowControl/>
              <w:jc w:val="center"/>
              <w:rPr>
                <w:rFonts w:ascii="宋体" w:cs="宋体"/>
                <w:b/>
                <w:sz w:val="22"/>
                <w:szCs w:val="22"/>
              </w:rPr>
            </w:pPr>
          </w:p>
        </w:tc>
        <w:tc>
          <w:tcPr>
            <w:tcW w:w="8744" w:type="dxa"/>
            <w:vAlign w:val="center"/>
          </w:tcPr>
          <w:p w14:paraId="427AFB45">
            <w:pPr>
              <w:jc w:val="left"/>
              <w:rPr>
                <w:rFonts w:ascii="宋体" w:cs="宋体"/>
                <w:b/>
                <w:sz w:val="22"/>
                <w:szCs w:val="22"/>
              </w:rPr>
            </w:pPr>
            <w:r>
              <w:rPr>
                <w:rFonts w:hint="eastAsia" w:ascii="宋体" w:cs="宋体"/>
                <w:sz w:val="22"/>
                <w:szCs w:val="22"/>
              </w:rPr>
              <w:t>乱序关联保留：指定的2个或多个列（支持至多5列）在乱序前后保留对应关系。</w:t>
            </w:r>
          </w:p>
        </w:tc>
      </w:tr>
      <w:tr w14:paraId="63A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0" w:type="dxa"/>
            <w:vMerge w:val="continue"/>
            <w:vAlign w:val="center"/>
          </w:tcPr>
          <w:p w14:paraId="6AB24815">
            <w:pPr>
              <w:widowControl/>
              <w:jc w:val="center"/>
              <w:rPr>
                <w:rFonts w:ascii="宋体" w:cs="宋体"/>
                <w:b/>
                <w:sz w:val="22"/>
                <w:szCs w:val="22"/>
              </w:rPr>
            </w:pPr>
          </w:p>
        </w:tc>
        <w:tc>
          <w:tcPr>
            <w:tcW w:w="8744" w:type="dxa"/>
            <w:vAlign w:val="center"/>
          </w:tcPr>
          <w:p w14:paraId="570C2B01">
            <w:pPr>
              <w:tabs>
                <w:tab w:val="left" w:pos="660"/>
              </w:tabs>
              <w:jc w:val="left"/>
              <w:rPr>
                <w:rFonts w:ascii="宋体" w:cs="宋体"/>
                <w:b/>
                <w:sz w:val="22"/>
                <w:szCs w:val="22"/>
              </w:rPr>
            </w:pPr>
            <w:r>
              <w:rPr>
                <w:rFonts w:hint="eastAsia" w:ascii="宋体" w:cs="宋体"/>
                <w:sz w:val="22"/>
                <w:szCs w:val="22"/>
              </w:rPr>
              <w:t>身份证信息关联保留：出生日期/性别/身份证互相之间关系（根据需要）保持一致。</w:t>
            </w:r>
          </w:p>
        </w:tc>
      </w:tr>
    </w:tbl>
    <w:p w14:paraId="7B552C8A">
      <w:pPr>
        <w:pStyle w:val="8"/>
        <w:numPr>
          <w:ilvl w:val="0"/>
          <w:numId w:val="19"/>
        </w:numPr>
        <w:rPr>
          <w:rFonts w:ascii="宋体" w:hAnsi="宋体" w:cs="宋体"/>
          <w:sz w:val="22"/>
          <w:szCs w:val="22"/>
        </w:rPr>
      </w:pPr>
      <w:r>
        <w:rPr>
          <w:rFonts w:hint="eastAsia" w:ascii="宋体" w:hAnsi="宋体" w:cs="宋体"/>
          <w:sz w:val="22"/>
          <w:szCs w:val="22"/>
        </w:rPr>
        <w:t>数据防泄漏服务</w:t>
      </w:r>
    </w:p>
    <w:tbl>
      <w:tblPr>
        <w:tblStyle w:val="5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8711"/>
      </w:tblGrid>
      <w:tr w14:paraId="6BA8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14:paraId="7D35107D">
            <w:pPr>
              <w:jc w:val="center"/>
              <w:rPr>
                <w:rFonts w:ascii="宋体" w:cs="宋体"/>
                <w:bCs/>
                <w:szCs w:val="21"/>
              </w:rPr>
            </w:pPr>
            <w:r>
              <w:rPr>
                <w:rFonts w:hint="eastAsia" w:ascii="宋体" w:cs="宋体"/>
                <w:bCs/>
                <w:szCs w:val="21"/>
              </w:rPr>
              <w:t>指标项</w:t>
            </w:r>
          </w:p>
        </w:tc>
        <w:tc>
          <w:tcPr>
            <w:tcW w:w="8711" w:type="dxa"/>
            <w:tcBorders>
              <w:top w:val="single" w:color="auto" w:sz="4" w:space="0"/>
              <w:left w:val="single" w:color="auto" w:sz="4" w:space="0"/>
              <w:bottom w:val="single" w:color="auto" w:sz="4" w:space="0"/>
              <w:right w:val="single" w:color="auto" w:sz="4" w:space="0"/>
            </w:tcBorders>
            <w:shd w:val="clear" w:color="auto" w:fill="FFFFFF"/>
            <w:vAlign w:val="center"/>
          </w:tcPr>
          <w:p w14:paraId="50FD9380">
            <w:pPr>
              <w:jc w:val="center"/>
              <w:rPr>
                <w:rFonts w:ascii="宋体" w:cs="宋体"/>
                <w:bCs/>
                <w:szCs w:val="21"/>
              </w:rPr>
            </w:pPr>
            <w:r>
              <w:rPr>
                <w:rFonts w:hint="eastAsia" w:ascii="宋体" w:cs="宋体"/>
                <w:bCs/>
                <w:szCs w:val="21"/>
              </w:rPr>
              <w:t>技术参数</w:t>
            </w:r>
          </w:p>
        </w:tc>
      </w:tr>
      <w:tr w14:paraId="392C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tcBorders>
              <w:left w:val="single" w:color="auto" w:sz="4" w:space="0"/>
              <w:right w:val="single" w:color="auto" w:sz="4" w:space="0"/>
            </w:tcBorders>
            <w:vAlign w:val="center"/>
          </w:tcPr>
          <w:p w14:paraId="577F79A6">
            <w:pPr>
              <w:jc w:val="center"/>
              <w:rPr>
                <w:rFonts w:ascii="宋体" w:cs="宋体"/>
                <w:b/>
                <w:szCs w:val="21"/>
              </w:rPr>
            </w:pPr>
            <w:r>
              <w:rPr>
                <w:rFonts w:hint="eastAsia" w:ascii="宋体" w:hAnsi="宋体" w:cs="宋体"/>
                <w:color w:val="000000"/>
                <w:kern w:val="0"/>
                <w:szCs w:val="21"/>
              </w:rPr>
              <w:t>双向流量审计</w:t>
            </w:r>
          </w:p>
        </w:tc>
        <w:tc>
          <w:tcPr>
            <w:tcW w:w="8711" w:type="dxa"/>
            <w:tcBorders>
              <w:top w:val="single" w:color="auto" w:sz="4" w:space="0"/>
              <w:left w:val="single" w:color="auto" w:sz="4" w:space="0"/>
              <w:bottom w:val="single" w:color="auto" w:sz="4" w:space="0"/>
              <w:right w:val="single" w:color="auto" w:sz="4" w:space="0"/>
            </w:tcBorders>
            <w:vAlign w:val="center"/>
          </w:tcPr>
          <w:p w14:paraId="4A5B1989">
            <w:pPr>
              <w:rPr>
                <w:rFonts w:ascii="宋体" w:cs="宋体"/>
                <w:szCs w:val="21"/>
              </w:rPr>
            </w:pPr>
            <w:r>
              <w:rPr>
                <w:rFonts w:hint="eastAsia" w:ascii="宋体" w:hAnsi="宋体" w:cs="宋体"/>
                <w:color w:val="000000"/>
                <w:kern w:val="0"/>
                <w:szCs w:val="21"/>
              </w:rPr>
              <w:t>支持实时双向流量的内容审计，支持对上传和下载文件内容进行识别和过滤。</w:t>
            </w:r>
          </w:p>
        </w:tc>
      </w:tr>
      <w:tr w14:paraId="255C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tcBorders>
              <w:left w:val="single" w:color="auto" w:sz="4" w:space="0"/>
              <w:right w:val="single" w:color="auto" w:sz="4" w:space="0"/>
            </w:tcBorders>
            <w:vAlign w:val="center"/>
          </w:tcPr>
          <w:p w14:paraId="36F51044">
            <w:pPr>
              <w:jc w:val="center"/>
              <w:rPr>
                <w:rFonts w:ascii="宋体" w:cs="宋体"/>
                <w:b/>
                <w:szCs w:val="21"/>
              </w:rPr>
            </w:pPr>
            <w:r>
              <w:rPr>
                <w:rFonts w:hint="eastAsia" w:ascii="宋体" w:hAnsi="宋体" w:cs="宋体"/>
                <w:color w:val="000000"/>
                <w:kern w:val="0"/>
                <w:szCs w:val="21"/>
              </w:rPr>
              <w:t>加密文档检测</w:t>
            </w:r>
          </w:p>
        </w:tc>
        <w:tc>
          <w:tcPr>
            <w:tcW w:w="8711" w:type="dxa"/>
            <w:tcBorders>
              <w:top w:val="single" w:color="auto" w:sz="4" w:space="0"/>
              <w:left w:val="single" w:color="auto" w:sz="4" w:space="0"/>
              <w:bottom w:val="single" w:color="auto" w:sz="4" w:space="0"/>
              <w:right w:val="single" w:color="auto" w:sz="4" w:space="0"/>
            </w:tcBorders>
            <w:vAlign w:val="center"/>
          </w:tcPr>
          <w:p w14:paraId="19C57E11">
            <w:pPr>
              <w:widowControl/>
              <w:jc w:val="left"/>
              <w:rPr>
                <w:szCs w:val="21"/>
              </w:rPr>
            </w:pPr>
            <w:r>
              <w:rPr>
                <w:rFonts w:hint="eastAsia" w:ascii="宋体" w:hAnsi="宋体" w:cs="宋体"/>
                <w:color w:val="000000"/>
                <w:kern w:val="0"/>
                <w:szCs w:val="21"/>
              </w:rPr>
              <w:t>支持识别加密文档类型，</w:t>
            </w:r>
            <w:r>
              <w:rPr>
                <w:rFonts w:hint="eastAsia"/>
                <w:szCs w:val="21"/>
              </w:rPr>
              <w:t>不识别内容，包括：</w:t>
            </w:r>
          </w:p>
          <w:p w14:paraId="261B9F64">
            <w:pPr>
              <w:widowControl/>
              <w:jc w:val="left"/>
              <w:rPr>
                <w:rFonts w:ascii="宋体" w:hAnsi="宋体" w:cs="宋体"/>
                <w:color w:val="000000"/>
                <w:kern w:val="0"/>
                <w:szCs w:val="21"/>
              </w:rPr>
            </w:pPr>
            <w:r>
              <w:rPr>
                <w:rFonts w:hint="eastAsia" w:ascii="宋体" w:hAnsi="宋体" w:cs="宋体"/>
                <w:color w:val="000000"/>
                <w:kern w:val="0"/>
                <w:szCs w:val="21"/>
              </w:rPr>
              <w:t>1、office加密文档；</w:t>
            </w:r>
          </w:p>
          <w:p w14:paraId="47A9453B">
            <w:pPr>
              <w:widowControl/>
              <w:jc w:val="left"/>
              <w:rPr>
                <w:rFonts w:ascii="宋体" w:hAnsi="宋体" w:cs="宋体"/>
                <w:color w:val="000000"/>
                <w:kern w:val="0"/>
                <w:szCs w:val="21"/>
              </w:rPr>
            </w:pPr>
            <w:r>
              <w:rPr>
                <w:rFonts w:hint="eastAsia" w:ascii="宋体" w:hAnsi="宋体" w:cs="宋体"/>
                <w:color w:val="000000"/>
                <w:kern w:val="0"/>
                <w:szCs w:val="21"/>
              </w:rPr>
              <w:t>2、pdf加密文档；</w:t>
            </w:r>
          </w:p>
          <w:p w14:paraId="5057FBA6">
            <w:pPr>
              <w:rPr>
                <w:rFonts w:ascii="宋体" w:cs="宋体"/>
                <w:szCs w:val="21"/>
              </w:rPr>
            </w:pPr>
            <w:r>
              <w:rPr>
                <w:rFonts w:hint="eastAsia" w:ascii="宋体" w:hAnsi="宋体" w:cs="宋体"/>
                <w:color w:val="000000"/>
                <w:kern w:val="0"/>
                <w:szCs w:val="21"/>
              </w:rPr>
              <w:t>3、压缩文件加密</w:t>
            </w:r>
            <w:r>
              <w:rPr>
                <w:rFonts w:hint="eastAsia" w:ascii="宋体" w:cs="宋体"/>
                <w:szCs w:val="21"/>
              </w:rPr>
              <w:t xml:space="preserve"> </w:t>
            </w:r>
          </w:p>
        </w:tc>
      </w:tr>
      <w:tr w14:paraId="2360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restart"/>
            <w:tcBorders>
              <w:left w:val="single" w:color="auto" w:sz="4" w:space="0"/>
              <w:right w:val="single" w:color="auto" w:sz="4" w:space="0"/>
            </w:tcBorders>
            <w:vAlign w:val="center"/>
          </w:tcPr>
          <w:p w14:paraId="28162B4C">
            <w:pPr>
              <w:jc w:val="center"/>
              <w:rPr>
                <w:rFonts w:ascii="宋体" w:cs="宋体"/>
                <w:b/>
                <w:szCs w:val="21"/>
              </w:rPr>
            </w:pPr>
            <w:r>
              <w:rPr>
                <w:rFonts w:hint="eastAsia" w:ascii="宋体" w:hAnsi="宋体" w:cs="宋体"/>
                <w:color w:val="000000"/>
                <w:kern w:val="0"/>
                <w:szCs w:val="21"/>
              </w:rPr>
              <w:t>正则表达式识别</w:t>
            </w:r>
          </w:p>
        </w:tc>
        <w:tc>
          <w:tcPr>
            <w:tcW w:w="8711" w:type="dxa"/>
            <w:tcBorders>
              <w:top w:val="single" w:color="auto" w:sz="4" w:space="0"/>
              <w:left w:val="single" w:color="auto" w:sz="4" w:space="0"/>
              <w:bottom w:val="single" w:color="auto" w:sz="4" w:space="0"/>
              <w:right w:val="single" w:color="auto" w:sz="4" w:space="0"/>
            </w:tcBorders>
            <w:vAlign w:val="center"/>
          </w:tcPr>
          <w:p w14:paraId="3E95AFEA">
            <w:pPr>
              <w:rPr>
                <w:rFonts w:ascii="宋体" w:cs="宋体"/>
                <w:szCs w:val="21"/>
              </w:rPr>
            </w:pPr>
            <w:r>
              <w:rPr>
                <w:rFonts w:hint="eastAsia" w:ascii="宋体" w:hAnsi="宋体" w:cs="宋体"/>
                <w:color w:val="000000"/>
                <w:kern w:val="0"/>
                <w:szCs w:val="21"/>
              </w:rPr>
              <w:t>内置基于数据标识符的正则表达式识别能力；</w:t>
            </w:r>
          </w:p>
        </w:tc>
      </w:tr>
      <w:tr w14:paraId="4FCF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continue"/>
            <w:tcBorders>
              <w:left w:val="single" w:color="auto" w:sz="4" w:space="0"/>
              <w:right w:val="single" w:color="auto" w:sz="4" w:space="0"/>
            </w:tcBorders>
            <w:vAlign w:val="center"/>
          </w:tcPr>
          <w:p w14:paraId="160351BD">
            <w:pPr>
              <w:jc w:val="center"/>
              <w:rPr>
                <w:rFonts w:ascii="宋体" w:cs="宋体"/>
                <w:b/>
                <w:szCs w:val="21"/>
              </w:rPr>
            </w:pPr>
          </w:p>
        </w:tc>
        <w:tc>
          <w:tcPr>
            <w:tcW w:w="8711" w:type="dxa"/>
            <w:tcBorders>
              <w:top w:val="single" w:color="auto" w:sz="4" w:space="0"/>
              <w:left w:val="single" w:color="auto" w:sz="4" w:space="0"/>
              <w:bottom w:val="single" w:color="auto" w:sz="4" w:space="0"/>
              <w:right w:val="single" w:color="auto" w:sz="4" w:space="0"/>
            </w:tcBorders>
            <w:vAlign w:val="center"/>
          </w:tcPr>
          <w:p w14:paraId="4A4EA570">
            <w:pPr>
              <w:rPr>
                <w:rFonts w:ascii="宋体" w:cs="宋体"/>
                <w:szCs w:val="21"/>
              </w:rPr>
            </w:pPr>
            <w:r>
              <w:rPr>
                <w:rFonts w:hint="eastAsia" w:ascii="宋体" w:hAnsi="宋体" w:cs="宋体"/>
                <w:color w:val="000000"/>
                <w:kern w:val="0"/>
                <w:szCs w:val="21"/>
              </w:rPr>
              <w:t>可自定义正则表达式来进行内容匹配；</w:t>
            </w:r>
          </w:p>
        </w:tc>
      </w:tr>
      <w:tr w14:paraId="1851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continue"/>
            <w:tcBorders>
              <w:left w:val="single" w:color="auto" w:sz="4" w:space="0"/>
              <w:right w:val="single" w:color="auto" w:sz="4" w:space="0"/>
            </w:tcBorders>
            <w:vAlign w:val="center"/>
          </w:tcPr>
          <w:p w14:paraId="57994A1C">
            <w:pPr>
              <w:jc w:val="center"/>
              <w:rPr>
                <w:rFonts w:ascii="宋体" w:cs="宋体"/>
                <w:b/>
                <w:szCs w:val="21"/>
              </w:rPr>
            </w:pPr>
          </w:p>
        </w:tc>
        <w:tc>
          <w:tcPr>
            <w:tcW w:w="8711" w:type="dxa"/>
            <w:tcBorders>
              <w:top w:val="single" w:color="auto" w:sz="4" w:space="0"/>
              <w:left w:val="single" w:color="auto" w:sz="4" w:space="0"/>
              <w:bottom w:val="single" w:color="auto" w:sz="4" w:space="0"/>
              <w:right w:val="single" w:color="auto" w:sz="4" w:space="0"/>
            </w:tcBorders>
            <w:vAlign w:val="center"/>
          </w:tcPr>
          <w:p w14:paraId="68CE3C98">
            <w:pPr>
              <w:rPr>
                <w:rFonts w:ascii="宋体" w:cs="宋体"/>
                <w:szCs w:val="21"/>
              </w:rPr>
            </w:pPr>
            <w:r>
              <w:rPr>
                <w:rFonts w:hint="eastAsia" w:ascii="宋体" w:hAnsi="宋体" w:cs="宋体"/>
                <w:color w:val="000000"/>
                <w:kern w:val="0"/>
                <w:szCs w:val="21"/>
              </w:rPr>
              <w:t>页面具有正则表达式验证功能。</w:t>
            </w:r>
          </w:p>
        </w:tc>
      </w:tr>
      <w:tr w14:paraId="7EEF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restart"/>
            <w:tcBorders>
              <w:left w:val="single" w:color="auto" w:sz="4" w:space="0"/>
              <w:right w:val="single" w:color="auto" w:sz="4" w:space="0"/>
            </w:tcBorders>
            <w:vAlign w:val="center"/>
          </w:tcPr>
          <w:p w14:paraId="4EFD4E38">
            <w:pPr>
              <w:jc w:val="center"/>
              <w:rPr>
                <w:rFonts w:ascii="宋体" w:cs="宋体"/>
                <w:b/>
                <w:szCs w:val="21"/>
              </w:rPr>
            </w:pPr>
            <w:r>
              <w:rPr>
                <w:rFonts w:hint="eastAsia" w:ascii="宋体" w:hAnsi="宋体" w:cs="宋体"/>
                <w:color w:val="000000"/>
                <w:kern w:val="0"/>
                <w:szCs w:val="21"/>
              </w:rPr>
              <w:t>应用资产</w:t>
            </w:r>
          </w:p>
        </w:tc>
        <w:tc>
          <w:tcPr>
            <w:tcW w:w="8711" w:type="dxa"/>
            <w:tcBorders>
              <w:top w:val="single" w:color="auto" w:sz="4" w:space="0"/>
              <w:left w:val="single" w:color="auto" w:sz="4" w:space="0"/>
              <w:bottom w:val="single" w:color="auto" w:sz="4" w:space="0"/>
              <w:right w:val="single" w:color="auto" w:sz="4" w:space="0"/>
            </w:tcBorders>
            <w:vAlign w:val="center"/>
          </w:tcPr>
          <w:p w14:paraId="28D9DBCB">
            <w:pPr>
              <w:rPr>
                <w:rFonts w:ascii="宋体" w:cs="宋体"/>
                <w:szCs w:val="21"/>
              </w:rPr>
            </w:pPr>
            <w:r>
              <w:rPr>
                <w:rFonts w:hint="eastAsia" w:ascii="宋体" w:hAnsi="宋体" w:cs="宋体"/>
                <w:color w:val="000000"/>
                <w:kern w:val="0"/>
                <w:szCs w:val="21"/>
              </w:rPr>
              <w:t>支持查看所有应用资产，可查阅应用对象及其时间内访问分析</w:t>
            </w:r>
          </w:p>
        </w:tc>
      </w:tr>
      <w:tr w14:paraId="4CD5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continue"/>
            <w:tcBorders>
              <w:left w:val="single" w:color="auto" w:sz="4" w:space="0"/>
              <w:right w:val="single" w:color="auto" w:sz="4" w:space="0"/>
            </w:tcBorders>
            <w:vAlign w:val="center"/>
          </w:tcPr>
          <w:p w14:paraId="0F61D5AC">
            <w:pPr>
              <w:jc w:val="center"/>
              <w:rPr>
                <w:rFonts w:ascii="宋体" w:cs="宋体"/>
                <w:b/>
                <w:szCs w:val="21"/>
              </w:rPr>
            </w:pPr>
          </w:p>
        </w:tc>
        <w:tc>
          <w:tcPr>
            <w:tcW w:w="8711" w:type="dxa"/>
            <w:tcBorders>
              <w:top w:val="single" w:color="auto" w:sz="4" w:space="0"/>
              <w:left w:val="single" w:color="auto" w:sz="4" w:space="0"/>
              <w:bottom w:val="single" w:color="auto" w:sz="4" w:space="0"/>
              <w:right w:val="single" w:color="auto" w:sz="4" w:space="0"/>
            </w:tcBorders>
            <w:vAlign w:val="center"/>
          </w:tcPr>
          <w:p w14:paraId="53816148">
            <w:pPr>
              <w:rPr>
                <w:rFonts w:ascii="宋体" w:cs="宋体"/>
                <w:szCs w:val="21"/>
              </w:rPr>
            </w:pPr>
            <w:r>
              <w:rPr>
                <w:rFonts w:hint="eastAsia" w:ascii="宋体" w:hAnsi="宋体" w:cs="宋体"/>
                <w:color w:val="000000"/>
                <w:kern w:val="0"/>
                <w:szCs w:val="21"/>
              </w:rPr>
              <w:t>支持对相关应用进行手动打标签。</w:t>
            </w:r>
          </w:p>
        </w:tc>
      </w:tr>
      <w:tr w14:paraId="2ABF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restart"/>
            <w:tcBorders>
              <w:left w:val="single" w:color="auto" w:sz="4" w:space="0"/>
              <w:right w:val="single" w:color="auto" w:sz="4" w:space="0"/>
            </w:tcBorders>
            <w:vAlign w:val="center"/>
          </w:tcPr>
          <w:p w14:paraId="273CE4B1">
            <w:pPr>
              <w:jc w:val="center"/>
              <w:rPr>
                <w:rFonts w:ascii="宋体" w:cs="宋体"/>
                <w:b/>
                <w:szCs w:val="21"/>
              </w:rPr>
            </w:pPr>
            <w:r>
              <w:rPr>
                <w:rFonts w:hint="eastAsia" w:ascii="宋体" w:hAnsi="宋体" w:cs="宋体"/>
                <w:color w:val="000000"/>
                <w:kern w:val="0"/>
                <w:szCs w:val="21"/>
              </w:rPr>
              <w:t>告警查看方式</w:t>
            </w:r>
          </w:p>
        </w:tc>
        <w:tc>
          <w:tcPr>
            <w:tcW w:w="8711" w:type="dxa"/>
            <w:tcBorders>
              <w:top w:val="single" w:color="auto" w:sz="4" w:space="0"/>
              <w:left w:val="single" w:color="auto" w:sz="4" w:space="0"/>
              <w:bottom w:val="single" w:color="auto" w:sz="4" w:space="0"/>
              <w:right w:val="single" w:color="auto" w:sz="4" w:space="0"/>
            </w:tcBorders>
            <w:vAlign w:val="center"/>
          </w:tcPr>
          <w:p w14:paraId="3548CCB2">
            <w:pPr>
              <w:rPr>
                <w:rFonts w:ascii="宋体" w:cs="宋体"/>
                <w:szCs w:val="21"/>
              </w:rPr>
            </w:pPr>
            <w:r>
              <w:rPr>
                <w:rFonts w:hint="eastAsia" w:ascii="宋体" w:hAnsi="宋体" w:cs="宋体"/>
                <w:color w:val="000000"/>
                <w:kern w:val="0"/>
                <w:szCs w:val="21"/>
              </w:rPr>
              <w:t>查看告警的时间、处理状态、告警等级(分为“高”、“中”、“低”、“信息”四级)；</w:t>
            </w:r>
          </w:p>
        </w:tc>
      </w:tr>
      <w:tr w14:paraId="267D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9" w:type="dxa"/>
            <w:vMerge w:val="continue"/>
            <w:tcBorders>
              <w:left w:val="single" w:color="auto" w:sz="4" w:space="0"/>
              <w:right w:val="single" w:color="auto" w:sz="4" w:space="0"/>
            </w:tcBorders>
            <w:vAlign w:val="center"/>
          </w:tcPr>
          <w:p w14:paraId="56DD31DB">
            <w:pPr>
              <w:jc w:val="center"/>
              <w:rPr>
                <w:rFonts w:ascii="宋体" w:cs="宋体"/>
                <w:b/>
                <w:szCs w:val="21"/>
              </w:rPr>
            </w:pPr>
          </w:p>
        </w:tc>
        <w:tc>
          <w:tcPr>
            <w:tcW w:w="8711" w:type="dxa"/>
            <w:tcBorders>
              <w:top w:val="single" w:color="auto" w:sz="4" w:space="0"/>
              <w:left w:val="single" w:color="auto" w:sz="4" w:space="0"/>
              <w:bottom w:val="single" w:color="auto" w:sz="4" w:space="0"/>
              <w:right w:val="single" w:color="auto" w:sz="4" w:space="0"/>
            </w:tcBorders>
            <w:vAlign w:val="center"/>
          </w:tcPr>
          <w:p w14:paraId="6B2A2543">
            <w:pPr>
              <w:widowControl/>
              <w:jc w:val="left"/>
              <w:rPr>
                <w:rFonts w:ascii="宋体" w:hAnsi="宋体" w:cs="宋体"/>
                <w:color w:val="000000"/>
                <w:kern w:val="0"/>
                <w:szCs w:val="21"/>
              </w:rPr>
            </w:pPr>
            <w:r>
              <w:rPr>
                <w:rFonts w:hint="eastAsia" w:ascii="宋体" w:hAnsi="宋体" w:cs="宋体"/>
                <w:color w:val="000000"/>
                <w:kern w:val="0"/>
                <w:szCs w:val="21"/>
              </w:rPr>
              <w:t>高级查询条件，包括策略、发送者、接收者等。</w:t>
            </w:r>
          </w:p>
        </w:tc>
      </w:tr>
    </w:tbl>
    <w:p w14:paraId="4504DCF6"/>
    <w:p w14:paraId="39C90BC8">
      <w:pPr>
        <w:pStyle w:val="8"/>
        <w:numPr>
          <w:ilvl w:val="0"/>
          <w:numId w:val="19"/>
        </w:numPr>
        <w:rPr>
          <w:rFonts w:ascii="宋体" w:hAnsi="宋体" w:cs="宋体"/>
          <w:sz w:val="22"/>
          <w:szCs w:val="22"/>
        </w:rPr>
      </w:pPr>
      <w:r>
        <w:rPr>
          <w:rFonts w:hint="eastAsia" w:ascii="宋体" w:hAnsi="宋体" w:cs="宋体"/>
          <w:sz w:val="22"/>
          <w:szCs w:val="22"/>
        </w:rPr>
        <w:t>数据安全态势感知服务</w:t>
      </w:r>
    </w:p>
    <w:tbl>
      <w:tblPr>
        <w:tblStyle w:val="5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8727"/>
      </w:tblGrid>
      <w:tr w14:paraId="1AC4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tcBorders>
              <w:top w:val="single" w:color="auto" w:sz="4" w:space="0"/>
              <w:left w:val="single" w:color="auto" w:sz="4" w:space="0"/>
              <w:bottom w:val="single" w:color="auto" w:sz="4" w:space="0"/>
              <w:right w:val="single" w:color="auto" w:sz="4" w:space="0"/>
            </w:tcBorders>
            <w:shd w:val="clear" w:color="auto" w:fill="FFFFFF"/>
            <w:vAlign w:val="center"/>
          </w:tcPr>
          <w:p w14:paraId="0384DAAD">
            <w:pPr>
              <w:jc w:val="center"/>
              <w:rPr>
                <w:rFonts w:ascii="宋体" w:cs="宋体"/>
                <w:bCs/>
                <w:sz w:val="22"/>
                <w:szCs w:val="22"/>
              </w:rPr>
            </w:pPr>
            <w:r>
              <w:rPr>
                <w:rFonts w:hint="eastAsia" w:ascii="宋体" w:cs="宋体"/>
                <w:bCs/>
                <w:sz w:val="22"/>
                <w:szCs w:val="22"/>
              </w:rPr>
              <w:t>指标项</w:t>
            </w:r>
          </w:p>
        </w:tc>
        <w:tc>
          <w:tcPr>
            <w:tcW w:w="8727" w:type="dxa"/>
            <w:tcBorders>
              <w:top w:val="single" w:color="auto" w:sz="4" w:space="0"/>
              <w:left w:val="single" w:color="auto" w:sz="4" w:space="0"/>
              <w:bottom w:val="single" w:color="auto" w:sz="4" w:space="0"/>
              <w:right w:val="single" w:color="auto" w:sz="4" w:space="0"/>
            </w:tcBorders>
            <w:shd w:val="clear" w:color="auto" w:fill="FFFFFF"/>
            <w:vAlign w:val="center"/>
          </w:tcPr>
          <w:p w14:paraId="32F21376">
            <w:pPr>
              <w:jc w:val="center"/>
              <w:rPr>
                <w:rFonts w:ascii="宋体" w:cs="宋体"/>
                <w:bCs/>
                <w:sz w:val="22"/>
                <w:szCs w:val="22"/>
              </w:rPr>
            </w:pPr>
            <w:r>
              <w:rPr>
                <w:rFonts w:hint="eastAsia" w:ascii="宋体" w:cs="宋体"/>
                <w:bCs/>
                <w:sz w:val="22"/>
                <w:szCs w:val="22"/>
              </w:rPr>
              <w:t>技术参数</w:t>
            </w:r>
          </w:p>
        </w:tc>
      </w:tr>
      <w:tr w14:paraId="6AB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77F40DA7">
            <w:pPr>
              <w:jc w:val="center"/>
              <w:rPr>
                <w:rFonts w:ascii="宋体" w:cs="宋体"/>
                <w:b/>
                <w:sz w:val="22"/>
                <w:szCs w:val="22"/>
              </w:rPr>
            </w:pPr>
            <w:r>
              <w:rPr>
                <w:rFonts w:hint="eastAsia" w:ascii="宋体" w:cs="宋体"/>
                <w:sz w:val="22"/>
                <w:szCs w:val="22"/>
              </w:rPr>
              <w:t>数据链路刻画交互</w:t>
            </w:r>
          </w:p>
        </w:tc>
        <w:tc>
          <w:tcPr>
            <w:tcW w:w="8727" w:type="dxa"/>
            <w:tcBorders>
              <w:top w:val="single" w:color="auto" w:sz="4" w:space="0"/>
              <w:left w:val="single" w:color="auto" w:sz="4" w:space="0"/>
              <w:bottom w:val="single" w:color="auto" w:sz="4" w:space="0"/>
              <w:right w:val="single" w:color="auto" w:sz="4" w:space="0"/>
            </w:tcBorders>
            <w:vAlign w:val="center"/>
          </w:tcPr>
          <w:p w14:paraId="199EB738">
            <w:pPr>
              <w:rPr>
                <w:rFonts w:ascii="宋体" w:cs="宋体"/>
                <w:b/>
                <w:sz w:val="22"/>
                <w:szCs w:val="22"/>
              </w:rPr>
            </w:pPr>
            <w:r>
              <w:rPr>
                <w:rFonts w:hint="eastAsia" w:ascii="宋体" w:cs="宋体"/>
                <w:sz w:val="22"/>
                <w:szCs w:val="22"/>
              </w:rPr>
              <w:t>★1.支持从共享数据源、数据库表、过程SQL、服务资源、应用系统、API、访问源的纵深化、全访问视角，将通用的数据安全能力融合到数据交互中，实现数据安全能力融合并保证各自业务模块逻辑独立性，以数据流动和交互的视角形成一张可视化的数据链路图。（需提供截图证明）</w:t>
            </w:r>
          </w:p>
        </w:tc>
      </w:tr>
      <w:tr w14:paraId="4B07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5799C978">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776452F6">
            <w:pPr>
              <w:rPr>
                <w:rFonts w:ascii="宋体" w:cs="宋体"/>
                <w:b/>
                <w:sz w:val="22"/>
                <w:szCs w:val="22"/>
              </w:rPr>
            </w:pPr>
            <w:r>
              <w:rPr>
                <w:rFonts w:hint="eastAsia" w:ascii="宋体" w:cs="宋体"/>
                <w:sz w:val="22"/>
                <w:szCs w:val="22"/>
              </w:rPr>
              <w:t>2.支持按照数据访问来源进行分类统计，支持识别访问来源IP和总数目、识别访问来源的国家省地市区、统计访问来源地区总数、识别访问用户账号数目、特权账号数目、访问总次数、IP总数目等；</w:t>
            </w:r>
          </w:p>
        </w:tc>
      </w:tr>
      <w:tr w14:paraId="76B8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07FC1E52">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1114F29">
            <w:pPr>
              <w:rPr>
                <w:rFonts w:ascii="宋体" w:cs="宋体"/>
                <w:b/>
                <w:sz w:val="22"/>
                <w:szCs w:val="22"/>
              </w:rPr>
            </w:pPr>
            <w:r>
              <w:rPr>
                <w:rFonts w:hint="eastAsia" w:ascii="宋体" w:cs="宋体"/>
                <w:sz w:val="22"/>
                <w:szCs w:val="22"/>
              </w:rPr>
              <w:t>3.支持动态识别梳理当前应用系统的API总数目，活跃API总数目，识别API完整URL信息、支持人工打标API名称、API分类信息，动态化实现API的风险监测，风险事件绑定API，高亮显示风险项等；</w:t>
            </w:r>
          </w:p>
        </w:tc>
      </w:tr>
      <w:tr w14:paraId="55F1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5450750F">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3BAE0BD9">
            <w:pPr>
              <w:rPr>
                <w:rFonts w:ascii="宋体" w:cs="宋体"/>
                <w:b/>
                <w:sz w:val="22"/>
                <w:szCs w:val="22"/>
              </w:rPr>
            </w:pPr>
            <w:r>
              <w:rPr>
                <w:rFonts w:hint="eastAsia" w:ascii="宋体" w:cs="宋体"/>
                <w:sz w:val="22"/>
                <w:szCs w:val="22"/>
              </w:rPr>
              <w:t>4.支持显示应用系统下所绑定的域名地址信息，对应的网站或系统名称信息、显示服务资源组件名称信息、IP信息，当前服务资源状态信息等。支持动态绑定风险事件信息，风险可视化高亮显示；</w:t>
            </w:r>
          </w:p>
        </w:tc>
      </w:tr>
      <w:tr w14:paraId="35A1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3B2C3B5B">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5762CA89">
            <w:pPr>
              <w:rPr>
                <w:rFonts w:ascii="宋体" w:cs="宋体"/>
                <w:b/>
                <w:sz w:val="22"/>
                <w:szCs w:val="22"/>
              </w:rPr>
            </w:pPr>
            <w:r>
              <w:rPr>
                <w:rFonts w:hint="eastAsia" w:ascii="宋体" w:cs="宋体"/>
                <w:sz w:val="22"/>
                <w:szCs w:val="22"/>
              </w:rPr>
              <w:t>5.支持统计该应用系统下关联的数据库中的过程SQL语句信息，包含过程SQL语句总数、本月新增总数、具体的SQL语句内容等，支持动态化显示SQL语句的风险监测信息，并绑定对应的SQL语句，高亮显示风险项等；</w:t>
            </w:r>
          </w:p>
        </w:tc>
      </w:tr>
      <w:tr w14:paraId="7F0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2F957988">
            <w:pPr>
              <w:jc w:val="center"/>
              <w:rPr>
                <w:rFonts w:ascii="宋体" w:cs="宋体"/>
                <w:b/>
                <w:sz w:val="22"/>
                <w:szCs w:val="22"/>
              </w:rPr>
            </w:pPr>
            <w:r>
              <w:rPr>
                <w:rFonts w:hint="eastAsia" w:ascii="宋体" w:cs="宋体"/>
                <w:sz w:val="22"/>
                <w:szCs w:val="22"/>
              </w:rPr>
              <w:t>风险隐患</w:t>
            </w:r>
          </w:p>
        </w:tc>
        <w:tc>
          <w:tcPr>
            <w:tcW w:w="8727" w:type="dxa"/>
            <w:tcBorders>
              <w:top w:val="single" w:color="auto" w:sz="4" w:space="0"/>
              <w:left w:val="single" w:color="auto" w:sz="4" w:space="0"/>
              <w:bottom w:val="single" w:color="auto" w:sz="4" w:space="0"/>
              <w:right w:val="single" w:color="auto" w:sz="4" w:space="0"/>
            </w:tcBorders>
            <w:vAlign w:val="center"/>
          </w:tcPr>
          <w:p w14:paraId="44B2AE79">
            <w:pPr>
              <w:rPr>
                <w:rFonts w:ascii="宋体" w:cs="宋体"/>
                <w:b/>
                <w:sz w:val="22"/>
                <w:szCs w:val="22"/>
              </w:rPr>
            </w:pPr>
            <w:r>
              <w:rPr>
                <w:rFonts w:hint="eastAsia" w:ascii="宋体" w:cs="宋体"/>
                <w:sz w:val="22"/>
                <w:szCs w:val="22"/>
              </w:rPr>
              <w:t>1.平台提供通过验证研判后的风险隐患，支持风险新增、导入导出、风险查询、风险通报等功能。</w:t>
            </w:r>
          </w:p>
        </w:tc>
      </w:tr>
      <w:tr w14:paraId="2535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3EEABF6C">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50B7A04">
            <w:pPr>
              <w:rPr>
                <w:rFonts w:ascii="宋体" w:cs="宋体"/>
                <w:b/>
                <w:sz w:val="22"/>
                <w:szCs w:val="22"/>
              </w:rPr>
            </w:pPr>
            <w:r>
              <w:rPr>
                <w:rFonts w:hint="eastAsia" w:ascii="宋体" w:cs="宋体"/>
                <w:sz w:val="22"/>
                <w:szCs w:val="22"/>
              </w:rPr>
              <w:t>2.列表支持展示风险隐患信息，包括风险名称、事件等级、所属单位名称、风险发生时间、处置状态、数据来源等字段信息。</w:t>
            </w:r>
          </w:p>
        </w:tc>
      </w:tr>
      <w:tr w14:paraId="461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4E9088A8">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7B0DB05D">
            <w:pPr>
              <w:rPr>
                <w:rFonts w:ascii="宋体" w:cs="宋体"/>
                <w:b/>
                <w:sz w:val="22"/>
                <w:szCs w:val="22"/>
              </w:rPr>
            </w:pPr>
            <w:r>
              <w:rPr>
                <w:rFonts w:hint="eastAsia" w:ascii="宋体" w:cs="宋体"/>
                <w:sz w:val="22"/>
                <w:szCs w:val="22"/>
              </w:rPr>
              <w:t>3.支持平台所有风险一键生成通报；支持按查询结果多个风险一键生成通报功能。</w:t>
            </w:r>
          </w:p>
        </w:tc>
      </w:tr>
      <w:tr w14:paraId="2EB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4012D714">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6C40E841">
            <w:pPr>
              <w:rPr>
                <w:rFonts w:ascii="宋体" w:cs="宋体"/>
                <w:b/>
                <w:sz w:val="22"/>
                <w:szCs w:val="22"/>
              </w:rPr>
            </w:pPr>
            <w:r>
              <w:rPr>
                <w:rFonts w:hint="eastAsia" w:ascii="宋体" w:cs="宋体"/>
                <w:sz w:val="22"/>
                <w:szCs w:val="22"/>
              </w:rPr>
              <w:t>4.支持查看风险详情信息，包括但不限于：风险类型、风险等级、风险验证情况、单位名称、风险名称、资产名称、风险开始时间、风险结束时间等；</w:t>
            </w:r>
          </w:p>
        </w:tc>
      </w:tr>
      <w:tr w14:paraId="43A0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7AAFF0F8">
            <w:pPr>
              <w:jc w:val="center"/>
              <w:rPr>
                <w:rFonts w:ascii="宋体" w:cs="宋体"/>
                <w:b/>
                <w:sz w:val="22"/>
                <w:szCs w:val="22"/>
              </w:rPr>
            </w:pPr>
            <w:r>
              <w:rPr>
                <w:rFonts w:hint="eastAsia" w:ascii="宋体" w:cs="宋体"/>
                <w:sz w:val="22"/>
                <w:szCs w:val="22"/>
              </w:rPr>
              <w:t>通知管理</w:t>
            </w:r>
          </w:p>
        </w:tc>
        <w:tc>
          <w:tcPr>
            <w:tcW w:w="8727" w:type="dxa"/>
            <w:tcBorders>
              <w:top w:val="single" w:color="auto" w:sz="4" w:space="0"/>
              <w:left w:val="single" w:color="auto" w:sz="4" w:space="0"/>
              <w:bottom w:val="single" w:color="auto" w:sz="4" w:space="0"/>
              <w:right w:val="single" w:color="auto" w:sz="4" w:space="0"/>
            </w:tcBorders>
            <w:vAlign w:val="center"/>
          </w:tcPr>
          <w:p w14:paraId="325B0C18">
            <w:pPr>
              <w:rPr>
                <w:rFonts w:ascii="宋体" w:cs="宋体"/>
                <w:b/>
                <w:sz w:val="22"/>
                <w:szCs w:val="22"/>
              </w:rPr>
            </w:pPr>
            <w:r>
              <w:rPr>
                <w:rFonts w:hint="eastAsia" w:ascii="宋体" w:cs="宋体"/>
                <w:sz w:val="22"/>
                <w:szCs w:val="22"/>
              </w:rPr>
              <w:t>1.通知中支持记录通知名称、标签、级别、详情、通知对象和举证信息。</w:t>
            </w:r>
          </w:p>
        </w:tc>
      </w:tr>
      <w:tr w14:paraId="7D58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075E028B">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5C89A6DF">
            <w:pPr>
              <w:rPr>
                <w:rFonts w:ascii="宋体" w:cs="宋体"/>
                <w:b/>
                <w:sz w:val="22"/>
                <w:szCs w:val="22"/>
              </w:rPr>
            </w:pPr>
            <w:r>
              <w:rPr>
                <w:rFonts w:hint="eastAsia" w:ascii="宋体" w:cs="宋体"/>
                <w:sz w:val="22"/>
                <w:szCs w:val="22"/>
              </w:rPr>
              <w:t>2.通知支持草稿箱功能，发布的无效通知支持关闭和删除。</w:t>
            </w:r>
          </w:p>
        </w:tc>
      </w:tr>
      <w:tr w14:paraId="4BB5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0F4DA752">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4EA60E44">
            <w:pPr>
              <w:rPr>
                <w:rFonts w:ascii="宋体" w:cs="宋体"/>
                <w:b/>
                <w:sz w:val="22"/>
                <w:szCs w:val="22"/>
              </w:rPr>
            </w:pPr>
            <w:r>
              <w:rPr>
                <w:rFonts w:hint="eastAsia" w:ascii="宋体" w:cs="宋体"/>
                <w:sz w:val="22"/>
                <w:szCs w:val="22"/>
              </w:rPr>
              <w:t>3.新增通知可以输入文字、图片、超链接、表格、代码片段等≥种信息类型，其中文字支持设定字体大小、文字颜色，文字高亮、加粗、倾斜等&gt;=5种配置。</w:t>
            </w:r>
          </w:p>
        </w:tc>
      </w:tr>
      <w:tr w14:paraId="496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6CFED3C7">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7BE6077C">
            <w:pPr>
              <w:rPr>
                <w:rFonts w:ascii="宋体" w:cs="宋体"/>
                <w:b/>
                <w:sz w:val="22"/>
                <w:szCs w:val="22"/>
              </w:rPr>
            </w:pPr>
            <w:r>
              <w:rPr>
                <w:rFonts w:hint="eastAsia" w:ascii="宋体" w:cs="宋体"/>
                <w:sz w:val="22"/>
                <w:szCs w:val="22"/>
              </w:rPr>
              <w:t>4.发布通知/预警时，支持已读回执，通知下发后对各单位的已读情况进行查看。</w:t>
            </w:r>
          </w:p>
        </w:tc>
      </w:tr>
      <w:tr w14:paraId="677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656C7A31">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1B3F4006">
            <w:pPr>
              <w:rPr>
                <w:rFonts w:ascii="宋体" w:cs="宋体"/>
                <w:b/>
                <w:sz w:val="22"/>
                <w:szCs w:val="22"/>
              </w:rPr>
            </w:pPr>
            <w:r>
              <w:rPr>
                <w:rFonts w:hint="eastAsia" w:ascii="宋体" w:cs="宋体"/>
                <w:sz w:val="22"/>
                <w:szCs w:val="22"/>
              </w:rPr>
              <w:t>5.通知举证信息支持一键溯源，包括溯源到资产档案、系统档案、情报信息、原始日志等。</w:t>
            </w:r>
          </w:p>
        </w:tc>
      </w:tr>
      <w:tr w14:paraId="0F01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37D21DA6">
            <w:pPr>
              <w:jc w:val="center"/>
              <w:rPr>
                <w:rFonts w:ascii="宋体" w:cs="宋体"/>
                <w:b/>
                <w:sz w:val="22"/>
                <w:szCs w:val="22"/>
              </w:rPr>
            </w:pPr>
            <w:r>
              <w:rPr>
                <w:rFonts w:hint="eastAsia" w:ascii="宋体" w:cs="宋体"/>
                <w:sz w:val="22"/>
                <w:szCs w:val="22"/>
              </w:rPr>
              <w:t>通报管理</w:t>
            </w:r>
          </w:p>
        </w:tc>
        <w:tc>
          <w:tcPr>
            <w:tcW w:w="8727" w:type="dxa"/>
            <w:tcBorders>
              <w:top w:val="single" w:color="auto" w:sz="4" w:space="0"/>
              <w:left w:val="single" w:color="auto" w:sz="4" w:space="0"/>
              <w:bottom w:val="single" w:color="auto" w:sz="4" w:space="0"/>
              <w:right w:val="single" w:color="auto" w:sz="4" w:space="0"/>
            </w:tcBorders>
            <w:vAlign w:val="center"/>
          </w:tcPr>
          <w:p w14:paraId="1E3BFB18">
            <w:pPr>
              <w:rPr>
                <w:rFonts w:ascii="宋体" w:cs="宋体"/>
                <w:b/>
                <w:sz w:val="22"/>
                <w:szCs w:val="22"/>
              </w:rPr>
            </w:pPr>
            <w:r>
              <w:rPr>
                <w:rFonts w:hint="eastAsia" w:ascii="宋体" w:cs="宋体"/>
                <w:sz w:val="22"/>
                <w:szCs w:val="22"/>
              </w:rPr>
              <w:t>1.支持通报流程统计，可根据多维度查询展示通报信息。</w:t>
            </w:r>
          </w:p>
        </w:tc>
      </w:tr>
      <w:tr w14:paraId="65ED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5C7CC4B1">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27BDE6C6">
            <w:pPr>
              <w:rPr>
                <w:rFonts w:ascii="宋体" w:cs="宋体"/>
                <w:b/>
                <w:sz w:val="22"/>
                <w:szCs w:val="22"/>
              </w:rPr>
            </w:pPr>
            <w:r>
              <w:rPr>
                <w:rFonts w:hint="eastAsia" w:ascii="宋体" w:cs="宋体"/>
                <w:sz w:val="22"/>
                <w:szCs w:val="22"/>
              </w:rPr>
              <w:t>2.通报正文与备注支持多种内容格式，包括但不限于文字、图片、超链接、表格、代码片段、附件等&gt;=5种信息类型，其中文字支持设定字体大小、文字颜色，文字高亮、加粗、倾斜等&gt;=5种配置。</w:t>
            </w:r>
          </w:p>
        </w:tc>
      </w:tr>
      <w:tr w14:paraId="1C4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3391E45D">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1DF216B2">
            <w:pPr>
              <w:rPr>
                <w:rFonts w:ascii="宋体" w:cs="宋体"/>
                <w:b/>
                <w:sz w:val="22"/>
                <w:szCs w:val="22"/>
              </w:rPr>
            </w:pPr>
            <w:r>
              <w:rPr>
                <w:rFonts w:hint="eastAsia" w:ascii="宋体" w:cs="宋体"/>
                <w:sz w:val="22"/>
                <w:szCs w:val="22"/>
              </w:rPr>
              <w:t>3.通报详情支持显示多类通报相关信息，包括但不限于通报标题、通报标签、所属单位、发起单位、通报完整流程及当前所处流程、通报正文、举证信息、处理记录等。</w:t>
            </w:r>
          </w:p>
        </w:tc>
      </w:tr>
      <w:tr w14:paraId="431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417E1CE4">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15E5C687">
            <w:pPr>
              <w:rPr>
                <w:rFonts w:ascii="宋体" w:cs="宋体"/>
                <w:b/>
                <w:sz w:val="22"/>
                <w:szCs w:val="22"/>
              </w:rPr>
            </w:pPr>
            <w:r>
              <w:rPr>
                <w:rFonts w:hint="eastAsia" w:ascii="宋体" w:cs="宋体"/>
                <w:sz w:val="22"/>
                <w:szCs w:val="22"/>
              </w:rPr>
              <w:t>4.支持通报举证信息一键查询，通报处置人员可以直接定位到通报关联的原始信息进行查看。</w:t>
            </w:r>
          </w:p>
        </w:tc>
      </w:tr>
      <w:tr w14:paraId="6BBB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2B37F881">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4EB2325B">
            <w:pPr>
              <w:rPr>
                <w:rFonts w:ascii="宋体" w:cs="宋体"/>
                <w:b/>
                <w:sz w:val="22"/>
                <w:szCs w:val="22"/>
              </w:rPr>
            </w:pPr>
            <w:r>
              <w:rPr>
                <w:rFonts w:hint="eastAsia" w:ascii="宋体" w:cs="宋体"/>
                <w:sz w:val="22"/>
                <w:szCs w:val="22"/>
              </w:rPr>
              <w:t>5.支持通过事件成果、风险成果携带相关信息辅助生成通报，支持自定义编辑通报信息内容。</w:t>
            </w:r>
          </w:p>
        </w:tc>
      </w:tr>
      <w:tr w14:paraId="2085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7B4935BF">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27BF4E41">
            <w:pPr>
              <w:rPr>
                <w:rFonts w:ascii="宋体" w:cs="宋体"/>
                <w:b/>
                <w:sz w:val="22"/>
                <w:szCs w:val="22"/>
              </w:rPr>
            </w:pPr>
            <w:r>
              <w:rPr>
                <w:rFonts w:hint="eastAsia" w:ascii="宋体" w:cs="宋体"/>
                <w:sz w:val="22"/>
                <w:szCs w:val="22"/>
              </w:rPr>
              <w:t>★6.支持通报流程可配置、支持对通报红头文件配置、支持通报流程别名配置、通报编号自动配置、通报抄送功能配置、通报记忆功能配置、自定义通报类型配置、自定义配置工单流程、处置角色、通报解读、通报提醒、通报标签配置等。（需提供截图证明）</w:t>
            </w:r>
          </w:p>
        </w:tc>
      </w:tr>
      <w:tr w14:paraId="7718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291CE477">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24519603">
            <w:pPr>
              <w:rPr>
                <w:rFonts w:ascii="宋体" w:cs="宋体"/>
                <w:b/>
                <w:sz w:val="22"/>
                <w:szCs w:val="22"/>
              </w:rPr>
            </w:pPr>
            <w:r>
              <w:rPr>
                <w:rFonts w:hint="eastAsia" w:ascii="宋体" w:cs="宋体"/>
                <w:sz w:val="22"/>
                <w:szCs w:val="22"/>
              </w:rPr>
              <w:t>7.通报支持进行超时设置，针对截止时间一天内的通报进行截止时间醒目提醒；针对已超时的通报进行超时显示，并显示具体超时时间。</w:t>
            </w:r>
          </w:p>
        </w:tc>
      </w:tr>
      <w:tr w14:paraId="2064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3191D70C">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7CB94A8">
            <w:pPr>
              <w:rPr>
                <w:rFonts w:ascii="宋体" w:cs="宋体"/>
                <w:b/>
                <w:sz w:val="22"/>
                <w:szCs w:val="22"/>
              </w:rPr>
            </w:pPr>
            <w:r>
              <w:rPr>
                <w:rFonts w:hint="eastAsia" w:ascii="宋体" w:cs="宋体"/>
                <w:sz w:val="22"/>
                <w:szCs w:val="22"/>
              </w:rPr>
              <w:t>8.支持工单级联，支持与温州市上级平台之间上下级级联工单，上级平台发工单同步给下级平台， 下级平台处置完后同步给上级平台。</w:t>
            </w:r>
          </w:p>
        </w:tc>
      </w:tr>
      <w:tr w14:paraId="6271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5BE8F648">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BD5B85C">
            <w:pPr>
              <w:rPr>
                <w:rFonts w:ascii="宋体" w:cs="宋体"/>
                <w:b/>
                <w:sz w:val="22"/>
                <w:szCs w:val="22"/>
              </w:rPr>
            </w:pPr>
            <w:r>
              <w:rPr>
                <w:rFonts w:hint="eastAsia" w:ascii="宋体" w:cs="宋体"/>
                <w:sz w:val="22"/>
                <w:szCs w:val="22"/>
              </w:rPr>
              <w:t>9.支持通报新增页面对字段的规范解读。</w:t>
            </w:r>
          </w:p>
        </w:tc>
      </w:tr>
      <w:tr w14:paraId="6664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489D059A">
            <w:pPr>
              <w:jc w:val="center"/>
              <w:rPr>
                <w:rFonts w:ascii="宋体" w:cs="宋体"/>
                <w:b/>
                <w:sz w:val="22"/>
                <w:szCs w:val="22"/>
              </w:rPr>
            </w:pPr>
            <w:r>
              <w:rPr>
                <w:rFonts w:hint="eastAsia" w:ascii="宋体" w:cs="宋体"/>
                <w:sz w:val="22"/>
                <w:szCs w:val="22"/>
              </w:rPr>
              <w:t>报告中心</w:t>
            </w:r>
          </w:p>
        </w:tc>
        <w:tc>
          <w:tcPr>
            <w:tcW w:w="8727" w:type="dxa"/>
            <w:tcBorders>
              <w:top w:val="single" w:color="auto" w:sz="4" w:space="0"/>
              <w:left w:val="single" w:color="auto" w:sz="4" w:space="0"/>
              <w:bottom w:val="single" w:color="auto" w:sz="4" w:space="0"/>
              <w:right w:val="single" w:color="auto" w:sz="4" w:space="0"/>
            </w:tcBorders>
            <w:vAlign w:val="center"/>
          </w:tcPr>
          <w:p w14:paraId="10723D58">
            <w:pPr>
              <w:rPr>
                <w:rFonts w:ascii="宋体" w:cs="宋体"/>
                <w:b/>
                <w:sz w:val="22"/>
                <w:szCs w:val="22"/>
              </w:rPr>
            </w:pPr>
            <w:r>
              <w:rPr>
                <w:rFonts w:hint="eastAsia" w:ascii="宋体" w:cs="宋体"/>
                <w:sz w:val="22"/>
                <w:szCs w:val="22"/>
              </w:rPr>
              <w:t>1.支持系统根据所属部门和时间范围的查询条件生成报告，报告内容包含了概要、资产统计、风险事件、工单处置、共享监测等情况。</w:t>
            </w:r>
          </w:p>
        </w:tc>
      </w:tr>
      <w:tr w14:paraId="0A69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right w:val="single" w:color="auto" w:sz="4" w:space="0"/>
            </w:tcBorders>
            <w:vAlign w:val="center"/>
          </w:tcPr>
          <w:p w14:paraId="309E4D60">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60EB0E0">
            <w:pPr>
              <w:rPr>
                <w:rFonts w:ascii="宋体" w:cs="宋体"/>
                <w:b/>
                <w:sz w:val="22"/>
                <w:szCs w:val="22"/>
              </w:rPr>
            </w:pPr>
            <w:r>
              <w:rPr>
                <w:rFonts w:hint="eastAsia" w:ascii="宋体" w:cs="宋体"/>
                <w:sz w:val="22"/>
                <w:szCs w:val="22"/>
              </w:rPr>
              <w:t>2.支持导出日报、周报、月报和自定义时间范围内的安全分析报告。</w:t>
            </w:r>
          </w:p>
        </w:tc>
      </w:tr>
      <w:tr w14:paraId="56B9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67D848AA">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6838ADC3">
            <w:pPr>
              <w:rPr>
                <w:rFonts w:ascii="宋体" w:cs="宋体"/>
                <w:b/>
                <w:sz w:val="22"/>
                <w:szCs w:val="22"/>
              </w:rPr>
            </w:pPr>
            <w:r>
              <w:rPr>
                <w:rFonts w:hint="eastAsia" w:ascii="宋体" w:cs="宋体"/>
                <w:sz w:val="22"/>
                <w:szCs w:val="22"/>
              </w:rPr>
              <w:t>3.报告订阅支持通过钉钉、短信、邮件方式在设定时间点发送日报、周报、月报、年报，报告格式支持WORD等。</w:t>
            </w:r>
          </w:p>
        </w:tc>
      </w:tr>
      <w:tr w14:paraId="7E6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66488C01">
            <w:pPr>
              <w:jc w:val="center"/>
              <w:rPr>
                <w:rFonts w:ascii="宋体" w:cs="宋体"/>
                <w:b/>
                <w:sz w:val="22"/>
                <w:szCs w:val="22"/>
              </w:rPr>
            </w:pPr>
            <w:r>
              <w:rPr>
                <w:rFonts w:hint="eastAsia" w:ascii="宋体" w:cs="宋体"/>
                <w:sz w:val="22"/>
                <w:szCs w:val="22"/>
              </w:rPr>
              <w:t>业务建模</w:t>
            </w:r>
          </w:p>
        </w:tc>
        <w:tc>
          <w:tcPr>
            <w:tcW w:w="8727" w:type="dxa"/>
            <w:tcBorders>
              <w:top w:val="single" w:color="auto" w:sz="4" w:space="0"/>
              <w:left w:val="single" w:color="auto" w:sz="4" w:space="0"/>
              <w:bottom w:val="single" w:color="auto" w:sz="4" w:space="0"/>
              <w:right w:val="single" w:color="auto" w:sz="4" w:space="0"/>
            </w:tcBorders>
            <w:vAlign w:val="center"/>
          </w:tcPr>
          <w:p w14:paraId="6EE043BA">
            <w:pPr>
              <w:rPr>
                <w:rFonts w:ascii="宋体" w:cs="宋体"/>
                <w:b/>
                <w:sz w:val="22"/>
                <w:szCs w:val="22"/>
              </w:rPr>
            </w:pPr>
            <w:r>
              <w:rPr>
                <w:rFonts w:hint="eastAsia" w:ascii="宋体" w:cs="宋体"/>
                <w:sz w:val="22"/>
                <w:szCs w:val="22"/>
              </w:rPr>
              <w:t>1.支持业务数据建模，可通过简单的元件拖拽、连线的操作方式对其数据流转进行可视化的拓扑建模，组件包含应用服务、数据服务、账号、接口、表等；</w:t>
            </w:r>
          </w:p>
        </w:tc>
      </w:tr>
      <w:tr w14:paraId="05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415EB637">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0B8582FB">
            <w:pPr>
              <w:rPr>
                <w:rFonts w:ascii="宋体" w:cs="宋体"/>
                <w:b/>
                <w:sz w:val="22"/>
                <w:szCs w:val="22"/>
              </w:rPr>
            </w:pPr>
            <w:r>
              <w:rPr>
                <w:rFonts w:hint="eastAsia" w:ascii="宋体" w:cs="宋体"/>
                <w:sz w:val="22"/>
                <w:szCs w:val="22"/>
              </w:rPr>
              <w:t>2.支持根据业务模型生成业务大屏，可对业务大屏进行预览、发布、下架等管理。</w:t>
            </w:r>
          </w:p>
        </w:tc>
      </w:tr>
      <w:tr w14:paraId="222E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17C348BD">
            <w:pPr>
              <w:jc w:val="center"/>
              <w:rPr>
                <w:rFonts w:ascii="宋体" w:cs="宋体"/>
                <w:b/>
                <w:sz w:val="22"/>
                <w:szCs w:val="22"/>
              </w:rPr>
            </w:pPr>
            <w:r>
              <w:rPr>
                <w:rFonts w:hint="eastAsia" w:ascii="宋体" w:cs="宋体"/>
                <w:sz w:val="22"/>
                <w:szCs w:val="22"/>
              </w:rPr>
              <w:t>数据集成日志</w:t>
            </w:r>
          </w:p>
        </w:tc>
        <w:tc>
          <w:tcPr>
            <w:tcW w:w="8727" w:type="dxa"/>
            <w:tcBorders>
              <w:top w:val="single" w:color="auto" w:sz="4" w:space="0"/>
              <w:left w:val="single" w:color="auto" w:sz="4" w:space="0"/>
              <w:bottom w:val="single" w:color="auto" w:sz="4" w:space="0"/>
              <w:right w:val="single" w:color="auto" w:sz="4" w:space="0"/>
            </w:tcBorders>
            <w:vAlign w:val="center"/>
          </w:tcPr>
          <w:p w14:paraId="1185BC14">
            <w:pPr>
              <w:rPr>
                <w:rFonts w:ascii="宋体" w:cs="宋体"/>
                <w:b/>
                <w:sz w:val="22"/>
                <w:szCs w:val="22"/>
              </w:rPr>
            </w:pPr>
            <w:r>
              <w:rPr>
                <w:rFonts w:hint="eastAsia" w:ascii="宋体" w:cs="宋体"/>
                <w:sz w:val="22"/>
                <w:szCs w:val="22"/>
              </w:rPr>
              <w:t>1.支持数据集成日志分析统计展示，支持对日志数量进行分析，展示日志总量、近日新增、本月新增数据量；对日志进行7日审计态势展示；</w:t>
            </w:r>
          </w:p>
        </w:tc>
      </w:tr>
      <w:tr w14:paraId="31A1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0A737AA9">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6F3264A0">
            <w:pPr>
              <w:rPr>
                <w:rFonts w:ascii="宋体" w:cs="宋体"/>
                <w:b/>
                <w:sz w:val="22"/>
                <w:szCs w:val="22"/>
              </w:rPr>
            </w:pPr>
            <w:r>
              <w:rPr>
                <w:rFonts w:hint="eastAsia" w:ascii="宋体" w:cs="宋体"/>
                <w:sz w:val="22"/>
                <w:szCs w:val="22"/>
              </w:rPr>
              <w:t>2.支持dataworks数据集成日志详情进行展示，包括但不限于操作时间、云账号、账号使用人、账号归属部门、源项目空间名称、源表名、源字段集、目的项目空间名称、目的表名等字段。与审批日志进行关联，判断其集成是否经过审批，展示审批情况。</w:t>
            </w:r>
          </w:p>
        </w:tc>
      </w:tr>
      <w:tr w14:paraId="674C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restart"/>
            <w:tcBorders>
              <w:top w:val="single" w:color="auto" w:sz="4" w:space="0"/>
              <w:left w:val="single" w:color="auto" w:sz="4" w:space="0"/>
              <w:right w:val="single" w:color="auto" w:sz="4" w:space="0"/>
            </w:tcBorders>
            <w:vAlign w:val="center"/>
          </w:tcPr>
          <w:p w14:paraId="131B67EE">
            <w:pPr>
              <w:jc w:val="center"/>
              <w:rPr>
                <w:rFonts w:ascii="宋体" w:cs="宋体"/>
                <w:b/>
                <w:sz w:val="22"/>
                <w:szCs w:val="22"/>
              </w:rPr>
            </w:pPr>
            <w:r>
              <w:rPr>
                <w:rFonts w:hint="eastAsia" w:ascii="宋体" w:cs="宋体"/>
                <w:sz w:val="22"/>
                <w:szCs w:val="22"/>
              </w:rPr>
              <w:t>事件研判</w:t>
            </w:r>
          </w:p>
        </w:tc>
        <w:tc>
          <w:tcPr>
            <w:tcW w:w="8727" w:type="dxa"/>
            <w:tcBorders>
              <w:top w:val="single" w:color="auto" w:sz="4" w:space="0"/>
              <w:left w:val="single" w:color="auto" w:sz="4" w:space="0"/>
              <w:bottom w:val="single" w:color="auto" w:sz="4" w:space="0"/>
              <w:right w:val="single" w:color="auto" w:sz="4" w:space="0"/>
            </w:tcBorders>
            <w:vAlign w:val="center"/>
          </w:tcPr>
          <w:p w14:paraId="6AA708AE">
            <w:pPr>
              <w:rPr>
                <w:rFonts w:ascii="宋体" w:cs="宋体"/>
                <w:b/>
                <w:sz w:val="22"/>
                <w:szCs w:val="22"/>
              </w:rPr>
            </w:pPr>
            <w:r>
              <w:rPr>
                <w:rFonts w:hint="eastAsia" w:ascii="宋体" w:cs="宋体"/>
                <w:sz w:val="22"/>
                <w:szCs w:val="22"/>
              </w:rPr>
              <w:t>1.支持对共享安全事件进行研判，支持根据内置共享安全的安全分析规则，识别未经审批进行批量数据共享、回流、导出事件，并支持一键验证生成数据安全事件。</w:t>
            </w:r>
          </w:p>
        </w:tc>
      </w:tr>
      <w:tr w14:paraId="3881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vMerge w:val="continue"/>
            <w:tcBorders>
              <w:left w:val="single" w:color="auto" w:sz="4" w:space="0"/>
              <w:bottom w:val="single" w:color="auto" w:sz="4" w:space="0"/>
              <w:right w:val="single" w:color="auto" w:sz="4" w:space="0"/>
            </w:tcBorders>
            <w:vAlign w:val="center"/>
          </w:tcPr>
          <w:p w14:paraId="4F83EC2D">
            <w:pPr>
              <w:jc w:val="center"/>
              <w:rPr>
                <w:rFonts w:ascii="宋体" w:cs="宋体"/>
                <w:b/>
                <w:sz w:val="22"/>
                <w:szCs w:val="22"/>
              </w:rPr>
            </w:pPr>
          </w:p>
        </w:tc>
        <w:tc>
          <w:tcPr>
            <w:tcW w:w="8727" w:type="dxa"/>
            <w:tcBorders>
              <w:top w:val="single" w:color="auto" w:sz="4" w:space="0"/>
              <w:left w:val="single" w:color="auto" w:sz="4" w:space="0"/>
              <w:bottom w:val="single" w:color="auto" w:sz="4" w:space="0"/>
              <w:right w:val="single" w:color="auto" w:sz="4" w:space="0"/>
            </w:tcBorders>
            <w:vAlign w:val="center"/>
          </w:tcPr>
          <w:p w14:paraId="3C54F8D7">
            <w:pPr>
              <w:rPr>
                <w:rFonts w:ascii="宋体" w:cs="宋体"/>
                <w:b/>
                <w:sz w:val="22"/>
                <w:szCs w:val="22"/>
              </w:rPr>
            </w:pPr>
            <w:r>
              <w:rPr>
                <w:rFonts w:hint="eastAsia" w:ascii="宋体" w:cs="宋体"/>
                <w:sz w:val="22"/>
                <w:szCs w:val="22"/>
              </w:rPr>
              <w:t>2.支持对高危操作事件进行研判，支持根据内置高危操作安全分析规则，识别数据库高危操作、非授信IP数据库绕行事件，并支持一键验证生成数据安全事件。</w:t>
            </w:r>
          </w:p>
        </w:tc>
      </w:tr>
      <w:tr w14:paraId="46B2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tcBorders>
              <w:top w:val="single" w:color="auto" w:sz="4" w:space="0"/>
              <w:left w:val="single" w:color="auto" w:sz="4" w:space="0"/>
              <w:bottom w:val="single" w:color="auto" w:sz="4" w:space="0"/>
              <w:right w:val="single" w:color="auto" w:sz="4" w:space="0"/>
            </w:tcBorders>
            <w:vAlign w:val="center"/>
          </w:tcPr>
          <w:p w14:paraId="03B4C48F">
            <w:pPr>
              <w:jc w:val="center"/>
              <w:rPr>
                <w:rFonts w:ascii="宋体" w:cs="宋体"/>
                <w:b/>
                <w:sz w:val="22"/>
                <w:szCs w:val="22"/>
              </w:rPr>
            </w:pPr>
            <w:r>
              <w:rPr>
                <w:rFonts w:hint="eastAsia" w:ascii="宋体" w:cs="宋体"/>
                <w:sz w:val="22"/>
                <w:szCs w:val="22"/>
              </w:rPr>
              <w:t>日志采集</w:t>
            </w:r>
          </w:p>
        </w:tc>
        <w:tc>
          <w:tcPr>
            <w:tcW w:w="8727" w:type="dxa"/>
            <w:tcBorders>
              <w:top w:val="single" w:color="auto" w:sz="4" w:space="0"/>
              <w:left w:val="single" w:color="auto" w:sz="4" w:space="0"/>
              <w:bottom w:val="single" w:color="auto" w:sz="4" w:space="0"/>
              <w:right w:val="single" w:color="auto" w:sz="4" w:space="0"/>
            </w:tcBorders>
            <w:vAlign w:val="center"/>
          </w:tcPr>
          <w:p w14:paraId="7C3703CF">
            <w:pPr>
              <w:pStyle w:val="98"/>
              <w:ind w:firstLine="0" w:firstLineChars="0"/>
              <w:jc w:val="left"/>
              <w:rPr>
                <w:rFonts w:ascii="宋体" w:hAnsi="宋体" w:cs="宋体"/>
                <w:sz w:val="22"/>
              </w:rPr>
            </w:pPr>
            <w:r>
              <w:rPr>
                <w:rFonts w:hint="eastAsia" w:ascii="宋体" w:hAnsi="宋体" w:cs="宋体"/>
                <w:sz w:val="22"/>
              </w:rPr>
              <w:t>1.支持对收集到的重复日志进行自动聚合归并，减少日志量；</w:t>
            </w:r>
          </w:p>
          <w:p w14:paraId="57093220">
            <w:pPr>
              <w:pStyle w:val="98"/>
              <w:ind w:firstLine="0" w:firstLineChars="0"/>
              <w:jc w:val="left"/>
              <w:rPr>
                <w:rFonts w:ascii="宋体" w:hAnsi="宋体" w:cs="宋体"/>
                <w:sz w:val="22"/>
              </w:rPr>
            </w:pPr>
            <w:r>
              <w:rPr>
                <w:rFonts w:hint="eastAsia" w:ascii="宋体" w:hAnsi="宋体" w:cs="宋体"/>
                <w:sz w:val="22"/>
              </w:rPr>
              <w:t>2.内置5000+解析规则，支持对收集的5000+设备类型日志进行解析（标准化、归一化），解析维度多达200+，解析规则可以根据客户要求定制扩展；</w:t>
            </w:r>
          </w:p>
          <w:p w14:paraId="3BD78077">
            <w:pPr>
              <w:pStyle w:val="98"/>
              <w:ind w:firstLine="0" w:firstLineChars="0"/>
              <w:jc w:val="left"/>
              <w:rPr>
                <w:rFonts w:ascii="宋体" w:hAnsi="宋体" w:cs="宋体"/>
                <w:sz w:val="22"/>
              </w:rPr>
            </w:pPr>
            <w:r>
              <w:rPr>
                <w:rFonts w:hint="eastAsia" w:ascii="宋体" w:hAnsi="宋体" w:cs="宋体"/>
                <w:sz w:val="22"/>
              </w:rPr>
              <w:t>3.支持美观易用的思维导图模式的解析规则界面自定义</w:t>
            </w:r>
          </w:p>
          <w:p w14:paraId="5C3383AB">
            <w:pPr>
              <w:pStyle w:val="98"/>
              <w:ind w:firstLine="0" w:firstLineChars="0"/>
              <w:jc w:val="left"/>
              <w:rPr>
                <w:rFonts w:ascii="宋体" w:hAnsi="宋体" w:cs="宋体"/>
                <w:sz w:val="22"/>
              </w:rPr>
            </w:pPr>
            <w:r>
              <w:rPr>
                <w:rFonts w:hint="eastAsia" w:ascii="宋体" w:hAnsi="宋体" w:cs="宋体"/>
                <w:sz w:val="22"/>
              </w:rPr>
              <w:t>4.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14:paraId="1DDC514A">
            <w:pPr>
              <w:pStyle w:val="98"/>
              <w:ind w:firstLine="0" w:firstLineChars="0"/>
              <w:jc w:val="left"/>
              <w:rPr>
                <w:rFonts w:ascii="宋体" w:hAnsi="宋体" w:cs="宋体"/>
                <w:sz w:val="22"/>
              </w:rPr>
            </w:pPr>
            <w:r>
              <w:rPr>
                <w:rFonts w:hint="eastAsia" w:ascii="宋体" w:hAnsi="宋体" w:cs="宋体"/>
                <w:sz w:val="22"/>
              </w:rPr>
              <w:t>5.支持基于，跨设备的多事件关联分析；</w:t>
            </w:r>
          </w:p>
          <w:p w14:paraId="3052B859">
            <w:pPr>
              <w:pStyle w:val="98"/>
              <w:ind w:firstLine="0" w:firstLineChars="0"/>
              <w:jc w:val="left"/>
              <w:rPr>
                <w:rFonts w:ascii="宋体" w:hAnsi="宋体" w:cs="宋体"/>
                <w:sz w:val="22"/>
              </w:rPr>
            </w:pPr>
            <w:r>
              <w:rPr>
                <w:rFonts w:hint="eastAsia" w:ascii="宋体" w:hAnsi="宋体" w:cs="宋体"/>
                <w:sz w:val="22"/>
              </w:rPr>
              <w:t>6.内置设备异常、漏洞利用、横向渗透、权限提升、命令执行、可疑行为6大类50+子类的安全分析场景；</w:t>
            </w:r>
          </w:p>
          <w:p w14:paraId="5CEE0C17">
            <w:pPr>
              <w:pStyle w:val="98"/>
              <w:ind w:firstLine="0" w:firstLineChars="0"/>
              <w:jc w:val="left"/>
              <w:rPr>
                <w:rFonts w:ascii="宋体" w:hAnsi="宋体" w:cs="宋体"/>
                <w:sz w:val="22"/>
              </w:rPr>
            </w:pPr>
            <w:r>
              <w:rPr>
                <w:rFonts w:hint="eastAsia" w:ascii="宋体" w:hAnsi="宋体" w:cs="宋体"/>
                <w:sz w:val="22"/>
              </w:rPr>
              <w:t>7.进行关联分析的规则可定制；</w:t>
            </w:r>
          </w:p>
          <w:p w14:paraId="61C055C0">
            <w:pPr>
              <w:pStyle w:val="98"/>
              <w:ind w:firstLine="0" w:firstLineChars="0"/>
              <w:jc w:val="left"/>
              <w:rPr>
                <w:rFonts w:ascii="宋体" w:hAnsi="宋体" w:cs="宋体"/>
                <w:sz w:val="22"/>
              </w:rPr>
            </w:pPr>
            <w:r>
              <w:rPr>
                <w:rFonts w:hint="eastAsia" w:ascii="宋体" w:hAnsi="宋体" w:cs="宋体"/>
                <w:sz w:val="22"/>
              </w:rPr>
              <w:t>8.★三维关联分析；支持通过资产、安全知识库、弱点库三个维度分析事件是否存在威胁，并形成关联事件（提供第三方检测报告）。</w:t>
            </w:r>
          </w:p>
          <w:p w14:paraId="2E8E2FE4">
            <w:pPr>
              <w:pStyle w:val="98"/>
              <w:ind w:firstLine="0" w:firstLineChars="0"/>
              <w:jc w:val="left"/>
              <w:rPr>
                <w:rFonts w:ascii="宋体" w:hAnsi="宋体" w:cs="宋体"/>
                <w:sz w:val="22"/>
              </w:rPr>
            </w:pPr>
            <w:r>
              <w:rPr>
                <w:rFonts w:hint="eastAsia" w:ascii="宋体" w:hAnsi="宋体" w:cs="宋体"/>
                <w:sz w:val="22"/>
              </w:rPr>
              <w:t>9.★通过在目标主机上安装Agent程序，支持监测目标主机的CPU利用率、内存使用率、磁盘使用率、磁盘使用情况、流量等信息（提供第三方检测报告）；</w:t>
            </w:r>
          </w:p>
          <w:p w14:paraId="451B5F6C">
            <w:pPr>
              <w:pStyle w:val="98"/>
              <w:ind w:firstLine="0" w:firstLineChars="0"/>
              <w:jc w:val="left"/>
              <w:rPr>
                <w:rFonts w:ascii="宋体" w:hAnsi="宋体" w:cs="宋体"/>
                <w:sz w:val="22"/>
              </w:rPr>
            </w:pPr>
            <w:r>
              <w:rPr>
                <w:rFonts w:hint="eastAsia" w:ascii="宋体" w:hAnsi="宋体" w:cs="宋体"/>
                <w:sz w:val="22"/>
              </w:rPr>
              <w:t>10.支持应用性能历史详情回溯查看；</w:t>
            </w:r>
          </w:p>
          <w:p w14:paraId="2856ED1A">
            <w:pPr>
              <w:pStyle w:val="98"/>
              <w:ind w:firstLine="0" w:firstLineChars="0"/>
              <w:jc w:val="left"/>
              <w:rPr>
                <w:rFonts w:ascii="宋体" w:hAnsi="宋体" w:cs="宋体"/>
                <w:sz w:val="22"/>
              </w:rPr>
            </w:pPr>
            <w:r>
              <w:rPr>
                <w:rFonts w:hint="eastAsia" w:ascii="宋体" w:hAnsi="宋体" w:cs="宋体"/>
                <w:sz w:val="22"/>
              </w:rPr>
              <w:t>11.注册用户资产时，提供自动发现识别能力；</w:t>
            </w:r>
          </w:p>
          <w:p w14:paraId="14CBFD61">
            <w:pPr>
              <w:pStyle w:val="98"/>
              <w:ind w:firstLine="0" w:firstLineChars="0"/>
              <w:jc w:val="left"/>
              <w:rPr>
                <w:rFonts w:ascii="宋体" w:hAnsi="宋体" w:cs="宋体"/>
                <w:sz w:val="22"/>
              </w:rPr>
            </w:pPr>
            <w:r>
              <w:rPr>
                <w:rFonts w:hint="eastAsia" w:ascii="宋体" w:hAnsi="宋体" w:cs="宋体"/>
                <w:sz w:val="22"/>
              </w:rPr>
              <w:t>12.★</w:t>
            </w:r>
            <w:r>
              <w:rPr>
                <w:rFonts w:hint="eastAsia" w:ascii="宋体" w:hAnsi="宋体" w:cs="宋体"/>
                <w:sz w:val="22"/>
                <w:highlight w:val="none"/>
              </w:rPr>
              <w:t>资产拓扑支</w:t>
            </w:r>
            <w:r>
              <w:rPr>
                <w:rFonts w:hint="eastAsia" w:ascii="宋体" w:hAnsi="宋体" w:cs="宋体"/>
                <w:sz w:val="22"/>
              </w:rPr>
              <w:t>持按照实际的用户环境进行编辑发布并可以和资产进行绑定，</w:t>
            </w:r>
            <w:r>
              <w:rPr>
                <w:rFonts w:hint="eastAsia" w:ascii="宋体" w:hAnsi="宋体" w:cs="宋体"/>
                <w:sz w:val="22"/>
                <w:highlight w:val="none"/>
              </w:rPr>
              <w:t>可以</w:t>
            </w:r>
            <w:r>
              <w:rPr>
                <w:rFonts w:hint="eastAsia" w:ascii="宋体" w:hAnsi="宋体" w:cs="宋体"/>
                <w:sz w:val="22"/>
              </w:rPr>
              <w:t>显示资产采集的事件数量被采集资产的状态等信息（提供第三方检测报告）。</w:t>
            </w:r>
          </w:p>
        </w:tc>
      </w:tr>
      <w:tr w14:paraId="241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3" w:type="dxa"/>
            <w:tcBorders>
              <w:top w:val="single" w:color="auto" w:sz="4" w:space="0"/>
              <w:left w:val="single" w:color="auto" w:sz="4" w:space="0"/>
              <w:bottom w:val="single" w:color="auto" w:sz="4" w:space="0"/>
              <w:right w:val="single" w:color="auto" w:sz="4" w:space="0"/>
            </w:tcBorders>
            <w:vAlign w:val="center"/>
          </w:tcPr>
          <w:p w14:paraId="2CB3701F">
            <w:pPr>
              <w:jc w:val="center"/>
              <w:rPr>
                <w:rFonts w:ascii="宋体" w:cs="宋体"/>
                <w:b/>
                <w:sz w:val="22"/>
                <w:szCs w:val="22"/>
              </w:rPr>
            </w:pPr>
            <w:r>
              <w:rPr>
                <w:rFonts w:hint="eastAsia" w:ascii="宋体" w:cs="宋体"/>
                <w:sz w:val="22"/>
                <w:szCs w:val="22"/>
              </w:rPr>
              <w:t>数据采集</w:t>
            </w:r>
          </w:p>
        </w:tc>
        <w:tc>
          <w:tcPr>
            <w:tcW w:w="8727" w:type="dxa"/>
            <w:tcBorders>
              <w:top w:val="single" w:color="auto" w:sz="4" w:space="0"/>
              <w:left w:val="single" w:color="auto" w:sz="4" w:space="0"/>
              <w:bottom w:val="single" w:color="auto" w:sz="4" w:space="0"/>
              <w:right w:val="single" w:color="auto" w:sz="4" w:space="0"/>
            </w:tcBorders>
            <w:vAlign w:val="center"/>
          </w:tcPr>
          <w:p w14:paraId="61B255D2">
            <w:pPr>
              <w:pStyle w:val="98"/>
              <w:ind w:firstLine="0" w:firstLineChars="0"/>
              <w:jc w:val="left"/>
              <w:rPr>
                <w:rFonts w:ascii="宋体" w:hAnsi="宋体" w:cs="宋体"/>
                <w:sz w:val="22"/>
              </w:rPr>
            </w:pPr>
            <w:r>
              <w:rPr>
                <w:rFonts w:hint="eastAsia" w:ascii="宋体" w:hAnsi="宋体" w:cs="宋体"/>
                <w:sz w:val="22"/>
              </w:rPr>
              <w:t>1.</w:t>
            </w:r>
            <w:bookmarkStart w:id="98" w:name="OLE_LINK35"/>
            <w:bookmarkStart w:id="99" w:name="OLE_LINK34"/>
            <w:r>
              <w:rPr>
                <w:rFonts w:hint="eastAsia" w:ascii="宋体" w:hAnsi="宋体" w:cs="宋体"/>
                <w:sz w:val="22"/>
              </w:rPr>
              <w:t>★</w:t>
            </w:r>
            <w:bookmarkEnd w:id="98"/>
            <w:bookmarkEnd w:id="99"/>
            <w:r>
              <w:rPr>
                <w:rFonts w:hint="eastAsia" w:ascii="宋体" w:hAnsi="宋体" w:cs="宋体"/>
                <w:sz w:val="22"/>
              </w:rPr>
              <w:t>审计信息能够记录执行时长、影响行数、执行结果描述、返回结果集（需提供截图证明及第三方检测报告证明）；</w:t>
            </w:r>
          </w:p>
          <w:p w14:paraId="11161618">
            <w:pPr>
              <w:pStyle w:val="98"/>
              <w:ind w:firstLine="0" w:firstLineChars="0"/>
              <w:jc w:val="left"/>
              <w:rPr>
                <w:rFonts w:ascii="宋体" w:hAnsi="宋体" w:cs="宋体"/>
                <w:sz w:val="22"/>
              </w:rPr>
            </w:pPr>
            <w:r>
              <w:rPr>
                <w:rFonts w:hint="eastAsia" w:ascii="宋体" w:hAnsi="宋体" w:cs="宋体"/>
                <w:sz w:val="22"/>
              </w:rPr>
              <w:t>2.支持审计记录中敏感数据的脱敏处理，内置常见敏感数据脱敏规则，并支持脱敏规则自定义；</w:t>
            </w:r>
          </w:p>
          <w:p w14:paraId="7341EDD7">
            <w:pPr>
              <w:pStyle w:val="98"/>
              <w:ind w:firstLine="0" w:firstLineChars="0"/>
              <w:jc w:val="left"/>
              <w:rPr>
                <w:rFonts w:ascii="宋体" w:hAnsi="宋体" w:cs="宋体"/>
                <w:sz w:val="22"/>
              </w:rPr>
            </w:pPr>
            <w:r>
              <w:rPr>
                <w:rFonts w:hint="eastAsia" w:ascii="宋体" w:hAnsi="宋体" w:cs="宋体"/>
                <w:sz w:val="22"/>
              </w:rPr>
              <w:t>3.★产品具有内置规则，规则类型有SQL注入、账号安全、数据泄露和违规操作等，并可依据规则进行邮件告警（需提供截图证明及第三方检测报告证明）；</w:t>
            </w:r>
          </w:p>
          <w:p w14:paraId="3D3DEA7A">
            <w:pPr>
              <w:pStyle w:val="98"/>
              <w:ind w:firstLine="0" w:firstLineChars="0"/>
              <w:jc w:val="left"/>
              <w:rPr>
                <w:rFonts w:ascii="宋体" w:hAnsi="宋体" w:cs="宋体"/>
                <w:sz w:val="22"/>
              </w:rPr>
            </w:pPr>
            <w:r>
              <w:rPr>
                <w:rFonts w:hint="eastAsia" w:ascii="宋体" w:hAnsi="宋体" w:cs="宋体"/>
                <w:sz w:val="22"/>
              </w:rPr>
              <w:t>4.内置安全规则不少于900条，如SQL注入、缓冲区溢出等；</w:t>
            </w:r>
          </w:p>
          <w:p w14:paraId="50B0F966">
            <w:pPr>
              <w:pStyle w:val="98"/>
              <w:ind w:firstLine="0" w:firstLineChars="0"/>
              <w:jc w:val="left"/>
              <w:rPr>
                <w:rFonts w:ascii="宋体" w:hAnsi="宋体" w:cs="宋体"/>
                <w:sz w:val="22"/>
              </w:rPr>
            </w:pPr>
            <w:r>
              <w:rPr>
                <w:rFonts w:hint="eastAsia" w:ascii="宋体" w:hAnsi="宋体" w:cs="宋体"/>
                <w:sz w:val="22"/>
              </w:rPr>
              <w:t>5.★支持内置安全规则通过规则包进行单独升级（需提供截图证明及第三方检测报告证明）；</w:t>
            </w:r>
          </w:p>
          <w:p w14:paraId="35171AA0">
            <w:pPr>
              <w:pStyle w:val="98"/>
              <w:ind w:firstLine="0" w:firstLineChars="0"/>
              <w:jc w:val="left"/>
              <w:rPr>
                <w:rFonts w:ascii="宋体" w:hAnsi="宋体" w:cs="宋体"/>
                <w:sz w:val="22"/>
              </w:rPr>
            </w:pPr>
            <w:r>
              <w:rPr>
                <w:rFonts w:hint="eastAsia" w:ascii="宋体" w:hAnsi="宋体" w:cs="宋体"/>
                <w:sz w:val="22"/>
              </w:rPr>
              <w:t>6.支持信任规则，信任规则至少支持27个匹配条件；</w:t>
            </w:r>
          </w:p>
          <w:p w14:paraId="41659AA8">
            <w:pPr>
              <w:pStyle w:val="98"/>
              <w:ind w:firstLine="0" w:firstLineChars="0"/>
              <w:jc w:val="left"/>
              <w:rPr>
                <w:rFonts w:ascii="宋体" w:hAnsi="宋体" w:cs="宋体"/>
                <w:sz w:val="22"/>
              </w:rPr>
            </w:pPr>
            <w:r>
              <w:rPr>
                <w:rFonts w:hint="eastAsia" w:ascii="宋体" w:hAnsi="宋体" w:cs="宋体"/>
                <w:sz w:val="22"/>
              </w:rPr>
              <w:t>7.★可依据客户端工具名、数据库用户名、客户端IP、操作系统用户名、客户端主机名、数据库名、操作类型、服务器IP等配置行为模型，并可查看相应告警日志（需提供截图证明及第三方检测报告证明）；</w:t>
            </w:r>
          </w:p>
          <w:p w14:paraId="3787C0ED">
            <w:pPr>
              <w:pStyle w:val="98"/>
              <w:ind w:firstLine="0" w:firstLineChars="0"/>
              <w:jc w:val="left"/>
              <w:rPr>
                <w:rFonts w:ascii="宋体" w:hAnsi="宋体" w:cs="宋体"/>
                <w:sz w:val="22"/>
              </w:rPr>
            </w:pPr>
            <w:r>
              <w:rPr>
                <w:rFonts w:hint="eastAsia" w:ascii="宋体" w:hAnsi="宋体" w:cs="宋体"/>
                <w:sz w:val="22"/>
              </w:rPr>
              <w:t>8.可通过桑基图展示访问数据库的路径，路径包括数据库IP端口、数据库账号、操作类型、数据库/SID、表名等；</w:t>
            </w:r>
          </w:p>
          <w:p w14:paraId="147047A6">
            <w:pPr>
              <w:pStyle w:val="98"/>
              <w:ind w:firstLine="0" w:firstLineChars="0"/>
              <w:jc w:val="left"/>
              <w:rPr>
                <w:rFonts w:ascii="宋体" w:hAnsi="宋体" w:cs="宋体"/>
                <w:sz w:val="22"/>
              </w:rPr>
            </w:pPr>
            <w:r>
              <w:rPr>
                <w:rFonts w:hint="eastAsia" w:ascii="宋体" w:hAnsi="宋体" w:cs="宋体"/>
                <w:sz w:val="22"/>
              </w:rPr>
              <w:t>9.Agent支持设置CPU亲和性、最大资源使用率限制（CPU、内存）；</w:t>
            </w:r>
          </w:p>
          <w:p w14:paraId="2FC8F68B">
            <w:pPr>
              <w:pStyle w:val="98"/>
              <w:ind w:firstLine="0" w:firstLineChars="0"/>
              <w:jc w:val="left"/>
              <w:rPr>
                <w:rFonts w:ascii="宋体" w:hAnsi="宋体" w:cs="宋体"/>
                <w:sz w:val="22"/>
              </w:rPr>
            </w:pPr>
            <w:r>
              <w:rPr>
                <w:rFonts w:hint="eastAsia" w:ascii="宋体" w:hAnsi="宋体" w:cs="宋体"/>
                <w:sz w:val="22"/>
              </w:rPr>
              <w:t>10.★可监控Agent的转发速率，以及Agent所在数据库服务器的CPU、内存利用率，并可设置CPU、内存利用率的上限阈值，超阈值时Agent将自动停止转发数据（需提供截图证明及第三方检测报告证明）；</w:t>
            </w:r>
          </w:p>
          <w:p w14:paraId="22EDE862">
            <w:pPr>
              <w:pStyle w:val="98"/>
              <w:ind w:firstLine="0" w:firstLineChars="0"/>
              <w:jc w:val="left"/>
              <w:rPr>
                <w:rFonts w:ascii="宋体" w:hAnsi="宋体" w:cs="宋体"/>
                <w:sz w:val="22"/>
              </w:rPr>
            </w:pPr>
            <w:r>
              <w:rPr>
                <w:rFonts w:hint="eastAsia" w:ascii="宋体" w:hAnsi="宋体" w:cs="宋体"/>
                <w:sz w:val="22"/>
              </w:rPr>
              <w:t>11.★可提供客户端访问Web服务器的URL和应用服务器访问数据库的SQL语句关联功能（需提供截图证明及第三方检测报告证明）；</w:t>
            </w:r>
          </w:p>
        </w:tc>
      </w:tr>
    </w:tbl>
    <w:p w14:paraId="3A7580E0">
      <w:pPr>
        <w:pStyle w:val="98"/>
        <w:autoSpaceDE w:val="0"/>
        <w:autoSpaceDN w:val="0"/>
        <w:adjustRightInd w:val="0"/>
        <w:spacing w:line="440" w:lineRule="exact"/>
        <w:ind w:firstLine="449"/>
        <w:outlineLvl w:val="2"/>
        <w:rPr>
          <w:rFonts w:ascii="宋体" w:hAnsi="宋体" w:cs="宋体"/>
          <w:b/>
          <w:bCs/>
          <w:sz w:val="22"/>
          <w:szCs w:val="22"/>
        </w:rPr>
      </w:pPr>
    </w:p>
    <w:p w14:paraId="25D03339">
      <w:pPr>
        <w:keepNext/>
        <w:keepLines/>
        <w:numPr>
          <w:ilvl w:val="0"/>
          <w:numId w:val="18"/>
        </w:numPr>
        <w:spacing w:line="440" w:lineRule="exact"/>
        <w:outlineLvl w:val="0"/>
        <w:rPr>
          <w:rFonts w:ascii="宋体" w:hAnsi="宋体" w:cs="宋体"/>
          <w:b/>
          <w:bCs/>
          <w:sz w:val="22"/>
          <w:szCs w:val="22"/>
        </w:rPr>
      </w:pPr>
      <w:r>
        <w:rPr>
          <w:rFonts w:hint="eastAsia" w:ascii="宋体" w:hAnsi="宋体" w:cs="宋体"/>
          <w:b/>
          <w:bCs/>
          <w:sz w:val="22"/>
          <w:szCs w:val="22"/>
        </w:rPr>
        <w:t>其他服务</w:t>
      </w:r>
    </w:p>
    <w:p w14:paraId="761035F1">
      <w:pPr>
        <w:spacing w:line="440" w:lineRule="exact"/>
        <w:ind w:firstLine="440" w:firstLineChars="200"/>
        <w:rPr>
          <w:rFonts w:ascii="宋体" w:hAnsi="宋体" w:cs="宋体"/>
          <w:sz w:val="22"/>
          <w:szCs w:val="22"/>
          <w:lang w:val="zh-CN"/>
        </w:rPr>
      </w:pPr>
      <w:r>
        <w:rPr>
          <w:rFonts w:hint="eastAsia" w:ascii="宋体" w:hAnsi="宋体" w:cs="宋体"/>
          <w:sz w:val="22"/>
          <w:szCs w:val="22"/>
        </w:rPr>
        <w:t>1、支撑信息化项目建设。提供龙湾区信息化项目年度计划</w:t>
      </w:r>
      <w:r>
        <w:rPr>
          <w:rFonts w:hint="eastAsia" w:ascii="宋体" w:hAnsi="宋体" w:cs="宋体"/>
          <w:sz w:val="22"/>
          <w:szCs w:val="22"/>
          <w:lang w:eastAsia="zh-CN"/>
        </w:rPr>
        <w:t>制定</w:t>
      </w:r>
      <w:r>
        <w:rPr>
          <w:rFonts w:hint="eastAsia" w:ascii="宋体" w:hAnsi="宋体" w:cs="宋体"/>
          <w:sz w:val="22"/>
          <w:szCs w:val="22"/>
        </w:rPr>
        <w:t>和咨询；提供全区信息化项目业务场景设计与技术咨询；协助部门做好信息化项目数据相关工作，开发数据支撑组件，为核心业务、重点任务以及全域未来社区提供技术咨询；做好数据共享和数据开放的技术咨询。</w:t>
      </w:r>
    </w:p>
    <w:p w14:paraId="1CB2A87E">
      <w:pPr>
        <w:spacing w:line="440" w:lineRule="exact"/>
        <w:ind w:firstLine="440" w:firstLineChars="200"/>
        <w:rPr>
          <w:rFonts w:ascii="宋体" w:hAnsi="宋体" w:cs="宋体"/>
          <w:sz w:val="22"/>
          <w:szCs w:val="22"/>
          <w:lang w:val="zh-CN"/>
        </w:rPr>
      </w:pPr>
      <w:r>
        <w:rPr>
          <w:rFonts w:hint="eastAsia" w:ascii="宋体" w:hAnsi="宋体" w:cs="宋体"/>
          <w:sz w:val="22"/>
          <w:szCs w:val="22"/>
        </w:rPr>
        <w:t>2、业务培训。制定龙湾区大数据发展长期技术培训计划，培训方式包含线上培训、线下培训。</w:t>
      </w:r>
    </w:p>
    <w:p w14:paraId="7E1CBBE4">
      <w:pPr>
        <w:spacing w:line="440" w:lineRule="exact"/>
        <w:ind w:firstLine="440" w:firstLineChars="200"/>
        <w:rPr>
          <w:rFonts w:ascii="宋体" w:hAnsi="宋体" w:cs="宋体"/>
          <w:sz w:val="22"/>
          <w:szCs w:val="22"/>
          <w:lang w:val="zh-CN"/>
        </w:rPr>
      </w:pPr>
      <w:r>
        <w:rPr>
          <w:rFonts w:hint="eastAsia" w:ascii="宋体" w:hAnsi="宋体" w:cs="宋体"/>
          <w:sz w:val="22"/>
          <w:szCs w:val="22"/>
        </w:rPr>
        <w:t>3、信息收集。</w:t>
      </w:r>
      <w:r>
        <w:rPr>
          <w:rFonts w:hint="eastAsia" w:ascii="宋体" w:hAnsi="宋体" w:cs="宋体"/>
          <w:sz w:val="22"/>
          <w:szCs w:val="22"/>
          <w:lang w:val="zh-CN"/>
        </w:rPr>
        <w:t>及时收集省、市、县数字化改革</w:t>
      </w:r>
      <w:r>
        <w:rPr>
          <w:rFonts w:hint="eastAsia" w:ascii="宋体" w:hAnsi="宋体" w:cs="宋体"/>
          <w:sz w:val="22"/>
          <w:szCs w:val="22"/>
        </w:rPr>
        <w:t>和省内外</w:t>
      </w:r>
      <w:r>
        <w:rPr>
          <w:rFonts w:hint="eastAsia" w:ascii="宋体" w:hAnsi="宋体" w:cs="宋体"/>
          <w:sz w:val="22"/>
          <w:szCs w:val="22"/>
          <w:lang w:val="zh-CN"/>
        </w:rPr>
        <w:t>好的信息、做法和试点、揭榜挂帅信息等资源，供部门学习借鉴和决策。收集的材料具有参考意义，以便掌握最新的动态。</w:t>
      </w:r>
    </w:p>
    <w:p w14:paraId="575107ED">
      <w:pPr>
        <w:spacing w:line="440" w:lineRule="exact"/>
        <w:ind w:firstLine="440" w:firstLineChars="200"/>
        <w:rPr>
          <w:rFonts w:ascii="宋体" w:hAnsi="宋体" w:cs="宋体"/>
          <w:sz w:val="22"/>
          <w:szCs w:val="22"/>
        </w:rPr>
      </w:pPr>
      <w:r>
        <w:rPr>
          <w:rFonts w:hint="eastAsia" w:ascii="宋体" w:hAnsi="宋体" w:cs="宋体"/>
          <w:sz w:val="22"/>
          <w:szCs w:val="22"/>
        </w:rPr>
        <w:t>4、工作调研。每年开展不少于3次的专题调研，形成调研报告。对日常工作实行总结提炼，形成信息报送。</w:t>
      </w:r>
    </w:p>
    <w:p w14:paraId="43A2D71B">
      <w:pPr>
        <w:spacing w:line="440" w:lineRule="exact"/>
        <w:ind w:firstLine="440" w:firstLineChars="200"/>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w:t>
      </w:r>
      <w:r>
        <w:rPr>
          <w:rFonts w:hint="eastAsia" w:ascii="宋体" w:hAnsi="宋体" w:cs="宋体"/>
          <w:sz w:val="22"/>
          <w:szCs w:val="22"/>
        </w:rPr>
        <w:t>场景策划。聚焦群众高频事项、企业共性需求、体制机制障碍、未来场景创新等方面，梳理改革重大需求清单；围绕解决重大需求，聚焦六大领域，以全区现有应用场景为基础，从省市大场景的视角梳理小切口子场景，形成多跨场景清单；围绕多跨场景涉及的制度重塑，梳理改革任务清单。</w:t>
      </w:r>
    </w:p>
    <w:p w14:paraId="70724F72">
      <w:pPr>
        <w:spacing w:line="440" w:lineRule="exact"/>
        <w:jc w:val="left"/>
        <w:rPr>
          <w:rFonts w:ascii="宋体" w:hAnsi="宋体" w:cs="宋体"/>
          <w:b/>
          <w:sz w:val="22"/>
          <w:szCs w:val="22"/>
        </w:rPr>
      </w:pPr>
      <w:r>
        <w:rPr>
          <w:rFonts w:hint="eastAsia" w:ascii="宋体" w:hAnsi="宋体" w:cs="宋体"/>
          <w:b/>
          <w:bCs/>
          <w:sz w:val="22"/>
          <w:szCs w:val="22"/>
        </w:rPr>
        <w:t>三、</w:t>
      </w:r>
      <w:r>
        <w:rPr>
          <w:rFonts w:hint="eastAsia" w:ascii="宋体" w:hAnsi="宋体" w:cs="宋体"/>
          <w:b/>
          <w:sz w:val="22"/>
          <w:szCs w:val="22"/>
        </w:rPr>
        <w:t>组织架构与人员配置</w:t>
      </w:r>
    </w:p>
    <w:p w14:paraId="7E459559">
      <w:pPr>
        <w:tabs>
          <w:tab w:val="left" w:pos="360"/>
        </w:tabs>
        <w:spacing w:line="440" w:lineRule="exact"/>
        <w:ind w:firstLine="552" w:firstLineChars="250"/>
        <w:rPr>
          <w:rFonts w:ascii="宋体" w:hAnsi="宋体" w:cs="宋体"/>
          <w:b/>
          <w:sz w:val="22"/>
          <w:szCs w:val="22"/>
        </w:rPr>
      </w:pPr>
      <w:r>
        <w:rPr>
          <w:rFonts w:hint="eastAsia" w:ascii="宋体" w:hAnsi="宋体" w:cs="宋体"/>
          <w:b/>
          <w:sz w:val="22"/>
          <w:szCs w:val="22"/>
        </w:rPr>
        <w:t>1</w:t>
      </w:r>
      <w:r>
        <w:rPr>
          <w:rFonts w:hint="eastAsia" w:ascii="宋体" w:hAnsi="宋体" w:cs="宋体"/>
          <w:b/>
          <w:sz w:val="22"/>
          <w:szCs w:val="22"/>
          <w:lang w:val="zh-CN"/>
        </w:rPr>
        <w:t>、</w:t>
      </w:r>
      <w:r>
        <w:rPr>
          <w:rFonts w:hint="eastAsia" w:ascii="宋体" w:hAnsi="宋体" w:cs="宋体"/>
          <w:b/>
          <w:sz w:val="22"/>
          <w:szCs w:val="22"/>
          <w:u w:val="single"/>
        </w:rPr>
        <w:t>▲</w:t>
      </w:r>
      <w:r>
        <w:rPr>
          <w:rFonts w:hint="eastAsia" w:ascii="宋体" w:hAnsi="宋体"/>
          <w:b/>
          <w:bCs/>
          <w:sz w:val="22"/>
          <w:szCs w:val="22"/>
          <w:u w:val="single"/>
          <w:lang w:val="en-US" w:eastAsia="zh-CN"/>
        </w:rPr>
        <w:t>由于公共数据性质特殊，</w:t>
      </w:r>
      <w:r>
        <w:rPr>
          <w:rFonts w:hint="eastAsia" w:ascii="宋体" w:hAnsi="宋体" w:cs="宋体"/>
          <w:b/>
          <w:sz w:val="22"/>
          <w:szCs w:val="22"/>
          <w:u w:val="single"/>
          <w:lang w:val="zh-CN"/>
        </w:rPr>
        <w:t>为</w:t>
      </w:r>
      <w:r>
        <w:rPr>
          <w:rFonts w:hint="eastAsia" w:ascii="宋体" w:hAnsi="宋体" w:cs="宋体"/>
          <w:b/>
          <w:sz w:val="22"/>
          <w:szCs w:val="22"/>
          <w:u w:val="single"/>
          <w:lang w:val="en-US" w:eastAsia="zh-CN"/>
        </w:rPr>
        <w:t>保障数据安全和</w:t>
      </w:r>
      <w:r>
        <w:rPr>
          <w:rFonts w:hint="eastAsia" w:ascii="宋体" w:hAnsi="宋体" w:cs="宋体"/>
          <w:b/>
          <w:sz w:val="22"/>
          <w:szCs w:val="22"/>
          <w:u w:val="single"/>
          <w:lang w:val="zh-CN"/>
        </w:rPr>
        <w:t>服务</w:t>
      </w:r>
      <w:r>
        <w:rPr>
          <w:rFonts w:hint="eastAsia" w:ascii="宋体" w:hAnsi="宋体" w:cs="宋体"/>
          <w:b/>
          <w:sz w:val="22"/>
          <w:szCs w:val="22"/>
          <w:u w:val="single"/>
          <w:lang w:val="en-US" w:eastAsia="zh-CN"/>
        </w:rPr>
        <w:t>质量</w:t>
      </w:r>
      <w:r>
        <w:rPr>
          <w:rFonts w:hint="eastAsia" w:ascii="宋体" w:hAnsi="宋体" w:cs="宋体"/>
          <w:b/>
          <w:sz w:val="22"/>
          <w:szCs w:val="22"/>
          <w:u w:val="single"/>
          <w:lang w:val="zh-CN"/>
        </w:rPr>
        <w:t>，</w:t>
      </w:r>
      <w:r>
        <w:rPr>
          <w:rFonts w:hint="eastAsia" w:ascii="宋体" w:hAnsi="宋体" w:cs="宋体"/>
          <w:b/>
          <w:sz w:val="22"/>
          <w:szCs w:val="22"/>
          <w:u w:val="single"/>
        </w:rPr>
        <w:t>中标商需提供</w:t>
      </w:r>
      <w:r>
        <w:rPr>
          <w:rFonts w:hint="eastAsia" w:ascii="宋体" w:hAnsi="宋体"/>
          <w:b/>
          <w:bCs/>
          <w:sz w:val="22"/>
          <w:szCs w:val="22"/>
          <w:u w:val="single"/>
          <w:lang w:val="en-US" w:eastAsia="zh-CN"/>
        </w:rPr>
        <w:t>现场</w:t>
      </w:r>
      <w:r>
        <w:rPr>
          <w:rFonts w:hint="eastAsia" w:ascii="宋体" w:hAnsi="宋体"/>
          <w:b/>
          <w:bCs/>
          <w:sz w:val="22"/>
          <w:szCs w:val="22"/>
          <w:u w:val="single"/>
          <w:lang w:eastAsia="zh-CN"/>
        </w:rPr>
        <w:t>服务</w:t>
      </w:r>
      <w:r>
        <w:rPr>
          <w:rFonts w:hint="eastAsia" w:ascii="宋体" w:hAnsi="宋体"/>
          <w:b/>
          <w:bCs/>
          <w:sz w:val="22"/>
          <w:szCs w:val="22"/>
          <w:u w:val="single"/>
          <w:lang w:val="en-US" w:eastAsia="zh-CN"/>
        </w:rPr>
        <w:t>，根据服务内容评估，现场服务团队不得少于4人</w:t>
      </w:r>
      <w:r>
        <w:rPr>
          <w:rFonts w:hint="eastAsia" w:ascii="宋体" w:hAnsi="宋体"/>
          <w:b/>
          <w:bCs/>
          <w:sz w:val="22"/>
          <w:szCs w:val="22"/>
          <w:u w:val="single"/>
          <w:lang w:eastAsia="zh-CN"/>
        </w:rPr>
        <w:t>。特殊时期（如重保期间，重大活动等采购方要求的时间）根据实际</w:t>
      </w:r>
      <w:r>
        <w:rPr>
          <w:rFonts w:hint="eastAsia" w:ascii="宋体" w:hAnsi="宋体"/>
          <w:b/>
          <w:bCs/>
          <w:sz w:val="22"/>
          <w:szCs w:val="22"/>
          <w:u w:val="single"/>
          <w:lang w:val="en-US" w:eastAsia="zh-CN"/>
        </w:rPr>
        <w:t>需求无条件增派现场服务</w:t>
      </w:r>
      <w:r>
        <w:rPr>
          <w:rFonts w:hint="eastAsia" w:ascii="宋体" w:hAnsi="宋体"/>
          <w:b/>
          <w:bCs/>
          <w:sz w:val="22"/>
          <w:szCs w:val="22"/>
          <w:u w:val="single"/>
          <w:lang w:eastAsia="zh-CN"/>
        </w:rPr>
        <w:t>人员</w:t>
      </w:r>
      <w:r>
        <w:rPr>
          <w:rFonts w:hint="eastAsia" w:ascii="宋体" w:hAnsi="宋体" w:cs="宋体"/>
          <w:b/>
          <w:sz w:val="22"/>
          <w:szCs w:val="22"/>
          <w:u w:val="single"/>
        </w:rPr>
        <w:t>。服务团队成员负责IRS统筹与应用管理、数据编目管理、数据归集共享开放、数据资源体系规划、数据治理、数据分析、数据安全建设管理、基础设施管理、数据资产入表、数据要素×创新等工作</w:t>
      </w:r>
      <w:r>
        <w:rPr>
          <w:rFonts w:hint="eastAsia" w:ascii="宋体" w:hAnsi="宋体" w:cs="宋体"/>
          <w:b/>
          <w:sz w:val="22"/>
          <w:szCs w:val="22"/>
        </w:rPr>
        <w:t>。具体分工，可由采购方根据工作实际进行调整。</w:t>
      </w:r>
    </w:p>
    <w:p w14:paraId="60C50529">
      <w:pPr>
        <w:pStyle w:val="23"/>
        <w:spacing w:after="0" w:line="440" w:lineRule="exact"/>
        <w:ind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b/>
          <w:sz w:val="22"/>
          <w:szCs w:val="22"/>
        </w:rPr>
        <w:t>中标商需提供</w:t>
      </w:r>
      <w:r>
        <w:rPr>
          <w:rFonts w:hint="eastAsia" w:ascii="宋体" w:hAnsi="宋体" w:cs="宋体"/>
          <w:b/>
          <w:sz w:val="22"/>
          <w:szCs w:val="22"/>
          <w:lang w:eastAsia="zh-CN"/>
        </w:rPr>
        <w:t>服务团队</w:t>
      </w:r>
      <w:r>
        <w:rPr>
          <w:rFonts w:hint="eastAsia" w:ascii="宋体" w:hAnsi="宋体" w:cs="宋体"/>
          <w:sz w:val="22"/>
          <w:szCs w:val="22"/>
        </w:rPr>
        <w:t>负责协调处理各类有关业务。有良好的计算机基础，编码和数据分析经验的。有数据库的运维经验，熟悉常见的故障场景以及处理方案，熟悉linux参数调优，熟悉mysql能对sql进行一定的调优。熟悉常见数据安全风险、数据保护技术、数据生命周期管理标准及规范。熟悉数据安全的核心产品构成和运作机制，熟悉数据库审计、数据库防火墙、加密、脱敏等数据安全产品。</w:t>
      </w:r>
      <w:r>
        <w:rPr>
          <w:rFonts w:hint="eastAsia" w:ascii="宋体" w:hAnsi="宋体" w:cs="宋体"/>
          <w:sz w:val="22"/>
          <w:szCs w:val="22"/>
          <w:lang w:val="zh-CN"/>
        </w:rPr>
        <w:t>具备独立完成相关配置、调试等工作的能力，对技术、故障问题有一定的分析能力和解决能力，拥有良好服务意识及协助精神。</w:t>
      </w:r>
      <w:r>
        <w:rPr>
          <w:rFonts w:hint="eastAsia" w:ascii="宋体" w:hAnsi="宋体" w:cs="宋体"/>
          <w:sz w:val="22"/>
          <w:szCs w:val="22"/>
        </w:rPr>
        <w:t>参与龙湾区级财政投资建设信息化项目的数据安全评估研判工作。</w:t>
      </w:r>
    </w:p>
    <w:p w14:paraId="35709078">
      <w:pPr>
        <w:spacing w:line="440" w:lineRule="exact"/>
        <w:rPr>
          <w:rFonts w:ascii="宋体" w:hAnsi="宋体" w:cs="宋体"/>
          <w:b/>
          <w:bCs/>
          <w:sz w:val="22"/>
          <w:szCs w:val="22"/>
        </w:rPr>
      </w:pPr>
      <w:r>
        <w:rPr>
          <w:rFonts w:hint="eastAsia" w:ascii="宋体" w:hAnsi="宋体" w:cs="宋体"/>
          <w:b/>
          <w:bCs/>
          <w:sz w:val="22"/>
          <w:szCs w:val="22"/>
        </w:rPr>
        <w:t>四、其他要求：</w:t>
      </w:r>
    </w:p>
    <w:p w14:paraId="06B94892">
      <w:pPr>
        <w:spacing w:line="440" w:lineRule="exact"/>
        <w:ind w:firstLine="440" w:firstLineChars="200"/>
        <w:rPr>
          <w:rFonts w:ascii="宋体" w:hAnsi="宋体" w:cs="宋体"/>
          <w:sz w:val="22"/>
          <w:szCs w:val="22"/>
        </w:rPr>
      </w:pPr>
      <w:r>
        <w:rPr>
          <w:rFonts w:hint="eastAsia" w:ascii="宋体" w:hAnsi="宋体" w:cs="宋体"/>
          <w:sz w:val="22"/>
          <w:szCs w:val="22"/>
          <w:lang w:val="zh-CN"/>
        </w:rPr>
        <w:t>1、</w:t>
      </w:r>
      <w:r>
        <w:rPr>
          <w:rFonts w:hint="eastAsia" w:ascii="宋体" w:hAnsi="宋体" w:cs="宋体"/>
          <w:sz w:val="22"/>
          <w:szCs w:val="22"/>
          <w:lang w:eastAsia="zh-CN"/>
        </w:rPr>
        <w:t>服务团队</w:t>
      </w:r>
      <w:r>
        <w:rPr>
          <w:rFonts w:hint="eastAsia" w:ascii="宋体" w:hAnsi="宋体" w:cs="宋体"/>
          <w:sz w:val="22"/>
          <w:szCs w:val="22"/>
          <w:lang w:val="zh-CN"/>
        </w:rPr>
        <w:t>承担龙</w:t>
      </w:r>
      <w:r>
        <w:rPr>
          <w:rFonts w:hint="eastAsia" w:ascii="宋体" w:hAnsi="宋体" w:cs="宋体"/>
          <w:sz w:val="22"/>
          <w:szCs w:val="22"/>
        </w:rPr>
        <w:t>湾区</w:t>
      </w:r>
      <w:r>
        <w:rPr>
          <w:rFonts w:hint="eastAsia" w:ascii="宋体" w:hAnsi="宋体" w:cs="宋体"/>
          <w:sz w:val="22"/>
          <w:szCs w:val="22"/>
          <w:lang w:val="zh-CN"/>
        </w:rPr>
        <w:t>数字</w:t>
      </w:r>
      <w:r>
        <w:rPr>
          <w:rFonts w:hint="eastAsia" w:ascii="宋体" w:hAnsi="宋体" w:cs="宋体"/>
          <w:sz w:val="22"/>
          <w:szCs w:val="22"/>
          <w:lang w:val="en-US" w:eastAsia="zh-CN"/>
        </w:rPr>
        <w:t>政府建设和数字经济发展</w:t>
      </w:r>
      <w:r>
        <w:rPr>
          <w:rFonts w:hint="eastAsia" w:ascii="宋体" w:hAnsi="宋体" w:cs="宋体"/>
          <w:sz w:val="22"/>
          <w:szCs w:val="22"/>
          <w:lang w:val="zh-CN"/>
        </w:rPr>
        <w:t>重点任务建设的规划和管理等任务，团队成员应具备良好的职业素养、职业技能和一定的抗压能力。</w:t>
      </w:r>
    </w:p>
    <w:p w14:paraId="5251D5A2">
      <w:pPr>
        <w:spacing w:line="440" w:lineRule="exact"/>
        <w:ind w:firstLine="440" w:firstLineChars="200"/>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lang w:eastAsia="zh-CN"/>
        </w:rPr>
        <w:t>服务团队</w:t>
      </w:r>
      <w:r>
        <w:rPr>
          <w:rFonts w:hint="eastAsia" w:ascii="宋体" w:hAnsi="宋体" w:cs="宋体"/>
          <w:sz w:val="22"/>
          <w:szCs w:val="22"/>
          <w:lang w:val="zh-CN"/>
        </w:rPr>
        <w:t>作为龙</w:t>
      </w:r>
      <w:r>
        <w:rPr>
          <w:rFonts w:hint="eastAsia" w:ascii="宋体" w:hAnsi="宋体" w:cs="宋体"/>
          <w:sz w:val="22"/>
          <w:szCs w:val="22"/>
        </w:rPr>
        <w:t>湾区</w:t>
      </w:r>
      <w:r>
        <w:rPr>
          <w:rFonts w:hint="eastAsia" w:ascii="宋体" w:hAnsi="宋体" w:cs="宋体"/>
          <w:sz w:val="22"/>
          <w:szCs w:val="22"/>
          <w:lang w:val="zh-CN"/>
        </w:rPr>
        <w:t>数字化专业支撑团队，团队成员应保证在本服务项目中的工作</w:t>
      </w:r>
      <w:r>
        <w:rPr>
          <w:rFonts w:hint="eastAsia" w:ascii="宋体" w:hAnsi="宋体" w:cs="宋体"/>
          <w:sz w:val="22"/>
          <w:szCs w:val="22"/>
        </w:rPr>
        <w:t>质量和</w:t>
      </w:r>
      <w:r>
        <w:rPr>
          <w:rFonts w:hint="eastAsia" w:ascii="宋体" w:hAnsi="宋体" w:cs="宋体"/>
          <w:sz w:val="22"/>
          <w:szCs w:val="22"/>
          <w:lang w:val="zh-CN"/>
        </w:rPr>
        <w:t>时间。</w:t>
      </w:r>
    </w:p>
    <w:p w14:paraId="6C95CCE6">
      <w:pPr>
        <w:spacing w:line="440" w:lineRule="exact"/>
        <w:ind w:firstLine="440" w:firstLineChars="200"/>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w:t>
      </w:r>
      <w:r>
        <w:rPr>
          <w:rFonts w:hint="eastAsia" w:ascii="宋体" w:hAnsi="宋体" w:cs="宋体"/>
          <w:sz w:val="22"/>
          <w:szCs w:val="22"/>
          <w:lang w:eastAsia="zh-CN"/>
        </w:rPr>
        <w:t>服务团队</w:t>
      </w:r>
      <w:r>
        <w:rPr>
          <w:rFonts w:hint="eastAsia" w:ascii="宋体" w:hAnsi="宋体" w:cs="宋体"/>
          <w:sz w:val="22"/>
          <w:szCs w:val="22"/>
          <w:lang w:val="zh-CN"/>
        </w:rPr>
        <w:t>应保证人员稳定。团队成员未经采购人许可不得更换。如有人员更换，应提供具备同等资历和能力的人员，报采购人审批后方允许更换，同时要做好相关工作的交接。</w:t>
      </w:r>
    </w:p>
    <w:p w14:paraId="7976C593">
      <w:pPr>
        <w:spacing w:line="440" w:lineRule="exact"/>
        <w:ind w:firstLine="440" w:firstLineChars="200"/>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w:t>
      </w:r>
      <w:r>
        <w:rPr>
          <w:rFonts w:hint="eastAsia" w:ascii="宋体" w:hAnsi="宋体" w:cs="宋体"/>
          <w:sz w:val="22"/>
          <w:szCs w:val="22"/>
          <w:lang w:eastAsia="zh-CN"/>
        </w:rPr>
        <w:t>服务团队</w:t>
      </w:r>
      <w:r>
        <w:rPr>
          <w:rFonts w:hint="eastAsia" w:ascii="宋体" w:hAnsi="宋体" w:cs="宋体"/>
          <w:sz w:val="22"/>
          <w:szCs w:val="22"/>
        </w:rPr>
        <w:t>应</w:t>
      </w:r>
      <w:r>
        <w:rPr>
          <w:rFonts w:hint="eastAsia" w:ascii="宋体" w:hAnsi="宋体" w:cs="宋体"/>
          <w:sz w:val="22"/>
          <w:szCs w:val="22"/>
          <w:lang w:val="zh-CN"/>
        </w:rPr>
        <w:t>遵守国家相关法律规定和职业道德，</w:t>
      </w:r>
      <w:r>
        <w:rPr>
          <w:rFonts w:hint="eastAsia" w:ascii="宋体" w:hAnsi="宋体" w:cs="宋体"/>
          <w:sz w:val="22"/>
          <w:szCs w:val="22"/>
        </w:rPr>
        <w:t>遵守工作纪律，</w:t>
      </w:r>
      <w:r>
        <w:rPr>
          <w:rFonts w:hint="eastAsia" w:ascii="宋体" w:hAnsi="宋体" w:cs="宋体"/>
          <w:sz w:val="22"/>
          <w:szCs w:val="22"/>
          <w:lang w:val="zh-CN"/>
        </w:rPr>
        <w:t>团队内部应建立相关安全、保密制度；对工作中接触到的项目信息，系统数据等，应予以保密。如有违反，将按照相关法律规定和合同约定进行处罚。团队成员在信息化项目的相关流程操作中，应保持中立原则，不得偏向相关利益方。如有违反，将对个人或团队进行处罚。</w:t>
      </w:r>
    </w:p>
    <w:p w14:paraId="0317029F">
      <w:pPr>
        <w:spacing w:line="440" w:lineRule="exact"/>
        <w:ind w:firstLine="440" w:firstLineChars="200"/>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w:t>
      </w:r>
      <w:r>
        <w:rPr>
          <w:rFonts w:hint="eastAsia" w:ascii="宋体" w:hAnsi="宋体" w:cs="宋体"/>
          <w:sz w:val="22"/>
          <w:szCs w:val="22"/>
          <w:lang w:eastAsia="zh-CN"/>
        </w:rPr>
        <w:t>服务团队</w:t>
      </w:r>
      <w:r>
        <w:rPr>
          <w:rFonts w:hint="eastAsia" w:ascii="宋体" w:hAnsi="宋体" w:cs="宋体"/>
          <w:sz w:val="22"/>
          <w:szCs w:val="22"/>
          <w:lang w:val="zh-CN"/>
        </w:rPr>
        <w:t>在业务上由采购人管理，团队应指定专人配合采购人做好团队的绩效管理；团队应定期提交阶段工作总结报告和绩效自评，对信息化管理团队及个人在参与龙</w:t>
      </w:r>
      <w:r>
        <w:rPr>
          <w:rFonts w:hint="eastAsia" w:ascii="宋体" w:hAnsi="宋体" w:cs="宋体"/>
          <w:sz w:val="22"/>
          <w:szCs w:val="22"/>
        </w:rPr>
        <w:t>湾区</w:t>
      </w:r>
      <w:r>
        <w:rPr>
          <w:rFonts w:hint="eastAsia" w:ascii="宋体" w:hAnsi="宋体" w:cs="宋体"/>
          <w:sz w:val="22"/>
          <w:szCs w:val="22"/>
          <w:lang w:val="zh-CN"/>
        </w:rPr>
        <w:t>信息化规划、管理、支撑的过程中，在进度控制、服务态度、工作水平等方面进行评价。采购人对供应商团队及个人提出的绩效提升建议或整改要求，应及时予以反馈。</w:t>
      </w:r>
    </w:p>
    <w:p w14:paraId="7631F9E2">
      <w:pPr>
        <w:spacing w:line="440" w:lineRule="exact"/>
        <w:ind w:firstLine="440" w:firstLineChars="200"/>
        <w:rPr>
          <w:rFonts w:ascii="宋体" w:hAnsi="宋体" w:cs="宋体"/>
          <w:sz w:val="22"/>
          <w:szCs w:val="22"/>
        </w:rPr>
      </w:pPr>
      <w:r>
        <w:rPr>
          <w:rFonts w:hint="eastAsia" w:ascii="宋体" w:hAnsi="宋体" w:cs="宋体"/>
          <w:sz w:val="22"/>
          <w:szCs w:val="22"/>
        </w:rPr>
        <w:t>6</w:t>
      </w:r>
      <w:r>
        <w:rPr>
          <w:rFonts w:hint="eastAsia" w:ascii="宋体" w:hAnsi="宋体" w:cs="宋体"/>
          <w:b/>
          <w:sz w:val="22"/>
          <w:szCs w:val="22"/>
          <w:lang w:val="zh-CN"/>
        </w:rPr>
        <w:t>、</w:t>
      </w:r>
      <w:r>
        <w:rPr>
          <w:rFonts w:hint="eastAsia" w:ascii="宋体" w:hAnsi="宋体" w:cs="宋体"/>
          <w:sz w:val="22"/>
          <w:szCs w:val="22"/>
        </w:rPr>
        <w:t>中标人必须接受采购人的质量监督检查，提供真实有效的相关质量活动记录、证据，无条件接受采购人提出的质量问题整改要求，承担质量责任及因质量问题导致的进度延迟责任。</w:t>
      </w:r>
    </w:p>
    <w:p w14:paraId="53840475">
      <w:pPr>
        <w:spacing w:line="440" w:lineRule="exact"/>
        <w:ind w:firstLine="440" w:firstLineChars="200"/>
        <w:rPr>
          <w:rFonts w:ascii="宋体" w:hAnsi="宋体" w:cs="宋体"/>
          <w:sz w:val="22"/>
          <w:szCs w:val="22"/>
        </w:rPr>
      </w:pPr>
      <w:r>
        <w:rPr>
          <w:rFonts w:hint="eastAsia" w:ascii="宋体" w:hAnsi="宋体" w:cs="宋体"/>
          <w:sz w:val="22"/>
          <w:szCs w:val="22"/>
        </w:rPr>
        <w:t>7、中标方需为</w:t>
      </w:r>
      <w:r>
        <w:rPr>
          <w:rFonts w:hint="eastAsia" w:ascii="宋体" w:hAnsi="宋体" w:cs="宋体"/>
          <w:sz w:val="22"/>
          <w:szCs w:val="22"/>
          <w:lang w:eastAsia="zh-CN"/>
        </w:rPr>
        <w:t>服务团队</w:t>
      </w:r>
      <w:r>
        <w:rPr>
          <w:rFonts w:hint="eastAsia" w:ascii="宋体" w:hAnsi="宋体" w:cs="宋体"/>
          <w:sz w:val="22"/>
          <w:szCs w:val="22"/>
        </w:rPr>
        <w:t>提供电脑等办公环境和设备，必要情况下要根据采购人要求到指定地点办公。</w:t>
      </w:r>
    </w:p>
    <w:p w14:paraId="60FCB1A0">
      <w:pPr>
        <w:keepNext/>
        <w:keepLines/>
        <w:spacing w:line="440" w:lineRule="exact"/>
        <w:outlineLvl w:val="0"/>
        <w:rPr>
          <w:rFonts w:ascii="宋体" w:hAnsi="宋体" w:cs="宋体"/>
          <w:b/>
          <w:sz w:val="22"/>
          <w:szCs w:val="22"/>
        </w:rPr>
      </w:pPr>
      <w:r>
        <w:rPr>
          <w:rFonts w:hint="eastAsia" w:ascii="宋体" w:hAnsi="宋体" w:cs="宋体"/>
          <w:b/>
          <w:sz w:val="22"/>
          <w:szCs w:val="22"/>
        </w:rPr>
        <w:t>五、考核说明</w:t>
      </w:r>
    </w:p>
    <w:p w14:paraId="163F43CC">
      <w:pPr>
        <w:spacing w:line="440" w:lineRule="exact"/>
        <w:ind w:firstLine="440" w:firstLineChars="200"/>
        <w:rPr>
          <w:rFonts w:ascii="宋体" w:hAnsi="宋体" w:cs="宋体"/>
          <w:sz w:val="22"/>
          <w:szCs w:val="22"/>
        </w:rPr>
      </w:pPr>
      <w:r>
        <w:rPr>
          <w:rFonts w:hint="eastAsia" w:ascii="宋体" w:hAnsi="宋体" w:cs="宋体"/>
          <w:sz w:val="22"/>
          <w:szCs w:val="22"/>
        </w:rPr>
        <w:t>本项目的考核分为日常工作和具体贡献，必须包括以下方面：投标人应提供考核具体方案，中标后双方再结合方案调整。</w:t>
      </w:r>
    </w:p>
    <w:p w14:paraId="1810A073">
      <w:pPr>
        <w:spacing w:line="440" w:lineRule="exact"/>
        <w:ind w:firstLine="440" w:firstLineChars="200"/>
        <w:rPr>
          <w:rFonts w:ascii="宋体" w:hAnsi="宋体" w:cs="宋体"/>
          <w:sz w:val="22"/>
          <w:szCs w:val="22"/>
        </w:rPr>
      </w:pPr>
      <w:r>
        <w:rPr>
          <w:rFonts w:hint="eastAsia" w:ascii="宋体" w:hAnsi="宋体" w:cs="宋体"/>
          <w:sz w:val="22"/>
          <w:szCs w:val="22"/>
        </w:rPr>
        <w:t>1、日常工作考核组成：</w:t>
      </w:r>
    </w:p>
    <w:p w14:paraId="476A7D35">
      <w:pPr>
        <w:pStyle w:val="354"/>
        <w:tabs>
          <w:tab w:val="left" w:pos="851"/>
        </w:tabs>
        <w:adjustRightInd w:val="0"/>
        <w:spacing w:line="440" w:lineRule="exact"/>
        <w:ind w:right="210" w:rightChars="100" w:firstLine="440"/>
        <w:rPr>
          <w:rFonts w:ascii="宋体" w:hAnsi="宋体" w:eastAsia="宋体" w:cs="宋体"/>
          <w:sz w:val="22"/>
          <w:szCs w:val="22"/>
        </w:rPr>
      </w:pPr>
      <w:r>
        <w:rPr>
          <w:rFonts w:hint="eastAsia" w:ascii="宋体" w:hAnsi="宋体" w:eastAsia="宋体" w:cs="宋体"/>
          <w:sz w:val="22"/>
          <w:szCs w:val="22"/>
        </w:rPr>
        <w:t>1）人员考核（30分）。</w:t>
      </w:r>
      <w:r>
        <w:rPr>
          <w:rFonts w:hint="eastAsia" w:ascii="宋体" w:hAnsi="宋体" w:eastAsia="宋体" w:cs="宋体"/>
          <w:sz w:val="22"/>
          <w:szCs w:val="22"/>
          <w:lang w:val="en-US" w:eastAsia="zh-CN"/>
        </w:rPr>
        <w:t>服务团队</w:t>
      </w:r>
      <w:r>
        <w:rPr>
          <w:rFonts w:hint="eastAsia" w:ascii="宋体" w:hAnsi="宋体" w:eastAsia="宋体" w:cs="宋体"/>
          <w:sz w:val="22"/>
          <w:szCs w:val="22"/>
        </w:rPr>
        <w:t>人员配备应严格按照方案要求配备，对技术能力水平、工作态度、到岗考勤等达不到要求的人员，业主单位有权要求更换同等资质人员，参考区大数据管理中心工作人员考勤要求。</w:t>
      </w:r>
    </w:p>
    <w:p w14:paraId="4D3F9E7B">
      <w:pPr>
        <w:pStyle w:val="354"/>
        <w:tabs>
          <w:tab w:val="left" w:pos="851"/>
        </w:tabs>
        <w:adjustRightInd w:val="0"/>
        <w:spacing w:line="440" w:lineRule="exact"/>
        <w:ind w:right="210" w:rightChars="100" w:firstLine="440"/>
        <w:rPr>
          <w:rFonts w:ascii="宋体" w:hAnsi="宋体" w:eastAsia="宋体" w:cs="宋体"/>
          <w:sz w:val="22"/>
          <w:szCs w:val="22"/>
        </w:rPr>
      </w:pPr>
      <w:r>
        <w:rPr>
          <w:rFonts w:hint="eastAsia" w:ascii="宋体" w:hAnsi="宋体" w:eastAsia="宋体" w:cs="宋体"/>
          <w:sz w:val="22"/>
          <w:szCs w:val="22"/>
        </w:rPr>
        <w:t>2）日常工作考核（40分）。</w:t>
      </w:r>
      <w:r>
        <w:rPr>
          <w:rFonts w:hint="eastAsia" w:ascii="宋体" w:hAnsi="宋体" w:eastAsia="宋体" w:cs="宋体"/>
          <w:sz w:val="22"/>
          <w:szCs w:val="22"/>
          <w:lang w:val="en-US" w:eastAsia="zh-CN"/>
        </w:rPr>
        <w:t>服务团队</w:t>
      </w:r>
      <w:r>
        <w:rPr>
          <w:rFonts w:hint="eastAsia" w:ascii="宋体" w:hAnsi="宋体" w:eastAsia="宋体" w:cs="宋体"/>
          <w:sz w:val="22"/>
          <w:szCs w:val="22"/>
        </w:rPr>
        <w:t>完成日常工作的情况。</w:t>
      </w:r>
    </w:p>
    <w:p w14:paraId="2C85FFAC">
      <w:pPr>
        <w:pStyle w:val="354"/>
        <w:tabs>
          <w:tab w:val="left" w:pos="851"/>
        </w:tabs>
        <w:adjustRightInd w:val="0"/>
        <w:spacing w:line="440" w:lineRule="exact"/>
        <w:ind w:right="210" w:rightChars="100" w:firstLine="440"/>
        <w:rPr>
          <w:rFonts w:ascii="宋体" w:hAnsi="宋体" w:eastAsia="宋体" w:cs="宋体"/>
          <w:sz w:val="22"/>
          <w:szCs w:val="22"/>
        </w:rPr>
      </w:pPr>
      <w:r>
        <w:rPr>
          <w:rFonts w:hint="eastAsia" w:ascii="宋体" w:hAnsi="宋体" w:eastAsia="宋体" w:cs="宋体"/>
          <w:sz w:val="22"/>
          <w:szCs w:val="22"/>
        </w:rPr>
        <w:t>2、贡献考核内容</w:t>
      </w:r>
    </w:p>
    <w:p w14:paraId="657D5AD9">
      <w:pPr>
        <w:pStyle w:val="98"/>
        <w:spacing w:line="440" w:lineRule="exact"/>
        <w:ind w:firstLine="440"/>
        <w:rPr>
          <w:rFonts w:ascii="宋体" w:hAnsi="宋体" w:cs="宋体"/>
          <w:sz w:val="22"/>
          <w:szCs w:val="22"/>
        </w:rPr>
      </w:pPr>
      <w:r>
        <w:rPr>
          <w:rFonts w:hint="eastAsia" w:ascii="宋体" w:hAnsi="宋体" w:cs="宋体"/>
          <w:sz w:val="22"/>
          <w:szCs w:val="22"/>
        </w:rPr>
        <w:t>1）上级认可（10分）：省市级及以上领导关于龙湾区一体化公共数据平台工作的批示指示（省级一次10分，市级一次5分）；或由运维人员编写的IRS应用、公共数据产品等相关数字成果入选省案例集（一次2分）。</w:t>
      </w:r>
    </w:p>
    <w:p w14:paraId="04F4D959">
      <w:pPr>
        <w:pStyle w:val="98"/>
        <w:spacing w:line="440" w:lineRule="exact"/>
        <w:ind w:firstLine="440"/>
        <w:rPr>
          <w:rFonts w:ascii="宋体" w:hAnsi="宋体" w:cs="宋体"/>
          <w:sz w:val="22"/>
          <w:szCs w:val="22"/>
        </w:rPr>
      </w:pPr>
      <w:r>
        <w:rPr>
          <w:rFonts w:hint="eastAsia" w:ascii="宋体" w:hAnsi="宋体" w:cs="宋体"/>
          <w:sz w:val="22"/>
          <w:szCs w:val="22"/>
        </w:rPr>
        <w:t>2）省市考核（20分）:相关成果符合省市考核要求,省市对龙湾区大数据或一体化智能化公共数据平台方面的考核</w:t>
      </w:r>
      <w:r>
        <w:rPr>
          <w:rFonts w:hint="default" w:ascii="宋体" w:hAnsi="宋体" w:cs="宋体"/>
          <w:sz w:val="22"/>
          <w:szCs w:val="22"/>
        </w:rPr>
        <w:t>，</w:t>
      </w:r>
      <w:r>
        <w:rPr>
          <w:rFonts w:hint="eastAsia" w:ascii="宋体" w:hAnsi="宋体" w:cs="宋体"/>
          <w:sz w:val="22"/>
          <w:szCs w:val="22"/>
        </w:rPr>
        <w:t>省市考核综合后，达到优秀（全市前三名）档次得20分、良好（全市第四名至第五名）档次得16分、及格（全市第六名至第七名）得12分，未达及格得5分。（若考核方式调整，则换算成省排名进行计算）。若省市未开展考核，则以采购方组织的考核打分结果为依据。</w:t>
      </w:r>
    </w:p>
    <w:p w14:paraId="12B312CF">
      <w:pPr>
        <w:pStyle w:val="98"/>
        <w:spacing w:line="440" w:lineRule="exact"/>
        <w:ind w:firstLine="440"/>
        <w:rPr>
          <w:rFonts w:ascii="宋体" w:hAnsi="宋体" w:cs="宋体"/>
          <w:sz w:val="22"/>
          <w:szCs w:val="22"/>
        </w:rPr>
      </w:pPr>
      <w:r>
        <w:rPr>
          <w:rFonts w:hint="eastAsia" w:ascii="宋体" w:hAnsi="宋体" w:cs="宋体"/>
          <w:sz w:val="22"/>
          <w:szCs w:val="22"/>
        </w:rPr>
        <w:t>3）加分项（10分）：利用分析系统，加工形成数据产品并获使用单位认可的，加1分，此项最高10分。</w:t>
      </w:r>
    </w:p>
    <w:p w14:paraId="1520DFDE">
      <w:pPr>
        <w:keepNext/>
        <w:keepLines/>
        <w:spacing w:line="440" w:lineRule="exact"/>
        <w:outlineLvl w:val="0"/>
        <w:rPr>
          <w:rFonts w:ascii="宋体" w:hAnsi="宋体" w:cs="宋体"/>
          <w:b/>
          <w:sz w:val="22"/>
          <w:szCs w:val="22"/>
        </w:rPr>
      </w:pPr>
      <w:r>
        <w:rPr>
          <w:rFonts w:hint="eastAsia" w:ascii="宋体" w:hAnsi="宋体" w:cs="宋体"/>
          <w:b/>
          <w:sz w:val="22"/>
          <w:szCs w:val="22"/>
        </w:rPr>
        <w:t>六、支付模式</w:t>
      </w:r>
    </w:p>
    <w:p w14:paraId="4D9680AF">
      <w:pPr>
        <w:pStyle w:val="5"/>
        <w:spacing w:line="440" w:lineRule="exact"/>
        <w:rPr>
          <w:rFonts w:hint="eastAsia" w:ascii="宋体" w:hAnsi="宋体" w:cs="宋体"/>
          <w:sz w:val="22"/>
          <w:szCs w:val="22"/>
          <w:highlight w:val="none"/>
          <w:u w:val="none"/>
        </w:rPr>
      </w:pPr>
      <w:r>
        <w:rPr>
          <w:rFonts w:hint="eastAsia" w:ascii="宋体" w:hAnsi="宋体" w:cs="宋体"/>
          <w:sz w:val="22"/>
          <w:szCs w:val="22"/>
          <w:highlight w:val="none"/>
          <w:u w:val="none"/>
        </w:rPr>
        <w:t>合同签订后，在合同达到实施条件后（以采购方确认意见为准）的</w:t>
      </w:r>
      <w:r>
        <w:rPr>
          <w:rFonts w:ascii="宋体" w:hAnsi="宋体" w:cs="宋体"/>
          <w:sz w:val="22"/>
          <w:szCs w:val="22"/>
          <w:highlight w:val="none"/>
          <w:u w:val="none"/>
        </w:rPr>
        <w:t>7个工作日内</w:t>
      </w:r>
      <w:r>
        <w:rPr>
          <w:rFonts w:hint="eastAsia" w:ascii="宋体" w:hAnsi="宋体" w:cs="宋体"/>
          <w:sz w:val="22"/>
          <w:szCs w:val="22"/>
          <w:highlight w:val="none"/>
          <w:u w:val="none"/>
        </w:rPr>
        <w:t>，支付合同金额的40%作为预付款。合同约定的服务期开始6个月后,启动拨付，金额为合同金额的</w:t>
      </w:r>
      <w:r>
        <w:rPr>
          <w:rFonts w:hint="eastAsia" w:ascii="宋体" w:hAnsi="宋体" w:cs="宋体"/>
          <w:sz w:val="22"/>
          <w:szCs w:val="22"/>
          <w:highlight w:val="none"/>
          <w:u w:val="none"/>
          <w:lang w:val="en-US" w:eastAsia="zh-CN"/>
        </w:rPr>
        <w:t>1</w:t>
      </w:r>
      <w:r>
        <w:rPr>
          <w:rFonts w:hint="eastAsia" w:ascii="宋体" w:hAnsi="宋体" w:cs="宋体"/>
          <w:sz w:val="22"/>
          <w:szCs w:val="22"/>
          <w:highlight w:val="none"/>
          <w:u w:val="none"/>
        </w:rPr>
        <w:t>0%。合同到期前1个月启动考核，需对服务方履约情况、服务情况、服务质量等进行综合考评，以考评结果作为项目剩余资金拨付依据。支付条件为考核分达60分及以上，则启动拨付，60至85分（含85分）按照当年实际得分除以100所得的百分比支付本年度剩余资金，85分以上则全额拨付，支付时间在完成最终验收后的</w:t>
      </w:r>
      <w:r>
        <w:rPr>
          <w:rFonts w:hint="default" w:ascii="宋体" w:hAnsi="宋体" w:cs="宋体"/>
          <w:sz w:val="22"/>
          <w:szCs w:val="22"/>
          <w:highlight w:val="none"/>
          <w:u w:val="none"/>
          <w:lang w:val="en-US"/>
        </w:rPr>
        <w:t>7</w:t>
      </w:r>
      <w:r>
        <w:rPr>
          <w:rFonts w:hint="eastAsia" w:ascii="宋体" w:hAnsi="宋体" w:cs="宋体"/>
          <w:sz w:val="22"/>
          <w:szCs w:val="22"/>
          <w:highlight w:val="none"/>
          <w:u w:val="none"/>
        </w:rPr>
        <w:t>个工作日内。</w:t>
      </w:r>
    </w:p>
    <w:p w14:paraId="4B6CB673">
      <w:pPr>
        <w:pStyle w:val="5"/>
        <w:spacing w:line="440" w:lineRule="exact"/>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Arial"/>
          <w:sz w:val="22"/>
          <w:szCs w:val="22"/>
          <w:highlight w:val="none"/>
        </w:rPr>
        <w:t>注：</w:t>
      </w:r>
      <w:r>
        <w:rPr>
          <w:rFonts w:hint="eastAsia" w:ascii="宋体" w:hAnsi="宋体"/>
          <w:sz w:val="22"/>
          <w:szCs w:val="22"/>
          <w:highlight w:val="none"/>
        </w:rPr>
        <w:t>所有款项须财政资金到位后予以支付，因资金下达时间问题造成甲方付款延误，不视为甲方违约、甲方不承担违约责任。</w:t>
      </w:r>
      <w:r>
        <w:rPr>
          <w:rFonts w:hint="eastAsia" w:ascii="新宋体" w:hAnsi="新宋体" w:eastAsia="新宋体" w:cs="Arial"/>
          <w:sz w:val="22"/>
          <w:szCs w:val="22"/>
          <w:highlight w:val="none"/>
        </w:rPr>
        <w:t>在合同签订时，中标人明</w:t>
      </w:r>
      <w:r>
        <w:rPr>
          <w:rFonts w:hint="eastAsia" w:ascii="新宋体" w:hAnsi="新宋体" w:eastAsia="新宋体" w:cs="Arial"/>
          <w:sz w:val="22"/>
          <w:szCs w:val="22"/>
        </w:rPr>
        <w:t>确表示无需预付款或者主动要求降低预付款比例的，按实际比例计。甲方对于满足合同约定支付条件的，乙方应当提供等额合格的增值税发票，甲方自收到发票后7个工作日内将资金支付到乙方账户。乙方未按期开具或拒绝开具或所开具的发票不符合约定的，甲方有权延期付款，不构成违约。</w:t>
      </w:r>
    </w:p>
    <w:p w14:paraId="3B8264AC">
      <w:pPr>
        <w:pStyle w:val="53"/>
        <w:spacing w:line="440" w:lineRule="exact"/>
        <w:ind w:firstLine="1084" w:firstLineChars="300"/>
        <w:rPr>
          <w:rFonts w:hint="eastAsia" w:ascii="宋体" w:hAnsi="宋体" w:eastAsia="宋体" w:cs="宋体"/>
          <w:bCs w:val="0"/>
          <w:sz w:val="36"/>
          <w:szCs w:val="36"/>
        </w:rPr>
      </w:pPr>
      <w:bookmarkStart w:id="100" w:name="_Toc58832093"/>
    </w:p>
    <w:p w14:paraId="17E21355">
      <w:pPr>
        <w:rPr>
          <w:rFonts w:hint="eastAsia" w:ascii="宋体" w:hAnsi="宋体" w:eastAsia="宋体" w:cs="宋体"/>
          <w:bCs w:val="0"/>
          <w:sz w:val="36"/>
          <w:szCs w:val="36"/>
        </w:rPr>
      </w:pPr>
      <w:r>
        <w:rPr>
          <w:rFonts w:hint="eastAsia" w:ascii="宋体" w:hAnsi="宋体" w:eastAsia="宋体" w:cs="宋体"/>
          <w:bCs w:val="0"/>
          <w:sz w:val="36"/>
          <w:szCs w:val="36"/>
        </w:rPr>
        <w:br w:type="page"/>
      </w:r>
    </w:p>
    <w:p w14:paraId="430CBBA2">
      <w:pPr>
        <w:pStyle w:val="4"/>
        <w:rPr>
          <w:rFonts w:ascii="宋体" w:hAnsi="宋体" w:eastAsia="宋体" w:cs="宋体"/>
          <w:bCs w:val="0"/>
          <w:sz w:val="36"/>
          <w:szCs w:val="36"/>
        </w:rPr>
      </w:pPr>
      <w:r>
        <w:rPr>
          <w:rFonts w:hint="eastAsia" w:ascii="宋体" w:hAnsi="宋体" w:eastAsia="宋体" w:cs="宋体"/>
          <w:bCs w:val="0"/>
          <w:sz w:val="36"/>
          <w:szCs w:val="36"/>
        </w:rPr>
        <w:t>第六部分   磋商原则及方法</w:t>
      </w:r>
      <w:bookmarkEnd w:id="100"/>
    </w:p>
    <w:p w14:paraId="666D20DC">
      <w:pPr>
        <w:tabs>
          <w:tab w:val="left" w:pos="6358"/>
        </w:tabs>
        <w:snapToGrid w:val="0"/>
        <w:spacing w:line="400" w:lineRule="exact"/>
        <w:jc w:val="left"/>
        <w:rPr>
          <w:rFonts w:ascii="宋体" w:hAnsi="宋体" w:cs="宋体"/>
          <w:b/>
          <w:bCs/>
          <w:sz w:val="22"/>
          <w:szCs w:val="22"/>
        </w:rPr>
      </w:pPr>
      <w:bookmarkStart w:id="101" w:name="_Toc221356898"/>
      <w:bookmarkStart w:id="102" w:name="_Toc221356961"/>
      <w:r>
        <w:rPr>
          <w:rFonts w:hint="eastAsia" w:ascii="宋体" w:hAnsi="宋体" w:cs="宋体"/>
          <w:b/>
          <w:bCs/>
          <w:sz w:val="22"/>
          <w:szCs w:val="22"/>
        </w:rPr>
        <w:t>一、总则</w:t>
      </w:r>
    </w:p>
    <w:p w14:paraId="26A8FDB6">
      <w:pPr>
        <w:spacing w:line="420" w:lineRule="exact"/>
        <w:ind w:firstLine="440" w:firstLineChars="200"/>
        <w:rPr>
          <w:rFonts w:ascii="宋体" w:hAnsi="宋体" w:cs="宋体"/>
          <w:sz w:val="22"/>
          <w:szCs w:val="22"/>
        </w:rPr>
      </w:pPr>
      <w:bookmarkStart w:id="103" w:name="_Toc416695955"/>
      <w:bookmarkStart w:id="104" w:name="_Toc413771022"/>
      <w:r>
        <w:rPr>
          <w:rFonts w:hint="eastAsia" w:ascii="宋体" w:hAnsi="宋体" w:cs="宋体"/>
          <w:sz w:val="22"/>
          <w:szCs w:val="22"/>
        </w:rPr>
        <w:t>评审工作遵循“公平、公正、科学、择优”原则和“诚实、信誉、效率”的服务原则。最大限度地保护采购人权益，严格按照磋商文件的要求，对磋商响应文件进行综合评审。磋商供应商不得以任何方式干扰采购工作的进行，一经发现其磋商响应文件将被拒绝。</w:t>
      </w:r>
    </w:p>
    <w:p w14:paraId="661901AA">
      <w:pPr>
        <w:tabs>
          <w:tab w:val="left" w:pos="6358"/>
        </w:tabs>
        <w:snapToGrid w:val="0"/>
        <w:spacing w:line="400" w:lineRule="exact"/>
        <w:ind w:left="785" w:hanging="773" w:hangingChars="350"/>
        <w:rPr>
          <w:rFonts w:ascii="宋体" w:hAnsi="宋体" w:cs="宋体"/>
          <w:b/>
          <w:bCs/>
          <w:sz w:val="22"/>
          <w:szCs w:val="22"/>
        </w:rPr>
      </w:pPr>
      <w:r>
        <w:rPr>
          <w:rFonts w:hint="eastAsia" w:ascii="宋体" w:hAnsi="宋体" w:cs="宋体"/>
          <w:b/>
          <w:bCs/>
          <w:sz w:val="22"/>
          <w:szCs w:val="22"/>
        </w:rPr>
        <w:t>二、</w:t>
      </w:r>
      <w:bookmarkEnd w:id="103"/>
      <w:bookmarkEnd w:id="104"/>
      <w:r>
        <w:rPr>
          <w:rFonts w:hint="eastAsia" w:ascii="宋体" w:hAnsi="宋体" w:cs="宋体"/>
          <w:b/>
          <w:bCs/>
          <w:sz w:val="22"/>
          <w:szCs w:val="22"/>
        </w:rPr>
        <w:t>评审组织</w:t>
      </w:r>
    </w:p>
    <w:p w14:paraId="3A36E07C">
      <w:pPr>
        <w:tabs>
          <w:tab w:val="left" w:pos="6358"/>
        </w:tabs>
        <w:snapToGrid w:val="0"/>
        <w:spacing w:line="400" w:lineRule="exact"/>
        <w:ind w:firstLine="440" w:firstLineChars="200"/>
        <w:rPr>
          <w:rFonts w:ascii="宋体" w:hAnsi="宋体" w:cs="宋体"/>
          <w:sz w:val="22"/>
          <w:szCs w:val="22"/>
        </w:rPr>
      </w:pPr>
      <w:r>
        <w:rPr>
          <w:rFonts w:hint="eastAsia" w:ascii="宋体" w:hAnsi="宋体" w:cs="宋体"/>
          <w:sz w:val="22"/>
          <w:szCs w:val="22"/>
        </w:rPr>
        <w:t>评审及磋商工作由采购人依法组建的磋商小组负责，评审及磋商全过程由有关部门指导监督。</w:t>
      </w:r>
    </w:p>
    <w:p w14:paraId="6EF36D5B">
      <w:pPr>
        <w:tabs>
          <w:tab w:val="left" w:pos="6358"/>
        </w:tabs>
        <w:snapToGrid w:val="0"/>
        <w:spacing w:line="400" w:lineRule="exact"/>
        <w:ind w:left="785" w:hanging="773" w:hangingChars="350"/>
        <w:rPr>
          <w:rFonts w:ascii="宋体" w:hAnsi="宋体" w:cs="宋体"/>
          <w:b/>
          <w:bCs/>
          <w:sz w:val="22"/>
          <w:szCs w:val="22"/>
        </w:rPr>
      </w:pPr>
      <w:bookmarkStart w:id="105" w:name="_Toc413771024"/>
      <w:bookmarkStart w:id="106" w:name="_Toc416695957"/>
      <w:r>
        <w:rPr>
          <w:rFonts w:hint="eastAsia" w:ascii="宋体" w:hAnsi="宋体" w:cs="宋体"/>
          <w:b/>
          <w:bCs/>
          <w:sz w:val="22"/>
          <w:szCs w:val="22"/>
        </w:rPr>
        <w:t>三、评审及磋商的程序</w:t>
      </w:r>
      <w:bookmarkEnd w:id="105"/>
      <w:bookmarkEnd w:id="106"/>
    </w:p>
    <w:p w14:paraId="564F0168">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熟悉竞争性磋商文件和评审磋商办法；</w:t>
      </w:r>
    </w:p>
    <w:p w14:paraId="74F9913A">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开启磋商响应文件（第一次报价不公布）；</w:t>
      </w:r>
    </w:p>
    <w:p w14:paraId="61E4EDBB">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资格审查；</w:t>
      </w:r>
    </w:p>
    <w:p w14:paraId="53FDC543">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磋商、询标（需要时）；</w:t>
      </w:r>
    </w:p>
    <w:p w14:paraId="2C664315">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磋商响应文件商务技术标评分；</w:t>
      </w:r>
    </w:p>
    <w:p w14:paraId="2FE08401">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磋商二次报价或最终报价；</w:t>
      </w:r>
    </w:p>
    <w:p w14:paraId="4699932B">
      <w:pPr>
        <w:numPr>
          <w:ilvl w:val="0"/>
          <w:numId w:val="20"/>
        </w:numPr>
        <w:tabs>
          <w:tab w:val="left" w:pos="851"/>
        </w:tabs>
        <w:snapToGrid w:val="0"/>
        <w:spacing w:line="400" w:lineRule="exact"/>
        <w:rPr>
          <w:rFonts w:ascii="宋体" w:hAnsi="宋体" w:cs="宋体"/>
          <w:sz w:val="22"/>
          <w:szCs w:val="22"/>
        </w:rPr>
      </w:pPr>
      <w:r>
        <w:rPr>
          <w:rFonts w:hint="eastAsia" w:ascii="宋体" w:hAnsi="宋体" w:cs="宋体"/>
          <w:sz w:val="22"/>
          <w:szCs w:val="22"/>
        </w:rPr>
        <w:t>磋商小组根据评审结果，提交评审报告。</w:t>
      </w:r>
    </w:p>
    <w:bookmarkEnd w:id="101"/>
    <w:bookmarkEnd w:id="102"/>
    <w:p w14:paraId="4D515C1A">
      <w:pPr>
        <w:tabs>
          <w:tab w:val="left" w:pos="6358"/>
        </w:tabs>
        <w:snapToGrid w:val="0"/>
        <w:spacing w:line="400" w:lineRule="exact"/>
        <w:ind w:left="785" w:hanging="773" w:hangingChars="350"/>
        <w:rPr>
          <w:rFonts w:ascii="宋体" w:hAnsi="宋体" w:cs="宋体"/>
          <w:b/>
          <w:bCs/>
          <w:sz w:val="22"/>
          <w:szCs w:val="22"/>
        </w:rPr>
      </w:pPr>
      <w:r>
        <w:rPr>
          <w:rFonts w:hint="eastAsia" w:ascii="宋体" w:hAnsi="宋体" w:cs="宋体"/>
          <w:b/>
          <w:bCs/>
          <w:sz w:val="22"/>
          <w:szCs w:val="22"/>
        </w:rPr>
        <w:t>四、评审细则</w:t>
      </w:r>
    </w:p>
    <w:p w14:paraId="6448C51F">
      <w:pPr>
        <w:numPr>
          <w:ilvl w:val="0"/>
          <w:numId w:val="21"/>
        </w:numPr>
        <w:tabs>
          <w:tab w:val="left" w:pos="6358"/>
        </w:tabs>
        <w:snapToGrid w:val="0"/>
        <w:spacing w:line="460" w:lineRule="exact"/>
        <w:rPr>
          <w:rFonts w:ascii="宋体" w:hAnsi="宋体" w:cs="宋体"/>
          <w:b/>
          <w:bCs/>
          <w:sz w:val="22"/>
          <w:szCs w:val="22"/>
        </w:rPr>
      </w:pPr>
      <w:r>
        <w:rPr>
          <w:rFonts w:hint="eastAsia" w:ascii="宋体" w:hAnsi="宋体" w:cs="宋体"/>
          <w:b/>
          <w:bCs/>
          <w:sz w:val="22"/>
          <w:szCs w:val="22"/>
        </w:rPr>
        <w:t>磋商响应文件的商务技术评分（90分）</w:t>
      </w:r>
    </w:p>
    <w:p w14:paraId="4250C2FF">
      <w:pPr>
        <w:tabs>
          <w:tab w:val="left" w:pos="6358"/>
        </w:tabs>
        <w:snapToGrid w:val="0"/>
        <w:spacing w:line="460" w:lineRule="exact"/>
        <w:ind w:firstLine="440" w:firstLineChars="200"/>
        <w:rPr>
          <w:rFonts w:ascii="宋体" w:hAnsi="宋体" w:cs="宋体"/>
          <w:sz w:val="22"/>
          <w:szCs w:val="22"/>
        </w:rPr>
      </w:pPr>
      <w:r>
        <w:rPr>
          <w:rFonts w:hint="eastAsia" w:ascii="宋体" w:hAnsi="宋体" w:cs="宋体"/>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6"/>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35"/>
        <w:gridCol w:w="6880"/>
        <w:gridCol w:w="805"/>
      </w:tblGrid>
      <w:tr w14:paraId="29EE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20" w:type="dxa"/>
            <w:noWrap/>
            <w:vAlign w:val="center"/>
          </w:tcPr>
          <w:p w14:paraId="58EE9794">
            <w:pPr>
              <w:widowControl/>
              <w:jc w:val="center"/>
              <w:rPr>
                <w:rFonts w:ascii="宋体" w:hAnsi="宋体" w:cs="宋体"/>
                <w:b/>
                <w:bCs/>
                <w:sz w:val="22"/>
                <w:szCs w:val="22"/>
              </w:rPr>
            </w:pPr>
            <w:r>
              <w:rPr>
                <w:rFonts w:hint="eastAsia" w:ascii="宋体" w:hAnsi="宋体" w:cs="宋体"/>
                <w:b/>
                <w:bCs/>
                <w:sz w:val="22"/>
                <w:szCs w:val="22"/>
              </w:rPr>
              <w:t>序号</w:t>
            </w:r>
          </w:p>
        </w:tc>
        <w:tc>
          <w:tcPr>
            <w:tcW w:w="1335" w:type="dxa"/>
            <w:vAlign w:val="center"/>
          </w:tcPr>
          <w:p w14:paraId="5B30A1C9">
            <w:pPr>
              <w:widowControl/>
              <w:jc w:val="center"/>
              <w:rPr>
                <w:rFonts w:ascii="宋体" w:hAnsi="宋体" w:cs="宋体"/>
                <w:b/>
                <w:bCs/>
                <w:sz w:val="22"/>
                <w:szCs w:val="22"/>
              </w:rPr>
            </w:pPr>
            <w:r>
              <w:rPr>
                <w:rFonts w:hint="eastAsia" w:ascii="宋体" w:hAnsi="宋体" w:cs="宋体"/>
                <w:b/>
                <w:bCs/>
                <w:sz w:val="22"/>
                <w:szCs w:val="22"/>
              </w:rPr>
              <w:t>评分内容</w:t>
            </w:r>
          </w:p>
        </w:tc>
        <w:tc>
          <w:tcPr>
            <w:tcW w:w="6880" w:type="dxa"/>
            <w:vAlign w:val="center"/>
          </w:tcPr>
          <w:p w14:paraId="26A012B2">
            <w:pPr>
              <w:widowControl/>
              <w:jc w:val="center"/>
              <w:rPr>
                <w:rFonts w:ascii="宋体" w:hAnsi="宋体" w:cs="宋体"/>
                <w:b/>
                <w:bCs/>
                <w:sz w:val="22"/>
                <w:szCs w:val="22"/>
              </w:rPr>
            </w:pPr>
            <w:r>
              <w:rPr>
                <w:rFonts w:hint="eastAsia" w:ascii="宋体" w:hAnsi="宋体" w:cs="宋体"/>
                <w:b/>
                <w:bCs/>
                <w:sz w:val="22"/>
                <w:szCs w:val="22"/>
              </w:rPr>
              <w:t>评分细则</w:t>
            </w:r>
          </w:p>
        </w:tc>
        <w:tc>
          <w:tcPr>
            <w:tcW w:w="805" w:type="dxa"/>
            <w:noWrap/>
            <w:vAlign w:val="center"/>
          </w:tcPr>
          <w:p w14:paraId="5873303E">
            <w:pPr>
              <w:widowControl/>
              <w:jc w:val="center"/>
              <w:rPr>
                <w:rFonts w:ascii="宋体" w:hAnsi="宋体" w:cs="宋体"/>
                <w:b/>
                <w:bCs/>
                <w:sz w:val="22"/>
                <w:szCs w:val="22"/>
              </w:rPr>
            </w:pPr>
            <w:r>
              <w:rPr>
                <w:rFonts w:hint="eastAsia" w:ascii="宋体" w:hAnsi="宋体" w:cs="宋体"/>
                <w:b/>
                <w:bCs/>
                <w:sz w:val="22"/>
                <w:szCs w:val="22"/>
              </w:rPr>
              <w:t>分值</w:t>
            </w:r>
          </w:p>
        </w:tc>
      </w:tr>
      <w:tr w14:paraId="216C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228AF91B">
            <w:pPr>
              <w:pStyle w:val="53"/>
              <w:ind w:firstLine="0" w:firstLineChars="0"/>
              <w:jc w:val="center"/>
              <w:rPr>
                <w:rFonts w:ascii="宋体" w:hAnsi="宋体" w:cs="宋体"/>
                <w:sz w:val="22"/>
                <w:szCs w:val="22"/>
              </w:rPr>
            </w:pPr>
            <w:bookmarkStart w:id="107" w:name="_Hlk179389069"/>
            <w:r>
              <w:rPr>
                <w:rFonts w:hint="eastAsia" w:ascii="宋体" w:hAnsi="宋体" w:cs="宋体"/>
                <w:b w:val="0"/>
                <w:kern w:val="2"/>
                <w:sz w:val="22"/>
                <w:szCs w:val="22"/>
              </w:rPr>
              <w:t>1</w:t>
            </w:r>
          </w:p>
        </w:tc>
        <w:tc>
          <w:tcPr>
            <w:tcW w:w="1335" w:type="dxa"/>
            <w:vAlign w:val="center"/>
          </w:tcPr>
          <w:p w14:paraId="0B901478">
            <w:pPr>
              <w:pStyle w:val="53"/>
              <w:ind w:firstLine="0" w:firstLineChars="0"/>
              <w:jc w:val="center"/>
              <w:rPr>
                <w:rFonts w:ascii="宋体" w:hAnsi="宋体" w:cs="宋体"/>
                <w:sz w:val="22"/>
                <w:szCs w:val="22"/>
              </w:rPr>
            </w:pPr>
            <w:r>
              <w:rPr>
                <w:rFonts w:hint="eastAsia" w:ascii="宋体" w:hAnsi="宋体" w:cs="宋体"/>
                <w:b w:val="0"/>
                <w:sz w:val="22"/>
                <w:szCs w:val="22"/>
              </w:rPr>
              <w:t>供应商综合实力</w:t>
            </w:r>
          </w:p>
        </w:tc>
        <w:tc>
          <w:tcPr>
            <w:tcW w:w="6880" w:type="dxa"/>
            <w:shd w:val="clear" w:color="auto" w:fill="auto"/>
            <w:vAlign w:val="center"/>
          </w:tcPr>
          <w:p w14:paraId="6CC9B36E">
            <w:pPr>
              <w:jc w:val="left"/>
              <w:rPr>
                <w:rFonts w:ascii="宋体"/>
                <w:bCs/>
                <w:color w:val="auto"/>
                <w:kern w:val="0"/>
                <w:szCs w:val="21"/>
              </w:rPr>
            </w:pPr>
            <w:r>
              <w:rPr>
                <w:rFonts w:hint="eastAsia" w:ascii="宋体"/>
                <w:bCs/>
                <w:color w:val="auto"/>
                <w:kern w:val="0"/>
                <w:szCs w:val="21"/>
                <w:lang w:val="en-US" w:eastAsia="zh-CN"/>
              </w:rPr>
              <w:t>1</w:t>
            </w:r>
            <w:r>
              <w:rPr>
                <w:rFonts w:hint="eastAsia" w:ascii="宋体"/>
                <w:bCs/>
                <w:color w:val="auto"/>
                <w:kern w:val="0"/>
                <w:szCs w:val="21"/>
              </w:rPr>
              <w:t>.投标人具备</w:t>
            </w:r>
            <w:r>
              <w:rPr>
                <w:rFonts w:hint="eastAsia"/>
                <w:b w:val="0"/>
                <w:bCs w:val="0"/>
                <w:color w:val="auto"/>
                <w:kern w:val="0"/>
                <w:szCs w:val="21"/>
              </w:rPr>
              <w:t>ISO9001</w:t>
            </w:r>
            <w:r>
              <w:rPr>
                <w:rFonts w:hint="eastAsia"/>
                <w:color w:val="auto"/>
                <w:kern w:val="0"/>
                <w:szCs w:val="21"/>
              </w:rPr>
              <w:t>《质量管理体系认证》</w:t>
            </w:r>
            <w:r>
              <w:rPr>
                <w:rFonts w:hint="eastAsia" w:ascii="宋体"/>
                <w:bCs/>
                <w:color w:val="auto"/>
                <w:kern w:val="0"/>
                <w:szCs w:val="21"/>
              </w:rPr>
              <w:t>的得</w:t>
            </w:r>
            <w:r>
              <w:rPr>
                <w:rFonts w:hint="eastAsia" w:ascii="宋体"/>
                <w:bCs/>
                <w:color w:val="auto"/>
                <w:kern w:val="0"/>
                <w:szCs w:val="21"/>
                <w:lang w:val="en-US" w:eastAsia="zh-CN"/>
              </w:rPr>
              <w:t>2</w:t>
            </w:r>
            <w:r>
              <w:rPr>
                <w:rFonts w:hint="eastAsia" w:ascii="宋体"/>
                <w:bCs/>
                <w:color w:val="auto"/>
                <w:kern w:val="0"/>
                <w:szCs w:val="21"/>
              </w:rPr>
              <w:t>分；</w:t>
            </w:r>
          </w:p>
          <w:p w14:paraId="22B7F332">
            <w:pPr>
              <w:jc w:val="left"/>
              <w:rPr>
                <w:rFonts w:ascii="宋体"/>
                <w:bCs/>
                <w:color w:val="auto"/>
                <w:kern w:val="0"/>
                <w:szCs w:val="21"/>
              </w:rPr>
            </w:pPr>
            <w:r>
              <w:rPr>
                <w:rFonts w:hint="eastAsia" w:ascii="宋体"/>
                <w:bCs/>
                <w:color w:val="auto"/>
                <w:kern w:val="0"/>
                <w:szCs w:val="21"/>
                <w:lang w:val="en-US" w:eastAsia="zh-CN"/>
              </w:rPr>
              <w:t>2</w:t>
            </w:r>
            <w:r>
              <w:rPr>
                <w:rFonts w:ascii="宋体"/>
                <w:bCs/>
                <w:color w:val="auto"/>
                <w:kern w:val="0"/>
                <w:szCs w:val="21"/>
              </w:rPr>
              <w:t>.</w:t>
            </w:r>
            <w:r>
              <w:rPr>
                <w:rFonts w:hint="eastAsia" w:ascii="宋体"/>
                <w:bCs/>
                <w:color w:val="auto"/>
                <w:kern w:val="0"/>
                <w:szCs w:val="21"/>
              </w:rPr>
              <w:t>投标人具备ISO27001《信息安全管理体系认证》的得</w:t>
            </w:r>
            <w:r>
              <w:rPr>
                <w:rFonts w:hint="eastAsia" w:ascii="宋体"/>
                <w:bCs/>
                <w:color w:val="auto"/>
                <w:kern w:val="0"/>
                <w:szCs w:val="21"/>
                <w:lang w:val="en-US" w:eastAsia="zh-CN"/>
              </w:rPr>
              <w:t>2</w:t>
            </w:r>
            <w:r>
              <w:rPr>
                <w:rFonts w:hint="eastAsia" w:ascii="宋体"/>
                <w:bCs/>
                <w:color w:val="auto"/>
                <w:kern w:val="0"/>
                <w:szCs w:val="21"/>
              </w:rPr>
              <w:t>分；</w:t>
            </w:r>
          </w:p>
          <w:p w14:paraId="426677DE">
            <w:pPr>
              <w:widowControl/>
              <w:jc w:val="left"/>
              <w:rPr>
                <w:color w:val="auto"/>
              </w:rPr>
            </w:pPr>
            <w:r>
              <w:rPr>
                <w:rFonts w:hint="eastAsia" w:ascii="宋体"/>
                <w:bCs/>
                <w:color w:val="auto"/>
                <w:kern w:val="0"/>
                <w:szCs w:val="21"/>
                <w:lang w:val="en-US" w:eastAsia="zh-CN"/>
              </w:rPr>
              <w:t>3</w:t>
            </w:r>
            <w:r>
              <w:rPr>
                <w:rFonts w:ascii="宋体"/>
                <w:bCs/>
                <w:color w:val="auto"/>
                <w:kern w:val="0"/>
                <w:szCs w:val="21"/>
              </w:rPr>
              <w:t>.</w:t>
            </w:r>
            <w:r>
              <w:rPr>
                <w:rFonts w:hint="eastAsia" w:ascii="宋体"/>
                <w:bCs/>
                <w:color w:val="auto"/>
                <w:kern w:val="0"/>
                <w:szCs w:val="21"/>
              </w:rPr>
              <w:t>投标人具备ISO20000《信息技术服务管理体系认证》的得</w:t>
            </w:r>
            <w:r>
              <w:rPr>
                <w:rFonts w:hint="eastAsia" w:ascii="宋体"/>
                <w:bCs/>
                <w:color w:val="auto"/>
                <w:kern w:val="0"/>
                <w:szCs w:val="21"/>
                <w:lang w:val="en-US" w:eastAsia="zh-CN"/>
              </w:rPr>
              <w:t>2</w:t>
            </w:r>
            <w:r>
              <w:rPr>
                <w:rFonts w:hint="eastAsia" w:ascii="宋体"/>
                <w:bCs/>
                <w:color w:val="auto"/>
                <w:kern w:val="0"/>
                <w:szCs w:val="21"/>
              </w:rPr>
              <w:t>分</w:t>
            </w:r>
          </w:p>
          <w:p w14:paraId="31748443">
            <w:pPr>
              <w:widowControl/>
              <w:jc w:val="left"/>
              <w:textAlignment w:val="auto"/>
              <w:rPr>
                <w:rFonts w:ascii="宋体" w:hAnsi="宋体" w:cs="宋体"/>
                <w:color w:val="auto"/>
                <w:sz w:val="22"/>
                <w:szCs w:val="22"/>
              </w:rPr>
            </w:pPr>
            <w:r>
              <w:rPr>
                <w:rStyle w:val="58"/>
                <w:rFonts w:hint="eastAsia"/>
                <w:color w:val="auto"/>
              </w:rPr>
              <w:t>每个证书得</w:t>
            </w:r>
            <w:r>
              <w:rPr>
                <w:rFonts w:hint="eastAsia"/>
                <w:color w:val="auto"/>
                <w:lang w:val="en-US" w:eastAsia="zh-CN"/>
              </w:rPr>
              <w:t>2</w:t>
            </w:r>
            <w:r>
              <w:rPr>
                <w:rStyle w:val="58"/>
                <w:rFonts w:hint="eastAsia"/>
                <w:color w:val="auto"/>
              </w:rPr>
              <w:t>分，最高</w:t>
            </w:r>
            <w:r>
              <w:rPr>
                <w:rFonts w:hint="eastAsia"/>
                <w:color w:val="auto"/>
                <w:lang w:val="en-US" w:eastAsia="zh-CN"/>
              </w:rPr>
              <w:t>6</w:t>
            </w:r>
            <w:r>
              <w:rPr>
                <w:rStyle w:val="58"/>
                <w:rFonts w:hint="eastAsia"/>
                <w:color w:val="auto"/>
              </w:rPr>
              <w:t>分</w:t>
            </w:r>
            <w:r>
              <w:rPr>
                <w:rStyle w:val="58"/>
                <w:rFonts w:hint="eastAsia"/>
                <w:color w:val="auto"/>
                <w:lang w:eastAsia="zh-CN"/>
              </w:rPr>
              <w:t>。</w:t>
            </w:r>
            <w:r>
              <w:rPr>
                <w:rFonts w:hint="eastAsia" w:ascii="宋体" w:hAnsi="宋体" w:cs="宋体"/>
                <w:b w:val="0"/>
                <w:bCs w:val="0"/>
                <w:color w:val="auto"/>
                <w:kern w:val="2"/>
                <w:sz w:val="22"/>
                <w:szCs w:val="22"/>
              </w:rPr>
              <w:t>注：以上证书均须提供有效的认证证书</w:t>
            </w:r>
            <w:r>
              <w:rPr>
                <w:rFonts w:hint="eastAsia" w:ascii="宋体" w:hAnsi="宋体" w:cs="宋体"/>
                <w:b w:val="0"/>
                <w:bCs w:val="0"/>
                <w:color w:val="auto"/>
                <w:kern w:val="2"/>
                <w:sz w:val="22"/>
                <w:szCs w:val="22"/>
                <w:lang w:val="en-US" w:eastAsia="zh-CN"/>
              </w:rPr>
              <w:t>扫描件并加盖公章</w:t>
            </w:r>
            <w:r>
              <w:rPr>
                <w:rFonts w:hint="eastAsia" w:ascii="宋体" w:hAnsi="宋体" w:cs="宋体"/>
                <w:b w:val="0"/>
                <w:bCs w:val="0"/>
                <w:color w:val="auto"/>
                <w:kern w:val="2"/>
                <w:sz w:val="22"/>
                <w:szCs w:val="22"/>
              </w:rPr>
              <w:t>，未提供齐全的，则该项证书不得分。</w:t>
            </w:r>
          </w:p>
        </w:tc>
        <w:tc>
          <w:tcPr>
            <w:tcW w:w="805" w:type="dxa"/>
            <w:shd w:val="clear" w:color="auto" w:fill="auto"/>
            <w:vAlign w:val="center"/>
          </w:tcPr>
          <w:p w14:paraId="63B943DD">
            <w:pPr>
              <w:pStyle w:val="53"/>
              <w:ind w:firstLine="0" w:firstLineChars="0"/>
              <w:jc w:val="center"/>
              <w:rPr>
                <w:rFonts w:hint="eastAsia" w:ascii="宋体" w:hAnsi="宋体" w:eastAsia="宋体" w:cs="宋体"/>
                <w:b w:val="0"/>
                <w:kern w:val="2"/>
                <w:sz w:val="22"/>
                <w:szCs w:val="22"/>
                <w:lang w:eastAsia="zh-CN"/>
              </w:rPr>
            </w:pPr>
            <w:r>
              <w:rPr>
                <w:rFonts w:hint="eastAsia" w:ascii="宋体" w:hAnsi="宋体" w:cs="宋体"/>
                <w:b w:val="0"/>
                <w:sz w:val="22"/>
                <w:szCs w:val="22"/>
                <w:lang w:val="en-US" w:eastAsia="zh-CN"/>
              </w:rPr>
              <w:t>6</w:t>
            </w:r>
          </w:p>
        </w:tc>
      </w:tr>
      <w:tr w14:paraId="14C4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23515210">
            <w:pPr>
              <w:widowControl/>
              <w:jc w:val="center"/>
              <w:rPr>
                <w:rFonts w:ascii="宋体" w:hAnsi="宋体" w:cs="宋体"/>
                <w:sz w:val="22"/>
                <w:szCs w:val="22"/>
              </w:rPr>
            </w:pPr>
            <w:r>
              <w:rPr>
                <w:rFonts w:hint="eastAsia" w:ascii="宋体" w:hAnsi="宋体" w:cs="宋体"/>
                <w:sz w:val="22"/>
                <w:szCs w:val="22"/>
              </w:rPr>
              <w:t>2</w:t>
            </w:r>
          </w:p>
        </w:tc>
        <w:tc>
          <w:tcPr>
            <w:tcW w:w="1335" w:type="dxa"/>
            <w:vAlign w:val="center"/>
          </w:tcPr>
          <w:p w14:paraId="5D1D4C08">
            <w:pPr>
              <w:widowControl/>
              <w:jc w:val="center"/>
              <w:rPr>
                <w:rFonts w:ascii="宋体" w:hAnsi="宋体" w:cs="宋体"/>
                <w:sz w:val="22"/>
                <w:szCs w:val="22"/>
              </w:rPr>
            </w:pPr>
            <w:r>
              <w:rPr>
                <w:rFonts w:hint="eastAsia" w:ascii="宋体" w:hAnsi="宋体" w:cs="宋体"/>
                <w:sz w:val="22"/>
                <w:szCs w:val="22"/>
              </w:rPr>
              <w:t>业绩</w:t>
            </w:r>
          </w:p>
        </w:tc>
        <w:tc>
          <w:tcPr>
            <w:tcW w:w="6880" w:type="dxa"/>
            <w:vAlign w:val="center"/>
          </w:tcPr>
          <w:p w14:paraId="12A377F6">
            <w:pPr>
              <w:widowControl/>
              <w:jc w:val="left"/>
              <w:rPr>
                <w:rFonts w:ascii="宋体" w:hAnsi="宋体" w:cs="宋体"/>
                <w:color w:val="auto"/>
                <w:sz w:val="22"/>
                <w:szCs w:val="22"/>
              </w:rPr>
            </w:pPr>
            <w:r>
              <w:rPr>
                <w:rFonts w:hint="eastAsia" w:ascii="宋体" w:hAnsi="宋体" w:cs="宋体"/>
                <w:color w:val="auto"/>
                <w:sz w:val="22"/>
                <w:szCs w:val="22"/>
              </w:rPr>
              <w:t>根据投标供应商自2019年1月1日以来承担过同类项目业绩，每提供1个得1分，最高得1分。</w:t>
            </w:r>
            <w:r>
              <w:rPr>
                <w:rFonts w:hint="eastAsia" w:ascii="宋体" w:hAnsi="宋体" w:cs="宋体"/>
                <w:color w:val="auto"/>
                <w:sz w:val="22"/>
                <w:szCs w:val="22"/>
              </w:rPr>
              <w:br w:type="textWrapping"/>
            </w:r>
            <w:r>
              <w:rPr>
                <w:rFonts w:hint="eastAsia" w:ascii="宋体" w:hAnsi="宋体" w:cs="宋体"/>
                <w:color w:val="auto"/>
                <w:sz w:val="22"/>
                <w:szCs w:val="22"/>
              </w:rPr>
              <w:t>注：提供合同</w:t>
            </w:r>
            <w:r>
              <w:rPr>
                <w:rFonts w:hint="eastAsia" w:ascii="宋体" w:hAnsi="宋体" w:cs="宋体"/>
                <w:color w:val="auto"/>
                <w:sz w:val="22"/>
                <w:szCs w:val="22"/>
                <w:lang w:val="en-US" w:eastAsia="zh-CN"/>
              </w:rPr>
              <w:t>原件扫描件</w:t>
            </w:r>
            <w:r>
              <w:rPr>
                <w:rFonts w:hint="eastAsia" w:ascii="宋体" w:hAnsi="宋体" w:cs="宋体"/>
                <w:color w:val="auto"/>
                <w:sz w:val="22"/>
                <w:szCs w:val="22"/>
              </w:rPr>
              <w:t>加盖公章。</w:t>
            </w:r>
          </w:p>
        </w:tc>
        <w:tc>
          <w:tcPr>
            <w:tcW w:w="805" w:type="dxa"/>
            <w:noWrap/>
            <w:vAlign w:val="center"/>
          </w:tcPr>
          <w:p w14:paraId="7D4C6A2A">
            <w:pPr>
              <w:widowControl/>
              <w:jc w:val="center"/>
              <w:rPr>
                <w:rFonts w:ascii="宋体" w:hAnsi="宋体" w:cs="宋体"/>
                <w:sz w:val="22"/>
                <w:szCs w:val="22"/>
              </w:rPr>
            </w:pPr>
            <w:r>
              <w:rPr>
                <w:rFonts w:hint="eastAsia" w:ascii="宋体" w:hAnsi="宋体" w:cs="宋体"/>
                <w:sz w:val="22"/>
                <w:szCs w:val="22"/>
              </w:rPr>
              <w:t>1</w:t>
            </w:r>
          </w:p>
        </w:tc>
      </w:tr>
      <w:tr w14:paraId="758F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22B09B44">
            <w:pPr>
              <w:widowControl/>
              <w:jc w:val="center"/>
              <w:rPr>
                <w:rFonts w:ascii="宋体" w:hAnsi="宋体" w:cs="宋体"/>
                <w:sz w:val="22"/>
                <w:szCs w:val="22"/>
              </w:rPr>
            </w:pPr>
            <w:r>
              <w:rPr>
                <w:rFonts w:hint="eastAsia" w:ascii="宋体" w:hAnsi="宋体" w:cs="宋体"/>
                <w:sz w:val="22"/>
                <w:szCs w:val="22"/>
              </w:rPr>
              <w:t>3</w:t>
            </w:r>
          </w:p>
        </w:tc>
        <w:tc>
          <w:tcPr>
            <w:tcW w:w="1335" w:type="dxa"/>
            <w:vAlign w:val="center"/>
          </w:tcPr>
          <w:p w14:paraId="70DDC345">
            <w:pPr>
              <w:widowControl/>
              <w:jc w:val="center"/>
              <w:rPr>
                <w:rFonts w:ascii="宋体" w:hAnsi="宋体" w:cs="宋体"/>
                <w:sz w:val="22"/>
                <w:szCs w:val="22"/>
              </w:rPr>
            </w:pPr>
            <w:r>
              <w:rPr>
                <w:rFonts w:hint="eastAsia" w:ascii="宋体" w:hAnsi="宋体" w:cs="宋体"/>
                <w:sz w:val="22"/>
                <w:szCs w:val="22"/>
              </w:rPr>
              <w:t>现状分析</w:t>
            </w:r>
          </w:p>
        </w:tc>
        <w:tc>
          <w:tcPr>
            <w:tcW w:w="6880" w:type="dxa"/>
            <w:vAlign w:val="center"/>
          </w:tcPr>
          <w:p w14:paraId="07F0B0CA">
            <w:pPr>
              <w:widowControl/>
              <w:jc w:val="left"/>
              <w:rPr>
                <w:rFonts w:ascii="宋体" w:hAnsi="宋体" w:cs="宋体"/>
                <w:sz w:val="22"/>
                <w:szCs w:val="22"/>
              </w:rPr>
            </w:pPr>
            <w:r>
              <w:rPr>
                <w:rFonts w:hint="eastAsia" w:ascii="宋体" w:hAnsi="宋体" w:cs="宋体"/>
                <w:sz w:val="22"/>
                <w:szCs w:val="22"/>
              </w:rPr>
              <w:t>投标人需提供对本项目的现状、运维目标、项目难重点进行分析、阐述。（</w:t>
            </w:r>
            <w:r>
              <w:rPr>
                <w:rFonts w:hint="eastAsia" w:ascii="宋体" w:hAnsi="宋体" w:cs="宋体"/>
                <w:sz w:val="22"/>
                <w:szCs w:val="22"/>
                <w:lang w:val="en-US" w:eastAsia="zh-CN"/>
              </w:rPr>
              <w:t>5</w:t>
            </w: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26E6F37B">
            <w:pPr>
              <w:widowControl/>
              <w:jc w:val="center"/>
              <w:rPr>
                <w:rFonts w:ascii="宋体" w:hAnsi="宋体" w:cs="宋体"/>
                <w:sz w:val="22"/>
                <w:szCs w:val="22"/>
              </w:rPr>
            </w:pPr>
            <w:r>
              <w:rPr>
                <w:rFonts w:hint="eastAsia" w:ascii="宋体" w:hAnsi="宋体" w:cs="宋体"/>
                <w:sz w:val="22"/>
                <w:szCs w:val="22"/>
                <w:lang w:val="en-US" w:eastAsia="zh-CN"/>
              </w:rPr>
              <w:t>5</w:t>
            </w:r>
          </w:p>
        </w:tc>
      </w:tr>
      <w:tr w14:paraId="124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Merge w:val="restart"/>
            <w:vAlign w:val="center"/>
          </w:tcPr>
          <w:p w14:paraId="4559C648">
            <w:pPr>
              <w:widowControl/>
              <w:jc w:val="center"/>
              <w:rPr>
                <w:rFonts w:ascii="宋体" w:hAnsi="宋体" w:cs="宋体"/>
                <w:sz w:val="22"/>
                <w:szCs w:val="22"/>
              </w:rPr>
            </w:pPr>
            <w:r>
              <w:rPr>
                <w:rFonts w:hint="eastAsia" w:ascii="宋体" w:hAnsi="宋体" w:cs="宋体"/>
                <w:sz w:val="22"/>
                <w:szCs w:val="22"/>
              </w:rPr>
              <w:t>4</w:t>
            </w:r>
          </w:p>
        </w:tc>
        <w:tc>
          <w:tcPr>
            <w:tcW w:w="1335" w:type="dxa"/>
            <w:vMerge w:val="restart"/>
            <w:vAlign w:val="center"/>
          </w:tcPr>
          <w:p w14:paraId="79946CDF">
            <w:pPr>
              <w:widowControl/>
              <w:jc w:val="center"/>
              <w:rPr>
                <w:rFonts w:ascii="宋体" w:hAnsi="宋体" w:cs="宋体"/>
                <w:sz w:val="22"/>
                <w:szCs w:val="22"/>
              </w:rPr>
            </w:pPr>
            <w:r>
              <w:rPr>
                <w:rFonts w:hint="eastAsia" w:ascii="宋体" w:hAnsi="宋体" w:cs="宋体"/>
                <w:sz w:val="22"/>
                <w:szCs w:val="22"/>
              </w:rPr>
              <w:t>数据目录及IRS数据资源运营服务方案</w:t>
            </w:r>
          </w:p>
        </w:tc>
        <w:tc>
          <w:tcPr>
            <w:tcW w:w="6880" w:type="dxa"/>
            <w:vAlign w:val="center"/>
          </w:tcPr>
          <w:p w14:paraId="3F02211F">
            <w:pPr>
              <w:widowControl/>
              <w:jc w:val="left"/>
              <w:rPr>
                <w:rFonts w:ascii="宋体" w:hAnsi="宋体" w:cs="宋体"/>
                <w:sz w:val="22"/>
                <w:szCs w:val="22"/>
              </w:rPr>
            </w:pPr>
            <w:r>
              <w:rPr>
                <w:rFonts w:hint="eastAsia" w:ascii="宋体" w:hAnsi="宋体" w:cs="宋体"/>
                <w:sz w:val="22"/>
                <w:szCs w:val="22"/>
              </w:rPr>
              <w:t>针对投标人对数据目录子系统日常运营服务的实施方案，提供7*24小时日常运营响应，重点是数据运营、系统运营等相关的流程、标准、保障措施等方面，根据合理性、实用性、可行性综合评价：（4，</w:t>
            </w:r>
            <w:r>
              <w:rPr>
                <w:rFonts w:hint="eastAsia" w:ascii="宋体" w:hAnsi="宋体" w:cs="宋体"/>
                <w:sz w:val="22"/>
                <w:szCs w:val="22"/>
                <w:lang w:val="en-US" w:eastAsia="zh-CN"/>
              </w:rPr>
              <w:t>3</w:t>
            </w:r>
            <w:r>
              <w:rPr>
                <w:rFonts w:hint="eastAsia" w:ascii="宋体" w:hAnsi="宋体" w:cs="宋体"/>
                <w:sz w:val="22"/>
                <w:szCs w:val="22"/>
              </w:rPr>
              <w:t>，2，1，0）</w:t>
            </w:r>
          </w:p>
        </w:tc>
        <w:tc>
          <w:tcPr>
            <w:tcW w:w="805" w:type="dxa"/>
            <w:noWrap/>
            <w:vAlign w:val="center"/>
          </w:tcPr>
          <w:p w14:paraId="3C0D8109">
            <w:pPr>
              <w:widowControl/>
              <w:jc w:val="center"/>
              <w:rPr>
                <w:rFonts w:ascii="宋体" w:hAnsi="宋体" w:cs="宋体"/>
                <w:sz w:val="22"/>
                <w:szCs w:val="22"/>
              </w:rPr>
            </w:pPr>
            <w:r>
              <w:rPr>
                <w:rFonts w:hint="eastAsia" w:ascii="宋体" w:hAnsi="宋体" w:cs="宋体"/>
                <w:sz w:val="22"/>
                <w:szCs w:val="22"/>
              </w:rPr>
              <w:t>4</w:t>
            </w:r>
          </w:p>
        </w:tc>
      </w:tr>
      <w:tr w14:paraId="28A2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Merge w:val="continue"/>
            <w:vAlign w:val="center"/>
          </w:tcPr>
          <w:p w14:paraId="3DC1084C">
            <w:pPr>
              <w:widowControl/>
              <w:jc w:val="left"/>
              <w:rPr>
                <w:rFonts w:ascii="宋体" w:hAnsi="宋体" w:cs="宋体"/>
                <w:sz w:val="22"/>
                <w:szCs w:val="22"/>
              </w:rPr>
            </w:pPr>
          </w:p>
        </w:tc>
        <w:tc>
          <w:tcPr>
            <w:tcW w:w="1335" w:type="dxa"/>
            <w:vMerge w:val="continue"/>
            <w:vAlign w:val="center"/>
          </w:tcPr>
          <w:p w14:paraId="5D72A845">
            <w:pPr>
              <w:widowControl/>
              <w:jc w:val="center"/>
              <w:rPr>
                <w:rFonts w:ascii="宋体" w:hAnsi="宋体" w:cs="宋体"/>
                <w:sz w:val="22"/>
                <w:szCs w:val="22"/>
              </w:rPr>
            </w:pPr>
          </w:p>
        </w:tc>
        <w:tc>
          <w:tcPr>
            <w:tcW w:w="6880" w:type="dxa"/>
            <w:vAlign w:val="center"/>
          </w:tcPr>
          <w:p w14:paraId="451B8BF9">
            <w:pPr>
              <w:widowControl/>
              <w:jc w:val="left"/>
              <w:rPr>
                <w:rFonts w:ascii="宋体" w:hAnsi="宋体" w:cs="宋体"/>
                <w:sz w:val="22"/>
                <w:szCs w:val="22"/>
              </w:rPr>
            </w:pPr>
            <w:r>
              <w:rPr>
                <w:rFonts w:hint="eastAsia" w:ascii="宋体" w:hAnsi="宋体" w:cs="宋体"/>
                <w:sz w:val="22"/>
                <w:szCs w:val="22"/>
              </w:rPr>
              <w:t>针对投标人对IRS数据资源运营服务的实施方案，提供7*24小时日常运营响应，重点是数据运营、系统运营等相关的流程、标准、保障措施等方面，根据合理性、实用性、可行性综合评价：（4，</w:t>
            </w:r>
            <w:r>
              <w:rPr>
                <w:rFonts w:hint="eastAsia" w:ascii="宋体" w:hAnsi="宋体" w:cs="宋体"/>
                <w:sz w:val="22"/>
                <w:szCs w:val="22"/>
                <w:lang w:val="en-US" w:eastAsia="zh-CN"/>
              </w:rPr>
              <w:t>3</w:t>
            </w:r>
            <w:r>
              <w:rPr>
                <w:rFonts w:hint="eastAsia" w:ascii="宋体" w:hAnsi="宋体" w:cs="宋体"/>
                <w:sz w:val="22"/>
                <w:szCs w:val="22"/>
              </w:rPr>
              <w:t>，2，1，0）</w:t>
            </w:r>
          </w:p>
        </w:tc>
        <w:tc>
          <w:tcPr>
            <w:tcW w:w="805" w:type="dxa"/>
            <w:noWrap/>
            <w:vAlign w:val="center"/>
          </w:tcPr>
          <w:p w14:paraId="294AA2E4">
            <w:pPr>
              <w:widowControl/>
              <w:jc w:val="center"/>
              <w:rPr>
                <w:rFonts w:ascii="宋体" w:hAnsi="宋体" w:cs="宋体"/>
                <w:sz w:val="22"/>
                <w:szCs w:val="22"/>
              </w:rPr>
            </w:pPr>
            <w:r>
              <w:rPr>
                <w:rFonts w:hint="eastAsia" w:ascii="宋体" w:hAnsi="宋体" w:cs="宋体"/>
                <w:sz w:val="22"/>
                <w:szCs w:val="22"/>
              </w:rPr>
              <w:t>4</w:t>
            </w:r>
          </w:p>
        </w:tc>
      </w:tr>
      <w:tr w14:paraId="546C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0" w:type="dxa"/>
            <w:noWrap/>
            <w:vAlign w:val="center"/>
          </w:tcPr>
          <w:p w14:paraId="7DEAB942">
            <w:pPr>
              <w:widowControl/>
              <w:jc w:val="center"/>
              <w:rPr>
                <w:rFonts w:ascii="宋体" w:hAnsi="宋体" w:cs="宋体"/>
                <w:sz w:val="22"/>
                <w:szCs w:val="22"/>
              </w:rPr>
            </w:pPr>
            <w:r>
              <w:rPr>
                <w:rFonts w:hint="eastAsia" w:ascii="宋体" w:hAnsi="宋体" w:cs="宋体"/>
                <w:sz w:val="22"/>
                <w:szCs w:val="22"/>
              </w:rPr>
              <w:t>5</w:t>
            </w:r>
          </w:p>
        </w:tc>
        <w:tc>
          <w:tcPr>
            <w:tcW w:w="1335" w:type="dxa"/>
            <w:vAlign w:val="center"/>
          </w:tcPr>
          <w:p w14:paraId="4FEC213C">
            <w:pPr>
              <w:widowControl/>
              <w:jc w:val="center"/>
              <w:rPr>
                <w:rFonts w:ascii="宋体" w:hAnsi="宋体" w:cs="宋体"/>
                <w:sz w:val="22"/>
                <w:szCs w:val="22"/>
              </w:rPr>
            </w:pPr>
            <w:r>
              <w:rPr>
                <w:rFonts w:hint="eastAsia" w:ascii="宋体" w:hAnsi="宋体" w:cs="宋体"/>
                <w:sz w:val="22"/>
                <w:szCs w:val="22"/>
              </w:rPr>
              <w:t>数据归集运营服务方案</w:t>
            </w:r>
          </w:p>
        </w:tc>
        <w:tc>
          <w:tcPr>
            <w:tcW w:w="6880" w:type="dxa"/>
            <w:vAlign w:val="center"/>
          </w:tcPr>
          <w:p w14:paraId="2F7EF0D4">
            <w:pPr>
              <w:widowControl/>
              <w:jc w:val="left"/>
              <w:rPr>
                <w:rFonts w:ascii="宋体" w:hAnsi="宋体" w:cs="宋体"/>
                <w:sz w:val="22"/>
                <w:szCs w:val="22"/>
              </w:rPr>
            </w:pPr>
            <w:r>
              <w:rPr>
                <w:rFonts w:hint="eastAsia" w:ascii="宋体" w:hAnsi="宋体" w:cs="宋体"/>
                <w:sz w:val="22"/>
                <w:szCs w:val="22"/>
              </w:rPr>
              <w:t>针对数据归集子系统日常运营服务的实施方案，</w:t>
            </w:r>
            <w:bookmarkStart w:id="108" w:name="OLE_LINK26"/>
            <w:bookmarkStart w:id="109" w:name="OLE_LINK27"/>
            <w:r>
              <w:rPr>
                <w:rFonts w:hint="eastAsia" w:ascii="宋体" w:hAnsi="宋体" w:cs="宋体"/>
                <w:sz w:val="22"/>
                <w:szCs w:val="22"/>
              </w:rPr>
              <w:t>提供7*24小时日常运营响应</w:t>
            </w:r>
            <w:bookmarkEnd w:id="108"/>
            <w:bookmarkEnd w:id="109"/>
            <w:r>
              <w:rPr>
                <w:rFonts w:hint="eastAsia" w:ascii="宋体" w:hAnsi="宋体" w:cs="宋体"/>
                <w:sz w:val="22"/>
                <w:szCs w:val="22"/>
              </w:rPr>
              <w:t>，承接省市级批量数据回流，归集区级数据服务，提供归集培训、咨询服务，对接省IRS平台及ODPS维护。根据合理性、实用性、可行性综合评价：（5，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0471E59E">
            <w:pPr>
              <w:widowControl/>
              <w:jc w:val="center"/>
              <w:rPr>
                <w:rFonts w:ascii="宋体" w:hAnsi="宋体" w:cs="宋体"/>
                <w:sz w:val="22"/>
                <w:szCs w:val="22"/>
              </w:rPr>
            </w:pPr>
            <w:r>
              <w:rPr>
                <w:rFonts w:hint="eastAsia" w:ascii="宋体" w:hAnsi="宋体" w:cs="宋体"/>
                <w:sz w:val="22"/>
                <w:szCs w:val="22"/>
              </w:rPr>
              <w:t>5</w:t>
            </w:r>
          </w:p>
        </w:tc>
      </w:tr>
      <w:tr w14:paraId="52B8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0" w:type="dxa"/>
            <w:noWrap/>
            <w:vAlign w:val="center"/>
          </w:tcPr>
          <w:p w14:paraId="46263BEA">
            <w:pPr>
              <w:widowControl/>
              <w:jc w:val="center"/>
              <w:rPr>
                <w:rFonts w:hint="eastAsia" w:ascii="宋体" w:hAnsi="宋体" w:cs="宋体"/>
                <w:sz w:val="22"/>
                <w:szCs w:val="22"/>
              </w:rPr>
            </w:pPr>
            <w:r>
              <w:rPr>
                <w:rFonts w:hint="eastAsia" w:ascii="宋体" w:hAnsi="宋体" w:cs="宋体"/>
                <w:sz w:val="22"/>
                <w:szCs w:val="22"/>
              </w:rPr>
              <w:t>6</w:t>
            </w:r>
          </w:p>
        </w:tc>
        <w:tc>
          <w:tcPr>
            <w:tcW w:w="1335" w:type="dxa"/>
            <w:vAlign w:val="center"/>
          </w:tcPr>
          <w:p w14:paraId="791EAAB1">
            <w:pPr>
              <w:widowControl/>
              <w:jc w:val="center"/>
              <w:rPr>
                <w:rFonts w:hint="eastAsia" w:ascii="宋体" w:hAnsi="宋体" w:cs="宋体"/>
                <w:sz w:val="22"/>
                <w:szCs w:val="22"/>
              </w:rPr>
            </w:pPr>
            <w:r>
              <w:rPr>
                <w:rFonts w:hint="eastAsia" w:ascii="宋体" w:hAnsi="宋体" w:cs="宋体"/>
                <w:sz w:val="22"/>
                <w:szCs w:val="22"/>
              </w:rPr>
              <w:t>数据治理服务方案</w:t>
            </w:r>
          </w:p>
        </w:tc>
        <w:tc>
          <w:tcPr>
            <w:tcW w:w="6880" w:type="dxa"/>
            <w:vAlign w:val="center"/>
          </w:tcPr>
          <w:p w14:paraId="20BC446F">
            <w:pPr>
              <w:widowControl/>
              <w:jc w:val="left"/>
              <w:rPr>
                <w:rFonts w:hint="eastAsia" w:ascii="宋体" w:hAnsi="宋体" w:cs="宋体"/>
                <w:sz w:val="22"/>
                <w:szCs w:val="22"/>
              </w:rPr>
            </w:pPr>
            <w:r>
              <w:rPr>
                <w:rFonts w:hint="eastAsia" w:ascii="宋体" w:hAnsi="宋体" w:cs="宋体"/>
                <w:sz w:val="22"/>
                <w:szCs w:val="22"/>
              </w:rPr>
              <w:t>针对数据治理日常运营服务的实施方案，提供7*24小时日常运营响应，围绕数据完整性、准确性、及时性等目标，承接省市级回流数据、区级归集数据治理服务，根据合理性、实用性、可行性综合评价：（5，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49224543">
            <w:pPr>
              <w:widowControl/>
              <w:jc w:val="center"/>
              <w:rPr>
                <w:rFonts w:hint="eastAsia" w:ascii="宋体" w:hAnsi="宋体" w:cs="宋体"/>
                <w:sz w:val="22"/>
                <w:szCs w:val="22"/>
              </w:rPr>
            </w:pPr>
            <w:r>
              <w:rPr>
                <w:rFonts w:hint="eastAsia" w:ascii="宋体" w:hAnsi="宋体" w:cs="宋体"/>
                <w:sz w:val="22"/>
                <w:szCs w:val="22"/>
              </w:rPr>
              <w:t>5</w:t>
            </w:r>
          </w:p>
        </w:tc>
      </w:tr>
      <w:tr w14:paraId="531D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0" w:type="dxa"/>
            <w:noWrap/>
            <w:vAlign w:val="center"/>
          </w:tcPr>
          <w:p w14:paraId="5F89B517">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1335" w:type="dxa"/>
            <w:vAlign w:val="center"/>
          </w:tcPr>
          <w:p w14:paraId="3E366926">
            <w:pPr>
              <w:widowControl/>
              <w:jc w:val="center"/>
              <w:rPr>
                <w:rFonts w:ascii="宋体" w:hAnsi="宋体" w:cs="宋体"/>
                <w:sz w:val="22"/>
                <w:szCs w:val="22"/>
              </w:rPr>
            </w:pPr>
            <w:r>
              <w:rPr>
                <w:rFonts w:hint="eastAsia" w:ascii="宋体" w:hAnsi="宋体" w:cs="宋体"/>
                <w:sz w:val="22"/>
                <w:szCs w:val="22"/>
              </w:rPr>
              <w:t>数据共享运营服务方案</w:t>
            </w:r>
          </w:p>
        </w:tc>
        <w:tc>
          <w:tcPr>
            <w:tcW w:w="6880" w:type="dxa"/>
            <w:vAlign w:val="center"/>
          </w:tcPr>
          <w:p w14:paraId="73C558D4">
            <w:pPr>
              <w:widowControl/>
              <w:jc w:val="left"/>
              <w:rPr>
                <w:rFonts w:ascii="宋体" w:hAnsi="宋体" w:cs="宋体"/>
                <w:sz w:val="22"/>
                <w:szCs w:val="22"/>
              </w:rPr>
            </w:pPr>
            <w:r>
              <w:rPr>
                <w:rFonts w:hint="eastAsia" w:ascii="宋体" w:hAnsi="宋体" w:cs="宋体"/>
                <w:sz w:val="22"/>
                <w:szCs w:val="22"/>
              </w:rPr>
              <w:t>针对投标人对数据共享子系统日常运营服务的实施方案，提供7*24小时日常运营响应，提供接口开发、业务系统对接服务，省IRS平台对接服务。根据合理性、实用性、可行性综合评价：（5，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3F63A236">
            <w:pPr>
              <w:widowControl/>
              <w:jc w:val="center"/>
              <w:rPr>
                <w:rFonts w:ascii="宋体" w:hAnsi="宋体" w:cs="宋体"/>
                <w:sz w:val="22"/>
                <w:szCs w:val="22"/>
              </w:rPr>
            </w:pPr>
            <w:r>
              <w:rPr>
                <w:rFonts w:hint="eastAsia" w:ascii="宋体" w:hAnsi="宋体" w:cs="宋体"/>
                <w:sz w:val="22"/>
                <w:szCs w:val="22"/>
              </w:rPr>
              <w:t>5</w:t>
            </w:r>
          </w:p>
        </w:tc>
      </w:tr>
      <w:tr w14:paraId="482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0" w:type="dxa"/>
            <w:noWrap/>
            <w:vAlign w:val="center"/>
          </w:tcPr>
          <w:p w14:paraId="474E0F35">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1335" w:type="dxa"/>
            <w:vAlign w:val="center"/>
          </w:tcPr>
          <w:p w14:paraId="734055B4">
            <w:pPr>
              <w:widowControl/>
              <w:jc w:val="center"/>
              <w:rPr>
                <w:rFonts w:ascii="宋体" w:hAnsi="宋体" w:cs="宋体"/>
                <w:sz w:val="22"/>
                <w:szCs w:val="22"/>
              </w:rPr>
            </w:pPr>
            <w:r>
              <w:rPr>
                <w:rFonts w:hint="eastAsia" w:ascii="宋体" w:hAnsi="宋体" w:cs="宋体"/>
                <w:sz w:val="22"/>
                <w:szCs w:val="22"/>
              </w:rPr>
              <w:t>数据分析支撑服务方案</w:t>
            </w:r>
          </w:p>
        </w:tc>
        <w:tc>
          <w:tcPr>
            <w:tcW w:w="6880" w:type="dxa"/>
            <w:vAlign w:val="center"/>
          </w:tcPr>
          <w:p w14:paraId="4C908C6D">
            <w:pPr>
              <w:widowControl/>
              <w:jc w:val="left"/>
              <w:rPr>
                <w:rFonts w:ascii="宋体" w:hAnsi="宋体" w:cs="宋体"/>
                <w:sz w:val="22"/>
                <w:szCs w:val="22"/>
              </w:rPr>
            </w:pPr>
            <w:r>
              <w:rPr>
                <w:rFonts w:hint="eastAsia" w:ascii="宋体" w:hAnsi="宋体" w:cs="宋体"/>
                <w:sz w:val="22"/>
                <w:szCs w:val="22"/>
              </w:rPr>
              <w:t>针对投标人对数据分析子系统日常运营服务的实施方案，提供7*24小时日常运营响应,提供报表开发以及报表维护，根据合理性、实用性、可行性综合评价：（5，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30924827">
            <w:pPr>
              <w:widowControl/>
              <w:jc w:val="center"/>
              <w:rPr>
                <w:rFonts w:ascii="宋体" w:hAnsi="宋体" w:cs="宋体"/>
                <w:sz w:val="22"/>
                <w:szCs w:val="22"/>
              </w:rPr>
            </w:pPr>
            <w:r>
              <w:rPr>
                <w:rFonts w:hint="eastAsia" w:ascii="宋体" w:hAnsi="宋体" w:cs="宋体"/>
                <w:sz w:val="22"/>
                <w:szCs w:val="22"/>
              </w:rPr>
              <w:t>5</w:t>
            </w:r>
          </w:p>
        </w:tc>
      </w:tr>
      <w:tr w14:paraId="276B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Merge w:val="restart"/>
            <w:shd w:val="clear" w:color="auto" w:fill="auto"/>
            <w:noWrap/>
            <w:vAlign w:val="center"/>
          </w:tcPr>
          <w:p w14:paraId="03EE94D3">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9</w:t>
            </w:r>
          </w:p>
        </w:tc>
        <w:tc>
          <w:tcPr>
            <w:tcW w:w="1335" w:type="dxa"/>
            <w:vMerge w:val="restart"/>
            <w:shd w:val="clear" w:color="000000" w:fill="FFFFFF"/>
            <w:vAlign w:val="center"/>
          </w:tcPr>
          <w:p w14:paraId="28B93DBB">
            <w:pPr>
              <w:widowControl/>
              <w:jc w:val="center"/>
              <w:rPr>
                <w:rFonts w:ascii="宋体" w:hAnsi="宋体" w:cs="宋体"/>
                <w:sz w:val="22"/>
                <w:szCs w:val="22"/>
              </w:rPr>
            </w:pPr>
            <w:r>
              <w:rPr>
                <w:rFonts w:hint="eastAsia" w:ascii="宋体" w:hAnsi="宋体" w:cs="宋体"/>
                <w:sz w:val="22"/>
                <w:szCs w:val="22"/>
              </w:rPr>
              <w:t>数据库及主机运营服务方案</w:t>
            </w:r>
          </w:p>
        </w:tc>
        <w:tc>
          <w:tcPr>
            <w:tcW w:w="6880" w:type="dxa"/>
            <w:shd w:val="clear" w:color="000000" w:fill="FFFFFF"/>
            <w:vAlign w:val="center"/>
          </w:tcPr>
          <w:p w14:paraId="34726B1F">
            <w:pPr>
              <w:widowControl/>
              <w:jc w:val="left"/>
              <w:rPr>
                <w:rFonts w:ascii="宋体" w:hAnsi="宋体" w:cs="宋体"/>
                <w:sz w:val="22"/>
                <w:szCs w:val="22"/>
              </w:rPr>
            </w:pPr>
            <w:r>
              <w:rPr>
                <w:rFonts w:hint="eastAsia" w:ascii="宋体" w:hAnsi="宋体" w:cs="宋体"/>
                <w:sz w:val="22"/>
                <w:szCs w:val="22"/>
              </w:rPr>
              <w:t>针对投标人对数据库日常运营服务的实施方案，提供7*24小时日常运营响应,提供数据巡检、性能优化、权限管控</w:t>
            </w:r>
            <w:r>
              <w:rPr>
                <w:rFonts w:hint="eastAsia" w:ascii="宋体" w:hAnsi="宋体" w:cs="宋体"/>
                <w:sz w:val="22"/>
                <w:szCs w:val="22"/>
                <w:lang w:eastAsia="zh-CN"/>
              </w:rPr>
              <w:t>，以及</w:t>
            </w:r>
            <w:r>
              <w:rPr>
                <w:rFonts w:hint="eastAsia" w:ascii="宋体" w:hAnsi="宋体" w:cs="宋体"/>
                <w:sz w:val="22"/>
                <w:szCs w:val="22"/>
              </w:rPr>
              <w:t>监测和备份方案，根据合理性、实用性、可行性综合评价：（5，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6C264575">
            <w:pPr>
              <w:widowControl/>
              <w:jc w:val="center"/>
              <w:rPr>
                <w:rFonts w:ascii="宋体" w:hAnsi="宋体" w:cs="宋体"/>
                <w:sz w:val="22"/>
                <w:szCs w:val="22"/>
              </w:rPr>
            </w:pPr>
            <w:r>
              <w:rPr>
                <w:rFonts w:hint="eastAsia" w:ascii="宋体" w:hAnsi="宋体" w:cs="宋体"/>
                <w:sz w:val="22"/>
                <w:szCs w:val="22"/>
              </w:rPr>
              <w:t>5</w:t>
            </w:r>
          </w:p>
        </w:tc>
      </w:tr>
      <w:tr w14:paraId="34AF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Merge w:val="continue"/>
            <w:shd w:val="clear" w:color="auto" w:fill="auto"/>
            <w:vAlign w:val="center"/>
          </w:tcPr>
          <w:p w14:paraId="6E54E48B">
            <w:pPr>
              <w:widowControl/>
              <w:jc w:val="left"/>
              <w:rPr>
                <w:rFonts w:ascii="宋体" w:hAnsi="宋体" w:cs="宋体"/>
                <w:sz w:val="22"/>
                <w:szCs w:val="22"/>
              </w:rPr>
            </w:pPr>
          </w:p>
        </w:tc>
        <w:tc>
          <w:tcPr>
            <w:tcW w:w="1335" w:type="dxa"/>
            <w:vMerge w:val="continue"/>
            <w:shd w:val="clear" w:color="auto" w:fill="auto"/>
            <w:vAlign w:val="center"/>
          </w:tcPr>
          <w:p w14:paraId="20D360AD">
            <w:pPr>
              <w:widowControl/>
              <w:jc w:val="center"/>
              <w:rPr>
                <w:rFonts w:ascii="宋体" w:hAnsi="宋体" w:cs="宋体"/>
                <w:sz w:val="22"/>
                <w:szCs w:val="22"/>
              </w:rPr>
            </w:pPr>
          </w:p>
        </w:tc>
        <w:tc>
          <w:tcPr>
            <w:tcW w:w="6880" w:type="dxa"/>
            <w:shd w:val="clear" w:color="000000" w:fill="FFFFFF"/>
            <w:vAlign w:val="center"/>
          </w:tcPr>
          <w:p w14:paraId="113E17B9">
            <w:pPr>
              <w:widowControl/>
              <w:jc w:val="left"/>
              <w:rPr>
                <w:rFonts w:ascii="宋体" w:hAnsi="宋体" w:cs="宋体"/>
                <w:sz w:val="22"/>
                <w:szCs w:val="22"/>
              </w:rPr>
            </w:pPr>
            <w:r>
              <w:rPr>
                <w:rFonts w:hint="eastAsia" w:ascii="宋体" w:hAnsi="宋体" w:cs="宋体"/>
                <w:sz w:val="22"/>
                <w:szCs w:val="22"/>
              </w:rPr>
              <w:t>针对投标人对主机日常运营服务的实施方案，提供7*24小时日常运营响应,提供主机巡检、性能优化、访问控制、以及监测和漏扫方案，根据合理性、实用性、可行性综合评价：（5，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42AC4510">
            <w:pPr>
              <w:widowControl/>
              <w:jc w:val="center"/>
              <w:rPr>
                <w:rFonts w:ascii="宋体" w:hAnsi="宋体" w:cs="宋体"/>
                <w:sz w:val="22"/>
                <w:szCs w:val="22"/>
              </w:rPr>
            </w:pPr>
            <w:r>
              <w:rPr>
                <w:rFonts w:hint="eastAsia" w:ascii="宋体" w:hAnsi="宋体" w:cs="宋体"/>
                <w:sz w:val="22"/>
                <w:szCs w:val="22"/>
              </w:rPr>
              <w:t>5</w:t>
            </w:r>
          </w:p>
        </w:tc>
      </w:tr>
      <w:tr w14:paraId="6949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73F0878B">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1335" w:type="dxa"/>
            <w:vAlign w:val="center"/>
          </w:tcPr>
          <w:p w14:paraId="235BB571">
            <w:pPr>
              <w:widowControl/>
              <w:jc w:val="center"/>
              <w:rPr>
                <w:rFonts w:ascii="宋体" w:hAnsi="宋体" w:cs="宋体"/>
                <w:sz w:val="22"/>
                <w:szCs w:val="22"/>
              </w:rPr>
            </w:pPr>
            <w:r>
              <w:rPr>
                <w:rFonts w:hint="eastAsia" w:ascii="宋体" w:hAnsi="宋体" w:cs="宋体"/>
                <w:sz w:val="22"/>
                <w:szCs w:val="22"/>
              </w:rPr>
              <w:t>数据相关产品建设支撑</w:t>
            </w:r>
          </w:p>
        </w:tc>
        <w:tc>
          <w:tcPr>
            <w:tcW w:w="6880" w:type="dxa"/>
            <w:vAlign w:val="center"/>
          </w:tcPr>
          <w:p w14:paraId="07E5D386">
            <w:pPr>
              <w:widowControl/>
              <w:jc w:val="left"/>
              <w:rPr>
                <w:rFonts w:ascii="宋体" w:hAnsi="宋体" w:cs="宋体"/>
                <w:sz w:val="22"/>
                <w:szCs w:val="22"/>
              </w:rPr>
            </w:pPr>
            <w:r>
              <w:rPr>
                <w:rFonts w:hint="eastAsia" w:ascii="宋体" w:hAnsi="宋体" w:cs="宋体"/>
                <w:sz w:val="22"/>
                <w:szCs w:val="22"/>
              </w:rPr>
              <w:t>针对投标人对数据产品（包括专题库、主题库、数据仓等）的建设工作实施方案，指导和支撑服务的详细程度、合理性和可行性，综合评价：（5，</w:t>
            </w:r>
            <w:r>
              <w:rPr>
                <w:rFonts w:hint="eastAsia" w:ascii="宋体" w:hAnsi="宋体" w:cs="宋体"/>
                <w:sz w:val="22"/>
                <w:szCs w:val="22"/>
                <w:lang w:val="en-US" w:eastAsia="zh-CN"/>
              </w:rPr>
              <w:t>4，</w:t>
            </w:r>
            <w:r>
              <w:rPr>
                <w:rFonts w:hint="eastAsia" w:ascii="宋体" w:hAnsi="宋体" w:cs="宋体"/>
                <w:sz w:val="22"/>
                <w:szCs w:val="22"/>
              </w:rPr>
              <w:t>3，1，0）</w:t>
            </w:r>
          </w:p>
        </w:tc>
        <w:tc>
          <w:tcPr>
            <w:tcW w:w="805" w:type="dxa"/>
            <w:noWrap/>
            <w:vAlign w:val="center"/>
          </w:tcPr>
          <w:p w14:paraId="78E30200">
            <w:pPr>
              <w:widowControl/>
              <w:jc w:val="center"/>
              <w:rPr>
                <w:rFonts w:ascii="宋体" w:hAnsi="宋体" w:cs="宋体"/>
                <w:sz w:val="22"/>
                <w:szCs w:val="22"/>
              </w:rPr>
            </w:pPr>
            <w:r>
              <w:rPr>
                <w:rFonts w:hint="eastAsia" w:ascii="宋体" w:hAnsi="宋体" w:cs="宋体"/>
                <w:sz w:val="22"/>
                <w:szCs w:val="22"/>
              </w:rPr>
              <w:t>5</w:t>
            </w:r>
          </w:p>
        </w:tc>
      </w:tr>
      <w:tr w14:paraId="6E37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5D6EE25C">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w:t>
            </w:r>
          </w:p>
        </w:tc>
        <w:tc>
          <w:tcPr>
            <w:tcW w:w="1335" w:type="dxa"/>
            <w:vAlign w:val="center"/>
          </w:tcPr>
          <w:p w14:paraId="21D30CDA">
            <w:pPr>
              <w:widowControl/>
              <w:jc w:val="center"/>
              <w:rPr>
                <w:rFonts w:ascii="宋体" w:hAnsi="宋体" w:cs="宋体"/>
                <w:sz w:val="22"/>
                <w:szCs w:val="22"/>
              </w:rPr>
            </w:pPr>
            <w:r>
              <w:rPr>
                <w:rFonts w:hint="eastAsia" w:ascii="宋体" w:hAnsi="宋体" w:cs="宋体"/>
                <w:sz w:val="22"/>
                <w:szCs w:val="22"/>
              </w:rPr>
              <w:t>数据技术培训咨询服务</w:t>
            </w:r>
          </w:p>
        </w:tc>
        <w:tc>
          <w:tcPr>
            <w:tcW w:w="6880" w:type="dxa"/>
            <w:vAlign w:val="center"/>
          </w:tcPr>
          <w:p w14:paraId="35CCA890">
            <w:pPr>
              <w:widowControl/>
              <w:jc w:val="left"/>
              <w:rPr>
                <w:rFonts w:ascii="宋体" w:hAnsi="宋体" w:cs="宋体"/>
                <w:sz w:val="22"/>
                <w:szCs w:val="22"/>
              </w:rPr>
            </w:pPr>
            <w:r>
              <w:rPr>
                <w:rFonts w:hint="eastAsia" w:ascii="宋体" w:hAnsi="宋体" w:cs="宋体"/>
                <w:sz w:val="22"/>
                <w:szCs w:val="22"/>
              </w:rPr>
              <w:t>对培训计划（包括培训内容、时间、地点、人次；系统培训，重点培训为维护、调试、配置及使用技能；业务人员培训，重点对相应应用的操作、使用）的详细程度、合理性和可行性，综合评价：（3，2，1，0）</w:t>
            </w:r>
          </w:p>
        </w:tc>
        <w:tc>
          <w:tcPr>
            <w:tcW w:w="805" w:type="dxa"/>
            <w:noWrap/>
            <w:vAlign w:val="center"/>
          </w:tcPr>
          <w:p w14:paraId="459E335F">
            <w:pPr>
              <w:widowControl/>
              <w:jc w:val="center"/>
              <w:rPr>
                <w:rFonts w:ascii="宋体" w:hAnsi="宋体" w:cs="宋体"/>
                <w:sz w:val="22"/>
                <w:szCs w:val="22"/>
              </w:rPr>
            </w:pPr>
            <w:r>
              <w:rPr>
                <w:rFonts w:hint="eastAsia" w:ascii="宋体" w:hAnsi="宋体" w:cs="宋体"/>
                <w:sz w:val="22"/>
                <w:szCs w:val="22"/>
              </w:rPr>
              <w:t>3</w:t>
            </w:r>
          </w:p>
        </w:tc>
      </w:tr>
      <w:tr w14:paraId="3352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0" w:type="dxa"/>
            <w:noWrap/>
            <w:vAlign w:val="center"/>
          </w:tcPr>
          <w:p w14:paraId="51E9157E">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12</w:t>
            </w:r>
          </w:p>
        </w:tc>
        <w:tc>
          <w:tcPr>
            <w:tcW w:w="1335" w:type="dxa"/>
            <w:vAlign w:val="center"/>
          </w:tcPr>
          <w:p w14:paraId="126F015F">
            <w:pPr>
              <w:widowControl/>
              <w:jc w:val="center"/>
              <w:rPr>
                <w:rFonts w:ascii="宋体" w:hAnsi="宋体" w:cs="宋体"/>
                <w:sz w:val="22"/>
                <w:szCs w:val="22"/>
              </w:rPr>
            </w:pPr>
            <w:r>
              <w:rPr>
                <w:rFonts w:hint="eastAsia" w:ascii="宋体" w:hAnsi="宋体" w:cs="宋体"/>
                <w:sz w:val="22"/>
                <w:szCs w:val="22"/>
              </w:rPr>
              <w:t>数据资产入表服务</w:t>
            </w:r>
          </w:p>
        </w:tc>
        <w:tc>
          <w:tcPr>
            <w:tcW w:w="6880" w:type="dxa"/>
            <w:vAlign w:val="center"/>
          </w:tcPr>
          <w:p w14:paraId="6997E270">
            <w:pPr>
              <w:widowControl/>
              <w:jc w:val="left"/>
              <w:rPr>
                <w:rFonts w:hint="eastAsia" w:ascii="宋体" w:hAnsi="宋体" w:cs="宋体"/>
                <w:sz w:val="22"/>
                <w:szCs w:val="22"/>
                <w:highlight w:val="none"/>
              </w:rPr>
            </w:pPr>
            <w:r>
              <w:rPr>
                <w:rFonts w:hint="eastAsia" w:ascii="宋体" w:hAnsi="宋体" w:cs="宋体"/>
                <w:sz w:val="22"/>
                <w:szCs w:val="22"/>
                <w:highlight w:val="none"/>
              </w:rPr>
              <w:t>由专家评委结合投标人所使用的服务工具、供应商的服务资质及人员资质以及服务方案的完整性、合理性、可行性进行综合评价：</w:t>
            </w:r>
            <w:r>
              <w:rPr>
                <w:rFonts w:hint="eastAsia" w:ascii="宋体" w:hAnsi="宋体" w:cs="宋体"/>
                <w:kern w:val="0"/>
                <w:sz w:val="22"/>
                <w:szCs w:val="22"/>
                <w:highlight w:val="none"/>
              </w:rPr>
              <w:t>（</w:t>
            </w:r>
            <w:r>
              <w:rPr>
                <w:rFonts w:ascii="宋体" w:hAnsi="宋体" w:cs="宋体"/>
                <w:kern w:val="0"/>
                <w:sz w:val="22"/>
                <w:szCs w:val="22"/>
                <w:highlight w:val="none"/>
              </w:rPr>
              <w:t>6</w:t>
            </w:r>
            <w:r>
              <w:rPr>
                <w:rFonts w:hint="eastAsia" w:ascii="宋体" w:hAnsi="宋体" w:cs="宋体"/>
                <w:kern w:val="0"/>
                <w:sz w:val="22"/>
                <w:szCs w:val="22"/>
                <w:highlight w:val="none"/>
              </w:rPr>
              <w:t>，</w:t>
            </w:r>
            <w:r>
              <w:rPr>
                <w:rFonts w:ascii="宋体" w:hAnsi="宋体" w:cs="宋体"/>
                <w:kern w:val="0"/>
                <w:sz w:val="22"/>
                <w:szCs w:val="22"/>
                <w:highlight w:val="none"/>
              </w:rPr>
              <w:t>4</w:t>
            </w:r>
            <w:r>
              <w:rPr>
                <w:rFonts w:hint="eastAsia" w:ascii="宋体" w:hAnsi="宋体" w:cs="宋体"/>
                <w:kern w:val="0"/>
                <w:sz w:val="22"/>
                <w:szCs w:val="22"/>
                <w:highlight w:val="none"/>
              </w:rPr>
              <w:t>，</w:t>
            </w:r>
            <w:r>
              <w:rPr>
                <w:rFonts w:ascii="宋体" w:hAnsi="宋体" w:cs="宋体"/>
                <w:kern w:val="0"/>
                <w:sz w:val="22"/>
                <w:szCs w:val="22"/>
                <w:highlight w:val="none"/>
              </w:rPr>
              <w:t>2</w:t>
            </w:r>
            <w:r>
              <w:rPr>
                <w:rFonts w:hint="eastAsia" w:ascii="宋体" w:hAnsi="宋体" w:cs="宋体"/>
                <w:kern w:val="0"/>
                <w:sz w:val="22"/>
                <w:szCs w:val="22"/>
                <w:highlight w:val="none"/>
              </w:rPr>
              <w:t>，</w:t>
            </w:r>
            <w:r>
              <w:rPr>
                <w:rFonts w:ascii="宋体" w:hAnsi="宋体" w:cs="宋体"/>
                <w:kern w:val="0"/>
                <w:sz w:val="22"/>
                <w:szCs w:val="22"/>
                <w:highlight w:val="none"/>
              </w:rPr>
              <w:t>1</w:t>
            </w:r>
            <w:r>
              <w:rPr>
                <w:rFonts w:hint="eastAsia" w:ascii="宋体" w:hAnsi="宋体" w:cs="宋体"/>
                <w:kern w:val="0"/>
                <w:sz w:val="22"/>
                <w:szCs w:val="22"/>
                <w:highlight w:val="none"/>
              </w:rPr>
              <w:t>，</w:t>
            </w:r>
            <w:r>
              <w:rPr>
                <w:rFonts w:ascii="宋体" w:hAnsi="宋体" w:cs="宋体"/>
                <w:kern w:val="0"/>
                <w:sz w:val="22"/>
                <w:szCs w:val="22"/>
                <w:highlight w:val="none"/>
              </w:rPr>
              <w:t>0）</w:t>
            </w:r>
          </w:p>
        </w:tc>
        <w:tc>
          <w:tcPr>
            <w:tcW w:w="805" w:type="dxa"/>
            <w:noWrap/>
            <w:vAlign w:val="center"/>
          </w:tcPr>
          <w:p w14:paraId="01CF778A">
            <w:pPr>
              <w:widowControl/>
              <w:jc w:val="center"/>
              <w:rPr>
                <w:rFonts w:ascii="宋体" w:hAnsi="宋体" w:cs="宋体"/>
                <w:sz w:val="22"/>
                <w:szCs w:val="22"/>
                <w:highlight w:val="none"/>
              </w:rPr>
            </w:pPr>
            <w:r>
              <w:rPr>
                <w:rFonts w:ascii="宋体" w:hAnsi="宋体" w:cs="宋体"/>
                <w:sz w:val="22"/>
                <w:szCs w:val="22"/>
                <w:highlight w:val="none"/>
              </w:rPr>
              <w:t>6</w:t>
            </w:r>
          </w:p>
        </w:tc>
      </w:tr>
      <w:tr w14:paraId="4A4C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07C12BCF">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1335" w:type="dxa"/>
            <w:vAlign w:val="center"/>
          </w:tcPr>
          <w:p w14:paraId="5BF754A5">
            <w:pPr>
              <w:widowControl/>
              <w:jc w:val="center"/>
              <w:rPr>
                <w:rFonts w:ascii="宋体" w:hAnsi="宋体" w:cs="宋体"/>
                <w:sz w:val="22"/>
                <w:szCs w:val="22"/>
              </w:rPr>
            </w:pPr>
            <w:r>
              <w:rPr>
                <w:rFonts w:hint="eastAsia" w:ascii="宋体" w:hAnsi="宋体" w:cs="宋体"/>
                <w:sz w:val="22"/>
                <w:szCs w:val="22"/>
              </w:rPr>
              <w:t>数据要素×创新服务</w:t>
            </w:r>
          </w:p>
        </w:tc>
        <w:tc>
          <w:tcPr>
            <w:tcW w:w="6880" w:type="dxa"/>
            <w:vAlign w:val="center"/>
          </w:tcPr>
          <w:p w14:paraId="61733D1E">
            <w:pPr>
              <w:widowControl/>
              <w:rPr>
                <w:rFonts w:ascii="宋体" w:hAnsi="宋体" w:cs="宋体"/>
                <w:sz w:val="22"/>
                <w:szCs w:val="22"/>
                <w:highlight w:val="none"/>
              </w:rPr>
            </w:pPr>
            <w:r>
              <w:rPr>
                <w:rFonts w:hint="eastAsia" w:ascii="宋体" w:hAnsi="宋体" w:cs="宋体"/>
                <w:sz w:val="22"/>
                <w:szCs w:val="22"/>
                <w:highlight w:val="none"/>
              </w:rPr>
              <w:t>对数据要素×创新服务方案</w:t>
            </w:r>
            <w:r>
              <w:rPr>
                <w:rFonts w:hint="eastAsia" w:ascii="宋体" w:hAnsi="宋体" w:cs="宋体"/>
                <w:kern w:val="0"/>
                <w:sz w:val="22"/>
                <w:szCs w:val="22"/>
                <w:highlight w:val="none"/>
              </w:rPr>
              <w:t>是否完整合理由评委进行打分：（6，4，2，1，0）</w:t>
            </w:r>
          </w:p>
        </w:tc>
        <w:tc>
          <w:tcPr>
            <w:tcW w:w="805" w:type="dxa"/>
            <w:noWrap/>
            <w:vAlign w:val="center"/>
          </w:tcPr>
          <w:p w14:paraId="74F632BF">
            <w:pPr>
              <w:widowControl/>
              <w:jc w:val="center"/>
              <w:rPr>
                <w:rFonts w:ascii="宋体" w:hAnsi="宋体" w:cs="宋体"/>
                <w:sz w:val="22"/>
                <w:szCs w:val="22"/>
                <w:highlight w:val="none"/>
              </w:rPr>
            </w:pPr>
            <w:r>
              <w:rPr>
                <w:rFonts w:hint="eastAsia" w:ascii="宋体" w:hAnsi="宋体" w:cs="宋体"/>
                <w:sz w:val="22"/>
                <w:szCs w:val="22"/>
                <w:highlight w:val="none"/>
              </w:rPr>
              <w:t>6</w:t>
            </w:r>
          </w:p>
        </w:tc>
      </w:tr>
      <w:tr w14:paraId="22C6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3F8AA0A7">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1335" w:type="dxa"/>
            <w:vAlign w:val="center"/>
          </w:tcPr>
          <w:p w14:paraId="73F51658">
            <w:pPr>
              <w:widowControl/>
              <w:jc w:val="center"/>
              <w:rPr>
                <w:rFonts w:ascii="宋体" w:hAnsi="宋体" w:cs="宋体"/>
                <w:sz w:val="22"/>
                <w:szCs w:val="22"/>
              </w:rPr>
            </w:pPr>
            <w:r>
              <w:rPr>
                <w:rFonts w:hint="eastAsia" w:ascii="宋体" w:hAnsi="宋体" w:cs="宋体"/>
                <w:sz w:val="22"/>
                <w:szCs w:val="22"/>
              </w:rPr>
              <w:t>数据安全服务</w:t>
            </w:r>
          </w:p>
        </w:tc>
        <w:tc>
          <w:tcPr>
            <w:tcW w:w="6880" w:type="dxa"/>
            <w:vAlign w:val="center"/>
          </w:tcPr>
          <w:p w14:paraId="600F048D">
            <w:pPr>
              <w:widowControl/>
              <w:jc w:val="left"/>
              <w:rPr>
                <w:rFonts w:hint="eastAsia" w:ascii="宋体" w:hAnsi="宋体" w:cs="宋体"/>
                <w:sz w:val="22"/>
                <w:szCs w:val="22"/>
              </w:rPr>
            </w:pPr>
            <w:r>
              <w:rPr>
                <w:rFonts w:hint="eastAsia" w:ascii="宋体" w:hAnsi="宋体" w:cs="宋体"/>
                <w:sz w:val="22"/>
                <w:szCs w:val="22"/>
              </w:rPr>
              <w:t>评标委员会视配置及技术参数的符合性打分，带★号需提供证明材料，每项得1分，最高15分。</w:t>
            </w:r>
            <w:r>
              <w:rPr>
                <w:rFonts w:hint="eastAsia" w:ascii="宋体" w:hAnsi="宋体" w:cs="宋体"/>
                <w:kern w:val="0"/>
                <w:sz w:val="22"/>
                <w:szCs w:val="22"/>
              </w:rPr>
              <w:t>（评审依据技术要求应答表，各投标人应准确对应采购技术参数逐条响应并根据要求提供佐证材料，未按要求提供佐证材料或材料无法辨识的不得分）。</w:t>
            </w:r>
          </w:p>
        </w:tc>
        <w:tc>
          <w:tcPr>
            <w:tcW w:w="805" w:type="dxa"/>
            <w:noWrap/>
            <w:vAlign w:val="center"/>
          </w:tcPr>
          <w:p w14:paraId="18FC3B46">
            <w:pPr>
              <w:widowControl/>
              <w:jc w:val="center"/>
              <w:rPr>
                <w:rFonts w:ascii="宋体" w:hAnsi="宋体" w:cs="宋体"/>
                <w:sz w:val="22"/>
                <w:szCs w:val="22"/>
              </w:rPr>
            </w:pPr>
            <w:r>
              <w:rPr>
                <w:rFonts w:hint="eastAsia" w:ascii="宋体" w:hAnsi="宋体" w:cs="宋体"/>
                <w:sz w:val="22"/>
                <w:szCs w:val="22"/>
              </w:rPr>
              <w:t>15</w:t>
            </w:r>
          </w:p>
        </w:tc>
      </w:tr>
      <w:tr w14:paraId="7CAA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noWrap/>
            <w:vAlign w:val="center"/>
          </w:tcPr>
          <w:p w14:paraId="0388D753">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1335" w:type="dxa"/>
            <w:vAlign w:val="center"/>
          </w:tcPr>
          <w:p w14:paraId="45718866">
            <w:pPr>
              <w:widowControl/>
              <w:jc w:val="center"/>
              <w:rPr>
                <w:rFonts w:ascii="宋体" w:hAnsi="宋体" w:cs="宋体"/>
                <w:sz w:val="22"/>
                <w:szCs w:val="22"/>
              </w:rPr>
            </w:pPr>
            <w:r>
              <w:rPr>
                <w:rFonts w:hint="eastAsia" w:ascii="宋体" w:hAnsi="宋体" w:cs="宋体"/>
                <w:sz w:val="22"/>
                <w:szCs w:val="22"/>
              </w:rPr>
              <w:t>项目团队人员技术力量</w:t>
            </w:r>
          </w:p>
        </w:tc>
        <w:tc>
          <w:tcPr>
            <w:tcW w:w="6880" w:type="dxa"/>
            <w:vAlign w:val="center"/>
          </w:tcPr>
          <w:p w14:paraId="7BACE2B6">
            <w:pPr>
              <w:widowControl/>
              <w:jc w:val="left"/>
              <w:rPr>
                <w:rFonts w:hint="default" w:ascii="宋体" w:hAnsi="宋体" w:cs="宋体"/>
                <w:sz w:val="22"/>
                <w:szCs w:val="22"/>
                <w:lang w:val="en-US"/>
              </w:rPr>
            </w:pPr>
            <w:bookmarkStart w:id="110" w:name="_GoBack"/>
            <w:r>
              <w:rPr>
                <w:rFonts w:hint="default" w:ascii="宋体" w:hAnsi="宋体" w:cs="宋体"/>
                <w:sz w:val="22"/>
                <w:szCs w:val="22"/>
                <w:lang w:val="en-US"/>
              </w:rPr>
              <w:t>项目负责人具备高级信息系统项目管理师，或注册信息安全专业人员(CISP)认证证书，或信息安全保障人员(CISAW)认证证书，得2分，最高得2分;</w:t>
            </w:r>
          </w:p>
          <w:p w14:paraId="71C9D50D">
            <w:pPr>
              <w:widowControl/>
              <w:jc w:val="left"/>
              <w:rPr>
                <w:rFonts w:hint="default" w:ascii="宋体" w:hAnsi="宋体" w:eastAsia="宋体" w:cs="宋体"/>
                <w:sz w:val="22"/>
                <w:szCs w:val="22"/>
                <w:lang w:val="en-US" w:eastAsia="zh-CN"/>
              </w:rPr>
            </w:pPr>
            <w:r>
              <w:rPr>
                <w:rFonts w:hint="default" w:ascii="宋体" w:hAnsi="宋体" w:cs="宋体"/>
                <w:sz w:val="22"/>
                <w:szCs w:val="22"/>
                <w:lang w:val="en-US"/>
              </w:rPr>
              <w:t>团队成员具有高级网络与信息安全工程师证书、中级系统集成项目管理工程师</w:t>
            </w:r>
            <w:r>
              <w:rPr>
                <w:rFonts w:hint="eastAsia" w:ascii="宋体" w:hAnsi="宋体" w:cs="宋体"/>
                <w:sz w:val="22"/>
                <w:szCs w:val="22"/>
                <w:lang w:val="en-US" w:eastAsia="zh-CN"/>
              </w:rPr>
              <w:t>证书</w:t>
            </w:r>
            <w:r>
              <w:rPr>
                <w:rFonts w:hint="default" w:ascii="宋体" w:hAnsi="宋体" w:cs="宋体"/>
                <w:sz w:val="22"/>
                <w:szCs w:val="22"/>
                <w:lang w:val="en-US"/>
              </w:rPr>
              <w:t>，每个证书得1</w:t>
            </w:r>
            <w:r>
              <w:rPr>
                <w:rFonts w:hint="eastAsia" w:ascii="宋体" w:hAnsi="宋体" w:cs="宋体"/>
                <w:sz w:val="22"/>
                <w:szCs w:val="22"/>
                <w:lang w:val="en-US" w:eastAsia="zh-CN"/>
              </w:rPr>
              <w:t>.5</w:t>
            </w:r>
            <w:r>
              <w:rPr>
                <w:rFonts w:hint="default" w:ascii="宋体" w:hAnsi="宋体" w:cs="宋体"/>
                <w:sz w:val="22"/>
                <w:szCs w:val="22"/>
                <w:lang w:val="en-US"/>
              </w:rPr>
              <w:t>分，最高得</w:t>
            </w:r>
            <w:r>
              <w:rPr>
                <w:rFonts w:hint="eastAsia" w:ascii="宋体" w:hAnsi="宋体" w:cs="宋体"/>
                <w:sz w:val="22"/>
                <w:szCs w:val="22"/>
                <w:lang w:val="en-US" w:eastAsia="zh-CN"/>
              </w:rPr>
              <w:t>3分；</w:t>
            </w:r>
          </w:p>
          <w:p w14:paraId="430343E5">
            <w:pPr>
              <w:widowControl/>
              <w:jc w:val="left"/>
              <w:rPr>
                <w:rFonts w:hint="default" w:ascii="宋体" w:hAnsi="宋体" w:cs="宋体"/>
                <w:sz w:val="22"/>
                <w:szCs w:val="22"/>
                <w:lang w:val="en-US"/>
              </w:rPr>
            </w:pPr>
            <w:r>
              <w:rPr>
                <w:rFonts w:hint="default" w:ascii="宋体" w:hAnsi="宋体" w:cs="宋体"/>
                <w:sz w:val="22"/>
                <w:szCs w:val="22"/>
                <w:lang w:val="en-US"/>
              </w:rPr>
              <w:t>注:①以上项目人员需提供完整有效的证书扫描件</w:t>
            </w:r>
            <w:r>
              <w:rPr>
                <w:rFonts w:hint="eastAsia" w:ascii="宋体" w:hAnsi="宋体" w:cs="宋体"/>
                <w:sz w:val="22"/>
                <w:szCs w:val="22"/>
                <w:lang w:val="en-US" w:eastAsia="zh-CN"/>
              </w:rPr>
              <w:t>或有效的相关证明材料复印件，</w:t>
            </w:r>
            <w:r>
              <w:rPr>
                <w:rFonts w:hint="default" w:ascii="宋体" w:hAnsi="宋体" w:cs="宋体"/>
                <w:sz w:val="22"/>
                <w:szCs w:val="22"/>
                <w:lang w:val="en-US"/>
              </w:rPr>
              <w:t>并加盖</w:t>
            </w:r>
            <w:r>
              <w:rPr>
                <w:rFonts w:hint="eastAsia" w:ascii="宋体" w:hAnsi="宋体" w:cs="宋体"/>
                <w:sz w:val="22"/>
                <w:szCs w:val="22"/>
                <w:lang w:val="en-US" w:eastAsia="zh-CN"/>
              </w:rPr>
              <w:t>单位</w:t>
            </w:r>
            <w:r>
              <w:rPr>
                <w:rFonts w:hint="default" w:ascii="宋体" w:hAnsi="宋体" w:cs="宋体"/>
                <w:sz w:val="22"/>
                <w:szCs w:val="22"/>
                <w:lang w:val="en-US"/>
              </w:rPr>
              <w:t>公章;</w:t>
            </w:r>
          </w:p>
          <w:p w14:paraId="6CB73A66">
            <w:pPr>
              <w:widowControl/>
              <w:jc w:val="left"/>
              <w:rPr>
                <w:rFonts w:ascii="宋体" w:hAnsi="宋体" w:cs="宋体"/>
                <w:sz w:val="22"/>
                <w:szCs w:val="22"/>
              </w:rPr>
            </w:pPr>
            <w:r>
              <w:rPr>
                <w:rFonts w:hint="default" w:ascii="宋体" w:hAnsi="宋体" w:cs="宋体"/>
                <w:sz w:val="22"/>
                <w:szCs w:val="22"/>
                <w:lang w:val="en-US"/>
              </w:rPr>
              <w:t>②提供以上人员在投标截止时间前3个月内由社会保险基金管理部门出具的社保证明，社保缴纳单位应与投标供应商名称一致，否则不得分。</w:t>
            </w:r>
            <w:bookmarkEnd w:id="110"/>
          </w:p>
        </w:tc>
        <w:tc>
          <w:tcPr>
            <w:tcW w:w="805" w:type="dxa"/>
            <w:noWrap/>
            <w:vAlign w:val="center"/>
          </w:tcPr>
          <w:p w14:paraId="575314E0">
            <w:pPr>
              <w:widowControl/>
              <w:jc w:val="center"/>
              <w:rPr>
                <w:rFonts w:ascii="宋体" w:hAnsi="宋体" w:cs="宋体"/>
                <w:sz w:val="22"/>
                <w:szCs w:val="22"/>
              </w:rPr>
            </w:pPr>
            <w:r>
              <w:rPr>
                <w:rFonts w:hint="default" w:ascii="宋体" w:hAnsi="宋体" w:cs="宋体"/>
                <w:sz w:val="22"/>
                <w:szCs w:val="22"/>
                <w:lang w:eastAsia="zh-CN"/>
              </w:rPr>
              <w:t>5</w:t>
            </w:r>
          </w:p>
        </w:tc>
      </w:tr>
      <w:bookmarkEnd w:id="107"/>
    </w:tbl>
    <w:p w14:paraId="002B6CD3">
      <w:pPr>
        <w:tabs>
          <w:tab w:val="left" w:pos="6358"/>
        </w:tabs>
        <w:snapToGrid w:val="0"/>
        <w:spacing w:line="460" w:lineRule="exact"/>
        <w:rPr>
          <w:rFonts w:ascii="宋体" w:hAnsi="宋体" w:cs="宋体"/>
          <w:b/>
          <w:bCs/>
          <w:sz w:val="22"/>
          <w:szCs w:val="22"/>
        </w:rPr>
      </w:pPr>
      <w:r>
        <w:rPr>
          <w:rFonts w:hint="eastAsia" w:ascii="宋体" w:hAnsi="宋体" w:cs="宋体"/>
          <w:b/>
          <w:bCs/>
          <w:sz w:val="22"/>
          <w:szCs w:val="22"/>
        </w:rPr>
        <w:t>2.报价评分（10分）：</w:t>
      </w:r>
    </w:p>
    <w:p w14:paraId="5DE99EA5">
      <w:pPr>
        <w:spacing w:line="440" w:lineRule="exact"/>
        <w:ind w:firstLine="440" w:firstLineChars="200"/>
        <w:rPr>
          <w:rFonts w:ascii="宋体" w:hAnsi="宋体" w:cs="宋体"/>
          <w:sz w:val="22"/>
          <w:szCs w:val="22"/>
        </w:rPr>
      </w:pPr>
      <w:r>
        <w:rPr>
          <w:rFonts w:hint="eastAsia" w:ascii="宋体" w:hAnsi="宋体" w:cs="宋体"/>
          <w:sz w:val="22"/>
          <w:szCs w:val="22"/>
        </w:rPr>
        <w:t>满足竞争性磋商文件要求且最终报价的最低价作为评标基准价</w:t>
      </w:r>
    </w:p>
    <w:p w14:paraId="2A5F2478">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）有效供应商的最终报价等于评标基准价时，其最终报价评分值为满分10分；</w:t>
      </w:r>
    </w:p>
    <w:p w14:paraId="31F5C3D1">
      <w:pPr>
        <w:spacing w:line="440" w:lineRule="exact"/>
        <w:ind w:firstLine="330" w:firstLineChars="150"/>
        <w:rPr>
          <w:rFonts w:ascii="宋体" w:hAnsi="宋体" w:cs="宋体"/>
          <w:sz w:val="22"/>
          <w:szCs w:val="22"/>
        </w:rPr>
      </w:pPr>
      <w:r>
        <w:rPr>
          <w:rFonts w:hint="eastAsia" w:ascii="宋体" w:hAnsi="宋体" w:cs="宋体"/>
          <w:sz w:val="22"/>
          <w:lang w:val="en-US" w:eastAsia="zh-CN"/>
        </w:rPr>
        <w:t>（2）</w:t>
      </w:r>
      <w:r>
        <w:rPr>
          <w:rFonts w:hint="eastAsia" w:ascii="宋体" w:hAnsi="宋体" w:cs="宋体"/>
          <w:sz w:val="22"/>
        </w:rPr>
        <w:t>报价得分</w:t>
      </w:r>
      <w:r>
        <w:rPr>
          <w:rFonts w:hint="eastAsia" w:ascii="宋体" w:hAnsi="宋体" w:cs="宋体"/>
          <w:kern w:val="0"/>
          <w:sz w:val="22"/>
          <w:szCs w:val="22"/>
        </w:rPr>
        <w:t>=（评标基准价/供应商最终报价）×10</w:t>
      </w:r>
      <w:r>
        <w:rPr>
          <w:rFonts w:hint="eastAsia" w:ascii="宋体" w:hAnsi="宋体" w:cs="宋体"/>
          <w:sz w:val="22"/>
          <w:szCs w:val="22"/>
        </w:rPr>
        <w:t>（四舍五入，保留小数点后2位）；</w:t>
      </w:r>
    </w:p>
    <w:p w14:paraId="088924DB">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）如供应商报价超过项目采购预算金额或最高限价，其磋商响应文件作无效标处理；</w:t>
      </w:r>
    </w:p>
    <w:p w14:paraId="399CE3AA">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）所有供应商投标报价均超过项目采购预算金额或最高限价，项目按流（废）标处理，重新组织采购程序。</w:t>
      </w:r>
    </w:p>
    <w:p w14:paraId="2A350D6C">
      <w:pPr>
        <w:spacing w:line="440" w:lineRule="exact"/>
        <w:ind w:firstLine="331" w:firstLineChars="150"/>
        <w:rPr>
          <w:rFonts w:ascii="宋体" w:hAnsi="宋体" w:cs="宋体"/>
          <w:sz w:val="22"/>
          <w:szCs w:val="22"/>
        </w:rPr>
      </w:pPr>
      <w:r>
        <w:rPr>
          <w:rFonts w:hint="eastAsia" w:ascii="宋体" w:hAnsi="宋体" w:cs="宋体"/>
          <w:b/>
          <w:bCs/>
          <w:sz w:val="22"/>
          <w:szCs w:val="22"/>
        </w:rPr>
        <w:t>3.政府采购政策说明</w:t>
      </w:r>
      <w:r>
        <w:rPr>
          <w:rFonts w:hint="eastAsia" w:ascii="宋体" w:hAnsi="宋体" w:cs="宋体"/>
          <w:b/>
          <w:bCs/>
          <w:sz w:val="22"/>
          <w:szCs w:val="22"/>
        </w:rPr>
        <w:tab/>
      </w:r>
    </w:p>
    <w:p w14:paraId="418D7A95">
      <w:pPr>
        <w:spacing w:line="440" w:lineRule="exact"/>
        <w:ind w:firstLine="330" w:firstLineChars="150"/>
        <w:rPr>
          <w:rFonts w:ascii="宋体" w:hAnsi="宋体" w:cs="新宋体"/>
          <w:b/>
          <w:bCs/>
          <w:sz w:val="22"/>
          <w:szCs w:val="22"/>
        </w:rPr>
      </w:pPr>
      <w:r>
        <w:rPr>
          <w:rFonts w:hint="eastAsia" w:ascii="新宋体" w:hAnsi="新宋体" w:eastAsia="新宋体" w:cs="宋体"/>
          <w:bCs/>
          <w:sz w:val="22"/>
        </w:rPr>
        <w:t>（</w:t>
      </w:r>
      <w:r>
        <w:rPr>
          <w:rFonts w:ascii="新宋体" w:hAnsi="新宋体" w:eastAsia="新宋体" w:cs="宋体"/>
          <w:bCs/>
          <w:sz w:val="22"/>
        </w:rPr>
        <w:t>1</w:t>
      </w:r>
      <w:r>
        <w:rPr>
          <w:rFonts w:hint="eastAsia" w:ascii="新宋体" w:hAnsi="新宋体" w:eastAsia="新宋体" w:cs="宋体"/>
          <w:bCs/>
          <w:sz w:val="22"/>
        </w:rPr>
        <w:t>）</w:t>
      </w:r>
      <w:r>
        <w:rPr>
          <w:rFonts w:hint="eastAsia" w:ascii="新宋体" w:hAnsi="新宋体" w:eastAsia="新宋体" w:cs="新宋体"/>
          <w:b/>
          <w:sz w:val="22"/>
          <w:szCs w:val="22"/>
          <w:u w:val="single"/>
        </w:rPr>
        <w:t>本项目为</w:t>
      </w:r>
      <w:r>
        <w:rPr>
          <w:rFonts w:hint="eastAsia" w:ascii="宋体" w:hAnsi="宋体" w:cs="新宋体"/>
          <w:b/>
          <w:bCs/>
          <w:sz w:val="22"/>
          <w:szCs w:val="22"/>
          <w:u w:val="single"/>
        </w:rPr>
        <w:t>专门</w:t>
      </w:r>
      <w:r>
        <w:rPr>
          <w:rFonts w:hint="eastAsia" w:ascii="宋体" w:hAnsi="宋体" w:cs="宋体"/>
          <w:b w:val="0"/>
          <w:bCs w:val="0"/>
          <w:sz w:val="22"/>
          <w:szCs w:val="22"/>
          <w:u w:val="none"/>
        </w:rPr>
        <w:t>面向</w:t>
      </w:r>
      <w:r>
        <w:rPr>
          <w:rFonts w:hint="eastAsia" w:ascii="宋体" w:hAnsi="宋体" w:cs="新宋体"/>
          <w:b/>
          <w:bCs/>
          <w:sz w:val="22"/>
          <w:szCs w:val="22"/>
          <w:u w:val="single"/>
        </w:rPr>
        <w:t>中小企业/小微企业采购的项目，不再执行价格评审优惠的扶持政策</w:t>
      </w:r>
      <w:r>
        <w:rPr>
          <w:rFonts w:hint="eastAsia" w:ascii="宋体" w:hAnsi="宋体" w:cs="新宋体"/>
          <w:b/>
          <w:bCs/>
          <w:sz w:val="22"/>
          <w:szCs w:val="22"/>
        </w:rPr>
        <w:t>。</w:t>
      </w:r>
    </w:p>
    <w:p w14:paraId="2DFE80FB">
      <w:pPr>
        <w:spacing w:line="440" w:lineRule="exact"/>
        <w:ind w:firstLine="330" w:firstLineChars="150"/>
        <w:rPr>
          <w:rFonts w:ascii="新宋体" w:hAnsi="新宋体" w:eastAsia="新宋体" w:cs="新宋体"/>
          <w:sz w:val="22"/>
          <w:szCs w:val="22"/>
        </w:rPr>
      </w:pPr>
      <w:r>
        <w:rPr>
          <w:rFonts w:hint="eastAsia" w:ascii="新宋体" w:hAnsi="新宋体" w:eastAsia="新宋体" w:cs="宋体"/>
          <w:bCs/>
          <w:sz w:val="22"/>
        </w:rPr>
        <w:t>（</w:t>
      </w:r>
      <w:r>
        <w:rPr>
          <w:rFonts w:ascii="新宋体" w:hAnsi="新宋体" w:eastAsia="新宋体" w:cs="宋体"/>
          <w:bCs/>
          <w:sz w:val="22"/>
        </w:rPr>
        <w:t>2</w:t>
      </w:r>
      <w:r>
        <w:rPr>
          <w:rFonts w:hint="eastAsia" w:ascii="新宋体" w:hAnsi="新宋体" w:eastAsia="新宋体" w:cs="宋体"/>
          <w:bCs/>
          <w:sz w:val="22"/>
        </w:rPr>
        <w:t>）投标如缺少须</w:t>
      </w:r>
      <w:r>
        <w:rPr>
          <w:rFonts w:hint="eastAsia" w:ascii="宋体" w:hAnsi="宋体" w:eastAsia="宋体" w:cs="宋体"/>
          <w:bCs w:val="0"/>
          <w:sz w:val="22"/>
          <w:szCs w:val="22"/>
        </w:rPr>
        <w:t>提供</w:t>
      </w:r>
      <w:r>
        <w:rPr>
          <w:rFonts w:hint="eastAsia" w:ascii="新宋体" w:hAnsi="新宋体" w:eastAsia="新宋体" w:cs="宋体"/>
          <w:bCs/>
          <w:sz w:val="22"/>
        </w:rPr>
        <w:t>的一种功能或配置或服务，评标价将在其投标价的基础上加上其他供应商相应分项价格的最高价。如若中标，该缺漏项费用将由中标人自行承担</w:t>
      </w:r>
      <w:r>
        <w:rPr>
          <w:rFonts w:hint="eastAsia" w:ascii="新宋体" w:hAnsi="新宋体" w:eastAsia="新宋体" w:cs="新宋体"/>
          <w:sz w:val="22"/>
          <w:szCs w:val="22"/>
        </w:rPr>
        <w:t>。</w:t>
      </w:r>
    </w:p>
    <w:p w14:paraId="58565BDA">
      <w:pPr>
        <w:topLinePunct/>
        <w:spacing w:line="44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4.本项目采购预算金额为</w:t>
      </w:r>
      <w:r>
        <w:rPr>
          <w:rFonts w:hint="eastAsia" w:ascii="新宋体" w:hAnsi="新宋体" w:eastAsia="新宋体"/>
          <w:b/>
          <w:bCs/>
          <w:kern w:val="0"/>
          <w:sz w:val="22"/>
          <w:szCs w:val="22"/>
        </w:rPr>
        <w:t>1</w:t>
      </w:r>
      <w:r>
        <w:rPr>
          <w:rFonts w:hint="eastAsia" w:ascii="新宋体" w:hAnsi="新宋体" w:eastAsia="新宋体"/>
          <w:b/>
          <w:bCs/>
          <w:kern w:val="0"/>
          <w:sz w:val="22"/>
          <w:szCs w:val="22"/>
          <w:lang w:val="en-US" w:eastAsia="zh-CN"/>
        </w:rPr>
        <w:t>62</w:t>
      </w:r>
      <w:r>
        <w:rPr>
          <w:rFonts w:hint="eastAsia" w:ascii="新宋体" w:hAnsi="新宋体" w:eastAsia="新宋体" w:cs="新宋体"/>
          <w:b/>
          <w:bCs/>
          <w:kern w:val="0"/>
          <w:sz w:val="22"/>
          <w:szCs w:val="22"/>
        </w:rPr>
        <w:t>万元。</w:t>
      </w:r>
    </w:p>
    <w:p w14:paraId="672E3D4A">
      <w:pPr>
        <w:topLinePunct w:val="0"/>
        <w:spacing w:line="440" w:lineRule="exact"/>
        <w:ind w:firstLine="330" w:firstLineChars="150"/>
        <w:rPr>
          <w:rFonts w:ascii="新宋体" w:hAnsi="新宋体" w:eastAsia="新宋体" w:cs="新宋体"/>
          <w:sz w:val="22"/>
          <w:szCs w:val="22"/>
        </w:rPr>
      </w:pPr>
      <w:r>
        <w:rPr>
          <w:rFonts w:hint="eastAsia" w:ascii="新宋体" w:hAnsi="新宋体" w:eastAsia="新宋体" w:cs="新宋体"/>
          <w:sz w:val="22"/>
          <w:szCs w:val="22"/>
        </w:rPr>
        <w:t>（1）有效供应商的综合得分为商务技术分和报价分的总和；</w:t>
      </w:r>
    </w:p>
    <w:p w14:paraId="6ECACD4D">
      <w:pPr>
        <w:topLinePunct w:val="0"/>
        <w:spacing w:line="440" w:lineRule="exact"/>
        <w:ind w:firstLine="330" w:firstLineChars="150"/>
        <w:rPr>
          <w:rFonts w:ascii="宋体" w:hAnsi="宋体" w:cs="宋体"/>
          <w:sz w:val="22"/>
          <w:szCs w:val="22"/>
        </w:rPr>
      </w:pPr>
      <w:r>
        <w:rPr>
          <w:rFonts w:hint="eastAsia" w:ascii="新宋体" w:hAnsi="新宋体" w:eastAsia="新宋体" w:cs="新宋体"/>
          <w:sz w:val="22"/>
          <w:szCs w:val="22"/>
        </w:rPr>
        <w:t>（2）磋商小组按</w:t>
      </w:r>
      <w:r>
        <w:rPr>
          <w:rFonts w:hint="eastAsia" w:ascii="宋体" w:hAnsi="宋体" w:eastAsia="宋体" w:cs="宋体"/>
          <w:sz w:val="22"/>
          <w:szCs w:val="22"/>
        </w:rPr>
        <w:t>综合</w:t>
      </w:r>
      <w:r>
        <w:rPr>
          <w:rFonts w:hint="eastAsia" w:ascii="新宋体" w:hAnsi="新宋体" w:eastAsia="新宋体" w:cs="新宋体"/>
          <w:sz w:val="22"/>
          <w:szCs w:val="22"/>
        </w:rPr>
        <w:t>得分高低顺序排列，综合得分前两名供应商依次作为成交候选供应商和成交备选供应商向采购人推荐，并提交评审报告。得分相同的，按投标报价由低到高顺序排列</w:t>
      </w:r>
      <w:r>
        <w:rPr>
          <w:rFonts w:hint="eastAsia" w:ascii="宋体" w:hAnsi="宋体" w:cs="宋体"/>
          <w:sz w:val="22"/>
          <w:szCs w:val="22"/>
        </w:rPr>
        <w:t>。</w:t>
      </w:r>
    </w:p>
    <w:sectPr>
      <w:headerReference r:id="rId10" w:type="first"/>
      <w:footerReference r:id="rId12" w:type="first"/>
      <w:headerReference r:id="rId9" w:type="default"/>
      <w:footerReference r:id="rId11"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20B0604020000020204"/>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ZapfDingbatsNr2EFOP-Regular">
    <w:altName w:val="Microsoft YaHei UI"/>
    <w:panose1 w:val="020B0604020000020204"/>
    <w:charset w:val="00"/>
    <w:family w:val="auto"/>
    <w:pitch w:val="default"/>
    <w:sig w:usb0="00000000" w:usb1="00000000" w:usb2="00000010" w:usb3="00000000" w:csb0="00040001" w:csb1="00000000"/>
  </w:font>
  <w:font w:name="Helvetica">
    <w:panose1 w:val="020B0504020202030204"/>
    <w:charset w:val="00"/>
    <w:family w:val="auto"/>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Arial"/>
    <w:panose1 w:val="020B0604020000020204"/>
    <w:charset w:val="80"/>
    <w:family w:val="swiss"/>
    <w:pitch w:val="default"/>
    <w:sig w:usb0="00000000" w:usb1="00000000" w:usb2="0000003F" w:usb3="00000000" w:csb0="003F01FF" w:csb1="00000000"/>
  </w:font>
  <w:font w:name="Linotype Univers 330 Light">
    <w:altName w:val="Microsoft YaHei UI"/>
    <w:panose1 w:val="020B0604020000020204"/>
    <w:charset w:val="00"/>
    <w:family w:val="swiss"/>
    <w:pitch w:val="default"/>
    <w:sig w:usb0="00000000" w:usb1="00000000" w:usb2="00000010" w:usb3="00000000" w:csb0="00040000" w:csb1="00000000"/>
  </w:font>
  <w:font w:name="Times">
    <w:altName w:val="Times New Roman"/>
    <w:panose1 w:val="020B06040200000202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Microsoft YaHei UI"/>
    <w:panose1 w:val="020B0604020000020204"/>
    <w:charset w:val="00"/>
    <w:family w:val="swiss"/>
    <w:pitch w:val="default"/>
    <w:sig w:usb0="00000000" w:usb1="00000000" w:usb2="00000010" w:usb3="00000000" w:csb0="00040000" w:csb1="00000000"/>
  </w:font>
  <w:font w:name="Univers LT Std 57 Cn">
    <w:altName w:val="Arial"/>
    <w:panose1 w:val="020B0604020000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6894">
    <w:pPr>
      <w:pStyle w:val="35"/>
      <w:ind w:right="359" w:rightChars="171"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7FCF">
    <w:pPr>
      <w:pStyle w:val="35"/>
      <w:framePr w:wrap="around" w:vAnchor="text" w:hAnchor="margin" w:xAlign="center" w:y="1"/>
      <w:rPr>
        <w:rStyle w:val="60"/>
      </w:rPr>
    </w:pPr>
    <w:r>
      <w:fldChar w:fldCharType="begin"/>
    </w:r>
    <w:r>
      <w:rPr>
        <w:rStyle w:val="60"/>
      </w:rPr>
      <w:instrText xml:space="preserve">PAGE  </w:instrText>
    </w:r>
    <w:r>
      <w:fldChar w:fldCharType="end"/>
    </w:r>
  </w:p>
  <w:p w14:paraId="33F2A41C">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1190">
    <w:pPr>
      <w:pStyle w:val="3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7B68">
    <w:pPr>
      <w:pStyle w:val="35"/>
      <w:pBdr>
        <w:top w:val="single" w:color="auto" w:sz="4" w:space="1"/>
      </w:pBdr>
      <w:ind w:right="-82" w:rightChars="-39" w:firstLine="4410" w:firstLineChars="2450"/>
      <w:jc w:val="right"/>
      <w:rPr>
        <w:rFonts w:ascii="宋体" w:hAnsi="宋体" w:cs="宋体"/>
      </w:rPr>
    </w:pPr>
  </w:p>
  <w:p w14:paraId="2340504C">
    <w:pPr>
      <w:pStyle w:val="35"/>
      <w:pBdr>
        <w:top w:val="single" w:color="auto" w:sz="4" w:space="1"/>
      </w:pBdr>
      <w:ind w:right="-82" w:rightChars="-39" w:firstLine="4410" w:firstLineChars="2450"/>
      <w:jc w:val="right"/>
      <w:rPr>
        <w:rFonts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0340" cy="132080"/>
              <wp:effectExtent l="0" t="0" r="0" b="0"/>
              <wp:wrapNone/>
              <wp:docPr id="4097" name="文本框 6"/>
              <wp:cNvGraphicFramePr/>
              <a:graphic xmlns:a="http://schemas.openxmlformats.org/drawingml/2006/main">
                <a:graphicData uri="http://schemas.microsoft.com/office/word/2010/wordprocessingShape">
                  <wps:wsp>
                    <wps:cNvSpPr/>
                    <wps:spPr>
                      <a:xfrm>
                        <a:off x="0" y="0"/>
                        <a:ext cx="180340" cy="132080"/>
                      </a:xfrm>
                      <a:prstGeom prst="rect">
                        <a:avLst/>
                      </a:prstGeom>
                      <a:ln>
                        <a:noFill/>
                      </a:ln>
                    </wps:spPr>
                    <wps:txbx>
                      <w:txbxContent>
                        <w:p w14:paraId="45817DAE">
                          <w:pPr>
                            <w:pStyle w:val="35"/>
                            <w:rPr>
                              <w:rStyle w:val="60"/>
                              <w:rFonts w:hAnsi="黑体"/>
                              <w:b/>
                            </w:rPr>
                          </w:pPr>
                          <w:r>
                            <w:rPr>
                              <w:rFonts w:ascii="黑体" w:hAnsi="黑体" w:eastAsia="黑体"/>
                              <w:b/>
                            </w:rPr>
                            <w:fldChar w:fldCharType="begin"/>
                          </w:r>
                          <w:r>
                            <w:rPr>
                              <w:rStyle w:val="60"/>
                              <w:rFonts w:hAnsi="黑体"/>
                              <w:b/>
                            </w:rPr>
                            <w:instrText xml:space="preserve">PAGE  </w:instrText>
                          </w:r>
                          <w:r>
                            <w:rPr>
                              <w:rFonts w:ascii="黑体" w:hAnsi="黑体" w:eastAsia="黑体"/>
                              <w:b/>
                            </w:rPr>
                            <w:fldChar w:fldCharType="separate"/>
                          </w:r>
                          <w:r>
                            <w:rPr>
                              <w:rStyle w:val="60"/>
                              <w:rFonts w:hAnsi="黑体"/>
                              <w:b/>
                            </w:rPr>
                            <w:t>61</w:t>
                          </w:r>
                          <w:r>
                            <w:rPr>
                              <w:rFonts w:ascii="黑体" w:hAnsi="黑体" w:eastAsia="黑体"/>
                              <w:b/>
                            </w:rPr>
                            <w:fldChar w:fldCharType="end"/>
                          </w:r>
                        </w:p>
                      </w:txbxContent>
                    </wps:txbx>
                    <wps:bodyPr wrap="square" lIns="0" tIns="0" rIns="0" bIns="0" upright="1"/>
                  </wps:wsp>
                </a:graphicData>
              </a:graphic>
            </wp:anchor>
          </w:drawing>
        </mc:Choice>
        <mc:Fallback>
          <w:pict>
            <v:rect id="文本框 6" o:spid="_x0000_s1026" o:spt="1" style="position:absolute;left:0pt;margin-top:0pt;height:10.4pt;width:14.2pt;mso-position-horizontal:center;mso-position-horizontal-relative:margin;z-index:251659264;mso-width-relative:page;mso-height-relative:page;" filled="f" stroked="f" coordsize="21600,21600" o:gfxdata="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QEql1QAAAAMBAAAPAAAAAAAAAAEAIAAAACIAAABkcnMvZG93bnJldi54bWxQSwEC&#10;FAAUAAAACACHTuJAZ7X6JL4BAABtAwAADgAAAAAAAAABACAAAAAkAQAAZHJzL2Uyb0RvYy54bWxQ&#10;SwUGAAAAAAYABgBZAQAAVAUAAAAA&#10;">
              <v:fill on="f" focussize="0,0"/>
              <v:stroke on="f"/>
              <v:imagedata o:title=""/>
              <o:lock v:ext="edit" aspectratio="f"/>
              <v:textbox inset="0mm,0mm,0mm,0mm">
                <w:txbxContent>
                  <w:p w14:paraId="45817DAE">
                    <w:pPr>
                      <w:pStyle w:val="35"/>
                      <w:rPr>
                        <w:rStyle w:val="60"/>
                        <w:rFonts w:hAnsi="黑体"/>
                        <w:b/>
                      </w:rPr>
                    </w:pPr>
                    <w:r>
                      <w:rPr>
                        <w:rFonts w:ascii="黑体" w:hAnsi="黑体" w:eastAsia="黑体"/>
                        <w:b/>
                      </w:rPr>
                      <w:fldChar w:fldCharType="begin"/>
                    </w:r>
                    <w:r>
                      <w:rPr>
                        <w:rStyle w:val="60"/>
                        <w:rFonts w:hAnsi="黑体"/>
                        <w:b/>
                      </w:rPr>
                      <w:instrText xml:space="preserve">PAGE  </w:instrText>
                    </w:r>
                    <w:r>
                      <w:rPr>
                        <w:rFonts w:ascii="黑体" w:hAnsi="黑体" w:eastAsia="黑体"/>
                        <w:b/>
                      </w:rPr>
                      <w:fldChar w:fldCharType="separate"/>
                    </w:r>
                    <w:r>
                      <w:rPr>
                        <w:rStyle w:val="60"/>
                        <w:rFonts w:hAnsi="黑体"/>
                        <w:b/>
                      </w:rPr>
                      <w:t>61</w:t>
                    </w:r>
                    <w:r>
                      <w:rPr>
                        <w:rFonts w:ascii="黑体" w:hAnsi="黑体" w:eastAsia="黑体"/>
                        <w:b/>
                      </w:rPr>
                      <w:fldChar w:fldCharType="end"/>
                    </w:r>
                  </w:p>
                </w:txbxContent>
              </v:textbox>
            </v:rect>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4FF9">
    <w:pPr>
      <w:pStyle w:val="3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1238B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C5zG5zHAQAAhQMAAA4AAAAAAAAAAQAgAAAAHwEAAGRycy9lMm9Eb2Mu&#10;eG1sUEsFBgAAAAAGAAYAWQEAAFgFAAAAAA==&#10;">
              <v:fill on="f" focussize="0,0"/>
              <v:stroke on="f"/>
              <v:imagedata o:title=""/>
              <o:lock v:ext="edit" aspectratio="f"/>
              <v:textbox inset="0mm,0mm,0mm,0mm" style="mso-fit-shape-to-text:t;">
                <w:txbxContent>
                  <w:p w14:paraId="71238B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3F799E4">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Kq8nYzHAQAAhAMAAA4AAAAAAAAAAQAgAAAAHwEAAGRycy9lMm9Eb2Mu&#10;eG1sUEsFBgAAAAAGAAYAWQEAAFgFAAAAAA==&#10;">
              <v:fill on="f" focussize="0,0"/>
              <v:stroke on="f"/>
              <v:imagedata o:title=""/>
              <o:lock v:ext="edit" aspectratio="f"/>
              <v:textbox inset="0mm,0mm,0mm,0mm" style="mso-fit-shape-to-text:t;">
                <w:txbxContent>
                  <w:p w14:paraId="63F799E4">
                    <w:pPr>
                      <w:snapToGrid w:val="0"/>
                      <w:rPr>
                        <w:sz w:val="18"/>
                      </w:rPr>
                    </w:pP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B720">
    <w:pPr>
      <w:pStyle w:val="36"/>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FFB1">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FFF3">
    <w:pPr>
      <w:pStyle w:val="3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F7C9">
    <w:pPr>
      <w:pStyle w:val="36"/>
      <w:jc w:val="both"/>
    </w:pPr>
    <w:r>
      <w:rPr>
        <w:rFonts w:hint="eastAsia" w:eastAsia="新宋体"/>
      </w:rPr>
      <w:t>温州市政府分散采购竞争性磋商文件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F828">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5"/>
    <w:multiLevelType w:val="multilevel"/>
    <w:tmpl w:val="00000005"/>
    <w:lvl w:ilvl="0" w:tentative="0">
      <w:start w:val="1"/>
      <w:numFmt w:val="decimal"/>
      <w:pStyle w:val="18"/>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5"/>
      <w:numFmt w:val="decimal"/>
      <w:pStyle w:val="266"/>
      <w:lvlText w:val="%1."/>
      <w:lvlJc w:val="left"/>
      <w:pPr>
        <w:tabs>
          <w:tab w:val="left" w:pos="360"/>
        </w:tabs>
        <w:ind w:left="360" w:hanging="360"/>
      </w:pPr>
      <w:rPr>
        <w:rFonts w:hint="default"/>
      </w:rPr>
    </w:lvl>
    <w:lvl w:ilvl="1" w:tentative="0">
      <w:start w:val="0"/>
      <w:numFmt w:val="none"/>
      <w:pStyle w:val="260"/>
      <w:lvlText w:val=""/>
      <w:lvlJc w:val="left"/>
      <w:pPr>
        <w:tabs>
          <w:tab w:val="left" w:pos="360"/>
        </w:tabs>
      </w:pPr>
    </w:lvl>
    <w:lvl w:ilvl="2" w:tentative="0">
      <w:start w:val="0"/>
      <w:numFmt w:val="none"/>
      <w:pStyle w:val="323"/>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07"/>
    <w:multiLevelType w:val="multilevel"/>
    <w:tmpl w:val="00000007"/>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pStyle w:val="297"/>
      <w:lvlText w:val="%1、"/>
      <w:lvlJc w:val="left"/>
      <w:pPr>
        <w:ind w:left="987" w:hanging="420"/>
      </w:pPr>
      <w:rPr>
        <w:rFonts w:hint="eastAsia"/>
        <w:b/>
        <w:bCs w:val="0"/>
        <w:i w:val="0"/>
        <w:iCs w:val="0"/>
        <w:caps w:val="0"/>
        <w:smallCaps w:val="0"/>
        <w:color w:val="000000"/>
        <w:spacing w:val="0"/>
        <w:position w:val="0"/>
        <w:u w:val="none"/>
      </w:rPr>
    </w:lvl>
    <w:lvl w:ilvl="1" w:tentative="0">
      <w:start w:val="1"/>
      <w:numFmt w:val="decimal"/>
      <w:pStyle w:val="348"/>
      <w:isLgl/>
      <w:lvlText w:val="%1.%2."/>
      <w:lvlJc w:val="left"/>
      <w:pPr>
        <w:tabs>
          <w:tab w:val="left" w:pos="431"/>
        </w:tabs>
        <w:ind w:left="0" w:firstLine="0"/>
      </w:pPr>
      <w:rPr>
        <w:rFonts w:hint="eastAsia"/>
        <w:b/>
        <w:i w:val="0"/>
        <w:sz w:val="28"/>
        <w:szCs w:val="28"/>
      </w:rPr>
    </w:lvl>
    <w:lvl w:ilvl="2" w:tentative="0">
      <w:start w:val="1"/>
      <w:numFmt w:val="decimal"/>
      <w:pStyle w:val="281"/>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09"/>
    <w:multiLevelType w:val="multilevel"/>
    <w:tmpl w:val="0000000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2">
    <w:nsid w:val="0000000C"/>
    <w:multiLevelType w:val="multilevel"/>
    <w:tmpl w:val="0000000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0">
      <w:start w:val="1"/>
      <w:numFmt w:val="chineseCounting"/>
      <w:suff w:val="nothing"/>
      <w:lvlText w:val="%1、"/>
      <w:lvlJc w:val="left"/>
      <w:pPr>
        <w:ind w:left="0" w:firstLine="0"/>
      </w:pPr>
    </w:lvl>
  </w:abstractNum>
  <w:abstractNum w:abstractNumId="15">
    <w:nsid w:val="0000000F"/>
    <w:multiLevelType w:val="singleLevel"/>
    <w:tmpl w:val="0000000F"/>
    <w:lvl w:ilvl="0" w:tentative="0">
      <w:start w:val="3"/>
      <w:numFmt w:val="chineseCounting"/>
      <w:suff w:val="nothing"/>
      <w:lvlText w:val="%1、"/>
      <w:lvlJc w:val="left"/>
      <w:pPr>
        <w:ind w:left="0" w:firstLine="0"/>
      </w:pPr>
    </w:lvl>
  </w:abstractNum>
  <w:abstractNum w:abstractNumId="16">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8">
    <w:nsid w:val="00000012"/>
    <w:multiLevelType w:val="multilevel"/>
    <w:tmpl w:val="00000012"/>
    <w:lvl w:ilvl="0" w:tentative="0">
      <w:start w:val="1"/>
      <w:numFmt w:val="decimalEnclosedCircleChinese"/>
      <w:suff w:val="nothing"/>
      <w:lvlText w:val="%1　"/>
      <w:lvlJc w:val="left"/>
      <w:pPr>
        <w:ind w:left="0" w:firstLine="40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9">
    <w:nsid w:val="00000013"/>
    <w:multiLevelType w:val="singleLevel"/>
    <w:tmpl w:val="00000013"/>
    <w:lvl w:ilvl="0" w:tentative="0">
      <w:start w:val="1"/>
      <w:numFmt w:val="decimal"/>
      <w:suff w:val="nothing"/>
      <w:lvlText w:val="%1）"/>
      <w:lvlJc w:val="left"/>
    </w:lvl>
  </w:abstractNum>
  <w:abstractNum w:abstractNumId="20">
    <w:nsid w:val="00000014"/>
    <w:multiLevelType w:val="multilevel"/>
    <w:tmpl w:val="0000001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6"/>
  </w:num>
  <w:num w:numId="3">
    <w:abstractNumId w:val="8"/>
  </w:num>
  <w:num w:numId="4">
    <w:abstractNumId w:val="18"/>
  </w:num>
  <w:num w:numId="5">
    <w:abstractNumId w:val="1"/>
  </w:num>
  <w:num w:numId="6">
    <w:abstractNumId w:val="3"/>
  </w:num>
  <w:num w:numId="7">
    <w:abstractNumId w:val="19"/>
  </w:num>
  <w:num w:numId="8">
    <w:abstractNumId w:val="2"/>
  </w:num>
  <w:num w:numId="9">
    <w:abstractNumId w:val="7"/>
  </w:num>
  <w:num w:numId="10">
    <w:abstractNumId w:val="10"/>
  </w:num>
  <w:num w:numId="11">
    <w:abstractNumId w:val="14"/>
    <w:lvlOverride w:ilvl="0">
      <w:startOverride w:val="1"/>
    </w:lvlOverride>
  </w:num>
  <w:num w:numId="12">
    <w:abstractNumId w:val="15"/>
    <w:lvlOverride w:ilvl="0">
      <w:startOverride w:val="3"/>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2"/>
  </w:num>
  <w:num w:numId="17">
    <w:abstractNumId w:val="13"/>
  </w:num>
  <w:num w:numId="18">
    <w:abstractNumId w:val="0"/>
  </w:num>
  <w:num w:numId="19">
    <w:abstractNumId w:val="2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Y2FiM2Y2MWU2MDVmMTUxYjFkMDg4YjU4NmRhYmEifQ=="/>
  </w:docVars>
  <w:rsids>
    <w:rsidRoot w:val="00000000"/>
    <w:rsid w:val="00B36BEF"/>
    <w:rsid w:val="0293255D"/>
    <w:rsid w:val="02F54FC6"/>
    <w:rsid w:val="03147E96"/>
    <w:rsid w:val="0571302A"/>
    <w:rsid w:val="06404739"/>
    <w:rsid w:val="06EC0F88"/>
    <w:rsid w:val="0A6D170F"/>
    <w:rsid w:val="0B136931"/>
    <w:rsid w:val="13245FA2"/>
    <w:rsid w:val="13710699"/>
    <w:rsid w:val="147A357D"/>
    <w:rsid w:val="16C16E35"/>
    <w:rsid w:val="18754787"/>
    <w:rsid w:val="18AB0F22"/>
    <w:rsid w:val="1A951111"/>
    <w:rsid w:val="1F31835C"/>
    <w:rsid w:val="24B93647"/>
    <w:rsid w:val="268D0E0B"/>
    <w:rsid w:val="28336270"/>
    <w:rsid w:val="295039D0"/>
    <w:rsid w:val="2EDC0C08"/>
    <w:rsid w:val="2EFC31BF"/>
    <w:rsid w:val="2FA5374C"/>
    <w:rsid w:val="309E4694"/>
    <w:rsid w:val="329640F9"/>
    <w:rsid w:val="357F234A"/>
    <w:rsid w:val="35E11256"/>
    <w:rsid w:val="3934169D"/>
    <w:rsid w:val="3F9FE437"/>
    <w:rsid w:val="44F71EFD"/>
    <w:rsid w:val="45F066A3"/>
    <w:rsid w:val="467C1511"/>
    <w:rsid w:val="49C12AD9"/>
    <w:rsid w:val="54574766"/>
    <w:rsid w:val="54E81862"/>
    <w:rsid w:val="5ABDC5FF"/>
    <w:rsid w:val="5C896527"/>
    <w:rsid w:val="5E1F8F00"/>
    <w:rsid w:val="5E6A5ACD"/>
    <w:rsid w:val="5F6342F4"/>
    <w:rsid w:val="604007A4"/>
    <w:rsid w:val="61A02804"/>
    <w:rsid w:val="63BF3CE5"/>
    <w:rsid w:val="67672ABA"/>
    <w:rsid w:val="6A204B39"/>
    <w:rsid w:val="6DDA2238"/>
    <w:rsid w:val="6EA37454"/>
    <w:rsid w:val="6FED2DE8"/>
    <w:rsid w:val="707A385E"/>
    <w:rsid w:val="761A5636"/>
    <w:rsid w:val="797439F5"/>
    <w:rsid w:val="79E503F8"/>
    <w:rsid w:val="7ADD3191"/>
    <w:rsid w:val="7FD672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199"/>
    <w:qFormat/>
    <w:uiPriority w:val="0"/>
    <w:pPr>
      <w:keepNext/>
      <w:jc w:val="center"/>
      <w:outlineLvl w:val="0"/>
    </w:pPr>
    <w:rPr>
      <w:rFonts w:ascii="楷体_GB2312" w:hAnsi="Tahoma" w:eastAsia="楷体_GB2312"/>
      <w:b/>
      <w:bCs/>
    </w:rPr>
  </w:style>
  <w:style w:type="paragraph" w:styleId="6">
    <w:name w:val="heading 2"/>
    <w:basedOn w:val="4"/>
    <w:next w:val="1"/>
    <w:link w:val="197"/>
    <w:qFormat/>
    <w:uiPriority w:val="0"/>
    <w:pPr>
      <w:keepLines/>
      <w:spacing w:before="260" w:after="260" w:line="415" w:lineRule="auto"/>
      <w:outlineLvl w:val="1"/>
    </w:pPr>
    <w:rPr>
      <w:rFonts w:ascii="Arial" w:hAnsi="Arial" w:eastAsia="黑体"/>
      <w:sz w:val="32"/>
      <w:szCs w:val="32"/>
    </w:rPr>
  </w:style>
  <w:style w:type="paragraph" w:styleId="7">
    <w:name w:val="heading 3"/>
    <w:basedOn w:val="1"/>
    <w:next w:val="1"/>
    <w:link w:val="196"/>
    <w:qFormat/>
    <w:uiPriority w:val="0"/>
    <w:pPr>
      <w:keepNext/>
      <w:keepLines/>
      <w:spacing w:before="260" w:after="260" w:line="415" w:lineRule="auto"/>
      <w:outlineLvl w:val="2"/>
    </w:pPr>
    <w:rPr>
      <w:b/>
      <w:bCs/>
      <w:sz w:val="32"/>
      <w:szCs w:val="32"/>
    </w:rPr>
  </w:style>
  <w:style w:type="paragraph" w:styleId="8">
    <w:name w:val="heading 4"/>
    <w:basedOn w:val="1"/>
    <w:next w:val="9"/>
    <w:link w:val="194"/>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9"/>
    <w:link w:val="201"/>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193"/>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192"/>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211"/>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206"/>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qFormat/>
    <w:uiPriority w:val="1"/>
  </w:style>
  <w:style w:type="table" w:default="1" w:styleId="56">
    <w:name w:val="Normal Table"/>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3">
    <w:name w:val="macro"/>
    <w:link w:val="20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Normal Indent"/>
    <w:basedOn w:val="1"/>
    <w:next w:val="1"/>
    <w:link w:val="190"/>
    <w:qFormat/>
    <w:uiPriority w:val="0"/>
    <w:pPr>
      <w:adjustRightInd w:val="0"/>
      <w:spacing w:line="312" w:lineRule="atLeast"/>
      <w:ind w:firstLine="420"/>
      <w:textAlignment w:val="baseline"/>
    </w:pPr>
    <w:rPr>
      <w:kern w:val="0"/>
      <w:szCs w:val="20"/>
    </w:rPr>
  </w:style>
  <w:style w:type="paragraph" w:styleId="9">
    <w:name w:val="Plain Text"/>
    <w:basedOn w:val="1"/>
    <w:next w:val="1"/>
    <w:link w:val="183"/>
    <w:qFormat/>
    <w:uiPriority w:val="0"/>
    <w:rPr>
      <w:rFonts w:ascii="宋体" w:hAnsi="Courier New"/>
      <w:szCs w:val="20"/>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numPr>
        <w:ilvl w:val="0"/>
        <w:numId w:val="1"/>
      </w:numPr>
      <w:tabs>
        <w:tab w:val="clear" w:pos="1080"/>
      </w:tabs>
    </w:pPr>
    <w:rPr>
      <w:szCs w:val="22"/>
    </w:rPr>
  </w:style>
  <w:style w:type="paragraph" w:styleId="19">
    <w:name w:val="Document Map"/>
    <w:basedOn w:val="1"/>
    <w:link w:val="188"/>
    <w:qFormat/>
    <w:uiPriority w:val="0"/>
    <w:pPr>
      <w:shd w:val="clear" w:color="auto" w:fill="000080"/>
    </w:pPr>
  </w:style>
  <w:style w:type="paragraph" w:styleId="20">
    <w:name w:val="annotation text"/>
    <w:basedOn w:val="1"/>
    <w:link w:val="187"/>
    <w:qFormat/>
    <w:uiPriority w:val="0"/>
    <w:pPr>
      <w:jc w:val="left"/>
    </w:pPr>
  </w:style>
  <w:style w:type="paragraph" w:styleId="21">
    <w:name w:val="Salutation"/>
    <w:basedOn w:val="1"/>
    <w:next w:val="1"/>
    <w:link w:val="247"/>
    <w:qFormat/>
    <w:uiPriority w:val="0"/>
    <w:pPr>
      <w:tabs>
        <w:tab w:val="left" w:pos="840"/>
      </w:tabs>
      <w:autoSpaceDE w:val="0"/>
      <w:autoSpaceDN w:val="0"/>
      <w:adjustRightInd w:val="0"/>
      <w:jc w:val="left"/>
    </w:pPr>
    <w:rPr>
      <w:kern w:val="0"/>
      <w:sz w:val="24"/>
      <w:szCs w:val="20"/>
    </w:rPr>
  </w:style>
  <w:style w:type="paragraph" w:styleId="22">
    <w:name w:val="Body Text 3"/>
    <w:basedOn w:val="1"/>
    <w:link w:val="186"/>
    <w:qFormat/>
    <w:uiPriority w:val="0"/>
    <w:pPr>
      <w:autoSpaceDE w:val="0"/>
      <w:autoSpaceDN w:val="0"/>
      <w:adjustRightInd w:val="0"/>
      <w:jc w:val="center"/>
    </w:pPr>
    <w:rPr>
      <w:kern w:val="0"/>
      <w:sz w:val="20"/>
      <w:szCs w:val="20"/>
    </w:rPr>
  </w:style>
  <w:style w:type="paragraph" w:styleId="23">
    <w:name w:val="Body Text"/>
    <w:basedOn w:val="1"/>
    <w:link w:val="209"/>
    <w:qFormat/>
    <w:uiPriority w:val="0"/>
    <w:pPr>
      <w:spacing w:after="120"/>
    </w:pPr>
    <w:rPr>
      <w:rFonts w:ascii="Tahoma" w:hAnsi="Tahoma"/>
    </w:rPr>
  </w:style>
  <w:style w:type="paragraph" w:styleId="24">
    <w:name w:val="Body Text Indent"/>
    <w:basedOn w:val="1"/>
    <w:next w:val="5"/>
    <w:link w:val="184"/>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39"/>
    <w:pPr>
      <w:autoSpaceDE w:val="0"/>
      <w:autoSpaceDN w:val="0"/>
      <w:adjustRightInd w:val="0"/>
      <w:ind w:left="2940" w:leftChars="1400"/>
      <w:jc w:val="left"/>
    </w:pPr>
    <w:rPr>
      <w:kern w:val="0"/>
      <w:sz w:val="20"/>
      <w:szCs w:val="20"/>
    </w:rPr>
  </w:style>
  <w:style w:type="paragraph" w:styleId="32">
    <w:name w:val="Date"/>
    <w:basedOn w:val="1"/>
    <w:next w:val="1"/>
    <w:link w:val="207"/>
    <w:qFormat/>
    <w:uiPriority w:val="0"/>
    <w:pPr>
      <w:spacing w:line="440" w:lineRule="exact"/>
    </w:pPr>
    <w:rPr>
      <w:spacing w:val="12"/>
      <w:sz w:val="24"/>
      <w:szCs w:val="20"/>
    </w:rPr>
  </w:style>
  <w:style w:type="paragraph" w:styleId="33">
    <w:name w:val="Body Text Indent 2"/>
    <w:basedOn w:val="1"/>
    <w:link w:val="182"/>
    <w:qFormat/>
    <w:uiPriority w:val="0"/>
    <w:pPr>
      <w:spacing w:after="120" w:line="480" w:lineRule="auto"/>
      <w:ind w:left="420" w:leftChars="200"/>
    </w:pPr>
  </w:style>
  <w:style w:type="paragraph" w:styleId="34">
    <w:name w:val="Balloon Text"/>
    <w:basedOn w:val="1"/>
    <w:link w:val="181"/>
    <w:qFormat/>
    <w:uiPriority w:val="0"/>
    <w:rPr>
      <w:sz w:val="18"/>
      <w:szCs w:val="18"/>
    </w:rPr>
  </w:style>
  <w:style w:type="paragraph" w:styleId="35">
    <w:name w:val="footer"/>
    <w:basedOn w:val="1"/>
    <w:link w:val="180"/>
    <w:qFormat/>
    <w:uiPriority w:val="0"/>
    <w:pPr>
      <w:tabs>
        <w:tab w:val="center" w:pos="4153"/>
        <w:tab w:val="right" w:pos="8306"/>
      </w:tabs>
      <w:snapToGrid w:val="0"/>
      <w:jc w:val="left"/>
    </w:pPr>
    <w:rPr>
      <w:sz w:val="18"/>
      <w:szCs w:val="18"/>
    </w:rPr>
  </w:style>
  <w:style w:type="paragraph" w:styleId="36">
    <w:name w:val="header"/>
    <w:basedOn w:val="1"/>
    <w:link w:val="179"/>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78"/>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8">
    <w:name w:val="toc 1"/>
    <w:basedOn w:val="1"/>
    <w:next w:val="1"/>
    <w:qFormat/>
    <w:uiPriority w:val="39"/>
    <w:pPr>
      <w:spacing w:line="360" w:lineRule="exact"/>
      <w:ind w:left="718" w:hanging="718" w:hangingChars="342"/>
    </w:pPr>
    <w:rPr>
      <w:rFonts w:ascii="Arial" w:hAnsi="Arial" w:eastAsia="楷体_GB2312" w:cs="Arial"/>
    </w:rPr>
  </w:style>
  <w:style w:type="paragraph" w:styleId="39">
    <w:name w:val="toc 4"/>
    <w:basedOn w:val="1"/>
    <w:next w:val="1"/>
    <w:qFormat/>
    <w:uiPriority w:val="39"/>
    <w:pPr>
      <w:autoSpaceDE w:val="0"/>
      <w:autoSpaceDN w:val="0"/>
      <w:adjustRightInd w:val="0"/>
      <w:ind w:left="1260" w:leftChars="600"/>
      <w:jc w:val="left"/>
    </w:pPr>
    <w:rPr>
      <w:kern w:val="0"/>
      <w:sz w:val="20"/>
      <w:szCs w:val="20"/>
    </w:rPr>
  </w:style>
  <w:style w:type="paragraph" w:styleId="40">
    <w:name w:val="Subtitle"/>
    <w:basedOn w:val="1"/>
    <w:next w:val="1"/>
    <w:link w:val="177"/>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39"/>
    <w:pPr>
      <w:autoSpaceDE w:val="0"/>
      <w:autoSpaceDN w:val="0"/>
      <w:adjustRightInd w:val="0"/>
      <w:ind w:left="2100" w:leftChars="1000"/>
      <w:jc w:val="left"/>
    </w:pPr>
    <w:rPr>
      <w:kern w:val="0"/>
      <w:sz w:val="20"/>
      <w:szCs w:val="20"/>
    </w:rPr>
  </w:style>
  <w:style w:type="paragraph" w:styleId="44">
    <w:name w:val="Body Text Indent 3"/>
    <w:basedOn w:val="1"/>
    <w:link w:val="176"/>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249"/>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next w:val="1"/>
    <w:link w:val="175"/>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20"/>
    <w:next w:val="20"/>
    <w:link w:val="174"/>
    <w:qFormat/>
    <w:uiPriority w:val="0"/>
    <w:rPr>
      <w:b/>
      <w:bCs/>
    </w:rPr>
  </w:style>
  <w:style w:type="paragraph" w:styleId="53">
    <w:name w:val="Body Text First Indent"/>
    <w:basedOn w:val="23"/>
    <w:link w:val="185"/>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54">
    <w:name w:val="Body Text First Indent 2"/>
    <w:basedOn w:val="24"/>
    <w:next w:val="55"/>
    <w:qFormat/>
    <w:uiPriority w:val="0"/>
    <w:pPr>
      <w:adjustRightInd/>
      <w:spacing w:after="120"/>
      <w:ind w:left="420" w:leftChars="200" w:firstLine="420" w:firstLineChars="200"/>
      <w:jc w:val="both"/>
    </w:pPr>
    <w:rPr>
      <w:szCs w:val="24"/>
    </w:rPr>
  </w:style>
  <w:style w:type="paragraph" w:customStyle="1" w:styleId="55">
    <w:name w:val="xl53"/>
    <w:next w:val="1"/>
    <w:qFormat/>
    <w:uiPriority w:val="0"/>
    <w:pPr>
      <w:spacing w:before="280" w:after="280" w:line="100" w:lineRule="exact"/>
      <w:ind w:firstLine="480" w:firstLineChars="200"/>
      <w:jc w:val="center"/>
    </w:pPr>
    <w:rPr>
      <w:rFonts w:ascii="宋体" w:hAnsi="Times New Roman" w:eastAsia="宋体" w:cs="宋体"/>
      <w:b/>
      <w:szCs w:val="22"/>
      <w:lang w:val="en-US" w:eastAsia="zh-CN" w:bidi="ar-SA"/>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rFonts w:ascii="仿宋_GB2312" w:eastAsia="仿宋_GB2312"/>
      <w:bCs/>
      <w:sz w:val="32"/>
      <w:szCs w:val="32"/>
    </w:rPr>
  </w:style>
  <w:style w:type="character" w:styleId="60">
    <w:name w:val="page number"/>
    <w:qFormat/>
    <w:uiPriority w:val="0"/>
  </w:style>
  <w:style w:type="character" w:styleId="61">
    <w:name w:val="FollowedHyperlink"/>
    <w:qFormat/>
    <w:uiPriority w:val="0"/>
    <w:rPr>
      <w:rFonts w:ascii="仿宋_GB2312" w:eastAsia="仿宋_GB2312"/>
      <w:b/>
      <w:color w:val="800080"/>
      <w:sz w:val="32"/>
      <w:szCs w:val="32"/>
      <w:u w:val="single"/>
    </w:rPr>
  </w:style>
  <w:style w:type="character" w:styleId="62">
    <w:name w:val="Emphasis"/>
    <w:qFormat/>
    <w:uiPriority w:val="0"/>
    <w:rPr>
      <w:i/>
      <w:iCs/>
    </w:rPr>
  </w:style>
  <w:style w:type="character" w:styleId="63">
    <w:name w:val="line number"/>
    <w:qFormat/>
    <w:uiPriority w:val="0"/>
    <w:rPr>
      <w:rFonts w:ascii="仿宋_GB2312" w:hAnsi="Tahoma" w:eastAsia="仿宋_GB2312"/>
      <w:b/>
      <w:sz w:val="32"/>
      <w:szCs w:val="32"/>
    </w:rPr>
  </w:style>
  <w:style w:type="character" w:styleId="64">
    <w:name w:val="HTML Definition"/>
    <w:qFormat/>
    <w:uiPriority w:val="99"/>
    <w:rPr>
      <w:szCs w:val="20"/>
    </w:rPr>
  </w:style>
  <w:style w:type="character" w:styleId="65">
    <w:name w:val="HTML Acronym"/>
    <w:qFormat/>
    <w:uiPriority w:val="99"/>
  </w:style>
  <w:style w:type="character" w:styleId="66">
    <w:name w:val="HTML Variable"/>
    <w:qFormat/>
    <w:uiPriority w:val="99"/>
    <w:rPr>
      <w:szCs w:val="20"/>
    </w:rPr>
  </w:style>
  <w:style w:type="character" w:styleId="67">
    <w:name w:val="Hyperlink"/>
    <w:qFormat/>
    <w:uiPriority w:val="99"/>
    <w:rPr>
      <w:rFonts w:ascii="仿宋_GB2312" w:eastAsia="仿宋_GB2312"/>
      <w:color w:val="000000"/>
      <w:sz w:val="20"/>
      <w:szCs w:val="20"/>
      <w:u w:val="none"/>
    </w:rPr>
  </w:style>
  <w:style w:type="character" w:styleId="68">
    <w:name w:val="HTML Code"/>
    <w:qFormat/>
    <w:uiPriority w:val="99"/>
    <w:rPr>
      <w:rFonts w:hint="eastAsia" w:ascii="微软雅黑" w:hAnsi="微软雅黑" w:eastAsia="微软雅黑" w:cs="微软雅黑"/>
      <w:sz w:val="20"/>
      <w:szCs w:val="20"/>
    </w:rPr>
  </w:style>
  <w:style w:type="character" w:styleId="69">
    <w:name w:val="annotation reference"/>
    <w:qFormat/>
    <w:uiPriority w:val="99"/>
    <w:rPr>
      <w:sz w:val="21"/>
      <w:szCs w:val="21"/>
    </w:rPr>
  </w:style>
  <w:style w:type="character" w:styleId="70">
    <w:name w:val="HTML Cite"/>
    <w:qFormat/>
    <w:uiPriority w:val="0"/>
    <w:rPr>
      <w:color w:val="008000"/>
    </w:rPr>
  </w:style>
  <w:style w:type="character" w:styleId="71">
    <w:name w:val="footnote reference"/>
    <w:qFormat/>
    <w:uiPriority w:val="0"/>
    <w:rPr>
      <w:vertAlign w:val="superscript"/>
    </w:rPr>
  </w:style>
  <w:style w:type="character" w:styleId="72">
    <w:name w:val="HTML Keyboard"/>
    <w:qFormat/>
    <w:uiPriority w:val="99"/>
    <w:rPr>
      <w:rFonts w:hint="eastAsia" w:ascii="微软雅黑" w:hAnsi="微软雅黑" w:eastAsia="微软雅黑" w:cs="微软雅黑"/>
      <w:sz w:val="20"/>
      <w:szCs w:val="20"/>
    </w:rPr>
  </w:style>
  <w:style w:type="character" w:styleId="73">
    <w:name w:val="HTML Sample"/>
    <w:qFormat/>
    <w:uiPriority w:val="99"/>
    <w:rPr>
      <w:rFonts w:hint="eastAsia" w:ascii="微软雅黑" w:hAnsi="微软雅黑" w:eastAsia="微软雅黑" w:cs="微软雅黑"/>
      <w:szCs w:val="20"/>
    </w:rPr>
  </w:style>
  <w:style w:type="paragraph" w:styleId="74">
    <w:name w:val="No Spacing"/>
    <w:link w:val="212"/>
    <w:qFormat/>
    <w:uiPriority w:val="0"/>
    <w:rPr>
      <w:rFonts w:ascii="Times New Roman" w:hAnsi="Times New Roman" w:eastAsia="宋体" w:cs="Times New Roman"/>
      <w:sz w:val="22"/>
      <w:szCs w:val="22"/>
      <w:lang w:val="en-US" w:eastAsia="zh-CN" w:bidi="ar-SA"/>
    </w:rPr>
  </w:style>
  <w:style w:type="character" w:customStyle="1" w:styleId="75">
    <w:name w:val="15"/>
    <w:basedOn w:val="58"/>
    <w:qFormat/>
    <w:uiPriority w:val="0"/>
    <w:rPr>
      <w:rFonts w:hint="default" w:ascii="Times New Roman" w:hAnsi="Times New Roman" w:cs="Times New Roman"/>
    </w:rPr>
  </w:style>
  <w:style w:type="paragraph" w:customStyle="1" w:styleId="76">
    <w:name w:val="样式2"/>
    <w:basedOn w:val="6"/>
    <w:link w:val="242"/>
    <w:qFormat/>
    <w:uiPriority w:val="0"/>
    <w:pPr>
      <w:snapToGrid w:val="0"/>
      <w:spacing w:afterLines="50" w:line="480" w:lineRule="exact"/>
      <w:ind w:firstLine="556"/>
    </w:pPr>
    <w:rPr>
      <w:rFonts w:ascii="宋体" w:hAnsi="宋体" w:eastAsia="宋体"/>
      <w:sz w:val="28"/>
      <w:szCs w:val="28"/>
    </w:rPr>
  </w:style>
  <w:style w:type="paragraph" w:customStyle="1" w:styleId="77">
    <w:name w:val="样式5"/>
    <w:basedOn w:val="5"/>
    <w:qFormat/>
    <w:uiPriority w:val="0"/>
    <w:pPr>
      <w:adjustRightInd/>
      <w:spacing w:line="360" w:lineRule="auto"/>
      <w:ind w:firstLine="200" w:firstLineChars="200"/>
      <w:textAlignment w:val="auto"/>
    </w:pPr>
    <w:rPr>
      <w:rFonts w:ascii="仿宋_GB2312"/>
      <w:b/>
      <w:kern w:val="2"/>
      <w:sz w:val="28"/>
      <w:szCs w:val="21"/>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heading 2 Char"/>
    <w:qFormat/>
    <w:uiPriority w:val="0"/>
    <w:rPr>
      <w:rFonts w:ascii="Arial" w:hAnsi="Arial" w:eastAsia="黑体" w:cs="Times New Roman"/>
      <w:b/>
      <w:sz w:val="30"/>
      <w:szCs w:val="24"/>
    </w:rPr>
  </w:style>
  <w:style w:type="character" w:customStyle="1" w:styleId="80">
    <w:name w:val="PI Char2"/>
    <w:qFormat/>
    <w:uiPriority w:val="0"/>
    <w:rPr>
      <w:rFonts w:ascii="仿宋_GB2312" w:eastAsia="仿宋_GB2312"/>
      <w:b/>
      <w:kern w:val="2"/>
      <w:sz w:val="24"/>
      <w:szCs w:val="24"/>
    </w:rPr>
  </w:style>
  <w:style w:type="character" w:customStyle="1" w:styleId="81">
    <w:name w:val="style111"/>
    <w:qFormat/>
    <w:uiPriority w:val="0"/>
    <w:rPr>
      <w:sz w:val="27"/>
      <w:szCs w:val="27"/>
    </w:rPr>
  </w:style>
  <w:style w:type="character" w:customStyle="1" w:styleId="82">
    <w:name w:val="标题 Char1"/>
    <w:qFormat/>
    <w:uiPriority w:val="10"/>
    <w:rPr>
      <w:rFonts w:ascii="Cambria" w:hAnsi="Cambria" w:cs="Times New Roman"/>
      <w:b/>
      <w:bCs/>
      <w:kern w:val="2"/>
      <w:sz w:val="32"/>
      <w:szCs w:val="32"/>
    </w:rPr>
  </w:style>
  <w:style w:type="character" w:customStyle="1" w:styleId="83">
    <w:name w:val="font01"/>
    <w:basedOn w:val="58"/>
    <w:qFormat/>
    <w:uiPriority w:val="0"/>
    <w:rPr>
      <w:rFonts w:hint="eastAsia" w:ascii="宋体" w:hAnsi="宋体" w:eastAsia="宋体" w:cs="宋体"/>
      <w:color w:val="000000"/>
      <w:sz w:val="22"/>
      <w:szCs w:val="22"/>
      <w:u w:val="none"/>
    </w:rPr>
  </w:style>
  <w:style w:type="character" w:customStyle="1" w:styleId="84">
    <w:name w:val="heading 4 Char2"/>
    <w:qFormat/>
    <w:uiPriority w:val="0"/>
    <w:rPr>
      <w:rFonts w:ascii="Cambria" w:hAnsi="Cambria" w:eastAsia="仿宋_GB2312"/>
      <w:b/>
      <w:bCs/>
      <w:kern w:val="2"/>
      <w:sz w:val="28"/>
      <w:szCs w:val="28"/>
    </w:rPr>
  </w:style>
  <w:style w:type="character" w:customStyle="1" w:styleId="85">
    <w:name w:val="不明显参考1"/>
    <w:qFormat/>
    <w:uiPriority w:val="0"/>
    <w:rPr>
      <w:smallCaps/>
      <w:color w:val="C0504D"/>
      <w:u w:val="single"/>
    </w:rPr>
  </w:style>
  <w:style w:type="character" w:customStyle="1" w:styleId="86">
    <w:name w:val="书籍标题1"/>
    <w:qFormat/>
    <w:uiPriority w:val="0"/>
    <w:rPr>
      <w:b/>
      <w:bCs/>
      <w:smallCaps/>
      <w:spacing w:val="5"/>
    </w:rPr>
  </w:style>
  <w:style w:type="character" w:customStyle="1" w:styleId="87">
    <w:name w:val="引用 Char1"/>
    <w:qFormat/>
    <w:uiPriority w:val="99"/>
    <w:rPr>
      <w:rFonts w:ascii="Tahoma" w:hAnsi="Tahoma"/>
      <w:i/>
      <w:iCs/>
      <w:color w:val="000000"/>
      <w:kern w:val="2"/>
      <w:sz w:val="21"/>
      <w:szCs w:val="24"/>
    </w:rPr>
  </w:style>
  <w:style w:type="character" w:customStyle="1" w:styleId="88">
    <w:name w:val="样式 标题 3 + 黑体 小四 Char Char"/>
    <w:link w:val="89"/>
    <w:qFormat/>
    <w:uiPriority w:val="0"/>
    <w:rPr>
      <w:rFonts w:ascii="黑体" w:hAnsi="Arial" w:eastAsia="黑体"/>
      <w:bCs/>
      <w:sz w:val="24"/>
      <w:szCs w:val="24"/>
    </w:rPr>
  </w:style>
  <w:style w:type="paragraph" w:customStyle="1" w:styleId="89">
    <w:name w:val="样式 标题 3 + 黑体 小四"/>
    <w:basedOn w:val="7"/>
    <w:link w:val="88"/>
    <w:qFormat/>
    <w:uiPriority w:val="0"/>
    <w:pPr>
      <w:spacing w:line="413" w:lineRule="auto"/>
    </w:pPr>
    <w:rPr>
      <w:rFonts w:ascii="黑体" w:hAnsi="Arial" w:eastAsia="黑体"/>
      <w:b w:val="0"/>
      <w:kern w:val="0"/>
      <w:sz w:val="24"/>
      <w:szCs w:val="24"/>
    </w:rPr>
  </w:style>
  <w:style w:type="character" w:customStyle="1" w:styleId="90">
    <w:name w:val="Style3"/>
    <w:qFormat/>
    <w:uiPriority w:val="0"/>
    <w:rPr>
      <w:rFonts w:ascii="Calibri" w:hAnsi="宋体" w:eastAsia="宋体" w:cs="Times New Roman"/>
      <w:szCs w:val="22"/>
      <w:lang w:eastAsia="zh-CN"/>
    </w:rPr>
  </w:style>
  <w:style w:type="character" w:customStyle="1" w:styleId="91">
    <w:name w:val="明显引用 字符"/>
    <w:link w:val="92"/>
    <w:qFormat/>
    <w:uiPriority w:val="0"/>
    <w:rPr>
      <w:rFonts w:ascii="Calibri" w:hAnsi="Calibri"/>
      <w:b/>
      <w:bCs/>
      <w:i/>
      <w:iCs/>
      <w:color w:val="4F81BD"/>
      <w:sz w:val="32"/>
      <w:szCs w:val="32"/>
    </w:rPr>
  </w:style>
  <w:style w:type="paragraph" w:styleId="92">
    <w:name w:val="Intense Quote"/>
    <w:basedOn w:val="1"/>
    <w:next w:val="1"/>
    <w:link w:val="91"/>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93">
    <w:name w:val="heading 1 Char2"/>
    <w:qFormat/>
    <w:uiPriority w:val="0"/>
    <w:rPr>
      <w:rFonts w:ascii="仿宋_GB2312" w:eastAsia="仿宋_GB2312"/>
      <w:b/>
      <w:bCs/>
      <w:kern w:val="44"/>
      <w:sz w:val="44"/>
      <w:szCs w:val="44"/>
    </w:rPr>
  </w:style>
  <w:style w:type="character" w:customStyle="1" w:styleId="94">
    <w:name w:val="doc"/>
    <w:qFormat/>
    <w:uiPriority w:val="0"/>
  </w:style>
  <w:style w:type="character" w:customStyle="1" w:styleId="95">
    <w:name w:val="Footer-Even Char2"/>
    <w:qFormat/>
    <w:uiPriority w:val="0"/>
    <w:rPr>
      <w:rFonts w:ascii="仿宋_GB2312" w:eastAsia="仿宋_GB2312"/>
      <w:b/>
      <w:kern w:val="2"/>
      <w:sz w:val="18"/>
      <w:szCs w:val="18"/>
    </w:rPr>
  </w:style>
  <w:style w:type="character" w:customStyle="1" w:styleId="96">
    <w:name w:val="hui"/>
    <w:qFormat/>
    <w:uiPriority w:val="0"/>
    <w:rPr>
      <w:rFonts w:ascii="仿宋_GB2312" w:hAnsi="Tahoma" w:eastAsia="仿宋_GB2312"/>
      <w:b/>
      <w:sz w:val="32"/>
      <w:szCs w:val="32"/>
    </w:rPr>
  </w:style>
  <w:style w:type="character" w:customStyle="1" w:styleId="97">
    <w:name w:val="列表段落 字符"/>
    <w:link w:val="98"/>
    <w:qFormat/>
    <w:uiPriority w:val="34"/>
    <w:rPr>
      <w:rFonts w:ascii="Calibri" w:hAnsi="Calibri"/>
      <w:kern w:val="2"/>
      <w:sz w:val="21"/>
      <w:szCs w:val="24"/>
    </w:rPr>
  </w:style>
  <w:style w:type="paragraph" w:styleId="98">
    <w:name w:val="List Paragraph"/>
    <w:basedOn w:val="1"/>
    <w:link w:val="97"/>
    <w:qFormat/>
    <w:uiPriority w:val="34"/>
    <w:pPr>
      <w:ind w:firstLine="420" w:firstLineChars="200"/>
    </w:pPr>
    <w:rPr>
      <w:rFonts w:ascii="Calibri" w:hAnsi="Calibri"/>
    </w:rPr>
  </w:style>
  <w:style w:type="character" w:customStyle="1" w:styleId="99">
    <w:name w:val="heading 7 Char1"/>
    <w:qFormat/>
    <w:uiPriority w:val="0"/>
    <w:rPr>
      <w:rFonts w:ascii="Arial" w:hAnsi="Arial" w:eastAsia="黑体"/>
      <w:b/>
      <w:sz w:val="21"/>
      <w:szCs w:val="21"/>
      <w:lang w:val="en-US" w:eastAsia="zh-CN" w:bidi="ar-SA"/>
    </w:rPr>
  </w:style>
  <w:style w:type="character" w:customStyle="1" w:styleId="100">
    <w:name w:val="Char Char21"/>
    <w:qFormat/>
    <w:uiPriority w:val="0"/>
    <w:rPr>
      <w:rFonts w:ascii="Times New Roman" w:hAnsi="Times New Roman" w:eastAsia="宋体" w:cs="Times New Roman"/>
      <w:b/>
      <w:bCs/>
      <w:kern w:val="44"/>
      <w:sz w:val="44"/>
      <w:szCs w:val="44"/>
    </w:rPr>
  </w:style>
  <w:style w:type="character" w:customStyle="1" w:styleId="101">
    <w:name w:val="表正文 Char2"/>
    <w:qFormat/>
    <w:uiPriority w:val="0"/>
    <w:rPr>
      <w:rFonts w:ascii="Times New Roman" w:hAnsi="Times New Roman" w:eastAsia="宋体" w:cs="Times New Roman"/>
      <w:szCs w:val="24"/>
    </w:rPr>
  </w:style>
  <w:style w:type="character" w:customStyle="1" w:styleId="102">
    <w:name w:val="正文文本缩进 2 Char"/>
    <w:qFormat/>
    <w:uiPriority w:val="0"/>
    <w:rPr>
      <w:kern w:val="2"/>
      <w:sz w:val="21"/>
      <w:szCs w:val="24"/>
    </w:rPr>
  </w:style>
  <w:style w:type="character" w:customStyle="1" w:styleId="103">
    <w:name w:val="宏文本 Char1"/>
    <w:qFormat/>
    <w:uiPriority w:val="99"/>
    <w:rPr>
      <w:rFonts w:ascii="Courier New" w:hAnsi="Courier New" w:cs="Courier New"/>
      <w:kern w:val="2"/>
      <w:sz w:val="24"/>
      <w:szCs w:val="24"/>
    </w:rPr>
  </w:style>
  <w:style w:type="character" w:customStyle="1" w:styleId="104">
    <w:name w:val="Texte Char Char"/>
    <w:qFormat/>
    <w:uiPriority w:val="0"/>
    <w:rPr>
      <w:rFonts w:ascii="宋体" w:hAnsi="Courier New" w:eastAsia="宋体"/>
      <w:b/>
      <w:sz w:val="21"/>
      <w:szCs w:val="21"/>
      <w:lang w:val="en-US" w:eastAsia="zh-CN" w:bidi="ar-SA"/>
    </w:rPr>
  </w:style>
  <w:style w:type="character" w:customStyle="1" w:styleId="105">
    <w:name w:val="fr"/>
    <w:qFormat/>
    <w:uiPriority w:val="0"/>
  </w:style>
  <w:style w:type="character" w:customStyle="1" w:styleId="106">
    <w:name w:val="style41"/>
    <w:qFormat/>
    <w:uiPriority w:val="0"/>
    <w:rPr>
      <w:rFonts w:ascii="仿宋_GB2312" w:eastAsia="仿宋_GB2312"/>
      <w:b/>
      <w:color w:val="auto"/>
      <w:sz w:val="32"/>
      <w:szCs w:val="32"/>
    </w:rPr>
  </w:style>
  <w:style w:type="character" w:customStyle="1" w:styleId="107">
    <w:name w:val="red"/>
    <w:qFormat/>
    <w:uiPriority w:val="0"/>
    <w:rPr>
      <w:color w:val="FF0000"/>
      <w:szCs w:val="20"/>
    </w:rPr>
  </w:style>
  <w:style w:type="character" w:customStyle="1" w:styleId="108">
    <w:name w:val="正文首行缩进 Char1"/>
    <w:qFormat/>
    <w:uiPriority w:val="0"/>
    <w:rPr>
      <w:rFonts w:ascii="Tahoma" w:hAnsi="Tahoma"/>
      <w:kern w:val="2"/>
      <w:sz w:val="21"/>
      <w:szCs w:val="24"/>
    </w:rPr>
  </w:style>
  <w:style w:type="character" w:customStyle="1" w:styleId="109">
    <w:name w:val="doc1"/>
    <w:qFormat/>
    <w:uiPriority w:val="0"/>
  </w:style>
  <w:style w:type="character" w:customStyle="1" w:styleId="110">
    <w:name w:val="Char Char Char Char Char Char Char Char Char"/>
    <w:qFormat/>
    <w:uiPriority w:val="0"/>
    <w:rPr>
      <w:rFonts w:ascii="宋体" w:hAnsi="Courier New" w:eastAsia="宋体"/>
      <w:b/>
      <w:sz w:val="21"/>
      <w:szCs w:val="21"/>
      <w:lang w:val="en-US" w:eastAsia="zh-CN" w:bidi="ar-SA"/>
    </w:rPr>
  </w:style>
  <w:style w:type="character" w:customStyle="1" w:styleId="111">
    <w:name w:val="gray6"/>
    <w:qFormat/>
    <w:uiPriority w:val="0"/>
    <w:rPr>
      <w:rFonts w:ascii="仿宋_GB2312" w:hAnsi="Tahoma" w:eastAsia="仿宋_GB2312"/>
      <w:b/>
      <w:sz w:val="32"/>
      <w:szCs w:val="32"/>
    </w:rPr>
  </w:style>
  <w:style w:type="character" w:customStyle="1" w:styleId="112">
    <w:name w:val="标题 2 Char"/>
    <w:qFormat/>
    <w:uiPriority w:val="0"/>
    <w:rPr>
      <w:rFonts w:ascii="Arial" w:hAnsi="Arial" w:eastAsia="黑体"/>
      <w:b/>
      <w:bCs/>
      <w:kern w:val="2"/>
      <w:sz w:val="32"/>
      <w:szCs w:val="32"/>
      <w:lang w:val="en-US" w:eastAsia="zh-CN" w:bidi="ar-SA"/>
    </w:rPr>
  </w:style>
  <w:style w:type="character" w:customStyle="1" w:styleId="113">
    <w:name w:val="页眉 Char"/>
    <w:qFormat/>
    <w:uiPriority w:val="99"/>
    <w:rPr>
      <w:rFonts w:eastAsia="仿宋_GB2312"/>
      <w:kern w:val="2"/>
      <w:sz w:val="18"/>
      <w:szCs w:val="18"/>
      <w:lang w:val="en-US" w:eastAsia="zh-CN" w:bidi="ar-SA"/>
    </w:rPr>
  </w:style>
  <w:style w:type="character" w:customStyle="1" w:styleId="114">
    <w:name w:val="Style2"/>
    <w:qFormat/>
    <w:uiPriority w:val="0"/>
    <w:rPr>
      <w:rFonts w:ascii="Calibri" w:hAnsi="宋体" w:eastAsia="宋体" w:cs="Times New Roman"/>
      <w:sz w:val="22"/>
      <w:szCs w:val="22"/>
      <w:lang w:eastAsia="zh-CN"/>
    </w:rPr>
  </w:style>
  <w:style w:type="character" w:customStyle="1" w:styleId="115">
    <w:name w:val="heading 5 Char2"/>
    <w:qFormat/>
    <w:uiPriority w:val="0"/>
    <w:rPr>
      <w:rFonts w:ascii="仿宋_GB2312" w:eastAsia="仿宋_GB2312"/>
      <w:b/>
      <w:bCs/>
      <w:kern w:val="2"/>
      <w:sz w:val="28"/>
      <w:szCs w:val="28"/>
    </w:rPr>
  </w:style>
  <w:style w:type="character" w:customStyle="1" w:styleId="116">
    <w:name w:val="样式 正文文本 Char Char"/>
    <w:link w:val="117"/>
    <w:qFormat/>
    <w:uiPriority w:val="0"/>
    <w:rPr>
      <w:rFonts w:ascii="Arial" w:hAnsi="Arial" w:cs="宋体"/>
      <w:color w:val="000000"/>
      <w:kern w:val="2"/>
      <w:sz w:val="21"/>
    </w:rPr>
  </w:style>
  <w:style w:type="paragraph" w:customStyle="1" w:styleId="117">
    <w:name w:val="样式 正文文本"/>
    <w:basedOn w:val="1"/>
    <w:link w:val="116"/>
    <w:qFormat/>
    <w:uiPriority w:val="0"/>
    <w:pPr>
      <w:adjustRightInd w:val="0"/>
      <w:snapToGrid w:val="0"/>
      <w:spacing w:line="400" w:lineRule="exact"/>
      <w:ind w:firstLine="200" w:firstLineChars="200"/>
    </w:pPr>
    <w:rPr>
      <w:rFonts w:ascii="Arial" w:hAnsi="Arial"/>
      <w:color w:val="000000"/>
      <w:szCs w:val="20"/>
    </w:rPr>
  </w:style>
  <w:style w:type="character" w:customStyle="1" w:styleId="118">
    <w:name w:val="num"/>
    <w:qFormat/>
    <w:uiPriority w:val="0"/>
    <w:rPr>
      <w:b/>
      <w:color w:val="FF7800"/>
      <w:szCs w:val="20"/>
    </w:rPr>
  </w:style>
  <w:style w:type="character" w:customStyle="1" w:styleId="119">
    <w:name w:val="heading 4 Char1"/>
    <w:qFormat/>
    <w:uiPriority w:val="0"/>
    <w:rPr>
      <w:rFonts w:ascii="Cambria" w:hAnsi="Cambria" w:eastAsia="宋体"/>
      <w:b/>
      <w:bCs/>
      <w:kern w:val="2"/>
      <w:sz w:val="28"/>
      <w:szCs w:val="28"/>
      <w:lang w:val="en-US" w:eastAsia="zh-CN" w:bidi="ar-SA"/>
    </w:rPr>
  </w:style>
  <w:style w:type="character" w:customStyle="1" w:styleId="120">
    <w:name w:val="标书标题 3 Char Char Char"/>
    <w:link w:val="121"/>
    <w:qFormat/>
    <w:uiPriority w:val="0"/>
    <w:rPr>
      <w:rFonts w:ascii="Arial" w:hAnsi="Arial" w:eastAsia="仿宋_GB2312"/>
      <w:b/>
      <w:kern w:val="2"/>
      <w:sz w:val="24"/>
      <w:szCs w:val="32"/>
    </w:rPr>
  </w:style>
  <w:style w:type="paragraph" w:customStyle="1" w:styleId="121">
    <w:name w:val="标书标题 3 Char"/>
    <w:basedOn w:val="1"/>
    <w:link w:val="120"/>
    <w:qFormat/>
    <w:uiPriority w:val="0"/>
    <w:pPr>
      <w:tabs>
        <w:tab w:val="left" w:pos="720"/>
      </w:tabs>
      <w:spacing w:line="360" w:lineRule="auto"/>
      <w:outlineLvl w:val="2"/>
    </w:pPr>
    <w:rPr>
      <w:rFonts w:ascii="Arial" w:hAnsi="Arial" w:eastAsia="仿宋_GB2312"/>
      <w:b/>
      <w:sz w:val="24"/>
      <w:szCs w:val="32"/>
    </w:rPr>
  </w:style>
  <w:style w:type="character" w:customStyle="1" w:styleId="122">
    <w:name w:val="blue1"/>
    <w:qFormat/>
    <w:uiPriority w:val="0"/>
    <w:rPr>
      <w:rFonts w:ascii="仿宋_GB2312" w:hAnsi="Tahoma" w:eastAsia="仿宋_GB2312"/>
      <w:b/>
      <w:sz w:val="32"/>
      <w:szCs w:val="32"/>
    </w:rPr>
  </w:style>
  <w:style w:type="character" w:customStyle="1" w:styleId="123">
    <w:name w:val="heading 1 Char1"/>
    <w:qFormat/>
    <w:uiPriority w:val="0"/>
    <w:rPr>
      <w:rFonts w:ascii="仿宋_GB2312" w:eastAsia="宋体"/>
      <w:b/>
      <w:bCs/>
      <w:kern w:val="44"/>
      <w:sz w:val="44"/>
      <w:szCs w:val="44"/>
      <w:lang w:val="en-US" w:eastAsia="zh-CN" w:bidi="ar-SA"/>
    </w:rPr>
  </w:style>
  <w:style w:type="character" w:customStyle="1" w:styleId="124">
    <w:name w:val="Ò³Ã¼ Char Char1"/>
    <w:qFormat/>
    <w:uiPriority w:val="0"/>
    <w:rPr>
      <w:rFonts w:ascii="仿宋_GB2312" w:eastAsia="宋体"/>
      <w:b/>
      <w:kern w:val="2"/>
      <w:sz w:val="18"/>
      <w:szCs w:val="18"/>
      <w:lang w:val="en-US" w:eastAsia="zh-CN" w:bidi="ar-SA"/>
    </w:rPr>
  </w:style>
  <w:style w:type="character" w:customStyle="1" w:styleId="125">
    <w:name w:val="heading 3 Char"/>
    <w:qFormat/>
    <w:uiPriority w:val="0"/>
    <w:rPr>
      <w:rFonts w:ascii="Arial" w:hAnsi="Arial" w:eastAsia="黑体"/>
      <w:b/>
      <w:sz w:val="28"/>
      <w:szCs w:val="24"/>
    </w:rPr>
  </w:style>
  <w:style w:type="character" w:customStyle="1" w:styleId="126">
    <w:name w:val="批注文字 Char"/>
    <w:qFormat/>
    <w:uiPriority w:val="99"/>
    <w:rPr>
      <w:rFonts w:eastAsia="宋体"/>
      <w:kern w:val="2"/>
      <w:sz w:val="21"/>
      <w:szCs w:val="24"/>
      <w:lang w:val="en-US" w:eastAsia="zh-CN" w:bidi="ar-SA"/>
    </w:rPr>
  </w:style>
  <w:style w:type="character" w:customStyle="1" w:styleId="127">
    <w:name w:val="dandyren_title1"/>
    <w:qFormat/>
    <w:uiPriority w:val="0"/>
    <w:rPr>
      <w:rFonts w:ascii="仿宋_GB2312" w:eastAsia="仿宋_GB2312"/>
      <w:b/>
      <w:bCs/>
      <w:color w:val="FF6633"/>
      <w:sz w:val="18"/>
      <w:szCs w:val="18"/>
    </w:rPr>
  </w:style>
  <w:style w:type="character" w:customStyle="1" w:styleId="128">
    <w:name w:val="Char Char2"/>
    <w:qFormat/>
    <w:uiPriority w:val="0"/>
    <w:rPr>
      <w:rFonts w:ascii="Arial" w:hAnsi="Arial" w:eastAsia="黑体"/>
      <w:b/>
      <w:bCs/>
      <w:kern w:val="44"/>
      <w:sz w:val="30"/>
      <w:szCs w:val="44"/>
      <w:lang w:val="en-US" w:eastAsia="zh-CN" w:bidi="ar-SA"/>
    </w:rPr>
  </w:style>
  <w:style w:type="character" w:customStyle="1" w:styleId="129">
    <w:name w:val="heading 6 Char1"/>
    <w:qFormat/>
    <w:uiPriority w:val="0"/>
    <w:rPr>
      <w:rFonts w:ascii="Arial" w:hAnsi="Arial" w:eastAsia="黑体"/>
      <w:b/>
      <w:kern w:val="2"/>
      <w:sz w:val="24"/>
      <w:szCs w:val="24"/>
      <w:lang w:val="en-US" w:eastAsia="zh-CN" w:bidi="ar-SA"/>
    </w:rPr>
  </w:style>
  <w:style w:type="character" w:customStyle="1" w:styleId="130">
    <w:name w:val="不明显强调1"/>
    <w:qFormat/>
    <w:uiPriority w:val="0"/>
    <w:rPr>
      <w:i/>
      <w:iCs/>
      <w:color w:val="808080"/>
    </w:rPr>
  </w:style>
  <w:style w:type="character" w:customStyle="1" w:styleId="131">
    <w:name w:val="Char Char17"/>
    <w:qFormat/>
    <w:uiPriority w:val="0"/>
    <w:rPr>
      <w:rFonts w:ascii="Cambria" w:hAnsi="Cambria" w:eastAsia="仿宋_GB2312"/>
      <w:b/>
      <w:bCs/>
      <w:kern w:val="2"/>
      <w:sz w:val="28"/>
      <w:szCs w:val="28"/>
    </w:rPr>
  </w:style>
  <w:style w:type="character" w:customStyle="1" w:styleId="132">
    <w:name w:val="font21"/>
    <w:basedOn w:val="58"/>
    <w:qFormat/>
    <w:uiPriority w:val="0"/>
    <w:rPr>
      <w:rFonts w:hint="default" w:ascii="Times New Roman" w:hAnsi="Times New Roman" w:cs="Times New Roman"/>
      <w:color w:val="000000"/>
      <w:sz w:val="20"/>
      <w:szCs w:val="20"/>
      <w:u w:val="none"/>
    </w:rPr>
  </w:style>
  <w:style w:type="character" w:customStyle="1" w:styleId="133">
    <w:name w:val="Char Char211"/>
    <w:qFormat/>
    <w:uiPriority w:val="0"/>
    <w:rPr>
      <w:rFonts w:ascii="Times New Roman" w:hAnsi="Times New Roman" w:eastAsia="宋体" w:cs="Times New Roman"/>
      <w:b/>
      <w:bCs/>
      <w:kern w:val="44"/>
      <w:sz w:val="44"/>
      <w:szCs w:val="44"/>
    </w:rPr>
  </w:style>
  <w:style w:type="character" w:customStyle="1" w:styleId="134">
    <w:name w:val="Char Char15"/>
    <w:qFormat/>
    <w:uiPriority w:val="0"/>
    <w:rPr>
      <w:rFonts w:ascii="Arial" w:hAnsi="Arial" w:eastAsia="黑体"/>
      <w:b/>
      <w:sz w:val="24"/>
      <w:szCs w:val="24"/>
    </w:rPr>
  </w:style>
  <w:style w:type="character" w:customStyle="1" w:styleId="135">
    <w:name w:val="upload"/>
    <w:qFormat/>
    <w:uiPriority w:val="0"/>
  </w:style>
  <w:style w:type="character" w:customStyle="1" w:styleId="136">
    <w:name w:val="Char1"/>
    <w:qFormat/>
    <w:uiPriority w:val="0"/>
    <w:rPr>
      <w:rFonts w:ascii="宋体" w:hAnsi="宋体" w:eastAsia="宋体"/>
      <w:b/>
      <w:kern w:val="2"/>
      <w:sz w:val="24"/>
      <w:szCs w:val="24"/>
      <w:lang w:val="en-US" w:eastAsia="zh-CN" w:bidi="ar-SA"/>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legend"/>
    <w:qFormat/>
    <w:uiPriority w:val="0"/>
    <w:rPr>
      <w:rFonts w:ascii="Arial" w:hAnsi="Arial" w:cs="Arial"/>
      <w:b/>
      <w:color w:val="73B304"/>
      <w:sz w:val="16"/>
      <w:szCs w:val="16"/>
      <w:shd w:val="clear" w:color="auto" w:fill="FFFFFF"/>
    </w:rPr>
  </w:style>
  <w:style w:type="character" w:customStyle="1" w:styleId="139">
    <w:name w:val="password"/>
    <w:qFormat/>
    <w:uiPriority w:val="0"/>
  </w:style>
  <w:style w:type="character" w:customStyle="1" w:styleId="140">
    <w:name w:val="red1"/>
    <w:qFormat/>
    <w:uiPriority w:val="0"/>
    <w:rPr>
      <w:color w:val="FF0000"/>
      <w:szCs w:val="20"/>
    </w:rPr>
  </w:style>
  <w:style w:type="character" w:customStyle="1" w:styleId="141">
    <w:name w:val="PI Char1"/>
    <w:qFormat/>
    <w:uiPriority w:val="0"/>
    <w:rPr>
      <w:rFonts w:ascii="仿宋_GB2312" w:eastAsia="宋体"/>
      <w:b/>
      <w:kern w:val="2"/>
      <w:sz w:val="24"/>
      <w:szCs w:val="24"/>
      <w:lang w:val="en-US" w:eastAsia="zh-CN" w:bidi="ar-SA"/>
    </w:rPr>
  </w:style>
  <w:style w:type="character" w:customStyle="1" w:styleId="142">
    <w:name w:val="Char Char11"/>
    <w:qFormat/>
    <w:uiPriority w:val="0"/>
    <w:rPr>
      <w:rFonts w:ascii="Times New Roman" w:hAnsi="Times New Roman" w:eastAsia="宋体" w:cs="Times New Roman"/>
      <w:sz w:val="18"/>
      <w:szCs w:val="18"/>
    </w:rPr>
  </w:style>
  <w:style w:type="character" w:customStyle="1" w:styleId="143">
    <w:name w:val="表格 Char Char"/>
    <w:link w:val="144"/>
    <w:qFormat/>
    <w:uiPriority w:val="0"/>
    <w:rPr>
      <w:rFonts w:ascii="宋体" w:hAnsi="宋体"/>
      <w:b/>
      <w:sz w:val="32"/>
      <w:szCs w:val="32"/>
    </w:rPr>
  </w:style>
  <w:style w:type="paragraph" w:customStyle="1" w:styleId="144">
    <w:name w:val="表格"/>
    <w:basedOn w:val="1"/>
    <w:link w:val="143"/>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45">
    <w:name w:val="Style4"/>
    <w:qFormat/>
    <w:uiPriority w:val="0"/>
    <w:rPr>
      <w:rFonts w:ascii="Calibri" w:hAnsi="宋体" w:eastAsia="宋体" w:cs="Times New Roman"/>
      <w:szCs w:val="22"/>
      <w:lang w:eastAsia="zh-CN"/>
    </w:rPr>
  </w:style>
  <w:style w:type="character" w:customStyle="1" w:styleId="146">
    <w:name w:val="hover30"/>
    <w:qFormat/>
    <w:uiPriority w:val="0"/>
  </w:style>
  <w:style w:type="character" w:customStyle="1" w:styleId="147">
    <w:name w:val="标题 4 Char"/>
    <w:qFormat/>
    <w:uiPriority w:val="0"/>
    <w:rPr>
      <w:rFonts w:ascii="Arial" w:hAnsi="Arial" w:eastAsia="黑体"/>
      <w:b/>
      <w:bCs/>
      <w:kern w:val="2"/>
      <w:sz w:val="28"/>
      <w:szCs w:val="28"/>
      <w:lang w:val="en-US" w:eastAsia="zh-CN" w:bidi="ar-SA"/>
    </w:rPr>
  </w:style>
  <w:style w:type="character" w:customStyle="1" w:styleId="148">
    <w:name w:val="PI Char"/>
    <w:qFormat/>
    <w:uiPriority w:val="0"/>
    <w:rPr>
      <w:rFonts w:ascii="宋体" w:hAnsi="宋体" w:eastAsia="仿宋_GB2312"/>
      <w:b/>
      <w:sz w:val="24"/>
      <w:szCs w:val="32"/>
    </w:rPr>
  </w:style>
  <w:style w:type="character" w:customStyle="1" w:styleId="149">
    <w:name w:val="update"/>
    <w:qFormat/>
    <w:uiPriority w:val="0"/>
  </w:style>
  <w:style w:type="character" w:customStyle="1" w:styleId="150">
    <w:name w:val="heading 5 Char1"/>
    <w:qFormat/>
    <w:uiPriority w:val="0"/>
    <w:rPr>
      <w:rFonts w:ascii="仿宋_GB2312" w:eastAsia="宋体"/>
      <w:b/>
      <w:bCs/>
      <w:kern w:val="2"/>
      <w:sz w:val="28"/>
      <w:szCs w:val="28"/>
      <w:lang w:val="en-US" w:eastAsia="zh-CN" w:bidi="ar-SA"/>
    </w:rPr>
  </w:style>
  <w:style w:type="character" w:customStyle="1" w:styleId="151">
    <w:name w:val="heading 5 Char"/>
    <w:qFormat/>
    <w:uiPriority w:val="0"/>
    <w:rPr>
      <w:rFonts w:ascii="Arial" w:hAnsi="Arial" w:eastAsia="黑体"/>
      <w:b/>
      <w:sz w:val="21"/>
      <w:szCs w:val="21"/>
    </w:rPr>
  </w:style>
  <w:style w:type="character" w:customStyle="1" w:styleId="152">
    <w:name w:val="Heading 2 Hidden Char1 Char"/>
    <w:qFormat/>
    <w:uiPriority w:val="0"/>
    <w:rPr>
      <w:rFonts w:ascii="宋体" w:hAnsi="Times New Roman" w:eastAsia="宋体" w:cs="Times New Roman"/>
      <w:kern w:val="0"/>
      <w:sz w:val="24"/>
      <w:szCs w:val="24"/>
    </w:rPr>
  </w:style>
  <w:style w:type="character" w:customStyle="1" w:styleId="153">
    <w:name w:val="Char Char20"/>
    <w:qFormat/>
    <w:uiPriority w:val="0"/>
    <w:rPr>
      <w:rFonts w:ascii="仿宋_GB2312" w:eastAsia="仿宋_GB2312"/>
      <w:b/>
      <w:bCs/>
      <w:kern w:val="44"/>
      <w:sz w:val="44"/>
      <w:szCs w:val="44"/>
    </w:rPr>
  </w:style>
  <w:style w:type="character" w:customStyle="1" w:styleId="154">
    <w:name w:val="正文文本 Char"/>
    <w:qFormat/>
    <w:uiPriority w:val="0"/>
    <w:rPr>
      <w:rFonts w:ascii="仿宋_GB2312" w:eastAsia="宋体"/>
      <w:b/>
      <w:kern w:val="2"/>
      <w:sz w:val="21"/>
      <w:szCs w:val="24"/>
      <w:lang w:val="en-US" w:eastAsia="zh-CN" w:bidi="ar-SA"/>
    </w:rPr>
  </w:style>
  <w:style w:type="character" w:customStyle="1" w:styleId="155">
    <w:name w:val="页脚 Char"/>
    <w:qFormat/>
    <w:uiPriority w:val="99"/>
    <w:rPr>
      <w:rFonts w:eastAsia="仿宋_GB2312"/>
      <w:kern w:val="2"/>
      <w:sz w:val="18"/>
      <w:szCs w:val="18"/>
      <w:lang w:val="en-US" w:eastAsia="zh-CN" w:bidi="ar-SA"/>
    </w:rPr>
  </w:style>
  <w:style w:type="character" w:customStyle="1" w:styleId="156">
    <w:name w:val="明显强调1"/>
    <w:qFormat/>
    <w:uiPriority w:val="0"/>
    <w:rPr>
      <w:b/>
      <w:bCs/>
      <w:i/>
      <w:iCs/>
      <w:color w:val="4F81BD"/>
    </w:rPr>
  </w:style>
  <w:style w:type="character" w:customStyle="1" w:styleId="157">
    <w:name w:val="heading 4 Char"/>
    <w:qFormat/>
    <w:uiPriority w:val="0"/>
    <w:rPr>
      <w:rFonts w:ascii="Arial" w:hAnsi="Arial" w:eastAsia="黑体" w:cs="Times New Roman"/>
      <w:b/>
      <w:sz w:val="21"/>
      <w:szCs w:val="21"/>
    </w:rPr>
  </w:style>
  <w:style w:type="character" w:customStyle="1" w:styleId="158">
    <w:name w:val="op-map-singlepoint-info-right1"/>
    <w:qFormat/>
    <w:uiPriority w:val="0"/>
  </w:style>
  <w:style w:type="character" w:customStyle="1" w:styleId="159">
    <w:name w:val="Style1"/>
    <w:qFormat/>
    <w:uiPriority w:val="0"/>
    <w:rPr>
      <w:rFonts w:ascii="Calibri" w:hAnsi="宋体" w:eastAsia="宋体" w:cs="Times New Roman"/>
      <w:sz w:val="22"/>
      <w:szCs w:val="22"/>
      <w:lang w:eastAsia="zh-CN"/>
    </w:rPr>
  </w:style>
  <w:style w:type="character" w:customStyle="1" w:styleId="160">
    <w:name w:val="Char Char18"/>
    <w:qFormat/>
    <w:uiPriority w:val="0"/>
    <w:rPr>
      <w:rFonts w:ascii="仿宋_GB2312" w:eastAsia="仿宋_GB2312"/>
      <w:b/>
      <w:bCs/>
      <w:kern w:val="2"/>
      <w:sz w:val="32"/>
      <w:szCs w:val="32"/>
    </w:rPr>
  </w:style>
  <w:style w:type="character" w:customStyle="1" w:styleId="161">
    <w:name w:val="明显参考1"/>
    <w:qFormat/>
    <w:uiPriority w:val="0"/>
    <w:rPr>
      <w:b/>
      <w:bCs/>
      <w:smallCaps/>
      <w:color w:val="C0504D"/>
      <w:spacing w:val="5"/>
      <w:u w:val="single"/>
    </w:rPr>
  </w:style>
  <w:style w:type="character" w:customStyle="1" w:styleId="162">
    <w:name w:val="heading 1 Char"/>
    <w:qFormat/>
    <w:uiPriority w:val="0"/>
    <w:rPr>
      <w:rFonts w:ascii="Arial" w:hAnsi="Arial" w:eastAsia="黑体"/>
      <w:b/>
      <w:sz w:val="36"/>
      <w:szCs w:val="36"/>
    </w:rPr>
  </w:style>
  <w:style w:type="character" w:customStyle="1" w:styleId="163">
    <w:name w:val="Char Char201"/>
    <w:qFormat/>
    <w:uiPriority w:val="0"/>
    <w:rPr>
      <w:rFonts w:ascii="Cambria" w:hAnsi="Cambria" w:eastAsia="宋体" w:cs="Times New Roman"/>
      <w:b/>
      <w:bCs/>
      <w:sz w:val="32"/>
      <w:szCs w:val="32"/>
    </w:rPr>
  </w:style>
  <w:style w:type="character" w:customStyle="1" w:styleId="164">
    <w:name w:val="heading 8 Char1"/>
    <w:qFormat/>
    <w:uiPriority w:val="0"/>
    <w:rPr>
      <w:rFonts w:ascii="Arial" w:hAnsi="Arial" w:eastAsia="黑体"/>
      <w:b/>
      <w:sz w:val="24"/>
      <w:szCs w:val="32"/>
      <w:lang w:val="en-US" w:eastAsia="zh-CN" w:bidi="ar-SA"/>
    </w:rPr>
  </w:style>
  <w:style w:type="character" w:customStyle="1" w:styleId="165">
    <w:name w:val="heading 9 Char1"/>
    <w:qFormat/>
    <w:uiPriority w:val="0"/>
    <w:rPr>
      <w:rFonts w:ascii="Arial" w:hAnsi="Arial" w:eastAsia="黑体"/>
      <w:b/>
      <w:sz w:val="21"/>
      <w:szCs w:val="32"/>
      <w:lang w:val="en-US" w:eastAsia="zh-CN" w:bidi="ar-SA"/>
    </w:rPr>
  </w:style>
  <w:style w:type="character" w:customStyle="1" w:styleId="166">
    <w:name w:val="font161"/>
    <w:qFormat/>
    <w:uiPriority w:val="0"/>
    <w:rPr>
      <w:b/>
      <w:bCs/>
      <w:sz w:val="32"/>
      <w:szCs w:val="32"/>
    </w:rPr>
  </w:style>
  <w:style w:type="character" w:customStyle="1" w:styleId="167">
    <w:name w:val="Char Char22"/>
    <w:qFormat/>
    <w:uiPriority w:val="0"/>
    <w:rPr>
      <w:rFonts w:ascii="Arial" w:hAnsi="Arial" w:eastAsia="黑体"/>
      <w:b/>
      <w:bCs/>
      <w:kern w:val="44"/>
      <w:sz w:val="30"/>
      <w:szCs w:val="44"/>
      <w:lang w:val="en-US" w:eastAsia="zh-CN" w:bidi="ar-SA"/>
    </w:rPr>
  </w:style>
  <w:style w:type="character" w:customStyle="1" w:styleId="168">
    <w:name w:val="font31"/>
    <w:qFormat/>
    <w:uiPriority w:val="0"/>
    <w:rPr>
      <w:rFonts w:hint="eastAsia" w:ascii="宋体" w:hAnsi="宋体" w:eastAsia="宋体" w:cs="宋体"/>
      <w:color w:val="000000"/>
      <w:sz w:val="20"/>
      <w:szCs w:val="20"/>
      <w:u w:val="none"/>
    </w:rPr>
  </w:style>
  <w:style w:type="character" w:customStyle="1" w:styleId="169">
    <w:name w:val="authcode"/>
    <w:qFormat/>
    <w:uiPriority w:val="0"/>
  </w:style>
  <w:style w:type="character" w:customStyle="1" w:styleId="170">
    <w:name w:val="heading 3 Char2"/>
    <w:qFormat/>
    <w:uiPriority w:val="0"/>
    <w:rPr>
      <w:rFonts w:ascii="仿宋_GB2312" w:eastAsia="仿宋_GB2312"/>
      <w:b/>
      <w:bCs/>
      <w:kern w:val="2"/>
      <w:sz w:val="32"/>
      <w:szCs w:val="32"/>
    </w:rPr>
  </w:style>
  <w:style w:type="character" w:customStyle="1" w:styleId="171">
    <w:name w:val="样式 宋体"/>
    <w:qFormat/>
    <w:uiPriority w:val="0"/>
    <w:rPr>
      <w:rFonts w:ascii="宋体" w:hAnsi="宋体" w:eastAsia="宋体"/>
      <w:b/>
      <w:sz w:val="24"/>
      <w:szCs w:val="24"/>
    </w:rPr>
  </w:style>
  <w:style w:type="character" w:customStyle="1" w:styleId="172">
    <w:name w:val="标题 3 Char"/>
    <w:qFormat/>
    <w:uiPriority w:val="0"/>
    <w:rPr>
      <w:rFonts w:ascii="黑体" w:hAnsi="宋体" w:eastAsia="黑体"/>
      <w:bCs/>
      <w:kern w:val="2"/>
      <w:sz w:val="28"/>
      <w:szCs w:val="28"/>
      <w:lang w:val="en-US" w:eastAsia="zh-CN" w:bidi="ar-SA"/>
    </w:rPr>
  </w:style>
  <w:style w:type="character" w:customStyle="1" w:styleId="173">
    <w:name w:val="heading 2 Char2"/>
    <w:qFormat/>
    <w:uiPriority w:val="0"/>
    <w:rPr>
      <w:rFonts w:ascii="Cambria" w:hAnsi="Cambria" w:eastAsia="仿宋_GB2312"/>
      <w:b/>
      <w:bCs/>
      <w:kern w:val="2"/>
      <w:sz w:val="32"/>
      <w:szCs w:val="32"/>
    </w:rPr>
  </w:style>
  <w:style w:type="character" w:customStyle="1" w:styleId="174">
    <w:name w:val="批注主题 字符"/>
    <w:link w:val="52"/>
    <w:qFormat/>
    <w:uiPriority w:val="0"/>
    <w:rPr>
      <w:b/>
      <w:bCs/>
      <w:kern w:val="2"/>
      <w:sz w:val="21"/>
      <w:szCs w:val="24"/>
    </w:rPr>
  </w:style>
  <w:style w:type="character" w:customStyle="1" w:styleId="175">
    <w:name w:val="标题 字符"/>
    <w:link w:val="51"/>
    <w:qFormat/>
    <w:uiPriority w:val="0"/>
    <w:rPr>
      <w:rFonts w:ascii="Cambria" w:hAnsi="Cambria"/>
      <w:b/>
      <w:bCs/>
      <w:sz w:val="32"/>
      <w:szCs w:val="32"/>
    </w:rPr>
  </w:style>
  <w:style w:type="character" w:customStyle="1" w:styleId="176">
    <w:name w:val="正文文本缩进 3 字符"/>
    <w:link w:val="44"/>
    <w:qFormat/>
    <w:uiPriority w:val="0"/>
    <w:rPr>
      <w:kern w:val="2"/>
      <w:sz w:val="16"/>
      <w:szCs w:val="16"/>
    </w:rPr>
  </w:style>
  <w:style w:type="character" w:customStyle="1" w:styleId="177">
    <w:name w:val="副标题 字符"/>
    <w:link w:val="40"/>
    <w:qFormat/>
    <w:uiPriority w:val="0"/>
    <w:rPr>
      <w:rFonts w:ascii="Cambria" w:hAnsi="Cambria"/>
      <w:b/>
      <w:bCs/>
      <w:kern w:val="28"/>
      <w:sz w:val="32"/>
      <w:szCs w:val="32"/>
    </w:rPr>
  </w:style>
  <w:style w:type="character" w:customStyle="1" w:styleId="178">
    <w:name w:val="签名 字符"/>
    <w:link w:val="37"/>
    <w:qFormat/>
    <w:uiPriority w:val="0"/>
    <w:rPr>
      <w:rFonts w:ascii="Tahoma" w:hAnsi="Tahoma" w:eastAsia="仿宋_GB2312"/>
      <w:sz w:val="24"/>
      <w:szCs w:val="20"/>
    </w:rPr>
  </w:style>
  <w:style w:type="character" w:customStyle="1" w:styleId="179">
    <w:name w:val="页眉 字符"/>
    <w:link w:val="36"/>
    <w:qFormat/>
    <w:uiPriority w:val="0"/>
    <w:rPr>
      <w:kern w:val="2"/>
      <w:sz w:val="18"/>
      <w:szCs w:val="18"/>
    </w:rPr>
  </w:style>
  <w:style w:type="character" w:customStyle="1" w:styleId="180">
    <w:name w:val="页脚 字符"/>
    <w:link w:val="35"/>
    <w:qFormat/>
    <w:uiPriority w:val="0"/>
    <w:rPr>
      <w:kern w:val="2"/>
      <w:sz w:val="18"/>
      <w:szCs w:val="18"/>
    </w:rPr>
  </w:style>
  <w:style w:type="character" w:customStyle="1" w:styleId="181">
    <w:name w:val="批注框文本 字符"/>
    <w:link w:val="34"/>
    <w:qFormat/>
    <w:uiPriority w:val="0"/>
    <w:rPr>
      <w:kern w:val="2"/>
      <w:sz w:val="18"/>
      <w:szCs w:val="18"/>
    </w:rPr>
  </w:style>
  <w:style w:type="character" w:customStyle="1" w:styleId="182">
    <w:name w:val="正文文本缩进 2 字符"/>
    <w:link w:val="33"/>
    <w:qFormat/>
    <w:uiPriority w:val="0"/>
    <w:rPr>
      <w:kern w:val="2"/>
      <w:sz w:val="21"/>
      <w:szCs w:val="24"/>
    </w:rPr>
  </w:style>
  <w:style w:type="character" w:customStyle="1" w:styleId="183">
    <w:name w:val="纯文本 字符"/>
    <w:link w:val="9"/>
    <w:qFormat/>
    <w:uiPriority w:val="0"/>
    <w:rPr>
      <w:rFonts w:ascii="宋体" w:hAnsi="Courier New" w:eastAsia="宋体"/>
      <w:kern w:val="2"/>
      <w:sz w:val="21"/>
      <w:lang w:val="en-US" w:eastAsia="zh-CN" w:bidi="ar-SA"/>
    </w:rPr>
  </w:style>
  <w:style w:type="character" w:customStyle="1" w:styleId="184">
    <w:name w:val="正文文本缩进 字符"/>
    <w:link w:val="24"/>
    <w:qFormat/>
    <w:uiPriority w:val="0"/>
    <w:rPr>
      <w:rFonts w:ascii="宋体" w:hAnsi="宋体"/>
      <w:kern w:val="2"/>
      <w:sz w:val="24"/>
    </w:rPr>
  </w:style>
  <w:style w:type="character" w:customStyle="1" w:styleId="185">
    <w:name w:val="正文文本首行缩进 字符"/>
    <w:link w:val="53"/>
    <w:qFormat/>
    <w:uiPriority w:val="0"/>
    <w:rPr>
      <w:rFonts w:ascii="仿宋_GB2312"/>
      <w:b/>
      <w:sz w:val="32"/>
      <w:szCs w:val="32"/>
    </w:rPr>
  </w:style>
  <w:style w:type="character" w:customStyle="1" w:styleId="186">
    <w:name w:val="正文文本 3 字符"/>
    <w:link w:val="22"/>
    <w:qFormat/>
    <w:uiPriority w:val="0"/>
  </w:style>
  <w:style w:type="character" w:customStyle="1" w:styleId="187">
    <w:name w:val="批注文字 字符"/>
    <w:link w:val="20"/>
    <w:qFormat/>
    <w:uiPriority w:val="0"/>
    <w:rPr>
      <w:kern w:val="2"/>
      <w:sz w:val="21"/>
      <w:szCs w:val="24"/>
    </w:rPr>
  </w:style>
  <w:style w:type="character" w:customStyle="1" w:styleId="188">
    <w:name w:val="文档结构图 字符"/>
    <w:link w:val="19"/>
    <w:qFormat/>
    <w:uiPriority w:val="0"/>
    <w:rPr>
      <w:kern w:val="2"/>
      <w:sz w:val="21"/>
      <w:szCs w:val="24"/>
      <w:shd w:val="clear" w:color="auto" w:fill="000080"/>
    </w:rPr>
  </w:style>
  <w:style w:type="character" w:customStyle="1" w:styleId="189">
    <w:name w:val="hover15"/>
    <w:qFormat/>
    <w:uiPriority w:val="0"/>
    <w:rPr>
      <w:szCs w:val="20"/>
      <w:u w:val="single"/>
    </w:rPr>
  </w:style>
  <w:style w:type="character" w:customStyle="1" w:styleId="190">
    <w:name w:val="正文缩进 字符"/>
    <w:link w:val="5"/>
    <w:qFormat/>
    <w:uiPriority w:val="0"/>
    <w:rPr>
      <w:rFonts w:eastAsia="宋体"/>
      <w:sz w:val="21"/>
      <w:lang w:val="en-US" w:eastAsia="zh-CN" w:bidi="ar-SA"/>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标题 7 字符"/>
    <w:link w:val="12"/>
    <w:qFormat/>
    <w:uiPriority w:val="0"/>
    <w:rPr>
      <w:rFonts w:ascii="Arial" w:hAnsi="Arial" w:eastAsia="黑体"/>
      <w:b/>
      <w:sz w:val="21"/>
      <w:szCs w:val="21"/>
    </w:rPr>
  </w:style>
  <w:style w:type="character" w:customStyle="1" w:styleId="193">
    <w:name w:val="标题 6 字符"/>
    <w:link w:val="11"/>
    <w:qFormat/>
    <w:uiPriority w:val="0"/>
    <w:rPr>
      <w:rFonts w:ascii="Arial" w:hAnsi="Arial" w:eastAsia="黑体"/>
      <w:b/>
      <w:bCs/>
      <w:kern w:val="2"/>
      <w:sz w:val="24"/>
      <w:szCs w:val="24"/>
    </w:rPr>
  </w:style>
  <w:style w:type="character" w:customStyle="1" w:styleId="194">
    <w:name w:val="标题 4 字符"/>
    <w:link w:val="8"/>
    <w:qFormat/>
    <w:uiPriority w:val="0"/>
    <w:rPr>
      <w:rFonts w:ascii="Cambria" w:hAnsi="Cambria"/>
      <w:b/>
      <w:bCs/>
      <w:kern w:val="2"/>
      <w:sz w:val="28"/>
      <w:szCs w:val="28"/>
    </w:rPr>
  </w:style>
  <w:style w:type="character" w:customStyle="1" w:styleId="195">
    <w:name w:val="smalltxt1"/>
    <w:qFormat/>
    <w:uiPriority w:val="0"/>
    <w:rPr>
      <w:rFonts w:hint="default" w:ascii="ˎ̥" w:hAnsi="ˎ̥" w:eastAsia="仿宋_GB2312"/>
      <w:b/>
      <w:sz w:val="24"/>
      <w:szCs w:val="24"/>
    </w:rPr>
  </w:style>
  <w:style w:type="character" w:customStyle="1" w:styleId="196">
    <w:name w:val="标题 3 字符"/>
    <w:link w:val="7"/>
    <w:qFormat/>
    <w:uiPriority w:val="0"/>
    <w:rPr>
      <w:b/>
      <w:bCs/>
      <w:kern w:val="2"/>
      <w:sz w:val="32"/>
      <w:szCs w:val="32"/>
    </w:rPr>
  </w:style>
  <w:style w:type="character" w:customStyle="1" w:styleId="197">
    <w:name w:val="标题 2 字符"/>
    <w:link w:val="6"/>
    <w:qFormat/>
    <w:uiPriority w:val="0"/>
    <w:rPr>
      <w:rFonts w:ascii="Arial" w:hAnsi="Arial" w:eastAsia="黑体"/>
      <w:b/>
      <w:bCs/>
      <w:kern w:val="2"/>
      <w:sz w:val="32"/>
      <w:szCs w:val="32"/>
    </w:rPr>
  </w:style>
  <w:style w:type="character" w:customStyle="1" w:styleId="198">
    <w:name w:val="文档结构图 Char"/>
    <w:qFormat/>
    <w:uiPriority w:val="0"/>
    <w:rPr>
      <w:rFonts w:eastAsia="宋体"/>
      <w:kern w:val="2"/>
      <w:sz w:val="21"/>
      <w:szCs w:val="24"/>
      <w:lang w:val="en-US" w:eastAsia="zh-CN" w:bidi="ar-SA"/>
    </w:rPr>
  </w:style>
  <w:style w:type="character" w:customStyle="1" w:styleId="199">
    <w:name w:val="标题 1 字符"/>
    <w:link w:val="4"/>
    <w:qFormat/>
    <w:uiPriority w:val="0"/>
    <w:rPr>
      <w:rFonts w:ascii="楷体_GB2312" w:hAnsi="Tahoma" w:eastAsia="楷体_GB2312"/>
      <w:b/>
      <w:bCs/>
      <w:kern w:val="2"/>
      <w:sz w:val="21"/>
      <w:szCs w:val="24"/>
    </w:rPr>
  </w:style>
  <w:style w:type="character" w:customStyle="1" w:styleId="200">
    <w:name w:val="宏文本 字符"/>
    <w:link w:val="3"/>
    <w:qFormat/>
    <w:uiPriority w:val="99"/>
    <w:rPr>
      <w:rFonts w:ascii="Courier New" w:hAnsi="Courier New"/>
      <w:kern w:val="2"/>
      <w:sz w:val="24"/>
      <w:szCs w:val="24"/>
      <w:lang w:val="en-US" w:eastAsia="zh-CN" w:bidi="ar-SA"/>
    </w:rPr>
  </w:style>
  <w:style w:type="character" w:customStyle="1" w:styleId="201">
    <w:name w:val="标题 5 字符"/>
    <w:link w:val="10"/>
    <w:qFormat/>
    <w:uiPriority w:val="0"/>
    <w:rPr>
      <w:rFonts w:ascii="仿宋_GB2312" w:hAnsi="Tahoma"/>
      <w:b/>
      <w:bCs/>
      <w:kern w:val="2"/>
      <w:sz w:val="28"/>
      <w:szCs w:val="28"/>
    </w:rPr>
  </w:style>
  <w:style w:type="character" w:customStyle="1" w:styleId="202">
    <w:name w:val="pt141"/>
    <w:qFormat/>
    <w:uiPriority w:val="0"/>
    <w:rPr>
      <w:rFonts w:ascii="仿宋_GB2312" w:eastAsia="仿宋_GB2312"/>
      <w:b/>
      <w:color w:val="330066"/>
      <w:spacing w:val="450"/>
      <w:sz w:val="22"/>
      <w:szCs w:val="22"/>
    </w:rPr>
  </w:style>
  <w:style w:type="character" w:customStyle="1" w:styleId="203">
    <w:name w:val="pages"/>
    <w:qFormat/>
    <w:uiPriority w:val="0"/>
    <w:rPr>
      <w:color w:val="999999"/>
      <w:szCs w:val="20"/>
    </w:rPr>
  </w:style>
  <w:style w:type="character" w:customStyle="1" w:styleId="204">
    <w:name w:val="Ò³Ã¼ Char Char2"/>
    <w:qFormat/>
    <w:uiPriority w:val="0"/>
    <w:rPr>
      <w:rFonts w:ascii="仿宋_GB2312" w:eastAsia="仿宋_GB2312"/>
      <w:b/>
      <w:kern w:val="2"/>
      <w:sz w:val="18"/>
      <w:szCs w:val="18"/>
    </w:rPr>
  </w:style>
  <w:style w:type="character" w:customStyle="1" w:styleId="205">
    <w:name w:val="A6"/>
    <w:qFormat/>
    <w:uiPriority w:val="0"/>
    <w:rPr>
      <w:rFonts w:cs="Helvetica Neue"/>
      <w:color w:val="3E667A"/>
      <w:sz w:val="14"/>
      <w:szCs w:val="14"/>
    </w:rPr>
  </w:style>
  <w:style w:type="character" w:customStyle="1" w:styleId="206">
    <w:name w:val="标题 9 字符"/>
    <w:link w:val="14"/>
    <w:qFormat/>
    <w:uiPriority w:val="0"/>
    <w:rPr>
      <w:rFonts w:ascii="Arial" w:hAnsi="Arial" w:eastAsia="黑体"/>
      <w:b/>
      <w:sz w:val="21"/>
      <w:szCs w:val="32"/>
    </w:rPr>
  </w:style>
  <w:style w:type="character" w:customStyle="1" w:styleId="207">
    <w:name w:val="日期 字符1"/>
    <w:link w:val="32"/>
    <w:qFormat/>
    <w:uiPriority w:val="0"/>
    <w:rPr>
      <w:spacing w:val="12"/>
      <w:kern w:val="2"/>
      <w:sz w:val="24"/>
    </w:rPr>
  </w:style>
  <w:style w:type="character" w:customStyle="1" w:styleId="208">
    <w:name w:val="ändrad Char"/>
    <w:qFormat/>
    <w:uiPriority w:val="0"/>
    <w:rPr>
      <w:rFonts w:ascii="仿宋_GB2312" w:eastAsia="宋体"/>
      <w:b/>
      <w:kern w:val="2"/>
      <w:sz w:val="21"/>
      <w:szCs w:val="24"/>
      <w:lang w:val="en-US" w:eastAsia="zh-CN" w:bidi="ar-SA"/>
    </w:rPr>
  </w:style>
  <w:style w:type="character" w:customStyle="1" w:styleId="209">
    <w:name w:val="正文文本 字符"/>
    <w:link w:val="23"/>
    <w:qFormat/>
    <w:uiPriority w:val="0"/>
    <w:rPr>
      <w:rFonts w:ascii="Tahoma" w:hAnsi="Tahoma"/>
      <w:kern w:val="2"/>
      <w:sz w:val="21"/>
      <w:szCs w:val="24"/>
    </w:rPr>
  </w:style>
  <w:style w:type="character" w:customStyle="1" w:styleId="210">
    <w:name w:val="正文首行缩进 Char"/>
    <w:qFormat/>
    <w:uiPriority w:val="0"/>
    <w:rPr>
      <w:rFonts w:ascii="仿宋_GB2312" w:eastAsia="宋体"/>
      <w:kern w:val="2"/>
      <w:sz w:val="21"/>
      <w:szCs w:val="24"/>
      <w:lang w:val="en-US" w:eastAsia="zh-CN" w:bidi="ar-SA"/>
    </w:rPr>
  </w:style>
  <w:style w:type="character" w:customStyle="1" w:styleId="211">
    <w:name w:val="标题 8 字符"/>
    <w:link w:val="13"/>
    <w:qFormat/>
    <w:uiPriority w:val="0"/>
    <w:rPr>
      <w:rFonts w:ascii="Arial" w:hAnsi="Arial" w:eastAsia="黑体"/>
      <w:b/>
      <w:sz w:val="24"/>
      <w:szCs w:val="32"/>
    </w:rPr>
  </w:style>
  <w:style w:type="character" w:customStyle="1" w:styleId="212">
    <w:name w:val="无间隔 字符"/>
    <w:link w:val="74"/>
    <w:qFormat/>
    <w:uiPriority w:val="0"/>
    <w:rPr>
      <w:sz w:val="22"/>
      <w:szCs w:val="22"/>
      <w:lang w:val="en-US" w:eastAsia="zh-CN" w:bidi="ar-SA"/>
    </w:rPr>
  </w:style>
  <w:style w:type="character" w:customStyle="1" w:styleId="213">
    <w:name w:val="release-day"/>
    <w:qFormat/>
    <w:uiPriority w:val="0"/>
    <w:rPr>
      <w:szCs w:val="20"/>
      <w:bdr w:val="single" w:color="BDEBB0" w:sz="4" w:space="0"/>
      <w:shd w:val="clear" w:color="auto" w:fill="F5FFF1"/>
    </w:rPr>
  </w:style>
  <w:style w:type="character" w:customStyle="1" w:styleId="214">
    <w:name w:val="zbggmain style9"/>
    <w:qFormat/>
    <w:uiPriority w:val="0"/>
  </w:style>
  <w:style w:type="character" w:customStyle="1" w:styleId="215">
    <w:name w:val="正文缩进 Char1 Char"/>
    <w:qFormat/>
    <w:uiPriority w:val="0"/>
    <w:rPr>
      <w:rFonts w:ascii="仿宋_GB2312" w:eastAsia="宋体"/>
      <w:b/>
      <w:sz w:val="21"/>
      <w:szCs w:val="32"/>
      <w:lang w:val="en-US" w:eastAsia="zh-CN" w:bidi="ar-SA"/>
    </w:rPr>
  </w:style>
  <w:style w:type="character" w:customStyle="1" w:styleId="216">
    <w:name w:val="Table Text Char Char"/>
    <w:link w:val="217"/>
    <w:qFormat/>
    <w:uiPriority w:val="0"/>
    <w:rPr>
      <w:sz w:val="24"/>
    </w:rPr>
  </w:style>
  <w:style w:type="paragraph" w:customStyle="1" w:styleId="217">
    <w:name w:val="Table Text"/>
    <w:basedOn w:val="1"/>
    <w:link w:val="216"/>
    <w:qFormat/>
    <w:uiPriority w:val="0"/>
    <w:pPr>
      <w:widowControl/>
      <w:autoSpaceDE w:val="0"/>
      <w:autoSpaceDN w:val="0"/>
      <w:adjustRightInd w:val="0"/>
      <w:spacing w:before="60" w:after="60"/>
      <w:jc w:val="left"/>
    </w:pPr>
    <w:rPr>
      <w:kern w:val="0"/>
      <w:sz w:val="24"/>
      <w:szCs w:val="20"/>
    </w:rPr>
  </w:style>
  <w:style w:type="character" w:customStyle="1" w:styleId="218">
    <w:name w:val="样式 正文文本 Char Char Char"/>
    <w:qFormat/>
    <w:uiPriority w:val="0"/>
    <w:rPr>
      <w:rFonts w:ascii="Arial" w:hAnsi="Arial" w:eastAsia="宋体"/>
      <w:color w:val="000000"/>
      <w:kern w:val="2"/>
      <w:sz w:val="21"/>
      <w:lang w:val="en-US" w:eastAsia="zh-CN" w:bidi="ar-SA"/>
    </w:rPr>
  </w:style>
  <w:style w:type="character" w:customStyle="1" w:styleId="219">
    <w:name w:val="Footer-Even Char1"/>
    <w:qFormat/>
    <w:uiPriority w:val="0"/>
    <w:rPr>
      <w:rFonts w:ascii="仿宋_GB2312" w:eastAsia="宋体"/>
      <w:b/>
      <w:kern w:val="2"/>
      <w:sz w:val="18"/>
      <w:szCs w:val="18"/>
      <w:lang w:val="en-US" w:eastAsia="zh-CN" w:bidi="ar-SA"/>
    </w:rPr>
  </w:style>
  <w:style w:type="character" w:customStyle="1" w:styleId="220">
    <w:name w:val="font11"/>
    <w:qFormat/>
    <w:uiPriority w:val="0"/>
    <w:rPr>
      <w:rFonts w:hint="eastAsia" w:ascii="宋体" w:hAnsi="宋体" w:eastAsia="宋体" w:cs="宋体"/>
      <w:color w:val="000000"/>
      <w:sz w:val="20"/>
      <w:szCs w:val="20"/>
      <w:u w:val="none"/>
      <w:vertAlign w:val="superscript"/>
    </w:rPr>
  </w:style>
  <w:style w:type="character" w:customStyle="1" w:styleId="221">
    <w:name w:val="A3"/>
    <w:qFormat/>
    <w:uiPriority w:val="0"/>
    <w:rPr>
      <w:rFonts w:ascii="ZapfDingbatsNr2EFOP-Regular" w:eastAsia="ZapfDingbatsNr2EFOP-Regular" w:cs="ZapfDingbatsNr2EFOP-Regular"/>
      <w:color w:val="211D1E"/>
      <w:sz w:val="14"/>
      <w:szCs w:val="14"/>
    </w:rPr>
  </w:style>
  <w:style w:type="character" w:customStyle="1" w:styleId="222">
    <w:name w:val="普通文字1 Char"/>
    <w:qFormat/>
    <w:uiPriority w:val="0"/>
    <w:rPr>
      <w:rFonts w:ascii="宋体" w:hAnsi="Courier New" w:eastAsia="宋体" w:cs="Courier New"/>
      <w:kern w:val="2"/>
      <w:sz w:val="21"/>
      <w:szCs w:val="21"/>
      <w:lang w:val="en-US" w:eastAsia="zh-CN" w:bidi="ar-SA"/>
    </w:rPr>
  </w:style>
  <w:style w:type="character" w:customStyle="1" w:styleId="223">
    <w:name w:val="Char Char6"/>
    <w:qFormat/>
    <w:uiPriority w:val="0"/>
    <w:rPr>
      <w:rFonts w:ascii="Times New Roman" w:hAnsi="Times New Roman" w:eastAsia="宋体" w:cs="Times New Roman"/>
      <w:szCs w:val="24"/>
    </w:rPr>
  </w:style>
  <w:style w:type="character" w:customStyle="1" w:styleId="224">
    <w:name w:val="Footer-Even Char"/>
    <w:qFormat/>
    <w:uiPriority w:val="0"/>
    <w:rPr>
      <w:rFonts w:ascii="仿宋_GB2312" w:eastAsia="仿宋_GB2312"/>
      <w:b/>
      <w:sz w:val="18"/>
      <w:szCs w:val="18"/>
    </w:rPr>
  </w:style>
  <w:style w:type="character" w:customStyle="1" w:styleId="225">
    <w:name w:val="Char Char16"/>
    <w:qFormat/>
    <w:uiPriority w:val="0"/>
    <w:rPr>
      <w:rFonts w:ascii="仿宋_GB2312" w:eastAsia="仿宋_GB2312"/>
      <w:b/>
      <w:bCs/>
      <w:kern w:val="2"/>
      <w:sz w:val="28"/>
      <w:szCs w:val="28"/>
    </w:rPr>
  </w:style>
  <w:style w:type="character" w:customStyle="1" w:styleId="226">
    <w:name w:val="Char Char1"/>
    <w:qFormat/>
    <w:uiPriority w:val="0"/>
    <w:rPr>
      <w:rFonts w:ascii="宋体" w:hAnsi="Courier New" w:eastAsia="宋体"/>
      <w:kern w:val="2"/>
      <w:sz w:val="21"/>
      <w:lang w:val="en-US" w:eastAsia="zh-CN" w:bidi="ar-SA"/>
    </w:rPr>
  </w:style>
  <w:style w:type="character" w:customStyle="1" w:styleId="227">
    <w:name w:val="Char Char61"/>
    <w:qFormat/>
    <w:uiPriority w:val="0"/>
    <w:rPr>
      <w:rFonts w:ascii="Times New Roman" w:hAnsi="Times New Roman" w:eastAsia="宋体" w:cs="Times New Roman"/>
      <w:szCs w:val="24"/>
    </w:rPr>
  </w:style>
  <w:style w:type="character" w:customStyle="1" w:styleId="228">
    <w:name w:val="Ò³Ã¼ Char Char"/>
    <w:qFormat/>
    <w:uiPriority w:val="0"/>
    <w:rPr>
      <w:rFonts w:ascii="仿宋_GB2312" w:eastAsia="仿宋_GB2312"/>
      <w:b/>
      <w:sz w:val="18"/>
      <w:szCs w:val="18"/>
    </w:rPr>
  </w:style>
  <w:style w:type="character" w:customStyle="1" w:styleId="229">
    <w:name w:val="Char Char111"/>
    <w:qFormat/>
    <w:uiPriority w:val="0"/>
    <w:rPr>
      <w:rFonts w:ascii="Times New Roman" w:hAnsi="Times New Roman" w:eastAsia="宋体" w:cs="Times New Roman"/>
      <w:sz w:val="18"/>
      <w:szCs w:val="18"/>
    </w:rPr>
  </w:style>
  <w:style w:type="character" w:customStyle="1" w:styleId="230">
    <w:name w:val="副标题 Char1"/>
    <w:qFormat/>
    <w:uiPriority w:val="11"/>
    <w:rPr>
      <w:rFonts w:ascii="Cambria" w:hAnsi="Cambria" w:cs="Times New Roman"/>
      <w:b/>
      <w:bCs/>
      <w:kern w:val="28"/>
      <w:sz w:val="32"/>
      <w:szCs w:val="32"/>
    </w:rPr>
  </w:style>
  <w:style w:type="character" w:customStyle="1" w:styleId="231">
    <w:name w:val="明显引用 Char1"/>
    <w:qFormat/>
    <w:uiPriority w:val="99"/>
    <w:rPr>
      <w:rFonts w:ascii="Tahoma" w:hAnsi="Tahoma"/>
      <w:b/>
      <w:bCs/>
      <w:i/>
      <w:iCs/>
      <w:color w:val="4F81BD"/>
      <w:kern w:val="2"/>
      <w:sz w:val="21"/>
      <w:szCs w:val="24"/>
    </w:rPr>
  </w:style>
  <w:style w:type="character" w:customStyle="1" w:styleId="232">
    <w:name w:val="Style5"/>
    <w:qFormat/>
    <w:uiPriority w:val="0"/>
    <w:rPr>
      <w:rFonts w:ascii="Calibri" w:hAnsi="宋体" w:eastAsia="宋体" w:cs="Times New Roman"/>
      <w:sz w:val="22"/>
      <w:szCs w:val="22"/>
      <w:lang w:eastAsia="zh-CN"/>
    </w:rPr>
  </w:style>
  <w:style w:type="character" w:customStyle="1" w:styleId="233">
    <w:name w:val="Plain Text Char"/>
    <w:qFormat/>
    <w:uiPriority w:val="0"/>
    <w:rPr>
      <w:rFonts w:ascii="宋体" w:hAnsi="Courier New" w:eastAsia="宋体" w:cs="Times New Roman"/>
      <w:sz w:val="21"/>
      <w:szCs w:val="21"/>
    </w:rPr>
  </w:style>
  <w:style w:type="character" w:customStyle="1" w:styleId="234">
    <w:name w:val="heading 2 Char1"/>
    <w:qFormat/>
    <w:uiPriority w:val="0"/>
    <w:rPr>
      <w:rFonts w:ascii="Cambria" w:hAnsi="Cambria" w:eastAsia="宋体"/>
      <w:b/>
      <w:bCs/>
      <w:kern w:val="2"/>
      <w:sz w:val="32"/>
      <w:szCs w:val="32"/>
      <w:lang w:val="en-US" w:eastAsia="zh-CN" w:bidi="ar-SA"/>
    </w:rPr>
  </w:style>
  <w:style w:type="character" w:customStyle="1" w:styleId="235">
    <w:name w:val="正文缩进 Char"/>
    <w:qFormat/>
    <w:uiPriority w:val="0"/>
    <w:rPr>
      <w:rFonts w:eastAsia="仿宋_GB2312"/>
      <w:sz w:val="21"/>
      <w:lang w:val="en-US" w:eastAsia="zh-CN" w:bidi="ar-SA"/>
    </w:rPr>
  </w:style>
  <w:style w:type="character" w:customStyle="1" w:styleId="236">
    <w:name w:val="正文1 Char Char"/>
    <w:link w:val="237"/>
    <w:qFormat/>
    <w:uiPriority w:val="0"/>
    <w:rPr>
      <w:rFonts w:ascii="宋体" w:hAnsi="宋体" w:cs="宋体"/>
      <w:b/>
      <w:sz w:val="21"/>
      <w:szCs w:val="32"/>
    </w:rPr>
  </w:style>
  <w:style w:type="paragraph" w:customStyle="1" w:styleId="237">
    <w:name w:val="正文1"/>
    <w:basedOn w:val="1"/>
    <w:link w:val="236"/>
    <w:qFormat/>
    <w:uiPriority w:val="0"/>
    <w:pPr>
      <w:widowControl/>
      <w:spacing w:line="360" w:lineRule="auto"/>
      <w:ind w:left="360" w:firstLine="420"/>
      <w:jc w:val="left"/>
    </w:pPr>
    <w:rPr>
      <w:rFonts w:ascii="宋体" w:hAnsi="宋体"/>
      <w:b/>
      <w:kern w:val="0"/>
      <w:szCs w:val="32"/>
    </w:rPr>
  </w:style>
  <w:style w:type="character" w:customStyle="1" w:styleId="238">
    <w:name w:val="引用 字符"/>
    <w:link w:val="239"/>
    <w:qFormat/>
    <w:uiPriority w:val="0"/>
    <w:rPr>
      <w:rFonts w:ascii="Calibri" w:hAnsi="Calibri"/>
      <w:b/>
      <w:i/>
      <w:iCs/>
      <w:color w:val="000000"/>
      <w:sz w:val="32"/>
      <w:szCs w:val="32"/>
    </w:rPr>
  </w:style>
  <w:style w:type="paragraph" w:styleId="239">
    <w:name w:val="Quote"/>
    <w:basedOn w:val="1"/>
    <w:next w:val="1"/>
    <w:link w:val="238"/>
    <w:qFormat/>
    <w:uiPriority w:val="0"/>
    <w:rPr>
      <w:rFonts w:ascii="Calibri" w:hAnsi="Calibri"/>
      <w:b/>
      <w:i/>
      <w:iCs/>
      <w:color w:val="000000"/>
      <w:kern w:val="0"/>
      <w:sz w:val="32"/>
      <w:szCs w:val="32"/>
    </w:rPr>
  </w:style>
  <w:style w:type="character" w:customStyle="1" w:styleId="240">
    <w:name w:val="param_td1"/>
    <w:qFormat/>
    <w:uiPriority w:val="0"/>
    <w:rPr>
      <w:rFonts w:ascii="仿宋_GB2312" w:hAnsi="Tahoma" w:eastAsia="仿宋_GB2312"/>
      <w:b/>
      <w:sz w:val="32"/>
      <w:szCs w:val="32"/>
    </w:rPr>
  </w:style>
  <w:style w:type="character" w:customStyle="1" w:styleId="241">
    <w:name w:val="日期 字符"/>
    <w:qFormat/>
    <w:uiPriority w:val="0"/>
    <w:rPr>
      <w:kern w:val="2"/>
      <w:sz w:val="21"/>
      <w:szCs w:val="24"/>
    </w:rPr>
  </w:style>
  <w:style w:type="character" w:customStyle="1" w:styleId="242">
    <w:name w:val="样式2 Char Char"/>
    <w:link w:val="76"/>
    <w:qFormat/>
    <w:uiPriority w:val="0"/>
    <w:rPr>
      <w:rFonts w:ascii="宋体" w:hAnsi="宋体"/>
      <w:b/>
      <w:bCs/>
      <w:kern w:val="2"/>
      <w:sz w:val="28"/>
      <w:szCs w:val="28"/>
    </w:rPr>
  </w:style>
  <w:style w:type="character" w:customStyle="1" w:styleId="243">
    <w:name w:val="标题 1 Char"/>
    <w:qFormat/>
    <w:uiPriority w:val="0"/>
    <w:rPr>
      <w:rFonts w:eastAsia="宋体"/>
      <w:b/>
      <w:bCs/>
      <w:kern w:val="44"/>
      <w:sz w:val="44"/>
      <w:szCs w:val="44"/>
      <w:lang w:val="en-US" w:eastAsia="zh-CN" w:bidi="ar-SA"/>
    </w:rPr>
  </w:style>
  <w:style w:type="character" w:customStyle="1" w:styleId="244">
    <w:name w:val="Char Char19"/>
    <w:qFormat/>
    <w:uiPriority w:val="0"/>
    <w:rPr>
      <w:rFonts w:ascii="Cambria" w:hAnsi="Cambria" w:eastAsia="仿宋_GB2312"/>
      <w:b/>
      <w:bCs/>
      <w:kern w:val="2"/>
      <w:sz w:val="32"/>
      <w:szCs w:val="32"/>
    </w:rPr>
  </w:style>
  <w:style w:type="character" w:customStyle="1" w:styleId="245">
    <w:name w:val="input"/>
    <w:qFormat/>
    <w:uiPriority w:val="0"/>
  </w:style>
  <w:style w:type="character" w:customStyle="1" w:styleId="246">
    <w:name w:val="Char Char Char1"/>
    <w:qFormat/>
    <w:uiPriority w:val="0"/>
    <w:rPr>
      <w:rFonts w:ascii="宋体" w:hAnsi="Courier New" w:eastAsia="仿宋_GB2312"/>
      <w:b/>
      <w:sz w:val="21"/>
      <w:szCs w:val="21"/>
    </w:rPr>
  </w:style>
  <w:style w:type="character" w:customStyle="1" w:styleId="247">
    <w:name w:val="称呼 字符"/>
    <w:link w:val="21"/>
    <w:qFormat/>
    <w:uiPriority w:val="0"/>
  </w:style>
  <w:style w:type="character" w:customStyle="1" w:styleId="248">
    <w:name w:val="style21"/>
    <w:qFormat/>
    <w:uiPriority w:val="0"/>
    <w:rPr>
      <w:rFonts w:ascii="仿宋_GB2312" w:eastAsia="仿宋_GB2312"/>
      <w:b/>
      <w:sz w:val="15"/>
      <w:szCs w:val="15"/>
    </w:rPr>
  </w:style>
  <w:style w:type="character" w:customStyle="1" w:styleId="249">
    <w:name w:val="正文文本 2 字符"/>
    <w:link w:val="47"/>
    <w:qFormat/>
    <w:uiPriority w:val="0"/>
  </w:style>
  <w:style w:type="character" w:customStyle="1" w:styleId="250">
    <w:name w:val="heading 3 Char1"/>
    <w:qFormat/>
    <w:uiPriority w:val="0"/>
    <w:rPr>
      <w:rFonts w:ascii="仿宋_GB2312" w:eastAsia="宋体"/>
      <w:b/>
      <w:bCs/>
      <w:kern w:val="2"/>
      <w:sz w:val="32"/>
      <w:szCs w:val="32"/>
      <w:lang w:val="en-US" w:eastAsia="zh-CN" w:bidi="ar-SA"/>
    </w:rPr>
  </w:style>
  <w:style w:type="character" w:customStyle="1" w:styleId="251">
    <w:name w:val="me04"/>
    <w:qFormat/>
    <w:uiPriority w:val="0"/>
    <w:rPr>
      <w:rFonts w:ascii="仿宋_GB2312" w:hAnsi="Tahoma" w:eastAsia="仿宋_GB2312"/>
      <w:b/>
      <w:sz w:val="32"/>
      <w:szCs w:val="32"/>
    </w:rPr>
  </w:style>
  <w:style w:type="character" w:customStyle="1" w:styleId="252">
    <w:name w:val="纯文本 Char"/>
    <w:qFormat/>
    <w:uiPriority w:val="0"/>
    <w:rPr>
      <w:rFonts w:ascii="仿宋_GB2312" w:hAnsi="Wingdings" w:eastAsia="仿宋_GB2312"/>
      <w:sz w:val="21"/>
      <w:szCs w:val="21"/>
      <w:lang w:val="en-US" w:eastAsia="zh-CN" w:bidi="ar-SA"/>
    </w:rPr>
  </w:style>
  <w:style w:type="paragraph" w:customStyle="1" w:styleId="253">
    <w:name w:val="单位"/>
    <w:basedOn w:val="1"/>
    <w:qFormat/>
    <w:uiPriority w:val="0"/>
    <w:pPr>
      <w:adjustRightInd w:val="0"/>
      <w:jc w:val="center"/>
      <w:textAlignment w:val="baseline"/>
    </w:pPr>
    <w:rPr>
      <w:rFonts w:ascii="宋体"/>
      <w:b/>
      <w:kern w:val="0"/>
      <w:sz w:val="32"/>
      <w:szCs w:val="20"/>
    </w:rPr>
  </w:style>
  <w:style w:type="paragraph" w:customStyle="1" w:styleId="254">
    <w:name w:val="目录"/>
    <w:basedOn w:val="38"/>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255">
    <w:name w:val="_Style 248"/>
    <w:qFormat/>
    <w:uiPriority w:val="99"/>
    <w:rPr>
      <w:rFonts w:ascii="Times New Roman" w:hAnsi="Times New Roman" w:eastAsia="宋体" w:cs="Times New Roman"/>
      <w:kern w:val="2"/>
      <w:sz w:val="21"/>
      <w:szCs w:val="24"/>
      <w:lang w:val="en-US" w:eastAsia="zh-CN" w:bidi="ar-SA"/>
    </w:rPr>
  </w:style>
  <w:style w:type="paragraph" w:customStyle="1" w:styleId="256">
    <w:name w:val="正文首行缩进1"/>
    <w:basedOn w:val="23"/>
    <w:qFormat/>
    <w:uiPriority w:val="0"/>
    <w:pPr>
      <w:autoSpaceDE w:val="0"/>
      <w:autoSpaceDN w:val="0"/>
      <w:adjustRightInd w:val="0"/>
      <w:spacing w:before="100" w:beforeAutospacing="1"/>
      <w:ind w:firstLine="420" w:firstLineChars="100"/>
      <w:jc w:val="left"/>
    </w:pPr>
    <w:rPr>
      <w:rFonts w:ascii="仿宋_GB2312" w:hAnsi="Calibri"/>
      <w:b/>
      <w:kern w:val="0"/>
      <w:sz w:val="32"/>
      <w:szCs w:val="32"/>
    </w:rPr>
  </w:style>
  <w:style w:type="paragraph" w:customStyle="1" w:styleId="257">
    <w:name w:val="Char Char Char Char Char Char Char Char Char Char Char Char Char1"/>
    <w:basedOn w:val="1"/>
    <w:qFormat/>
    <w:uiPriority w:val="0"/>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正文 首行缩进:  2 字符 Char"/>
    <w:basedOn w:val="1"/>
    <w:qFormat/>
    <w:uiPriority w:val="0"/>
    <w:pPr>
      <w:spacing w:line="360" w:lineRule="auto"/>
      <w:ind w:firstLine="480"/>
    </w:pPr>
    <w:rPr>
      <w:rFonts w:cs="宋体"/>
      <w:sz w:val="24"/>
      <w:szCs w:val="20"/>
    </w:rPr>
  </w:style>
  <w:style w:type="paragraph" w:customStyle="1" w:styleId="260">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6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3">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5">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26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68">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9">
    <w:name w:val="文档正文"/>
    <w:basedOn w:val="1"/>
    <w:qFormat/>
    <w:uiPriority w:val="0"/>
    <w:pPr>
      <w:adjustRightInd w:val="0"/>
      <w:spacing w:line="300" w:lineRule="auto"/>
      <w:ind w:firstLine="567"/>
      <w:textAlignment w:val="baseline"/>
    </w:pPr>
    <w:rPr>
      <w:kern w:val="0"/>
      <w:sz w:val="24"/>
      <w:szCs w:val="20"/>
    </w:rPr>
  </w:style>
  <w:style w:type="paragraph" w:customStyle="1" w:styleId="2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73">
    <w:name w:val="Table Paragraph"/>
    <w:basedOn w:val="1"/>
    <w:qFormat/>
    <w:uiPriority w:val="1"/>
    <w:pPr>
      <w:autoSpaceDE w:val="0"/>
      <w:autoSpaceDN w:val="0"/>
      <w:adjustRightInd w:val="0"/>
      <w:jc w:val="left"/>
    </w:pPr>
    <w:rPr>
      <w:kern w:val="0"/>
      <w:sz w:val="24"/>
    </w:rPr>
  </w:style>
  <w:style w:type="paragraph" w:customStyle="1" w:styleId="27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7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6">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7">
    <w:name w:val="样式 标题 2 + 居中"/>
    <w:basedOn w:val="6"/>
    <w:qFormat/>
    <w:uiPriority w:val="0"/>
    <w:pPr>
      <w:spacing w:beforeLines="50" w:beforeAutospacing="1" w:afterLines="50" w:afterAutospacing="1" w:line="360" w:lineRule="auto"/>
    </w:pPr>
    <w:rPr>
      <w:rFonts w:cs="宋体"/>
      <w:szCs w:val="20"/>
    </w:rPr>
  </w:style>
  <w:style w:type="paragraph" w:customStyle="1" w:styleId="27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81">
    <w:name w:val="怡3"/>
    <w:basedOn w:val="7"/>
    <w:qFormat/>
    <w:uiPriority w:val="0"/>
    <w:pPr>
      <w:numPr>
        <w:ilvl w:val="2"/>
        <w:numId w:val="3"/>
      </w:numPr>
      <w:tabs>
        <w:tab w:val="left" w:pos="857"/>
      </w:tabs>
      <w:spacing w:before="240" w:after="240" w:line="480" w:lineRule="auto"/>
      <w:jc w:val="left"/>
    </w:pPr>
    <w:rPr>
      <w:rFonts w:ascii="宋体" w:hAnsi="宋体"/>
    </w:rPr>
  </w:style>
  <w:style w:type="paragraph" w:customStyle="1" w:styleId="2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84">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7">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8">
    <w:name w:val="Char1 Char Char Char"/>
    <w:basedOn w:val="1"/>
    <w:qFormat/>
    <w:uiPriority w:val="0"/>
    <w:rPr>
      <w:szCs w:val="20"/>
    </w:rPr>
  </w:style>
  <w:style w:type="paragraph" w:customStyle="1" w:styleId="2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0">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91">
    <w:name w:val="Char Char Char Char Char Char Char Char Char Char Char Char Char"/>
    <w:basedOn w:val="1"/>
    <w:qFormat/>
    <w:uiPriority w:val="0"/>
    <w:rPr>
      <w:rFonts w:ascii="Tahoma" w:hAnsi="Tahoma"/>
      <w:sz w:val="24"/>
      <w:szCs w:val="20"/>
    </w:rPr>
  </w:style>
  <w:style w:type="paragraph" w:customStyle="1" w:styleId="292">
    <w:name w:val="Char Char3"/>
    <w:basedOn w:val="1"/>
    <w:qFormat/>
    <w:uiPriority w:val="0"/>
    <w:rPr>
      <w:rFonts w:ascii="仿宋_GB2312" w:eastAsia="仿宋_GB2312"/>
      <w:b/>
      <w:sz w:val="32"/>
      <w:szCs w:val="32"/>
    </w:rPr>
  </w:style>
  <w:style w:type="paragraph" w:customStyle="1" w:styleId="293">
    <w:name w:val="样式 标题 3 + 黑色 段前: 5 磅 段后: 5 磅 行距: 1.5 倍行距"/>
    <w:basedOn w:val="1"/>
    <w:qFormat/>
    <w:uiPriority w:val="0"/>
    <w:pPr>
      <w:ind w:left="855" w:hanging="855"/>
    </w:pPr>
    <w:rPr>
      <w:sz w:val="24"/>
      <w:szCs w:val="20"/>
    </w:rPr>
  </w:style>
  <w:style w:type="paragraph" w:customStyle="1" w:styleId="2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7">
    <w:name w:val="怡1"/>
    <w:basedOn w:val="4"/>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29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99">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300">
    <w:name w:val="招标文件－标准正文"/>
    <w:basedOn w:val="9"/>
    <w:qFormat/>
    <w:uiPriority w:val="0"/>
    <w:pPr>
      <w:spacing w:line="360" w:lineRule="auto"/>
    </w:pPr>
    <w:rPr>
      <w:rFonts w:ascii="Times New Roman" w:hAnsi="Times New Roman" w:cs="宋体"/>
      <w:color w:val="000000"/>
      <w:sz w:val="24"/>
    </w:rPr>
  </w:style>
  <w:style w:type="paragraph" w:customStyle="1" w:styleId="3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2">
    <w:name w:val="样式 四号 首行缩进:  1 厘米"/>
    <w:basedOn w:val="1"/>
    <w:qFormat/>
    <w:uiPriority w:val="0"/>
    <w:pPr>
      <w:spacing w:line="440" w:lineRule="exact"/>
      <w:ind w:firstLine="567"/>
    </w:pPr>
    <w:rPr>
      <w:rFonts w:cs="宋体"/>
      <w:sz w:val="28"/>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05">
    <w:name w:val="Char Char Char Char Char Char Char Char Char Char Char Char Char Char"/>
    <w:basedOn w:val="1"/>
    <w:qFormat/>
    <w:uiPriority w:val="0"/>
    <w:pPr>
      <w:widowControl/>
      <w:spacing w:after="160" w:line="240" w:lineRule="exact"/>
      <w:jc w:val="left"/>
    </w:pPr>
    <w:rPr>
      <w:bCs/>
    </w:rPr>
  </w:style>
  <w:style w:type="paragraph" w:customStyle="1" w:styleId="3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7">
    <w:name w:val="Char Char Char"/>
    <w:basedOn w:val="1"/>
    <w:next w:val="1"/>
    <w:qFormat/>
    <w:uiPriority w:val="0"/>
    <w:pPr>
      <w:shd w:val="clear" w:color="auto" w:fill="000080"/>
    </w:pPr>
    <w:rPr>
      <w:rFonts w:ascii="Tahoma" w:hAnsi="Tahoma"/>
      <w:sz w:val="24"/>
    </w:rPr>
  </w:style>
  <w:style w:type="paragraph" w:customStyle="1" w:styleId="308">
    <w:name w:val="1Text"/>
    <w:basedOn w:val="1"/>
    <w:qFormat/>
    <w:uiPriority w:val="0"/>
    <w:pPr>
      <w:spacing w:beforeLines="50" w:afterLines="50" w:line="360" w:lineRule="auto"/>
      <w:ind w:firstLine="480" w:firstLineChars="200"/>
      <w:jc w:val="left"/>
    </w:pPr>
    <w:rPr>
      <w:kern w:val="0"/>
      <w:sz w:val="24"/>
    </w:rPr>
  </w:style>
  <w:style w:type="paragraph" w:customStyle="1" w:styleId="309">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1">
    <w:name w:val="修订1"/>
    <w:qFormat/>
    <w:uiPriority w:val="0"/>
    <w:rPr>
      <w:rFonts w:ascii="Times New Roman" w:hAnsi="Times New Roman" w:eastAsia="宋体" w:cs="Times New Roman"/>
      <w:kern w:val="2"/>
      <w:sz w:val="21"/>
      <w:szCs w:val="24"/>
      <w:lang w:val="en-US" w:eastAsia="zh-CN" w:bidi="ar-SA"/>
    </w:rPr>
  </w:style>
  <w:style w:type="paragraph" w:customStyle="1" w:styleId="31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正文缩进1"/>
    <w:basedOn w:val="1"/>
    <w:qFormat/>
    <w:uiPriority w:val="0"/>
    <w:pPr>
      <w:ind w:firstLine="420"/>
    </w:pPr>
    <w:rPr>
      <w:szCs w:val="20"/>
    </w:rPr>
  </w:style>
  <w:style w:type="paragraph" w:customStyle="1" w:styleId="314">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5">
    <w:name w:val="文字"/>
    <w:basedOn w:val="1"/>
    <w:qFormat/>
    <w:uiPriority w:val="0"/>
    <w:pPr>
      <w:tabs>
        <w:tab w:val="left" w:pos="8520"/>
      </w:tabs>
      <w:spacing w:line="312" w:lineRule="auto"/>
      <w:ind w:right="-210" w:firstLine="556"/>
    </w:pPr>
    <w:rPr>
      <w:rFonts w:ascii="宋体"/>
      <w:sz w:val="28"/>
      <w:szCs w:val="20"/>
    </w:rPr>
  </w:style>
  <w:style w:type="paragraph" w:customStyle="1" w:styleId="316">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17">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318">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9">
    <w:name w:val="Blockquote"/>
    <w:basedOn w:val="1"/>
    <w:qFormat/>
    <w:uiPriority w:val="0"/>
    <w:pPr>
      <w:autoSpaceDE w:val="0"/>
      <w:autoSpaceDN w:val="0"/>
      <w:spacing w:before="100" w:after="100"/>
      <w:ind w:left="360" w:right="360"/>
      <w:jc w:val="left"/>
    </w:pPr>
    <w:rPr>
      <w:szCs w:val="20"/>
    </w:rPr>
  </w:style>
  <w:style w:type="paragraph" w:customStyle="1" w:styleId="32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21">
    <w:name w:val="三级条标题"/>
    <w:basedOn w:val="322"/>
    <w:next w:val="1"/>
    <w:qFormat/>
    <w:uiPriority w:val="0"/>
    <w:pPr>
      <w:numPr>
        <w:ilvl w:val="4"/>
        <w:numId w:val="0"/>
      </w:numPr>
      <w:tabs>
        <w:tab w:val="left" w:pos="360"/>
      </w:tabs>
      <w:outlineLvl w:val="4"/>
    </w:pPr>
  </w:style>
  <w:style w:type="paragraph" w:customStyle="1" w:styleId="322">
    <w:name w:val="二级条标题"/>
    <w:basedOn w:val="323"/>
    <w:next w:val="1"/>
    <w:qFormat/>
    <w:uiPriority w:val="0"/>
    <w:pPr>
      <w:numPr>
        <w:ilvl w:val="3"/>
        <w:numId w:val="0"/>
      </w:numPr>
      <w:tabs>
        <w:tab w:val="left" w:pos="360"/>
      </w:tabs>
      <w:outlineLvl w:val="3"/>
    </w:pPr>
  </w:style>
  <w:style w:type="paragraph" w:customStyle="1" w:styleId="323">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24">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5">
    <w:name w:val="四级条标题"/>
    <w:basedOn w:val="321"/>
    <w:next w:val="1"/>
    <w:qFormat/>
    <w:uiPriority w:val="0"/>
    <w:pPr>
      <w:numPr>
        <w:ilvl w:val="5"/>
        <w:numId w:val="0"/>
      </w:numPr>
      <w:outlineLvl w:val="5"/>
    </w:pPr>
  </w:style>
  <w:style w:type="paragraph" w:customStyle="1" w:styleId="326">
    <w:name w:val="样式 标题 3h33rd level3Heading 3 - old + 居中 左侧:  9.8 毫米 首行缩进: ...1"/>
    <w:basedOn w:val="7"/>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7">
    <w:name w:val="五级条标题"/>
    <w:basedOn w:val="325"/>
    <w:next w:val="1"/>
    <w:qFormat/>
    <w:uiPriority w:val="0"/>
    <w:pPr>
      <w:numPr>
        <w:ilvl w:val="6"/>
        <w:numId w:val="0"/>
      </w:numPr>
      <w:outlineLvl w:val="6"/>
    </w:pPr>
  </w:style>
  <w:style w:type="paragraph" w:customStyle="1" w:styleId="328">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29">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30">
    <w:name w:val="列出段落3"/>
    <w:basedOn w:val="1"/>
    <w:qFormat/>
    <w:uiPriority w:val="99"/>
    <w:pPr>
      <w:widowControl/>
      <w:ind w:firstLine="420" w:firstLineChars="200"/>
      <w:jc w:val="left"/>
    </w:pPr>
    <w:rPr>
      <w:rFonts w:ascii="宋体" w:hAnsi="宋体" w:cs="宋体"/>
      <w:kern w:val="0"/>
      <w:sz w:val="24"/>
    </w:rPr>
  </w:style>
  <w:style w:type="paragraph" w:customStyle="1" w:styleId="331">
    <w:name w:val="列出段落2"/>
    <w:basedOn w:val="1"/>
    <w:qFormat/>
    <w:uiPriority w:val="0"/>
    <w:pPr>
      <w:ind w:firstLine="420" w:firstLineChars="200"/>
    </w:pPr>
  </w:style>
  <w:style w:type="paragraph" w:customStyle="1" w:styleId="332">
    <w:name w:val="Char Char Char Char1"/>
    <w:basedOn w:val="1"/>
    <w:qFormat/>
    <w:uiPriority w:val="0"/>
    <w:rPr>
      <w:rFonts w:ascii="Tahoma" w:hAnsi="Tahoma"/>
      <w:sz w:val="24"/>
      <w:szCs w:val="20"/>
    </w:rPr>
  </w:style>
  <w:style w:type="paragraph" w:customStyle="1" w:styleId="33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35">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36">
    <w:name w:val="Char Char Char Char11"/>
    <w:basedOn w:val="1"/>
    <w:qFormat/>
    <w:uiPriority w:val="0"/>
    <w:rPr>
      <w:szCs w:val="20"/>
    </w:rPr>
  </w:style>
  <w:style w:type="paragraph" w:customStyle="1" w:styleId="337">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3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3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0">
    <w:name w:val="内文正文"/>
    <w:basedOn w:val="9"/>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41">
    <w:name w:val="修订11"/>
    <w:qFormat/>
    <w:uiPriority w:val="0"/>
    <w:rPr>
      <w:rFonts w:ascii="Times New Roman" w:hAnsi="Times New Roman" w:eastAsia="宋体" w:cs="Times New Roman"/>
      <w:kern w:val="2"/>
      <w:sz w:val="21"/>
      <w:szCs w:val="24"/>
      <w:lang w:val="en-US" w:eastAsia="zh-CN" w:bidi="ar-SA"/>
    </w:rPr>
  </w:style>
  <w:style w:type="paragraph" w:customStyle="1" w:styleId="342">
    <w:name w:val="表格文字"/>
    <w:basedOn w:val="9"/>
    <w:next w:val="23"/>
    <w:qFormat/>
    <w:uiPriority w:val="0"/>
    <w:pPr>
      <w:spacing w:line="420" w:lineRule="atLeast"/>
      <w:jc w:val="left"/>
    </w:pPr>
  </w:style>
  <w:style w:type="paragraph" w:customStyle="1" w:styleId="34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4">
    <w:name w:val="_Style 33"/>
    <w:basedOn w:val="1"/>
    <w:qFormat/>
    <w:uiPriority w:val="0"/>
  </w:style>
  <w:style w:type="paragraph" w:customStyle="1" w:styleId="345">
    <w:name w:val="正文字缩2字"/>
    <w:basedOn w:val="1"/>
    <w:qFormat/>
    <w:uiPriority w:val="0"/>
    <w:pPr>
      <w:spacing w:before="60" w:after="60" w:line="360" w:lineRule="auto"/>
      <w:ind w:left="200" w:leftChars="200" w:firstLine="200" w:firstLineChars="200"/>
    </w:pPr>
    <w:rPr>
      <w:sz w:val="24"/>
    </w:rPr>
  </w:style>
  <w:style w:type="paragraph" w:customStyle="1" w:styleId="34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4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8">
    <w:name w:val="怡2"/>
    <w:basedOn w:val="6"/>
    <w:next w:val="7"/>
    <w:qFormat/>
    <w:uiPriority w:val="0"/>
    <w:pPr>
      <w:numPr>
        <w:ilvl w:val="1"/>
        <w:numId w:val="3"/>
      </w:numPr>
      <w:spacing w:before="360" w:after="360" w:line="480" w:lineRule="auto"/>
      <w:jc w:val="left"/>
    </w:pPr>
    <w:rPr>
      <w:rFonts w:ascii="Cambria" w:hAnsi="Cambria" w:eastAsia="宋体"/>
      <w:kern w:val="0"/>
      <w:sz w:val="36"/>
    </w:rPr>
  </w:style>
  <w:style w:type="paragraph" w:customStyle="1" w:styleId="349">
    <w:name w:val="List Paragraph1"/>
    <w:basedOn w:val="1"/>
    <w:qFormat/>
    <w:uiPriority w:val="34"/>
    <w:pPr>
      <w:ind w:firstLine="420" w:firstLineChars="200"/>
    </w:pPr>
    <w:rPr>
      <w:rFonts w:ascii="等线" w:hAnsi="等线"/>
    </w:rPr>
  </w:style>
  <w:style w:type="paragraph" w:customStyle="1" w:styleId="35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5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5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54">
    <w:name w:val="*正文"/>
    <w:basedOn w:val="1"/>
    <w:next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35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56">
    <w:name w:val="Char1 Char Char Char Char1"/>
    <w:basedOn w:val="19"/>
    <w:qFormat/>
    <w:uiPriority w:val="0"/>
    <w:rPr>
      <w:rFonts w:ascii="Tahoma" w:hAnsi="Tahoma" w:cs="Tahoma"/>
      <w:kern w:val="0"/>
      <w:sz w:val="18"/>
    </w:rPr>
  </w:style>
  <w:style w:type="paragraph" w:customStyle="1" w:styleId="357">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58">
    <w:name w:val="列出段落1"/>
    <w:basedOn w:val="1"/>
    <w:qFormat/>
    <w:uiPriority w:val="99"/>
    <w:pPr>
      <w:ind w:firstLine="420" w:firstLineChars="200"/>
    </w:pPr>
    <w:rPr>
      <w:szCs w:val="20"/>
    </w:rPr>
  </w:style>
  <w:style w:type="paragraph" w:customStyle="1" w:styleId="35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3">
    <w:name w:val="Char Char Char Char Char Char Char Char Char1 Char"/>
    <w:basedOn w:val="1"/>
    <w:qFormat/>
    <w:uiPriority w:val="0"/>
  </w:style>
  <w:style w:type="paragraph" w:customStyle="1" w:styleId="36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6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66">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7">
    <w:name w:val="简单回函地址"/>
    <w:basedOn w:val="1"/>
    <w:qFormat/>
    <w:uiPriority w:val="0"/>
  </w:style>
  <w:style w:type="paragraph" w:customStyle="1" w:styleId="368">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69">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370">
    <w:name w:val="Char3"/>
    <w:basedOn w:val="1"/>
    <w:qFormat/>
    <w:uiPriority w:val="0"/>
    <w:rPr>
      <w:rFonts w:ascii="Tahoma" w:hAnsi="Tahoma"/>
      <w:sz w:val="24"/>
      <w:szCs w:val="20"/>
    </w:rPr>
  </w:style>
  <w:style w:type="paragraph" w:customStyle="1" w:styleId="371">
    <w:name w:val="TOC 标题1"/>
    <w:basedOn w:val="4"/>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72">
    <w:name w:val="Char Char Char Char Char Char Char1"/>
    <w:basedOn w:val="1"/>
    <w:qFormat/>
    <w:uiPriority w:val="0"/>
    <w:pPr>
      <w:widowControl/>
      <w:spacing w:after="160" w:line="240" w:lineRule="exact"/>
      <w:jc w:val="left"/>
    </w:pPr>
    <w:rPr>
      <w:szCs w:val="20"/>
    </w:rPr>
  </w:style>
  <w:style w:type="paragraph" w:customStyle="1" w:styleId="37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4">
    <w:name w:val="样式1"/>
    <w:basedOn w:val="1"/>
    <w:next w:val="8"/>
    <w:qFormat/>
    <w:uiPriority w:val="0"/>
    <w:pPr>
      <w:spacing w:line="360" w:lineRule="auto"/>
      <w:ind w:firstLine="420" w:firstLineChars="200"/>
    </w:pPr>
    <w:rPr>
      <w:rFonts w:ascii="宋体" w:hAnsi="宋体"/>
      <w:szCs w:val="21"/>
    </w:rPr>
  </w:style>
  <w:style w:type="paragraph" w:customStyle="1" w:styleId="37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7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77">
    <w:name w:val="普通 (Web)"/>
    <w:basedOn w:val="1"/>
    <w:qFormat/>
    <w:uiPriority w:val="0"/>
    <w:pPr>
      <w:widowControl/>
      <w:spacing w:before="100" w:after="100"/>
      <w:jc w:val="left"/>
    </w:pPr>
    <w:rPr>
      <w:rFonts w:ascii="宋体" w:hAnsi="宋体"/>
      <w:kern w:val="0"/>
      <w:sz w:val="24"/>
    </w:rPr>
  </w:style>
  <w:style w:type="paragraph" w:customStyle="1" w:styleId="37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8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82">
    <w:name w:val="1"/>
    <w:basedOn w:val="1"/>
    <w:qFormat/>
    <w:uiPriority w:val="0"/>
  </w:style>
  <w:style w:type="paragraph" w:customStyle="1" w:styleId="38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8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纯文本2"/>
    <w:basedOn w:val="386"/>
    <w:qFormat/>
    <w:uiPriority w:val="0"/>
    <w:pPr>
      <w:adjustRightInd w:val="0"/>
      <w:snapToGrid w:val="0"/>
      <w:spacing w:line="288" w:lineRule="auto"/>
      <w:ind w:firstLine="200" w:firstLineChars="200"/>
    </w:pPr>
    <w:rPr>
      <w:rFonts w:ascii="宋体" w:hAnsi="Courier New"/>
    </w:rPr>
  </w:style>
  <w:style w:type="paragraph" w:customStyle="1" w:styleId="388">
    <w:name w:val="Pa5"/>
    <w:basedOn w:val="78"/>
    <w:next w:val="78"/>
    <w:qFormat/>
    <w:uiPriority w:val="0"/>
    <w:pPr>
      <w:spacing w:after="60" w:line="161" w:lineRule="atLeast"/>
    </w:pPr>
    <w:rPr>
      <w:rFonts w:ascii="Univers LT Std 57 Cn" w:hAnsi="Univers LT Std 57 Cn" w:cs="Times New Roman"/>
      <w:color w:val="auto"/>
    </w:rPr>
  </w:style>
  <w:style w:type="paragraph" w:customStyle="1" w:styleId="38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90">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2">
    <w:name w:val="Char Char Char Char Char Char"/>
    <w:basedOn w:val="1"/>
    <w:qFormat/>
    <w:uiPriority w:val="0"/>
    <w:rPr>
      <w:rFonts w:ascii="Tahoma" w:hAnsi="Tahoma"/>
      <w:sz w:val="24"/>
      <w:szCs w:val="20"/>
    </w:rPr>
  </w:style>
  <w:style w:type="paragraph" w:customStyle="1" w:styleId="39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9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9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00">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4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02">
    <w:name w:val="_Style 25"/>
    <w:basedOn w:val="1"/>
    <w:qFormat/>
    <w:uiPriority w:val="0"/>
  </w:style>
  <w:style w:type="paragraph" w:customStyle="1" w:styleId="403">
    <w:name w:val="正文－恩普"/>
    <w:basedOn w:val="5"/>
    <w:qFormat/>
    <w:uiPriority w:val="0"/>
    <w:pPr>
      <w:adjustRightInd/>
      <w:spacing w:line="360" w:lineRule="auto"/>
      <w:ind w:firstLine="200" w:firstLineChars="200"/>
      <w:textAlignment w:val="auto"/>
    </w:pPr>
    <w:rPr>
      <w:rFonts w:ascii="仿宋_GB2312"/>
      <w:b/>
      <w:kern w:val="2"/>
      <w:sz w:val="24"/>
      <w:szCs w:val="24"/>
    </w:rPr>
  </w:style>
  <w:style w:type="paragraph" w:customStyle="1" w:styleId="40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05">
    <w:name w:val="1 Char"/>
    <w:basedOn w:val="5"/>
    <w:qFormat/>
    <w:uiPriority w:val="0"/>
    <w:pPr>
      <w:adjustRightInd/>
      <w:spacing w:line="360" w:lineRule="auto"/>
      <w:ind w:firstLine="200" w:firstLineChars="200"/>
      <w:textAlignment w:val="auto"/>
    </w:pPr>
    <w:rPr>
      <w:rFonts w:ascii="仿宋_GB2312"/>
      <w:b/>
      <w:kern w:val="2"/>
      <w:szCs w:val="32"/>
    </w:rPr>
  </w:style>
  <w:style w:type="paragraph" w:customStyle="1" w:styleId="4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07">
    <w:name w:val="CM106"/>
    <w:basedOn w:val="78"/>
    <w:next w:val="78"/>
    <w:qFormat/>
    <w:uiPriority w:val="0"/>
    <w:rPr>
      <w:rFonts w:cs="Times New Roman"/>
      <w:color w:val="auto"/>
    </w:rPr>
  </w:style>
  <w:style w:type="paragraph" w:customStyle="1" w:styleId="40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09">
    <w:name w:val="保留正文"/>
    <w:basedOn w:val="23"/>
    <w:qFormat/>
    <w:uiPriority w:val="0"/>
    <w:pPr>
      <w:keepNext/>
      <w:spacing w:after="160"/>
    </w:pPr>
    <w:rPr>
      <w:rFonts w:ascii="仿宋_GB2312"/>
      <w:b/>
    </w:rPr>
  </w:style>
  <w:style w:type="paragraph" w:customStyle="1" w:styleId="41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11">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12">
    <w:name w:val="Char1 Char Char Char Char"/>
    <w:basedOn w:val="19"/>
    <w:qFormat/>
    <w:uiPriority w:val="0"/>
    <w:rPr>
      <w:rFonts w:ascii="Tahoma" w:hAnsi="Tahoma" w:cs="Tahoma"/>
      <w:kern w:val="0"/>
      <w:sz w:val="18"/>
    </w:rPr>
  </w:style>
  <w:style w:type="paragraph" w:customStyle="1" w:styleId="413">
    <w:name w:val="Char"/>
    <w:basedOn w:val="1"/>
    <w:qFormat/>
    <w:uiPriority w:val="0"/>
    <w:pPr>
      <w:widowControl/>
      <w:spacing w:line="400" w:lineRule="exact"/>
      <w:jc w:val="center"/>
    </w:pPr>
    <w:rPr>
      <w:rFonts w:ascii="Verdana" w:hAnsi="Verdana"/>
      <w:kern w:val="0"/>
      <w:szCs w:val="20"/>
      <w:lang w:eastAsia="en-US"/>
    </w:rPr>
  </w:style>
  <w:style w:type="paragraph" w:customStyle="1" w:styleId="414">
    <w:name w:val="blockquote"/>
    <w:basedOn w:val="1"/>
    <w:qFormat/>
    <w:uiPriority w:val="0"/>
    <w:pPr>
      <w:widowControl/>
      <w:spacing w:before="100" w:beforeAutospacing="1" w:after="100" w:afterAutospacing="1"/>
      <w:jc w:val="left"/>
    </w:pPr>
    <w:rPr>
      <w:rFonts w:ascii="宋体" w:hAnsi="宋体"/>
    </w:rPr>
  </w:style>
  <w:style w:type="character" w:customStyle="1" w:styleId="415">
    <w:name w:val="NormalCharacter"/>
    <w:qFormat/>
    <w:uiPriority w:val="0"/>
  </w:style>
  <w:style w:type="character" w:customStyle="1" w:styleId="416">
    <w:name w:val="10"/>
    <w:basedOn w:val="58"/>
    <w:qFormat/>
    <w:uiPriority w:val="0"/>
    <w:rPr>
      <w:rFonts w:hint="default" w:ascii="Times New Roman" w:hAnsi="Times New Roman" w:cs="Times New Roman"/>
    </w:rPr>
  </w:style>
  <w:style w:type="paragraph" w:customStyle="1" w:styleId="417">
    <w:name w:val="投标正文"/>
    <w:basedOn w:val="1"/>
    <w:qFormat/>
    <w:uiPriority w:val="0"/>
    <w:pPr>
      <w:spacing w:line="360" w:lineRule="auto"/>
      <w:ind w:left="100" w:firstLine="480" w:firstLineChars="200"/>
    </w:pPr>
    <w:rPr>
      <w:rFonts w:ascii="Calibri" w:hAnsi="Calibri"/>
      <w:kern w:val="0"/>
      <w:sz w:val="24"/>
    </w:rPr>
  </w:style>
  <w:style w:type="paragraph" w:customStyle="1" w:styleId="41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419">
    <w:name w:val="公文一级标题"/>
    <w:basedOn w:val="1"/>
    <w:qFormat/>
    <w:uiPriority w:val="0"/>
    <w:pPr>
      <w:spacing w:line="560" w:lineRule="exact"/>
      <w:ind w:firstLine="880" w:firstLineChars="200"/>
    </w:pPr>
    <w:rPr>
      <w:rFonts w:ascii="Calibri" w:hAnsi="Calibri" w:eastAsia="黑体"/>
      <w:sz w:val="32"/>
    </w:rPr>
  </w:style>
  <w:style w:type="paragraph" w:customStyle="1" w:styleId="420">
    <w:name w:val="表格正文"/>
    <w:basedOn w:val="1"/>
    <w:qFormat/>
    <w:uiPriority w:val="0"/>
    <w:pPr>
      <w:widowControl/>
      <w:ind w:firstLine="640"/>
      <w:jc w:val="center"/>
    </w:pPr>
    <w:rPr>
      <w:rFonts w:ascii="宋体" w:hAnsi="宋体" w:cs="宋体"/>
      <w:kern w:val="0"/>
      <w:sz w:val="20"/>
      <w:szCs w:val="20"/>
    </w:rPr>
  </w:style>
  <w:style w:type="paragraph" w:customStyle="1" w:styleId="421">
    <w:name w:val="图片"/>
    <w:basedOn w:val="1"/>
    <w:qFormat/>
    <w:uiPriority w:val="0"/>
    <w:pPr>
      <w:jc w:val="center"/>
    </w:pPr>
    <w:rPr>
      <w:rFonts w:ascii="宋体" w:hAnsi="宋体"/>
      <w:bCs/>
      <w:color w:val="0D0D0D"/>
    </w:rPr>
  </w:style>
  <w:style w:type="paragraph" w:customStyle="1" w:styleId="422">
    <w:name w:val="Revision_2506c9cb-8604-4254-9ee5-14f8b5e5977b"/>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64</Pages>
  <Words>13796</Words>
  <Characters>14517</Characters>
  <Paragraphs>2305</Paragraphs>
  <TotalTime>19</TotalTime>
  <ScaleCrop>false</ScaleCrop>
  <LinksUpToDate>false</LinksUpToDate>
  <CharactersWithSpaces>14809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2024-10-16T14:50:00Z</dcterms:created>
  <dc:creator>can</dc:creator>
  <cp:lastModifiedBy>w®</cp:lastModifiedBy>
  <cp:lastPrinted>2021-11-02T02:23:00Z</cp:lastPrinted>
  <dcterms:modified xsi:type="dcterms:W3CDTF">2024-11-01T06:44:51Z</dcterms:modified>
  <dc:title>温州市政府集中采购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12376C870BEB4DA298181791C4E6BA41</vt:lpwstr>
  </property>
  <property fmtid="{D5CDD505-2E9C-101B-9397-08002B2CF9AE}" pid="4" name="woTemplateTypoMode">
    <vt:lpwstr>web</vt:lpwstr>
  </property>
  <property fmtid="{D5CDD505-2E9C-101B-9397-08002B2CF9AE}" pid="5" name="woTemplate">
    <vt:r8>1</vt:r8>
  </property>
</Properties>
</file>