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F070">
      <w:pPr>
        <w:jc w:val="center"/>
        <w:rPr>
          <w:rFonts w:hint="eastAsia" w:ascii="宋体" w:hAnsi="宋体" w:cs="宋体"/>
          <w:b/>
          <w:bCs/>
          <w:color w:val="auto"/>
          <w:spacing w:val="100"/>
          <w:sz w:val="84"/>
          <w:szCs w:val="84"/>
          <w:highlight w:val="none"/>
        </w:rPr>
      </w:pPr>
      <w:bookmarkStart w:id="205" w:name="_GoBack"/>
      <w:r>
        <w:rPr>
          <w:rFonts w:hint="eastAsia" w:ascii="宋体" w:hAnsi="宋体" w:cs="宋体"/>
          <w:b/>
          <w:bCs/>
          <w:color w:val="auto"/>
          <w:spacing w:val="100"/>
          <w:sz w:val="84"/>
          <w:szCs w:val="84"/>
          <w:highlight w:val="none"/>
          <w:lang w:val="en-US" w:eastAsia="zh-CN"/>
        </w:rPr>
        <w:t>龙湾区</w:t>
      </w:r>
      <w:r>
        <w:rPr>
          <w:rFonts w:hint="eastAsia" w:ascii="宋体" w:hAnsi="宋体" w:cs="宋体"/>
          <w:b/>
          <w:bCs/>
          <w:color w:val="auto"/>
          <w:spacing w:val="100"/>
          <w:sz w:val="84"/>
          <w:szCs w:val="84"/>
          <w:highlight w:val="none"/>
        </w:rPr>
        <w:t>政府采购</w:t>
      </w:r>
    </w:p>
    <w:p w14:paraId="6BC72E77">
      <w:pPr>
        <w:jc w:val="center"/>
        <w:rPr>
          <w:rFonts w:hint="eastAsia" w:ascii="宋体" w:hAnsi="宋体" w:cs="宋体"/>
          <w:b/>
          <w:bCs/>
          <w:color w:val="auto"/>
          <w:spacing w:val="26"/>
          <w:sz w:val="52"/>
          <w:highlight w:val="none"/>
        </w:rPr>
      </w:pPr>
    </w:p>
    <w:p w14:paraId="562EDCC8">
      <w:pPr>
        <w:jc w:val="center"/>
        <w:rPr>
          <w:rFonts w:hint="eastAsia" w:ascii="宋体" w:hAnsi="宋体" w:cs="宋体"/>
          <w:b/>
          <w:bCs/>
          <w:color w:val="auto"/>
          <w:spacing w:val="140"/>
          <w:sz w:val="72"/>
          <w:highlight w:val="none"/>
        </w:rPr>
      </w:pPr>
    </w:p>
    <w:p w14:paraId="22EF334F">
      <w:pPr>
        <w:spacing w:line="900" w:lineRule="exact"/>
        <w:jc w:val="center"/>
        <w:rPr>
          <w:rFonts w:hint="eastAsia" w:ascii="宋体" w:hAnsi="宋体" w:cs="宋体"/>
          <w:b/>
          <w:bCs/>
          <w:color w:val="auto"/>
          <w:spacing w:val="140"/>
          <w:sz w:val="44"/>
          <w:szCs w:val="44"/>
          <w:highlight w:val="none"/>
        </w:rPr>
      </w:pPr>
      <w:r>
        <w:rPr>
          <w:rFonts w:hint="eastAsia" w:ascii="宋体" w:hAnsi="宋体" w:cs="宋体"/>
          <w:b/>
          <w:bCs/>
          <w:color w:val="auto"/>
          <w:spacing w:val="140"/>
          <w:sz w:val="44"/>
          <w:szCs w:val="44"/>
          <w:highlight w:val="none"/>
        </w:rPr>
        <w:t>竞争性磋商文件</w:t>
      </w:r>
    </w:p>
    <w:p w14:paraId="6E895E7A">
      <w:pPr>
        <w:spacing w:line="600" w:lineRule="exact"/>
        <w:jc w:val="center"/>
        <w:rPr>
          <w:rFonts w:hint="eastAsia" w:ascii="宋体" w:hAnsi="宋体" w:cs="宋体"/>
          <w:b/>
          <w:bCs/>
          <w:color w:val="auto"/>
          <w:spacing w:val="140"/>
          <w:sz w:val="84"/>
          <w:szCs w:val="84"/>
          <w:highlight w:val="none"/>
        </w:rPr>
      </w:pPr>
    </w:p>
    <w:p w14:paraId="73ABE721">
      <w:pPr>
        <w:spacing w:line="400" w:lineRule="exact"/>
        <w:jc w:val="center"/>
        <w:rPr>
          <w:rFonts w:hint="eastAsia" w:ascii="宋体" w:hAnsi="宋体" w:cs="宋体"/>
          <w:b/>
          <w:bCs/>
          <w:color w:val="auto"/>
          <w:sz w:val="32"/>
          <w:szCs w:val="32"/>
          <w:highlight w:val="none"/>
        </w:rPr>
      </w:pPr>
    </w:p>
    <w:p w14:paraId="71BBBFDD">
      <w:pPr>
        <w:jc w:val="center"/>
        <w:rPr>
          <w:rFonts w:hint="eastAsia" w:ascii="宋体" w:hAnsi="宋体" w:cs="宋体"/>
          <w:color w:val="auto"/>
          <w:spacing w:val="40"/>
          <w:sz w:val="30"/>
          <w:szCs w:val="30"/>
          <w:highlight w:val="none"/>
        </w:rPr>
      </w:pPr>
    </w:p>
    <w:p w14:paraId="77C32C3D">
      <w:pPr>
        <w:jc w:val="center"/>
        <w:rPr>
          <w:rFonts w:hint="eastAsia" w:ascii="宋体" w:hAnsi="宋体" w:cs="宋体"/>
          <w:color w:val="auto"/>
          <w:spacing w:val="40"/>
          <w:sz w:val="30"/>
          <w:szCs w:val="30"/>
          <w:highlight w:val="none"/>
        </w:rPr>
      </w:pPr>
    </w:p>
    <w:tbl>
      <w:tblPr>
        <w:tblStyle w:val="54"/>
        <w:tblW w:w="4692" w:type="dxa"/>
        <w:jc w:val="center"/>
        <w:tblLayout w:type="fixed"/>
        <w:tblCellMar>
          <w:top w:w="0" w:type="dxa"/>
          <w:left w:w="108" w:type="dxa"/>
          <w:bottom w:w="0" w:type="dxa"/>
          <w:right w:w="108" w:type="dxa"/>
        </w:tblCellMar>
      </w:tblPr>
      <w:tblGrid>
        <w:gridCol w:w="1559"/>
        <w:gridCol w:w="3133"/>
      </w:tblGrid>
      <w:tr w14:paraId="6B64B52F">
        <w:tblPrEx>
          <w:tblCellMar>
            <w:top w:w="0" w:type="dxa"/>
            <w:left w:w="108" w:type="dxa"/>
            <w:bottom w:w="0" w:type="dxa"/>
            <w:right w:w="108" w:type="dxa"/>
          </w:tblCellMar>
        </w:tblPrEx>
        <w:trPr>
          <w:trHeight w:val="1089" w:hRule="atLeast"/>
          <w:jc w:val="center"/>
        </w:trPr>
        <w:tc>
          <w:tcPr>
            <w:tcW w:w="1559" w:type="dxa"/>
            <w:vAlign w:val="center"/>
          </w:tcPr>
          <w:p w14:paraId="4B4F2BC2">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133" w:type="dxa"/>
            <w:vAlign w:val="center"/>
          </w:tcPr>
          <w:p w14:paraId="25E4E222">
            <w:pPr>
              <w:rPr>
                <w:rFonts w:hint="eastAsia" w:ascii="宋体" w:hAnsi="宋体" w:cs="宋体"/>
                <w:b/>
                <w:color w:val="auto"/>
                <w:sz w:val="28"/>
                <w:szCs w:val="28"/>
                <w:highlight w:val="none"/>
              </w:rPr>
            </w:pPr>
            <w:r>
              <w:rPr>
                <w:rFonts w:hint="eastAsia" w:ascii="宋体" w:hAnsi="宋体" w:cs="宋体"/>
                <w:b/>
                <w:color w:val="auto"/>
                <w:sz w:val="28"/>
                <w:szCs w:val="28"/>
                <w:highlight w:val="none"/>
              </w:rPr>
              <w:t>ZXZB-F20241014-TZS</w:t>
            </w:r>
          </w:p>
        </w:tc>
      </w:tr>
      <w:tr w14:paraId="0DF76105">
        <w:tblPrEx>
          <w:tblCellMar>
            <w:top w:w="0" w:type="dxa"/>
            <w:left w:w="108" w:type="dxa"/>
            <w:bottom w:w="0" w:type="dxa"/>
            <w:right w:w="108" w:type="dxa"/>
          </w:tblCellMar>
        </w:tblPrEx>
        <w:trPr>
          <w:trHeight w:val="1113" w:hRule="atLeast"/>
          <w:jc w:val="center"/>
        </w:trPr>
        <w:tc>
          <w:tcPr>
            <w:tcW w:w="1559" w:type="dxa"/>
            <w:vAlign w:val="center"/>
          </w:tcPr>
          <w:p w14:paraId="48D03127">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133" w:type="dxa"/>
            <w:vAlign w:val="center"/>
          </w:tcPr>
          <w:p w14:paraId="2A150AA4">
            <w:pPr>
              <w:rPr>
                <w:rFonts w:hint="eastAsia" w:ascii="宋体" w:hAnsi="宋体" w:cs="宋体"/>
                <w:b/>
                <w:color w:val="auto"/>
                <w:sz w:val="28"/>
                <w:szCs w:val="28"/>
                <w:highlight w:val="none"/>
              </w:rPr>
            </w:pPr>
            <w:r>
              <w:rPr>
                <w:rFonts w:hint="eastAsia" w:ascii="宋体" w:hAnsi="宋体" w:cs="宋体"/>
                <w:b/>
                <w:color w:val="auto"/>
                <w:sz w:val="28"/>
                <w:szCs w:val="28"/>
                <w:highlight w:val="none"/>
              </w:rPr>
              <w:t>2024国际眼健康科技创新与产业发展会议暨中国眼谷眼视光创新创业全球挑战赛</w:t>
            </w:r>
          </w:p>
        </w:tc>
      </w:tr>
      <w:tr w14:paraId="5D84B311">
        <w:tblPrEx>
          <w:tblCellMar>
            <w:top w:w="0" w:type="dxa"/>
            <w:left w:w="108" w:type="dxa"/>
            <w:bottom w:w="0" w:type="dxa"/>
            <w:right w:w="108" w:type="dxa"/>
          </w:tblCellMar>
        </w:tblPrEx>
        <w:trPr>
          <w:trHeight w:val="1074" w:hRule="atLeast"/>
          <w:jc w:val="center"/>
        </w:trPr>
        <w:tc>
          <w:tcPr>
            <w:tcW w:w="1559" w:type="dxa"/>
            <w:vAlign w:val="center"/>
          </w:tcPr>
          <w:p w14:paraId="33B87E08">
            <w:pP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133" w:type="dxa"/>
            <w:vAlign w:val="center"/>
          </w:tcPr>
          <w:p w14:paraId="06876191">
            <w:pPr>
              <w:rPr>
                <w:rFonts w:hint="eastAsia" w:ascii="宋体" w:hAnsi="宋体" w:cs="宋体"/>
                <w:b/>
                <w:color w:val="auto"/>
                <w:sz w:val="28"/>
                <w:szCs w:val="28"/>
                <w:highlight w:val="none"/>
              </w:rPr>
            </w:pPr>
            <w:r>
              <w:rPr>
                <w:rFonts w:hint="eastAsia" w:ascii="宋体" w:hAnsi="宋体" w:cs="宋体"/>
                <w:b/>
                <w:color w:val="auto"/>
                <w:sz w:val="28"/>
                <w:szCs w:val="28"/>
                <w:highlight w:val="none"/>
              </w:rPr>
              <w:t>竞争性磋商</w:t>
            </w:r>
          </w:p>
        </w:tc>
      </w:tr>
    </w:tbl>
    <w:p w14:paraId="309BF4F9">
      <w:pPr>
        <w:spacing w:line="600" w:lineRule="exact"/>
        <w:ind w:firstLine="904" w:firstLineChars="3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2557B2CE">
      <w:pPr>
        <w:spacing w:line="600" w:lineRule="exact"/>
        <w:rPr>
          <w:rFonts w:hint="eastAsia" w:ascii="宋体" w:hAnsi="宋体" w:cs="宋体"/>
          <w:b/>
          <w:color w:val="auto"/>
          <w:sz w:val="30"/>
          <w:szCs w:val="30"/>
          <w:highlight w:val="none"/>
        </w:rPr>
      </w:pPr>
    </w:p>
    <w:p w14:paraId="670220AE">
      <w:pPr>
        <w:pStyle w:val="7"/>
        <w:rPr>
          <w:rFonts w:hint="eastAsia" w:ascii="宋体" w:hAnsi="宋体" w:cs="宋体"/>
          <w:color w:val="auto"/>
          <w:highlight w:val="none"/>
        </w:rPr>
      </w:pPr>
    </w:p>
    <w:p w14:paraId="080331F1">
      <w:pPr>
        <w:spacing w:line="480" w:lineRule="auto"/>
        <w:ind w:firstLine="744" w:firstLineChars="247"/>
        <w:rPr>
          <w:rFonts w:hint="eastAsia" w:ascii="宋体" w:hAnsi="宋体" w:cs="宋体"/>
          <w:b/>
          <w:color w:val="auto"/>
          <w:sz w:val="30"/>
          <w:szCs w:val="30"/>
          <w:highlight w:val="none"/>
        </w:rPr>
      </w:pPr>
    </w:p>
    <w:p w14:paraId="2E0DC101">
      <w:pPr>
        <w:spacing w:line="480" w:lineRule="auto"/>
        <w:ind w:firstLine="1906" w:firstLineChars="633"/>
        <w:rPr>
          <w:rFonts w:hint="eastAsia" w:ascii="宋体" w:hAnsi="宋体" w:cs="宋体"/>
          <w:b/>
          <w:color w:val="auto"/>
          <w:sz w:val="30"/>
          <w:szCs w:val="30"/>
          <w:highlight w:val="none"/>
        </w:rPr>
      </w:pPr>
      <w:r>
        <w:rPr>
          <w:rFonts w:hint="eastAsia" w:ascii="宋体" w:hAnsi="宋体" w:cs="宋体"/>
          <w:b/>
          <w:color w:val="auto"/>
          <w:sz w:val="30"/>
          <w:szCs w:val="30"/>
          <w:highlight w:val="none"/>
        </w:rPr>
        <w:t>采   购   人：温州眼视光国际创新中心</w:t>
      </w:r>
    </w:p>
    <w:p w14:paraId="5A562C1D">
      <w:pPr>
        <w:spacing w:line="480" w:lineRule="auto"/>
        <w:ind w:firstLine="1906" w:firstLineChars="633"/>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采购代理机构：温州市智信招标代理有限公司</w:t>
      </w:r>
    </w:p>
    <w:p w14:paraId="542A60BC">
      <w:pPr>
        <w:spacing w:line="600" w:lineRule="exact"/>
        <w:jc w:val="center"/>
        <w:rPr>
          <w:rFonts w:hint="eastAsia"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二○二四年十月</w:t>
      </w:r>
    </w:p>
    <w:p w14:paraId="0E39BF70">
      <w:pPr>
        <w:rPr>
          <w:rFonts w:hint="eastAsia" w:ascii="宋体" w:hAnsi="宋体" w:cs="宋体"/>
          <w:b/>
          <w:bCs/>
          <w:color w:val="auto"/>
          <w:szCs w:val="21"/>
          <w:highlight w:val="none"/>
        </w:rPr>
      </w:pPr>
    </w:p>
    <w:p w14:paraId="73A60029">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171A83B7">
      <w:pPr>
        <w:spacing w:line="600" w:lineRule="exact"/>
        <w:jc w:val="center"/>
        <w:rPr>
          <w:rFonts w:hint="eastAsia" w:ascii="宋体" w:hAnsi="宋体" w:cs="宋体"/>
          <w:b/>
          <w:bCs/>
          <w:color w:val="auto"/>
          <w:sz w:val="32"/>
          <w:szCs w:val="32"/>
          <w:highlight w:val="none"/>
        </w:rPr>
      </w:pPr>
    </w:p>
    <w:p w14:paraId="2B70372C">
      <w:pPr>
        <w:pStyle w:val="38"/>
        <w:tabs>
          <w:tab w:val="right" w:leader="dot" w:pos="9628"/>
        </w:tabs>
        <w:spacing w:line="480" w:lineRule="auto"/>
        <w:ind w:left="821" w:hanging="821"/>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color w:val="auto"/>
          <w:highlight w:val="none"/>
        </w:rPr>
        <w:fldChar w:fldCharType="begin"/>
      </w:r>
      <w:r>
        <w:rPr>
          <w:color w:val="auto"/>
          <w:highlight w:val="none"/>
        </w:rPr>
        <w:instrText xml:space="preserve"> HYPERLINK \l "_Toc58832080" </w:instrText>
      </w:r>
      <w:r>
        <w:rPr>
          <w:color w:val="auto"/>
          <w:highlight w:val="none"/>
        </w:rPr>
        <w:fldChar w:fldCharType="separate"/>
      </w:r>
      <w:r>
        <w:rPr>
          <w:rStyle w:val="65"/>
          <w:rFonts w:hint="eastAsia" w:ascii="宋体" w:hAnsi="宋体" w:eastAsia="宋体" w:cs="宋体"/>
          <w:color w:val="auto"/>
          <w:sz w:val="24"/>
          <w:szCs w:val="24"/>
          <w:highlight w:val="none"/>
        </w:rPr>
        <w:t>供应商须知前附表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72A3836">
      <w:pPr>
        <w:pStyle w:val="38"/>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"_Toc58832081" </w:instrText>
      </w:r>
      <w:r>
        <w:rPr>
          <w:color w:val="auto"/>
          <w:highlight w:val="none"/>
        </w:rPr>
        <w:fldChar w:fldCharType="separate"/>
      </w:r>
      <w:r>
        <w:rPr>
          <w:rStyle w:val="65"/>
          <w:rFonts w:hint="eastAsia" w:ascii="宋体" w:hAnsi="宋体" w:eastAsia="宋体" w:cs="宋体"/>
          <w:color w:val="auto"/>
          <w:sz w:val="24"/>
          <w:szCs w:val="24"/>
          <w:highlight w:val="none"/>
        </w:rPr>
        <w:t>第一部分    供应商须知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F9E92B2">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"_Toc58832082" </w:instrText>
      </w:r>
      <w:r>
        <w:rPr>
          <w:color w:val="auto"/>
          <w:highlight w:val="none"/>
        </w:rPr>
        <w:fldChar w:fldCharType="separate"/>
      </w:r>
      <w:r>
        <w:rPr>
          <w:rStyle w:val="65"/>
          <w:rFonts w:hint="eastAsia" w:ascii="宋体" w:hAnsi="宋体" w:eastAsia="宋体" w:cs="宋体"/>
          <w:bCs/>
          <w:color w:val="auto"/>
          <w:sz w:val="24"/>
          <w:szCs w:val="24"/>
          <w:highlight w:val="none"/>
        </w:rPr>
        <w:t>一   说 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B9A20DD">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"_Toc58832083" </w:instrText>
      </w:r>
      <w:r>
        <w:rPr>
          <w:color w:val="auto"/>
          <w:highlight w:val="none"/>
        </w:rPr>
        <w:fldChar w:fldCharType="separate"/>
      </w:r>
      <w:r>
        <w:rPr>
          <w:rStyle w:val="65"/>
          <w:rFonts w:hint="eastAsia" w:ascii="宋体" w:hAnsi="宋体" w:eastAsia="宋体" w:cs="宋体"/>
          <w:bCs/>
          <w:color w:val="auto"/>
          <w:sz w:val="24"/>
          <w:szCs w:val="24"/>
          <w:highlight w:val="none"/>
        </w:rPr>
        <w:t xml:space="preserve">二   </w:t>
      </w:r>
      <w:r>
        <w:rPr>
          <w:rStyle w:val="65"/>
          <w:rFonts w:hint="eastAsia" w:ascii="宋体" w:hAnsi="宋体" w:eastAsia="宋体" w:cs="宋体"/>
          <w:bCs/>
          <w:color w:val="auto"/>
          <w:sz w:val="24"/>
          <w:szCs w:val="24"/>
          <w:highlight w:val="none"/>
          <w:lang w:val="en-US" w:eastAsia="zh-CN"/>
        </w:rPr>
        <w:t>采购</w:t>
      </w:r>
      <w:r>
        <w:rPr>
          <w:rStyle w:val="65"/>
          <w:rFonts w:hint="eastAsia" w:ascii="宋体" w:hAnsi="宋体" w:eastAsia="宋体" w:cs="宋体"/>
          <w:bCs/>
          <w:color w:val="auto"/>
          <w:sz w:val="24"/>
          <w:szCs w:val="24"/>
          <w:highlight w:val="none"/>
        </w:rPr>
        <w:t>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7FDA9C">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"_Toc58832084" </w:instrText>
      </w:r>
      <w:r>
        <w:rPr>
          <w:color w:val="auto"/>
          <w:highlight w:val="none"/>
        </w:rPr>
        <w:fldChar w:fldCharType="separate"/>
      </w:r>
      <w:r>
        <w:rPr>
          <w:rStyle w:val="65"/>
          <w:rFonts w:hint="eastAsia" w:ascii="宋体" w:hAnsi="宋体" w:eastAsia="宋体" w:cs="宋体"/>
          <w:bCs/>
          <w:color w:val="auto"/>
          <w:sz w:val="24"/>
          <w:szCs w:val="24"/>
          <w:highlight w:val="none"/>
        </w:rPr>
        <w:t>三   磋商响应文件的编制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66A1FC">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"_Toc58832085" </w:instrText>
      </w:r>
      <w:r>
        <w:rPr>
          <w:color w:val="auto"/>
          <w:highlight w:val="none"/>
        </w:rPr>
        <w:fldChar w:fldCharType="separate"/>
      </w:r>
      <w:r>
        <w:rPr>
          <w:rStyle w:val="65"/>
          <w:rFonts w:hint="eastAsia" w:ascii="宋体" w:hAnsi="宋体" w:eastAsia="宋体" w:cs="宋体"/>
          <w:bCs/>
          <w:color w:val="auto"/>
          <w:sz w:val="24"/>
          <w:szCs w:val="24"/>
          <w:highlight w:val="none"/>
        </w:rPr>
        <w:t>四   磋商响应文件的递交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91D9254">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"_Toc58832086" </w:instrText>
      </w:r>
      <w:r>
        <w:rPr>
          <w:color w:val="auto"/>
          <w:highlight w:val="none"/>
        </w:rPr>
        <w:fldChar w:fldCharType="separate"/>
      </w:r>
      <w:r>
        <w:rPr>
          <w:rStyle w:val="65"/>
          <w:rFonts w:hint="eastAsia" w:ascii="宋体" w:hAnsi="宋体" w:eastAsia="宋体" w:cs="宋体"/>
          <w:color w:val="auto"/>
          <w:sz w:val="24"/>
          <w:szCs w:val="24"/>
          <w:highlight w:val="none"/>
        </w:rPr>
        <w:t>五   开标</w:t>
      </w:r>
      <w:bookmarkStart w:id="0" w:name="_Hlt58832094"/>
      <w:r>
        <w:rPr>
          <w:rFonts w:hint="eastAsia" w:ascii="宋体" w:hAnsi="宋体" w:cs="宋体"/>
          <w:color w:val="auto"/>
          <w:sz w:val="24"/>
          <w:highlight w:val="none"/>
        </w:rPr>
        <w:tab/>
      </w:r>
      <w:bookmarkEnd w:id="0"/>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62FD15">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"_Toc58832087" </w:instrText>
      </w:r>
      <w:r>
        <w:rPr>
          <w:color w:val="auto"/>
          <w:highlight w:val="none"/>
        </w:rPr>
        <w:fldChar w:fldCharType="separate"/>
      </w:r>
      <w:r>
        <w:rPr>
          <w:rStyle w:val="65"/>
          <w:rFonts w:hint="eastAsia" w:ascii="宋体" w:hAnsi="宋体" w:eastAsia="宋体" w:cs="宋体"/>
          <w:bCs/>
          <w:color w:val="auto"/>
          <w:sz w:val="24"/>
          <w:szCs w:val="24"/>
          <w:highlight w:val="none"/>
        </w:rPr>
        <w:t>六   磋商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C49C52A">
      <w:pPr>
        <w:pStyle w:val="45"/>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"_Toc58832088" </w:instrText>
      </w:r>
      <w:r>
        <w:rPr>
          <w:color w:val="auto"/>
          <w:highlight w:val="none"/>
        </w:rPr>
        <w:fldChar w:fldCharType="separate"/>
      </w:r>
      <w:r>
        <w:rPr>
          <w:rStyle w:val="65"/>
          <w:rFonts w:hint="eastAsia" w:ascii="宋体" w:hAnsi="宋体" w:eastAsia="宋体" w:cs="宋体"/>
          <w:bCs/>
          <w:color w:val="auto"/>
          <w:sz w:val="24"/>
          <w:szCs w:val="24"/>
          <w:highlight w:val="none"/>
        </w:rPr>
        <w:t>七   定标及授予合同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7768E2D">
      <w:pPr>
        <w:pStyle w:val="38"/>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"_Toc58832089" </w:instrText>
      </w:r>
      <w:r>
        <w:rPr>
          <w:color w:val="auto"/>
          <w:highlight w:val="none"/>
        </w:rPr>
        <w:fldChar w:fldCharType="separate"/>
      </w:r>
      <w:r>
        <w:rPr>
          <w:rStyle w:val="65"/>
          <w:rFonts w:hint="eastAsia" w:ascii="宋体" w:hAnsi="宋体" w:eastAsia="宋体" w:cs="宋体"/>
          <w:color w:val="auto"/>
          <w:sz w:val="24"/>
          <w:szCs w:val="24"/>
          <w:highlight w:val="none"/>
        </w:rPr>
        <w:t>第二部分   政府采购政策功能相关说明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19</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4D1C59B">
      <w:pPr>
        <w:pStyle w:val="38"/>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"_Toc58832090" </w:instrText>
      </w:r>
      <w:r>
        <w:rPr>
          <w:color w:val="auto"/>
          <w:highlight w:val="none"/>
        </w:rPr>
        <w:fldChar w:fldCharType="separate"/>
      </w:r>
      <w:r>
        <w:rPr>
          <w:rStyle w:val="65"/>
          <w:rFonts w:hint="eastAsia" w:ascii="宋体" w:hAnsi="宋体" w:eastAsia="宋体" w:cs="宋体"/>
          <w:color w:val="auto"/>
          <w:sz w:val="24"/>
          <w:szCs w:val="24"/>
          <w:highlight w:val="none"/>
        </w:rPr>
        <w:t>第三部分   合同条款及格式</w:t>
      </w:r>
      <w:bookmarkStart w:id="1" w:name="_Hlt58914256"/>
      <w:bookmarkStart w:id="2" w:name="_Hlt58914257"/>
      <w:r>
        <w:rPr>
          <w:rFonts w:hint="eastAsia" w:ascii="宋体" w:hAnsi="宋体" w:eastAsia="宋体" w:cs="宋体"/>
          <w:color w:val="auto"/>
          <w:sz w:val="24"/>
          <w:highlight w:val="none"/>
        </w:rPr>
        <w:tab/>
      </w:r>
      <w:bookmarkEnd w:id="1"/>
      <w:bookmarkEnd w:id="2"/>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52DD9DE">
      <w:pPr>
        <w:pStyle w:val="38"/>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"_Toc58832091" </w:instrText>
      </w:r>
      <w:r>
        <w:rPr>
          <w:color w:val="auto"/>
          <w:highlight w:val="none"/>
        </w:rPr>
        <w:fldChar w:fldCharType="separate"/>
      </w:r>
      <w:r>
        <w:rPr>
          <w:rStyle w:val="65"/>
          <w:rFonts w:hint="eastAsia" w:ascii="宋体" w:hAnsi="宋体" w:eastAsia="宋体" w:cs="宋体"/>
          <w:color w:val="auto"/>
          <w:sz w:val="24"/>
          <w:szCs w:val="24"/>
          <w:highlight w:val="none"/>
        </w:rPr>
        <w:t>第四部分   磋商响应文件格式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37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D2D8FE0">
      <w:pPr>
        <w:pStyle w:val="38"/>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"_Toc58832092" </w:instrText>
      </w:r>
      <w:r>
        <w:rPr>
          <w:color w:val="auto"/>
          <w:highlight w:val="none"/>
        </w:rPr>
        <w:fldChar w:fldCharType="separate"/>
      </w:r>
      <w:r>
        <w:rPr>
          <w:rStyle w:val="65"/>
          <w:rFonts w:hint="eastAsia" w:ascii="宋体" w:hAnsi="宋体" w:eastAsia="宋体" w:cs="宋体"/>
          <w:color w:val="auto"/>
          <w:sz w:val="24"/>
          <w:szCs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935F7A7">
      <w:pPr>
        <w:pStyle w:val="38"/>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"_Toc58832093" </w:instrText>
      </w:r>
      <w:r>
        <w:rPr>
          <w:color w:val="auto"/>
          <w:highlight w:val="none"/>
        </w:rPr>
        <w:fldChar w:fldCharType="separate"/>
      </w:r>
      <w:r>
        <w:rPr>
          <w:rStyle w:val="65"/>
          <w:rFonts w:hint="eastAsia" w:ascii="宋体" w:hAnsi="宋体" w:eastAsia="宋体" w:cs="宋体"/>
          <w:color w:val="auto"/>
          <w:sz w:val="24"/>
          <w:szCs w:val="24"/>
          <w:highlight w:val="none"/>
        </w:rPr>
        <w:t>第六部分   磋商原则及方法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1ECEDD21">
      <w:pPr>
        <w:spacing w:line="480" w:lineRule="auto"/>
        <w:rPr>
          <w:rFonts w:hint="eastAsia" w:ascii="宋体" w:hAnsi="宋体" w:cs="宋体"/>
          <w:b/>
          <w:bCs/>
          <w:color w:val="auto"/>
          <w:sz w:val="24"/>
          <w:highlight w:val="none"/>
        </w:rPr>
      </w:pPr>
      <w:r>
        <w:rPr>
          <w:rFonts w:hint="eastAsia" w:ascii="宋体" w:hAnsi="宋体" w:cs="宋体"/>
          <w:color w:val="auto"/>
          <w:sz w:val="24"/>
          <w:highlight w:val="none"/>
        </w:rPr>
        <w:fldChar w:fldCharType="end"/>
      </w:r>
    </w:p>
    <w:p w14:paraId="04B56A12">
      <w:pPr>
        <w:spacing w:line="560" w:lineRule="exact"/>
        <w:ind w:firstLine="843" w:firstLineChars="400"/>
        <w:rPr>
          <w:rFonts w:hint="eastAsia" w:ascii="宋体" w:hAnsi="宋体" w:cs="宋体"/>
          <w:b/>
          <w:bCs/>
          <w:color w:val="auto"/>
          <w:szCs w:val="21"/>
          <w:highlight w:val="none"/>
        </w:rPr>
      </w:pPr>
    </w:p>
    <w:p w14:paraId="136DABBE">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507D9D90">
      <w:pPr>
        <w:spacing w:line="240" w:lineRule="atLeast"/>
        <w:jc w:val="center"/>
        <w:rPr>
          <w:rFonts w:hint="eastAsia" w:ascii="宋体" w:hAnsi="宋体" w:cs="宋体"/>
          <w:b/>
          <w:color w:val="auto"/>
          <w:szCs w:val="21"/>
          <w:highlight w:val="none"/>
        </w:rPr>
      </w:pPr>
    </w:p>
    <w:p w14:paraId="662F6835">
      <w:pPr>
        <w:spacing w:line="240" w:lineRule="atLeast"/>
        <w:jc w:val="center"/>
        <w:rPr>
          <w:rFonts w:hint="eastAsia" w:ascii="宋体" w:hAnsi="宋体" w:cs="宋体"/>
          <w:b/>
          <w:color w:val="auto"/>
          <w:szCs w:val="21"/>
          <w:highlight w:val="none"/>
        </w:rPr>
      </w:pPr>
    </w:p>
    <w:p w14:paraId="4DE7D99E">
      <w:pPr>
        <w:spacing w:line="240" w:lineRule="atLeast"/>
        <w:jc w:val="center"/>
        <w:rPr>
          <w:rFonts w:hint="eastAsia" w:ascii="宋体" w:hAnsi="宋体" w:cs="宋体"/>
          <w:b/>
          <w:color w:val="auto"/>
          <w:szCs w:val="21"/>
          <w:highlight w:val="none"/>
        </w:rPr>
      </w:pPr>
    </w:p>
    <w:p w14:paraId="7D3A0D6B">
      <w:pPr>
        <w:pStyle w:val="3"/>
        <w:ind w:firstLine="3054" w:firstLineChars="845"/>
        <w:jc w:val="both"/>
        <w:rPr>
          <w:rFonts w:hint="eastAsia" w:ascii="宋体" w:hAnsi="宋体" w:eastAsia="宋体" w:cs="宋体"/>
          <w:bCs w:val="0"/>
          <w:color w:val="auto"/>
          <w:kern w:val="0"/>
          <w:sz w:val="22"/>
          <w:szCs w:val="22"/>
          <w:highlight w:val="none"/>
        </w:rPr>
      </w:pPr>
      <w:bookmarkStart w:id="3" w:name="_Toc26020"/>
      <w:bookmarkStart w:id="4" w:name="_Toc361035134"/>
      <w:bookmarkStart w:id="5" w:name="_Toc363576971"/>
      <w:bookmarkStart w:id="6" w:name="_Toc445914867"/>
      <w:r>
        <w:rPr>
          <w:rFonts w:hint="eastAsia" w:ascii="宋体" w:hAnsi="宋体" w:eastAsia="宋体" w:cs="宋体"/>
          <w:color w:val="auto"/>
          <w:sz w:val="36"/>
          <w:szCs w:val="36"/>
          <w:highlight w:val="none"/>
        </w:rPr>
        <w:br w:type="page"/>
      </w:r>
      <w:bookmarkEnd w:id="3"/>
      <w:bookmarkEnd w:id="4"/>
      <w:bookmarkEnd w:id="5"/>
      <w:bookmarkEnd w:id="6"/>
      <w:bookmarkStart w:id="7" w:name="_Toc58832080"/>
      <w:r>
        <w:rPr>
          <w:rFonts w:hint="eastAsia" w:ascii="宋体" w:hAnsi="宋体" w:eastAsia="宋体" w:cs="宋体"/>
          <w:color w:val="auto"/>
          <w:sz w:val="36"/>
          <w:szCs w:val="36"/>
          <w:highlight w:val="none"/>
        </w:rPr>
        <w:t>供应商须知前附表</w:t>
      </w:r>
      <w:bookmarkEnd w:id="7"/>
    </w:p>
    <w:tbl>
      <w:tblPr>
        <w:tblStyle w:val="54"/>
        <w:tblW w:w="10123" w:type="dxa"/>
        <w:tblInd w:w="0" w:type="dxa"/>
        <w:tblLayout w:type="fixed"/>
        <w:tblCellMar>
          <w:top w:w="0" w:type="dxa"/>
          <w:left w:w="108" w:type="dxa"/>
          <w:bottom w:w="0" w:type="dxa"/>
          <w:right w:w="108" w:type="dxa"/>
        </w:tblCellMar>
      </w:tblPr>
      <w:tblGrid>
        <w:gridCol w:w="667"/>
        <w:gridCol w:w="1916"/>
        <w:gridCol w:w="7540"/>
      </w:tblGrid>
      <w:tr w14:paraId="60896118">
        <w:tblPrEx>
          <w:tblCellMar>
            <w:top w:w="0" w:type="dxa"/>
            <w:left w:w="108" w:type="dxa"/>
            <w:bottom w:w="0" w:type="dxa"/>
            <w:right w:w="108" w:type="dxa"/>
          </w:tblCellMar>
        </w:tblPrEx>
        <w:trPr>
          <w:trHeight w:val="436"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0CD9D07D">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3A61C9C0">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540" w:type="dxa"/>
            <w:tcBorders>
              <w:top w:val="single" w:color="auto" w:sz="4" w:space="0"/>
              <w:left w:val="single" w:color="auto" w:sz="4" w:space="0"/>
              <w:bottom w:val="single" w:color="auto" w:sz="4" w:space="0"/>
              <w:right w:val="single" w:color="auto" w:sz="4" w:space="0"/>
            </w:tcBorders>
            <w:vAlign w:val="center"/>
          </w:tcPr>
          <w:p w14:paraId="392C043F">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0F92174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0879CA5">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16" w:type="dxa"/>
            <w:tcBorders>
              <w:top w:val="single" w:color="auto" w:sz="4" w:space="0"/>
              <w:left w:val="single" w:color="auto" w:sz="4" w:space="0"/>
              <w:bottom w:val="single" w:color="auto" w:sz="4" w:space="0"/>
              <w:right w:val="single" w:color="auto" w:sz="4" w:space="0"/>
            </w:tcBorders>
            <w:vAlign w:val="center"/>
          </w:tcPr>
          <w:p w14:paraId="5F91793C">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540" w:type="dxa"/>
            <w:tcBorders>
              <w:top w:val="single" w:color="auto" w:sz="4" w:space="0"/>
              <w:left w:val="single" w:color="auto" w:sz="4" w:space="0"/>
              <w:bottom w:val="single" w:color="auto" w:sz="4" w:space="0"/>
              <w:right w:val="single" w:color="auto" w:sz="4" w:space="0"/>
            </w:tcBorders>
            <w:vAlign w:val="center"/>
          </w:tcPr>
          <w:p w14:paraId="5DEAA9E2">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采购单位：温州眼视光国际创新中心</w:t>
            </w:r>
          </w:p>
          <w:p w14:paraId="7C3B9FEB">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联系地址：温州市龙湾区罗东北街100号中国眼谷</w:t>
            </w:r>
          </w:p>
          <w:p w14:paraId="5D50FA13">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联系人：王杰海</w:t>
            </w:r>
          </w:p>
          <w:p w14:paraId="7B8B8A71">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联系电话：0577-56651021 </w:t>
            </w:r>
          </w:p>
          <w:p w14:paraId="0F27AA45">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质疑联系人：王先生    </w:t>
            </w:r>
          </w:p>
          <w:p w14:paraId="36AE7B04">
            <w:pPr>
              <w:keepNext w:val="0"/>
              <w:keepLines w:val="0"/>
              <w:pageBreakBefore w:val="0"/>
              <w:kinsoku/>
              <w:wordWrap/>
              <w:overflowPunct/>
              <w:topLinePunct w:val="0"/>
              <w:bidi w:val="0"/>
              <w:snapToGrid/>
              <w:spacing w:line="312" w:lineRule="auto"/>
              <w:textAlignment w:val="auto"/>
              <w:rPr>
                <w:color w:val="auto"/>
                <w:highlight w:val="none"/>
              </w:rPr>
            </w:pPr>
            <w:r>
              <w:rPr>
                <w:rFonts w:hint="eastAsia" w:ascii="宋体" w:hAnsi="宋体" w:cs="宋体"/>
                <w:color w:val="auto"/>
                <w:sz w:val="22"/>
                <w:szCs w:val="22"/>
                <w:highlight w:val="none"/>
              </w:rPr>
              <w:t xml:space="preserve">质疑联系方式：0577-56651013 </w:t>
            </w:r>
          </w:p>
        </w:tc>
      </w:tr>
      <w:tr w14:paraId="5D99CCF4">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7732D72">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16" w:type="dxa"/>
            <w:tcBorders>
              <w:top w:val="single" w:color="auto" w:sz="4" w:space="0"/>
              <w:left w:val="single" w:color="auto" w:sz="4" w:space="0"/>
              <w:bottom w:val="single" w:color="auto" w:sz="4" w:space="0"/>
              <w:right w:val="single" w:color="auto" w:sz="4" w:space="0"/>
            </w:tcBorders>
            <w:vAlign w:val="center"/>
          </w:tcPr>
          <w:p w14:paraId="7F24D6AA">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540" w:type="dxa"/>
            <w:tcBorders>
              <w:top w:val="single" w:color="auto" w:sz="4" w:space="0"/>
              <w:left w:val="single" w:color="auto" w:sz="4" w:space="0"/>
              <w:bottom w:val="single" w:color="auto" w:sz="4" w:space="0"/>
              <w:right w:val="single" w:color="auto" w:sz="4" w:space="0"/>
            </w:tcBorders>
            <w:vAlign w:val="center"/>
          </w:tcPr>
          <w:p w14:paraId="487E3A13">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14:paraId="15079A7B">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址：温州市瓯海区新桥街道高昂路1号牛山广场2号楼1409室</w:t>
            </w:r>
          </w:p>
          <w:p w14:paraId="1D9EE7A4">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联系人：苏先生/叶先生</w:t>
            </w:r>
          </w:p>
          <w:p w14:paraId="40D2BBD1">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联系电话：13626506308/13958779970</w:t>
            </w:r>
          </w:p>
        </w:tc>
      </w:tr>
      <w:tr w14:paraId="0D14E99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4EEC938">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916" w:type="dxa"/>
            <w:tcBorders>
              <w:top w:val="single" w:color="auto" w:sz="4" w:space="0"/>
              <w:left w:val="single" w:color="auto" w:sz="4" w:space="0"/>
              <w:bottom w:val="single" w:color="auto" w:sz="4" w:space="0"/>
              <w:right w:val="single" w:color="auto" w:sz="4" w:space="0"/>
            </w:tcBorders>
            <w:vAlign w:val="center"/>
          </w:tcPr>
          <w:p w14:paraId="3C47F429">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项目名称及项目编号</w:t>
            </w:r>
          </w:p>
        </w:tc>
        <w:tc>
          <w:tcPr>
            <w:tcW w:w="7540" w:type="dxa"/>
            <w:tcBorders>
              <w:top w:val="single" w:color="auto" w:sz="4" w:space="0"/>
              <w:left w:val="single" w:color="auto" w:sz="4" w:space="0"/>
              <w:bottom w:val="single" w:color="auto" w:sz="4" w:space="0"/>
              <w:right w:val="single" w:color="auto" w:sz="4" w:space="0"/>
            </w:tcBorders>
            <w:vAlign w:val="center"/>
          </w:tcPr>
          <w:p w14:paraId="0FAF203F">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项目名称：2024国际眼健康科技创新与产业发展会议暨中国眼谷眼视光创新创业全球挑战赛</w:t>
            </w:r>
          </w:p>
          <w:p w14:paraId="48B38878">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项目编号：ZXZB-F20241014-TZS </w:t>
            </w:r>
          </w:p>
        </w:tc>
      </w:tr>
      <w:tr w14:paraId="45748E0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538EBC0">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916" w:type="dxa"/>
            <w:tcBorders>
              <w:top w:val="single" w:color="auto" w:sz="4" w:space="0"/>
              <w:left w:val="single" w:color="auto" w:sz="4" w:space="0"/>
              <w:bottom w:val="single" w:color="auto" w:sz="4" w:space="0"/>
              <w:right w:val="single" w:color="auto" w:sz="4" w:space="0"/>
            </w:tcBorders>
            <w:vAlign w:val="center"/>
          </w:tcPr>
          <w:p w14:paraId="595648B1">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540" w:type="dxa"/>
            <w:tcBorders>
              <w:top w:val="single" w:color="auto" w:sz="4" w:space="0"/>
              <w:left w:val="single" w:color="auto" w:sz="4" w:space="0"/>
              <w:bottom w:val="single" w:color="auto" w:sz="4" w:space="0"/>
              <w:right w:val="single" w:color="auto" w:sz="4" w:space="0"/>
            </w:tcBorders>
            <w:vAlign w:val="center"/>
          </w:tcPr>
          <w:p w14:paraId="5A815620">
            <w:pPr>
              <w:keepNext w:val="0"/>
              <w:keepLines w:val="0"/>
              <w:pageBreakBefore w:val="0"/>
              <w:widowControl/>
              <w:kinsoku/>
              <w:wordWrap/>
              <w:overflowPunct/>
              <w:topLinePunct w:val="0"/>
              <w:bidi w:val="0"/>
              <w:snapToGrid/>
              <w:spacing w:line="312" w:lineRule="auto"/>
              <w:ind w:right="60"/>
              <w:jc w:val="left"/>
              <w:textAlignment w:val="auto"/>
              <w:rPr>
                <w:rFonts w:hint="eastAsia" w:ascii="新宋体" w:hAnsi="新宋体" w:eastAsia="新宋体"/>
                <w:color w:val="auto"/>
                <w:kern w:val="0"/>
                <w:sz w:val="22"/>
                <w:szCs w:val="22"/>
                <w:highlight w:val="none"/>
              </w:rPr>
            </w:pPr>
            <w:r>
              <w:rPr>
                <w:rFonts w:hint="eastAsia" w:ascii="新宋体" w:hAnsi="新宋体" w:eastAsia="新宋体"/>
                <w:color w:val="auto"/>
                <w:kern w:val="0"/>
                <w:sz w:val="22"/>
                <w:szCs w:val="22"/>
                <w:highlight w:val="none"/>
              </w:rPr>
              <w:t>2024国际眼健康科技创新与产业发展会议暨中国眼谷眼视光创新创业全球挑战赛，具体采购内容及详细技术要求以采购文件第五部分表述为准；</w:t>
            </w:r>
          </w:p>
          <w:p w14:paraId="5EE7F54C">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新宋体" w:hAnsi="新宋体" w:eastAsia="新宋体"/>
                <w:color w:val="auto"/>
                <w:kern w:val="0"/>
                <w:sz w:val="22"/>
                <w:szCs w:val="22"/>
                <w:highlight w:val="none"/>
              </w:rPr>
              <w:t>预算金额：96万元。</w:t>
            </w:r>
          </w:p>
        </w:tc>
      </w:tr>
      <w:tr w14:paraId="0853C60D">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7195D5C8">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916" w:type="dxa"/>
            <w:tcBorders>
              <w:top w:val="single" w:color="auto" w:sz="4" w:space="0"/>
              <w:left w:val="single" w:color="auto" w:sz="4" w:space="0"/>
              <w:bottom w:val="single" w:color="auto" w:sz="4" w:space="0"/>
              <w:right w:val="single" w:color="auto" w:sz="4" w:space="0"/>
            </w:tcBorders>
            <w:vAlign w:val="center"/>
          </w:tcPr>
          <w:p w14:paraId="1A871342">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服务期限</w:t>
            </w:r>
          </w:p>
        </w:tc>
        <w:tc>
          <w:tcPr>
            <w:tcW w:w="7540" w:type="dxa"/>
            <w:tcBorders>
              <w:top w:val="single" w:color="auto" w:sz="4" w:space="0"/>
              <w:left w:val="single" w:color="auto" w:sz="4" w:space="0"/>
              <w:bottom w:val="single" w:color="auto" w:sz="4" w:space="0"/>
              <w:right w:val="single" w:color="auto" w:sz="4" w:space="0"/>
            </w:tcBorders>
            <w:vAlign w:val="center"/>
          </w:tcPr>
          <w:p w14:paraId="641CE5A7">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宋体" w:hAnsi="宋体" w:cs="宋体"/>
                <w:b/>
                <w:bCs/>
                <w:color w:val="auto"/>
                <w:kern w:val="0"/>
                <w:sz w:val="22"/>
                <w:szCs w:val="22"/>
                <w:highlight w:val="none"/>
              </w:rPr>
              <w:t>合同签订之日起至活动结束并通过验收</w:t>
            </w:r>
            <w:r>
              <w:rPr>
                <w:rFonts w:hint="eastAsia" w:ascii="宋体" w:hAnsi="宋体" w:cs="宋体"/>
                <w:color w:val="auto"/>
                <w:sz w:val="22"/>
                <w:szCs w:val="22"/>
                <w:highlight w:val="none"/>
              </w:rPr>
              <w:t>。</w:t>
            </w:r>
          </w:p>
        </w:tc>
      </w:tr>
      <w:tr w14:paraId="029FA7F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37E367E">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916" w:type="dxa"/>
            <w:tcBorders>
              <w:top w:val="single" w:color="auto" w:sz="4" w:space="0"/>
              <w:left w:val="single" w:color="auto" w:sz="4" w:space="0"/>
              <w:bottom w:val="single" w:color="auto" w:sz="4" w:space="0"/>
              <w:right w:val="single" w:color="auto" w:sz="4" w:space="0"/>
            </w:tcBorders>
            <w:vAlign w:val="center"/>
          </w:tcPr>
          <w:p w14:paraId="4FC53804">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供应商资格要求</w:t>
            </w:r>
          </w:p>
        </w:tc>
        <w:tc>
          <w:tcPr>
            <w:tcW w:w="7540" w:type="dxa"/>
            <w:tcBorders>
              <w:top w:val="single" w:color="auto" w:sz="4" w:space="0"/>
              <w:left w:val="single" w:color="auto" w:sz="4" w:space="0"/>
              <w:bottom w:val="single" w:color="auto" w:sz="4" w:space="0"/>
              <w:right w:val="single" w:color="auto" w:sz="4" w:space="0"/>
            </w:tcBorders>
            <w:vAlign w:val="center"/>
          </w:tcPr>
          <w:p w14:paraId="01DF7C28">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1.一般资格条件：</w:t>
            </w:r>
          </w:p>
          <w:p w14:paraId="1D7244FE">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法律、行政法规规定的其他条件。</w:t>
            </w:r>
          </w:p>
          <w:p w14:paraId="32B3ACD9">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512E3657">
            <w:pPr>
              <w:autoSpaceDE w:val="0"/>
              <w:autoSpaceDN w:val="0"/>
              <w:adjustRightInd w:val="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2.落实政府采购政策需满足的资格要求：</w:t>
            </w:r>
            <w:r>
              <w:rPr>
                <w:rFonts w:hint="eastAsia" w:ascii="新宋体" w:hAnsi="新宋体" w:eastAsia="新宋体" w:cs="新宋体"/>
                <w:color w:val="auto"/>
                <w:kern w:val="0"/>
                <w:sz w:val="22"/>
                <w:szCs w:val="22"/>
                <w:highlight w:val="none"/>
                <w:lang w:val="zh-CN"/>
              </w:rPr>
              <w:t>供应商为中小企业/小微企业</w:t>
            </w:r>
          </w:p>
          <w:p w14:paraId="6D3E3630">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.特殊资格条件：无</w:t>
            </w:r>
          </w:p>
        </w:tc>
      </w:tr>
      <w:tr w14:paraId="484B90B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92D203B">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916" w:type="dxa"/>
            <w:tcBorders>
              <w:top w:val="single" w:color="auto" w:sz="4" w:space="0"/>
              <w:left w:val="single" w:color="auto" w:sz="4" w:space="0"/>
              <w:bottom w:val="single" w:color="auto" w:sz="4" w:space="0"/>
              <w:right w:val="single" w:color="auto" w:sz="4" w:space="0"/>
            </w:tcBorders>
            <w:vAlign w:val="center"/>
          </w:tcPr>
          <w:p w14:paraId="15776026">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是否接受联合体投标</w:t>
            </w:r>
          </w:p>
        </w:tc>
        <w:tc>
          <w:tcPr>
            <w:tcW w:w="7540" w:type="dxa"/>
            <w:tcBorders>
              <w:top w:val="single" w:color="auto" w:sz="4" w:space="0"/>
              <w:left w:val="single" w:color="auto" w:sz="4" w:space="0"/>
              <w:bottom w:val="single" w:color="auto" w:sz="4" w:space="0"/>
              <w:right w:val="single" w:color="auto" w:sz="4" w:space="0"/>
            </w:tcBorders>
            <w:vAlign w:val="center"/>
          </w:tcPr>
          <w:p w14:paraId="6D6B35D5">
            <w:pPr>
              <w:keepNext w:val="0"/>
              <w:keepLines w:val="0"/>
              <w:pageBreakBefore w:val="0"/>
              <w:widowControl/>
              <w:kinsoku/>
              <w:wordWrap/>
              <w:overflowPunct/>
              <w:topLinePunct w:val="0"/>
              <w:bidi w:val="0"/>
              <w:snapToGrid/>
              <w:spacing w:line="312" w:lineRule="auto"/>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接受，应满足下列要求：</w:t>
            </w:r>
          </w:p>
          <w:p w14:paraId="128D3E30">
            <w:pPr>
              <w:keepNext w:val="0"/>
              <w:keepLines w:val="0"/>
              <w:pageBreakBefore w:val="0"/>
              <w:widowControl/>
              <w:kinsoku/>
              <w:wordWrap/>
              <w:overflowPunct/>
              <w:topLinePunct w:val="0"/>
              <w:bidi w:val="0"/>
              <w:snapToGrid/>
              <w:spacing w:line="312" w:lineRule="auto"/>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（1）需提供联合体协议书，明确双方各自责任与义务</w:t>
            </w:r>
            <w:r>
              <w:rPr>
                <w:rFonts w:hint="eastAsia" w:ascii="宋体" w:hAnsi="宋体" w:cs="宋体"/>
                <w:color w:val="auto"/>
                <w:kern w:val="0"/>
                <w:sz w:val="22"/>
                <w:szCs w:val="22"/>
                <w:highlight w:val="none"/>
                <w:lang w:val="en-US" w:eastAsia="zh-CN"/>
              </w:rPr>
              <w:t>及比例</w:t>
            </w:r>
            <w:r>
              <w:rPr>
                <w:rFonts w:hint="eastAsia" w:ascii="宋体" w:hAnsi="宋体" w:cs="宋体"/>
                <w:color w:val="auto"/>
                <w:kern w:val="0"/>
                <w:sz w:val="22"/>
                <w:szCs w:val="22"/>
                <w:highlight w:val="none"/>
              </w:rPr>
              <w:t>；</w:t>
            </w:r>
          </w:p>
          <w:p w14:paraId="040EB674">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（2）联合体成员不超过两家。</w:t>
            </w:r>
          </w:p>
        </w:tc>
      </w:tr>
      <w:tr w14:paraId="3BB7B7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0D72FDC">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916" w:type="dxa"/>
            <w:tcBorders>
              <w:top w:val="single" w:color="auto" w:sz="4" w:space="0"/>
              <w:left w:val="single" w:color="auto" w:sz="4" w:space="0"/>
              <w:bottom w:val="single" w:color="auto" w:sz="4" w:space="0"/>
              <w:right w:val="single" w:color="auto" w:sz="4" w:space="0"/>
            </w:tcBorders>
            <w:vAlign w:val="center"/>
          </w:tcPr>
          <w:p w14:paraId="681DBD20">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540" w:type="dxa"/>
            <w:tcBorders>
              <w:top w:val="single" w:color="auto" w:sz="4" w:space="0"/>
              <w:left w:val="single" w:color="auto" w:sz="4" w:space="0"/>
              <w:bottom w:val="single" w:color="auto" w:sz="4" w:space="0"/>
              <w:right w:val="single" w:color="auto" w:sz="4" w:space="0"/>
            </w:tcBorders>
            <w:vAlign w:val="center"/>
          </w:tcPr>
          <w:p w14:paraId="4721160A">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14:paraId="6B850C5E">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14:paraId="3E8859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0B307EA">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916" w:type="dxa"/>
            <w:tcBorders>
              <w:top w:val="single" w:color="auto" w:sz="4" w:space="0"/>
              <w:left w:val="single" w:color="auto" w:sz="4" w:space="0"/>
              <w:bottom w:val="single" w:color="auto" w:sz="4" w:space="0"/>
              <w:right w:val="single" w:color="auto" w:sz="4" w:space="0"/>
            </w:tcBorders>
            <w:vAlign w:val="center"/>
          </w:tcPr>
          <w:p w14:paraId="5B346E8D">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540" w:type="dxa"/>
            <w:tcBorders>
              <w:top w:val="single" w:color="auto" w:sz="4" w:space="0"/>
              <w:left w:val="single" w:color="auto" w:sz="4" w:space="0"/>
              <w:bottom w:val="single" w:color="auto" w:sz="4" w:space="0"/>
              <w:right w:val="single" w:color="auto" w:sz="4" w:space="0"/>
            </w:tcBorders>
            <w:vAlign w:val="center"/>
          </w:tcPr>
          <w:p w14:paraId="64EAEDB0">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14:paraId="2DB25E40">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14:paraId="64D1FD2F">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4FDD65B0">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916" w:type="dxa"/>
            <w:tcBorders>
              <w:top w:val="single" w:color="auto" w:sz="4" w:space="0"/>
              <w:left w:val="single" w:color="auto" w:sz="4" w:space="0"/>
              <w:bottom w:val="single" w:color="auto" w:sz="4" w:space="0"/>
              <w:right w:val="single" w:color="auto" w:sz="4" w:space="0"/>
            </w:tcBorders>
            <w:vAlign w:val="center"/>
          </w:tcPr>
          <w:p w14:paraId="415BE234">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磋商响应文件递交截止时间</w:t>
            </w:r>
          </w:p>
        </w:tc>
        <w:tc>
          <w:tcPr>
            <w:tcW w:w="7540" w:type="dxa"/>
            <w:tcBorders>
              <w:top w:val="single" w:color="auto" w:sz="4" w:space="0"/>
              <w:left w:val="single" w:color="auto" w:sz="4" w:space="0"/>
              <w:bottom w:val="single" w:color="auto" w:sz="4" w:space="0"/>
              <w:right w:val="single" w:color="auto" w:sz="4" w:space="0"/>
            </w:tcBorders>
            <w:vAlign w:val="center"/>
          </w:tcPr>
          <w:p w14:paraId="3A05C333">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2024年11月4日</w:t>
            </w:r>
            <w:r>
              <w:rPr>
                <w:rFonts w:hint="eastAsia" w:ascii="宋体" w:hAnsi="宋体" w:cs="宋体"/>
                <w:color w:val="auto"/>
                <w:sz w:val="22"/>
                <w:szCs w:val="22"/>
                <w:highlight w:val="none"/>
              </w:rPr>
              <w:t>09时00分</w:t>
            </w:r>
          </w:p>
        </w:tc>
      </w:tr>
      <w:tr w14:paraId="42D1DFE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420F8C39">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916" w:type="dxa"/>
            <w:tcBorders>
              <w:top w:val="single" w:color="auto" w:sz="4" w:space="0"/>
              <w:left w:val="single" w:color="auto" w:sz="4" w:space="0"/>
              <w:bottom w:val="single" w:color="auto" w:sz="4" w:space="0"/>
              <w:right w:val="single" w:color="auto" w:sz="4" w:space="0"/>
            </w:tcBorders>
            <w:vAlign w:val="center"/>
          </w:tcPr>
          <w:p w14:paraId="18F674AA">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540" w:type="dxa"/>
            <w:tcBorders>
              <w:top w:val="single" w:color="auto" w:sz="4" w:space="0"/>
              <w:left w:val="single" w:color="auto" w:sz="4" w:space="0"/>
              <w:bottom w:val="single" w:color="auto" w:sz="4" w:space="0"/>
              <w:right w:val="single" w:color="auto" w:sz="4" w:space="0"/>
            </w:tcBorders>
            <w:vAlign w:val="center"/>
          </w:tcPr>
          <w:p w14:paraId="2FAFA67C">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☑允许</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非核心内容允许企业合理分包，若分包需在投标文件内提供分包意向书，明确分包内容及金额比例。</w:t>
            </w:r>
          </w:p>
          <w:p w14:paraId="4E760118">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bCs/>
                <w:snapToGrid w:val="0"/>
                <w:color w:val="auto"/>
                <w:sz w:val="22"/>
                <w:szCs w:val="22"/>
                <w:highlight w:val="none"/>
              </w:rPr>
              <w:sym w:font="Wingdings" w:char="00A8"/>
            </w:r>
            <w:r>
              <w:rPr>
                <w:rFonts w:hint="eastAsia" w:ascii="宋体" w:hAnsi="宋体" w:cs="宋体"/>
                <w:color w:val="auto"/>
                <w:kern w:val="0"/>
                <w:sz w:val="22"/>
                <w:szCs w:val="22"/>
                <w:highlight w:val="none"/>
              </w:rPr>
              <w:t>不允许</w:t>
            </w:r>
          </w:p>
        </w:tc>
      </w:tr>
      <w:tr w14:paraId="58882536">
        <w:tblPrEx>
          <w:tblCellMar>
            <w:top w:w="0" w:type="dxa"/>
            <w:left w:w="108" w:type="dxa"/>
            <w:bottom w:w="0" w:type="dxa"/>
            <w:right w:w="108" w:type="dxa"/>
          </w:tblCellMar>
        </w:tblPrEx>
        <w:trPr>
          <w:trHeight w:val="854" w:hRule="atLeast"/>
        </w:trPr>
        <w:tc>
          <w:tcPr>
            <w:tcW w:w="667" w:type="dxa"/>
            <w:tcBorders>
              <w:top w:val="single" w:color="auto" w:sz="4" w:space="0"/>
              <w:left w:val="single" w:color="auto" w:sz="4" w:space="0"/>
              <w:bottom w:val="single" w:color="auto" w:sz="4" w:space="0"/>
              <w:right w:val="single" w:color="auto" w:sz="4" w:space="0"/>
            </w:tcBorders>
            <w:vAlign w:val="center"/>
          </w:tcPr>
          <w:p w14:paraId="34226A46">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916" w:type="dxa"/>
            <w:tcBorders>
              <w:top w:val="single" w:color="auto" w:sz="4" w:space="0"/>
              <w:left w:val="single" w:color="auto" w:sz="4" w:space="0"/>
              <w:bottom w:val="single" w:color="auto" w:sz="4" w:space="0"/>
              <w:right w:val="single" w:color="auto" w:sz="4" w:space="0"/>
            </w:tcBorders>
            <w:vAlign w:val="center"/>
          </w:tcPr>
          <w:p w14:paraId="386D840A">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540" w:type="dxa"/>
            <w:tcBorders>
              <w:top w:val="single" w:color="auto" w:sz="4" w:space="0"/>
              <w:left w:val="single" w:color="auto" w:sz="4" w:space="0"/>
              <w:bottom w:val="single" w:color="auto" w:sz="4" w:space="0"/>
              <w:right w:val="single" w:color="auto" w:sz="4" w:space="0"/>
            </w:tcBorders>
            <w:vAlign w:val="center"/>
          </w:tcPr>
          <w:p w14:paraId="3266744C">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5A3CD17D">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14DF2C5D">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916" w:type="dxa"/>
            <w:tcBorders>
              <w:top w:val="single" w:color="auto" w:sz="4" w:space="0"/>
              <w:left w:val="single" w:color="auto" w:sz="4" w:space="0"/>
              <w:bottom w:val="single" w:color="auto" w:sz="4" w:space="0"/>
              <w:right w:val="single" w:color="auto" w:sz="4" w:space="0"/>
            </w:tcBorders>
            <w:vAlign w:val="center"/>
          </w:tcPr>
          <w:p w14:paraId="4C6DF82F">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磋商响应文件有效期</w:t>
            </w:r>
          </w:p>
        </w:tc>
        <w:tc>
          <w:tcPr>
            <w:tcW w:w="7540" w:type="dxa"/>
            <w:tcBorders>
              <w:top w:val="single" w:color="auto" w:sz="4" w:space="0"/>
              <w:left w:val="single" w:color="auto" w:sz="4" w:space="0"/>
              <w:bottom w:val="single" w:color="auto" w:sz="4" w:space="0"/>
              <w:right w:val="single" w:color="auto" w:sz="4" w:space="0"/>
            </w:tcBorders>
            <w:vAlign w:val="center"/>
          </w:tcPr>
          <w:p w14:paraId="66FFB47D">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磋商响应文件自磋商响应文件递交截止时间起生效，有效期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14:paraId="2662A9D9">
        <w:tblPrEx>
          <w:tblCellMar>
            <w:top w:w="0" w:type="dxa"/>
            <w:left w:w="108" w:type="dxa"/>
            <w:bottom w:w="0" w:type="dxa"/>
            <w:right w:w="108" w:type="dxa"/>
          </w:tblCellMar>
        </w:tblPrEx>
        <w:trPr>
          <w:trHeight w:val="527" w:hRule="atLeast"/>
        </w:trPr>
        <w:tc>
          <w:tcPr>
            <w:tcW w:w="667" w:type="dxa"/>
            <w:tcBorders>
              <w:top w:val="single" w:color="auto" w:sz="4" w:space="0"/>
              <w:left w:val="single" w:color="auto" w:sz="4" w:space="0"/>
              <w:bottom w:val="single" w:color="auto" w:sz="4" w:space="0"/>
              <w:right w:val="single" w:color="auto" w:sz="4" w:space="0"/>
            </w:tcBorders>
            <w:vAlign w:val="center"/>
          </w:tcPr>
          <w:p w14:paraId="228C1FD4">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916" w:type="dxa"/>
            <w:tcBorders>
              <w:top w:val="single" w:color="auto" w:sz="4" w:space="0"/>
              <w:left w:val="single" w:color="auto" w:sz="4" w:space="0"/>
              <w:bottom w:val="single" w:color="auto" w:sz="4" w:space="0"/>
              <w:right w:val="single" w:color="auto" w:sz="4" w:space="0"/>
            </w:tcBorders>
            <w:vAlign w:val="center"/>
          </w:tcPr>
          <w:p w14:paraId="19EFE97C">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540" w:type="dxa"/>
            <w:tcBorders>
              <w:top w:val="single" w:color="auto" w:sz="4" w:space="0"/>
              <w:left w:val="single" w:color="auto" w:sz="4" w:space="0"/>
              <w:bottom w:val="single" w:color="auto" w:sz="4" w:space="0"/>
              <w:right w:val="single" w:color="auto" w:sz="4" w:space="0"/>
            </w:tcBorders>
            <w:vAlign w:val="center"/>
          </w:tcPr>
          <w:p w14:paraId="5690E5F4">
            <w:pPr>
              <w:keepNext w:val="0"/>
              <w:keepLines w:val="0"/>
              <w:pageBreakBefore w:val="0"/>
              <w:kinsoku/>
              <w:wordWrap/>
              <w:overflowPunct/>
              <w:topLinePunct w:val="0"/>
              <w:bidi w:val="0"/>
              <w:snapToGrid/>
              <w:spacing w:line="312" w:lineRule="auto"/>
              <w:textAlignment w:val="auto"/>
              <w:rPr>
                <w:rFonts w:hint="eastAsia" w:ascii="宋体" w:hAnsi="宋体" w:cs="宋体"/>
                <w:b/>
                <w:bCs/>
                <w:color w:val="auto"/>
                <w:kern w:val="0"/>
                <w:sz w:val="22"/>
                <w:szCs w:val="22"/>
                <w:highlight w:val="none"/>
                <w:u w:val="single"/>
              </w:rPr>
            </w:pPr>
            <w:r>
              <w:rPr>
                <w:rFonts w:hint="eastAsia" w:ascii="宋体" w:hAnsi="宋体" w:cs="宋体"/>
                <w:b/>
                <w:bCs/>
                <w:color w:val="auto"/>
                <w:kern w:val="0"/>
                <w:sz w:val="22"/>
                <w:szCs w:val="22"/>
                <w:highlight w:val="none"/>
                <w:u w:val="single"/>
              </w:rPr>
              <w:t>不提交</w:t>
            </w:r>
          </w:p>
        </w:tc>
      </w:tr>
      <w:tr w14:paraId="06B3E4D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E1894A1">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916" w:type="dxa"/>
            <w:tcBorders>
              <w:top w:val="single" w:color="auto" w:sz="4" w:space="0"/>
              <w:left w:val="single" w:color="auto" w:sz="4" w:space="0"/>
              <w:bottom w:val="single" w:color="auto" w:sz="4" w:space="0"/>
              <w:right w:val="single" w:color="auto" w:sz="4" w:space="0"/>
            </w:tcBorders>
            <w:vAlign w:val="center"/>
          </w:tcPr>
          <w:p w14:paraId="70C35404">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磋商响应文件形式、制作及组成</w:t>
            </w:r>
          </w:p>
        </w:tc>
        <w:tc>
          <w:tcPr>
            <w:tcW w:w="7540" w:type="dxa"/>
            <w:tcBorders>
              <w:top w:val="single" w:color="auto" w:sz="4" w:space="0"/>
              <w:left w:val="single" w:color="auto" w:sz="4" w:space="0"/>
              <w:bottom w:val="single" w:color="auto" w:sz="4" w:space="0"/>
              <w:right w:val="single" w:color="auto" w:sz="4" w:space="0"/>
            </w:tcBorders>
            <w:vAlign w:val="center"/>
          </w:tcPr>
          <w:p w14:paraId="6367763A">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本项目实行网上投标。</w:t>
            </w:r>
          </w:p>
          <w:p w14:paraId="64401855">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供应商应准备电子磋商响应文件、以介质存储的数据电文形式的备份磋商响应文件：</w:t>
            </w:r>
          </w:p>
          <w:p w14:paraId="0E98C375">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（1）电子磋商响应文件，按政采云平台项目采购－电子招投标操作指南及本竞争性磋商采购文件要求递交。</w:t>
            </w:r>
          </w:p>
          <w:p w14:paraId="06733B48">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（2）以介质存储的数据电文形式的备份磋商响应文件，按政采云平台项目采购－电子招投标操作指南中上传的电子磋商响应文件格式，以U盘形式提供。数量为1份。</w:t>
            </w:r>
          </w:p>
          <w:p w14:paraId="7EAA69EE">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磋商响应文件由资格审查资料、商务技术文件、报价文件三部分组成。</w:t>
            </w:r>
          </w:p>
        </w:tc>
      </w:tr>
      <w:tr w14:paraId="7694912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F878771">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olor w:val="auto"/>
                <w:kern w:val="0"/>
                <w:sz w:val="22"/>
                <w:szCs w:val="22"/>
                <w:highlight w:val="none"/>
              </w:rPr>
              <w:t>16</w:t>
            </w:r>
          </w:p>
        </w:tc>
        <w:tc>
          <w:tcPr>
            <w:tcW w:w="1916" w:type="dxa"/>
            <w:tcBorders>
              <w:top w:val="single" w:color="auto" w:sz="4" w:space="0"/>
              <w:left w:val="single" w:color="auto" w:sz="4" w:space="0"/>
              <w:bottom w:val="single" w:color="auto" w:sz="4" w:space="0"/>
              <w:right w:val="single" w:color="auto" w:sz="4" w:space="0"/>
            </w:tcBorders>
            <w:vAlign w:val="center"/>
          </w:tcPr>
          <w:p w14:paraId="5AF38E5E">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新宋体"/>
                <w:color w:val="auto"/>
                <w:kern w:val="0"/>
                <w:sz w:val="22"/>
                <w:szCs w:val="22"/>
                <w:highlight w:val="none"/>
                <w:lang w:val="zh-CN"/>
              </w:rPr>
              <w:t>磋商响应文件份数</w:t>
            </w:r>
          </w:p>
        </w:tc>
        <w:tc>
          <w:tcPr>
            <w:tcW w:w="7540" w:type="dxa"/>
            <w:tcBorders>
              <w:top w:val="single" w:color="auto" w:sz="4" w:space="0"/>
              <w:left w:val="single" w:color="auto" w:sz="4" w:space="0"/>
              <w:bottom w:val="single" w:color="auto" w:sz="4" w:space="0"/>
              <w:right w:val="single" w:color="auto" w:sz="4" w:space="0"/>
            </w:tcBorders>
            <w:vAlign w:val="center"/>
          </w:tcPr>
          <w:p w14:paraId="08C43929">
            <w:pPr>
              <w:keepNext w:val="0"/>
              <w:keepLines w:val="0"/>
              <w:pageBreakBefore w:val="0"/>
              <w:kinsoku/>
              <w:wordWrap/>
              <w:overflowPunct/>
              <w:topLinePunct w:val="0"/>
              <w:autoSpaceDE w:val="0"/>
              <w:autoSpaceDN w:val="0"/>
              <w:bidi w:val="0"/>
              <w:adjustRightInd w:val="0"/>
              <w:snapToGrid/>
              <w:spacing w:line="312" w:lineRule="auto"/>
              <w:textAlignment w:val="auto"/>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（1）“电子加密磋商响应文件”：在线上传递交、一份。</w:t>
            </w:r>
          </w:p>
          <w:p w14:paraId="5CDC93D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cs="宋体"/>
                <w:color w:val="auto"/>
                <w:kern w:val="0"/>
                <w:sz w:val="22"/>
                <w:szCs w:val="22"/>
                <w:highlight w:val="none"/>
              </w:rPr>
            </w:pPr>
            <w:r>
              <w:rPr>
                <w:rFonts w:hint="eastAsia" w:ascii="宋体" w:hAnsi="宋体" w:cs="新宋体"/>
                <w:color w:val="auto"/>
                <w:kern w:val="0"/>
                <w:sz w:val="22"/>
                <w:szCs w:val="22"/>
                <w:highlight w:val="none"/>
                <w:lang w:val="zh-CN"/>
              </w:rPr>
              <w:t>（2）“备份磋商响应文件”：以U盘存储，密封包装后（可采用顺丰快递形式）在</w:t>
            </w:r>
            <w:r>
              <w:rPr>
                <w:rFonts w:hint="eastAsia" w:ascii="宋体" w:hAnsi="宋体"/>
                <w:color w:val="auto"/>
                <w:kern w:val="0"/>
                <w:sz w:val="22"/>
                <w:szCs w:val="22"/>
                <w:highlight w:val="none"/>
              </w:rPr>
              <w:t>磋商响应文件递交截止时间</w:t>
            </w:r>
            <w:r>
              <w:rPr>
                <w:rFonts w:hint="eastAsia" w:ascii="宋体" w:hAnsi="宋体" w:cs="新宋体"/>
                <w:color w:val="auto"/>
                <w:kern w:val="0"/>
                <w:sz w:val="22"/>
                <w:szCs w:val="22"/>
                <w:highlight w:val="none"/>
                <w:lang w:val="zh-CN"/>
              </w:rPr>
              <w:t>前递交，一份，邮寄地址：</w:t>
            </w:r>
            <w:r>
              <w:rPr>
                <w:rFonts w:hint="eastAsia" w:ascii="新宋体" w:hAnsi="新宋体" w:eastAsia="新宋体" w:cs="新宋体"/>
                <w:color w:val="auto"/>
                <w:kern w:val="0"/>
                <w:sz w:val="22"/>
                <w:szCs w:val="22"/>
              </w:rPr>
              <w:t>温州市瓯海区新桥街道牛山广场</w:t>
            </w:r>
            <w:r>
              <w:rPr>
                <w:rFonts w:hint="eastAsia" w:ascii="新宋体" w:hAnsi="新宋体" w:eastAsia="新宋体" w:cs="新宋体"/>
                <w:color w:val="auto"/>
                <w:kern w:val="0"/>
                <w:sz w:val="22"/>
                <w:szCs w:val="22"/>
                <w:lang w:val="en-US" w:eastAsia="zh-CN"/>
              </w:rPr>
              <w:t>2号楼1409</w:t>
            </w:r>
            <w:r>
              <w:rPr>
                <w:rFonts w:hint="eastAsia" w:ascii="宋体" w:hAnsi="宋体" w:cs="新宋体"/>
                <w:color w:val="auto"/>
                <w:kern w:val="0"/>
                <w:sz w:val="22"/>
                <w:szCs w:val="22"/>
                <w:highlight w:val="none"/>
                <w:lang w:val="zh-CN"/>
              </w:rPr>
              <w:t>，</w:t>
            </w:r>
            <w:r>
              <w:rPr>
                <w:rFonts w:hint="eastAsia" w:ascii="宋体" w:hAnsi="宋体" w:cs="新宋体"/>
                <w:color w:val="auto"/>
                <w:kern w:val="0"/>
                <w:sz w:val="22"/>
                <w:szCs w:val="22"/>
                <w:highlight w:val="none"/>
                <w:lang w:val="en-US" w:eastAsia="zh-CN"/>
              </w:rPr>
              <w:t>苏</w:t>
            </w:r>
            <w:r>
              <w:rPr>
                <w:rFonts w:hint="eastAsia" w:ascii="宋体" w:hAnsi="宋体" w:cs="新宋体"/>
                <w:color w:val="auto"/>
                <w:kern w:val="0"/>
                <w:sz w:val="22"/>
                <w:szCs w:val="22"/>
                <w:highlight w:val="none"/>
                <w:lang w:val="zh-CN"/>
              </w:rPr>
              <w:t>先生收。</w:t>
            </w:r>
          </w:p>
        </w:tc>
      </w:tr>
      <w:tr w14:paraId="73A87FD8">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38C008B">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w:t>
            </w:r>
          </w:p>
        </w:tc>
        <w:tc>
          <w:tcPr>
            <w:tcW w:w="1916" w:type="dxa"/>
            <w:tcBorders>
              <w:top w:val="single" w:color="auto" w:sz="4" w:space="0"/>
              <w:left w:val="single" w:color="auto" w:sz="4" w:space="0"/>
              <w:bottom w:val="single" w:color="auto" w:sz="4" w:space="0"/>
              <w:right w:val="single" w:color="auto" w:sz="4" w:space="0"/>
            </w:tcBorders>
            <w:vAlign w:val="center"/>
          </w:tcPr>
          <w:p w14:paraId="5DD80B67">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磋商响应文件签字或盖章要求</w:t>
            </w:r>
          </w:p>
        </w:tc>
        <w:tc>
          <w:tcPr>
            <w:tcW w:w="7540" w:type="dxa"/>
            <w:tcBorders>
              <w:top w:val="single" w:color="auto" w:sz="4" w:space="0"/>
              <w:left w:val="single" w:color="auto" w:sz="4" w:space="0"/>
              <w:bottom w:val="single" w:color="auto" w:sz="4" w:space="0"/>
              <w:right w:val="single" w:color="auto" w:sz="4" w:space="0"/>
            </w:tcBorders>
            <w:vAlign w:val="center"/>
          </w:tcPr>
          <w:p w14:paraId="17E1BC16">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磋商响应文件的相应位置应加盖：</w:t>
            </w:r>
          </w:p>
          <w:p w14:paraId="714B0386">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（1）单位公章</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电子签章</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w:t>
            </w:r>
          </w:p>
          <w:p w14:paraId="6F3F3BC1">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（2）法定代表人或其授权委托代理人签字或盖章（如为授权委托代理人签字或盖章的须提供法定代表人授权委托书）。</w:t>
            </w:r>
          </w:p>
          <w:p w14:paraId="58CADF22">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（3）供应商单位不得以投标专用章、合同专用章等其他形式印章代替，否则视为无效印章。</w:t>
            </w:r>
          </w:p>
        </w:tc>
      </w:tr>
      <w:tr w14:paraId="5E74993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73B2551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A9D1785">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磋商响应文件的递交与接收</w:t>
            </w:r>
          </w:p>
        </w:tc>
        <w:tc>
          <w:tcPr>
            <w:tcW w:w="7540" w:type="dxa"/>
            <w:tcBorders>
              <w:top w:val="single" w:color="auto" w:sz="4" w:space="0"/>
              <w:left w:val="single" w:color="auto" w:sz="4" w:space="0"/>
              <w:bottom w:val="single" w:color="auto" w:sz="4" w:space="0"/>
              <w:right w:val="single" w:color="auto" w:sz="4" w:space="0"/>
            </w:tcBorders>
            <w:vAlign w:val="center"/>
          </w:tcPr>
          <w:p w14:paraId="7FE7F4FD">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供应商应当在磋商响应文件递交截止时间前在政采云平台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5FFBD209">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（2）供应商应当在</w:t>
            </w:r>
            <w:r>
              <w:rPr>
                <w:rFonts w:hint="eastAsia" w:ascii="宋体" w:hAnsi="宋体" w:cs="宋体"/>
                <w:color w:val="auto"/>
                <w:sz w:val="22"/>
                <w:szCs w:val="22"/>
                <w:highlight w:val="none"/>
                <w:lang w:eastAsia="zh-CN"/>
              </w:rPr>
              <w:t>2024年11月4日</w:t>
            </w:r>
            <w:r>
              <w:rPr>
                <w:rFonts w:hint="eastAsia" w:ascii="宋体" w:hAnsi="宋体" w:cs="宋体"/>
                <w:color w:val="auto"/>
                <w:sz w:val="22"/>
                <w:szCs w:val="22"/>
                <w:highlight w:val="none"/>
              </w:rPr>
              <w:t>09时00分</w:t>
            </w:r>
            <w:r>
              <w:rPr>
                <w:rFonts w:hint="eastAsia" w:ascii="宋体" w:hAnsi="宋体" w:cs="宋体"/>
                <w:color w:val="auto"/>
                <w:kern w:val="0"/>
                <w:sz w:val="22"/>
                <w:szCs w:val="22"/>
                <w:highlight w:val="none"/>
              </w:rPr>
              <w:t>之前将以介质存储的数据电文形式的备份磋商响应文件密封送交到温州市瓯海区新桥街道高昂路1号牛山广场2号楼1409室，逾期送达或未密封将被拒收。</w:t>
            </w:r>
          </w:p>
          <w:p w14:paraId="5ED3ABD4">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供应商递交以介质存储的数据电文形式的备份磋商响应文件时，如出现下列情况之一的，将被拒收：</w:t>
            </w:r>
          </w:p>
          <w:p w14:paraId="7D8EB0D9">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1.未按规定密封或标记的磋商响应文件；</w:t>
            </w:r>
          </w:p>
          <w:p w14:paraId="05B0F6EE">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2.由于包装不妥，在送交途中严重破损或失散的；</w:t>
            </w:r>
          </w:p>
          <w:p w14:paraId="11515410">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3.未成功办理供应商报名手续的；</w:t>
            </w:r>
          </w:p>
          <w:p w14:paraId="015A47A3">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4.超过磋商响应文件递交截止时间送达的。</w:t>
            </w:r>
          </w:p>
          <w:p w14:paraId="539D8DEC">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5.仅提供备份磋商响应文件的，投标无效。</w:t>
            </w:r>
          </w:p>
          <w:p w14:paraId="0EDC459D">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仅提供备份磋商响应文件，造成项目开标评审及磋商活动无法进行下去的，投标（磋商响应）无效，相关风险由供应商自行承担。</w:t>
            </w:r>
          </w:p>
        </w:tc>
      </w:tr>
      <w:tr w14:paraId="5E4B5F8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5FC06777">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312D2126">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开标时间和评标地点</w:t>
            </w:r>
          </w:p>
        </w:tc>
        <w:tc>
          <w:tcPr>
            <w:tcW w:w="7540" w:type="dxa"/>
            <w:tcBorders>
              <w:top w:val="single" w:color="auto" w:sz="4" w:space="0"/>
              <w:left w:val="single" w:color="auto" w:sz="4" w:space="0"/>
              <w:bottom w:val="single" w:color="auto" w:sz="4" w:space="0"/>
              <w:right w:val="single" w:color="auto" w:sz="4" w:space="0"/>
            </w:tcBorders>
            <w:vAlign w:val="center"/>
          </w:tcPr>
          <w:p w14:paraId="071ED1AB">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sz w:val="22"/>
                <w:szCs w:val="22"/>
                <w:highlight w:val="none"/>
                <w:lang w:eastAsia="zh-CN"/>
              </w:rPr>
              <w:t>2024年11月4日</w:t>
            </w:r>
            <w:r>
              <w:rPr>
                <w:rFonts w:hint="eastAsia" w:ascii="宋体" w:hAnsi="宋体" w:cs="宋体"/>
                <w:color w:val="auto"/>
                <w:sz w:val="22"/>
                <w:szCs w:val="22"/>
                <w:highlight w:val="none"/>
              </w:rPr>
              <w:t>09时00分</w:t>
            </w:r>
          </w:p>
          <w:p w14:paraId="7A0F4A49">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开标地点：</w:t>
            </w:r>
            <w:r>
              <w:rPr>
                <w:rFonts w:hint="eastAsia" w:ascii="新宋体" w:hAnsi="新宋体" w:eastAsia="新宋体" w:cs="宋体"/>
                <w:bCs/>
                <w:color w:val="auto"/>
                <w:kern w:val="0"/>
                <w:sz w:val="22"/>
                <w:szCs w:val="22"/>
                <w:highlight w:val="none"/>
              </w:rPr>
              <w:t>政采云平台（www.zcygov.cn）在线开标</w:t>
            </w:r>
          </w:p>
          <w:p w14:paraId="19D809DC">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评标地点：</w:t>
            </w:r>
            <w:r>
              <w:rPr>
                <w:rFonts w:hint="eastAsia" w:ascii="新宋体" w:hAnsi="新宋体" w:eastAsia="新宋体" w:cs="宋体"/>
                <w:bCs/>
                <w:color w:val="auto"/>
                <w:kern w:val="0"/>
                <w:sz w:val="22"/>
                <w:szCs w:val="22"/>
                <w:highlight w:val="none"/>
              </w:rPr>
              <w:t>温州市瓯海区新桥街道高昂路1号牛山广场2号楼1409室</w:t>
            </w:r>
          </w:p>
        </w:tc>
      </w:tr>
      <w:tr w14:paraId="1D6CECC0">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049B987B">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w:t>
            </w:r>
          </w:p>
        </w:tc>
        <w:tc>
          <w:tcPr>
            <w:tcW w:w="1916" w:type="dxa"/>
            <w:tcBorders>
              <w:top w:val="single" w:color="auto" w:sz="4" w:space="0"/>
              <w:left w:val="single" w:color="auto" w:sz="4" w:space="0"/>
              <w:bottom w:val="single" w:color="auto" w:sz="4" w:space="0"/>
              <w:right w:val="single" w:color="auto" w:sz="4" w:space="0"/>
            </w:tcBorders>
            <w:vAlign w:val="center"/>
          </w:tcPr>
          <w:p w14:paraId="5FD21381">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新宋体"/>
                <w:color w:val="auto"/>
                <w:kern w:val="0"/>
                <w:sz w:val="22"/>
                <w:szCs w:val="22"/>
                <w:highlight w:val="none"/>
                <w:lang w:val="zh-CN"/>
              </w:rPr>
              <w:t>电子加密磋商响应文件的解密和异常情况处理</w:t>
            </w:r>
          </w:p>
        </w:tc>
        <w:tc>
          <w:tcPr>
            <w:tcW w:w="7540" w:type="dxa"/>
            <w:tcBorders>
              <w:top w:val="single" w:color="auto" w:sz="4" w:space="0"/>
              <w:left w:val="single" w:color="auto" w:sz="4" w:space="0"/>
              <w:bottom w:val="single" w:color="auto" w:sz="4" w:space="0"/>
              <w:right w:val="single" w:color="auto" w:sz="4" w:space="0"/>
            </w:tcBorders>
            <w:vAlign w:val="center"/>
          </w:tcPr>
          <w:p w14:paraId="6A21AEEF">
            <w:pPr>
              <w:keepNext w:val="0"/>
              <w:keepLines w:val="0"/>
              <w:pageBreakBefore w:val="0"/>
              <w:kinsoku/>
              <w:wordWrap/>
              <w:overflowPunct/>
              <w:topLinePunct w:val="0"/>
              <w:autoSpaceDE w:val="0"/>
              <w:autoSpaceDN w:val="0"/>
              <w:bidi w:val="0"/>
              <w:adjustRightInd w:val="0"/>
              <w:snapToGrid/>
              <w:spacing w:line="312" w:lineRule="auto"/>
              <w:textAlignment w:val="auto"/>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（1）开标后，采购组织机构将向各供应商发出“电子加密磋商响应文件”的解密通知，各供应商代表应当在接到解密通知后30分钟内自行完成“电子加密磋商响应文件”的在线解密。</w:t>
            </w:r>
          </w:p>
          <w:p w14:paraId="4B9D08C6">
            <w:pPr>
              <w:keepNext w:val="0"/>
              <w:keepLines w:val="0"/>
              <w:pageBreakBefore w:val="0"/>
              <w:kinsoku/>
              <w:wordWrap/>
              <w:overflowPunct/>
              <w:topLinePunct w:val="0"/>
              <w:autoSpaceDE w:val="0"/>
              <w:autoSpaceDN w:val="0"/>
              <w:bidi w:val="0"/>
              <w:adjustRightInd w:val="0"/>
              <w:snapToGrid/>
              <w:spacing w:line="312" w:lineRule="auto"/>
              <w:textAlignment w:val="auto"/>
              <w:rPr>
                <w:rFonts w:ascii="宋体" w:hAnsi="宋体" w:cs="新宋体"/>
                <w:color w:val="auto"/>
                <w:kern w:val="0"/>
                <w:sz w:val="22"/>
                <w:szCs w:val="22"/>
                <w:highlight w:val="none"/>
                <w:lang w:val="zh-CN"/>
              </w:rPr>
            </w:pPr>
            <w:r>
              <w:rPr>
                <w:rFonts w:hint="eastAsia" w:ascii="宋体" w:hAnsi="宋体" w:cs="新宋体"/>
                <w:color w:val="auto"/>
                <w:kern w:val="0"/>
                <w:sz w:val="22"/>
                <w:szCs w:val="22"/>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5BC408B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cs="宋体"/>
                <w:color w:val="auto"/>
                <w:kern w:val="0"/>
                <w:sz w:val="22"/>
                <w:szCs w:val="22"/>
                <w:highlight w:val="none"/>
              </w:rPr>
            </w:pPr>
            <w:r>
              <w:rPr>
                <w:rFonts w:hint="eastAsia" w:ascii="宋体" w:hAnsi="宋体" w:cs="新宋体"/>
                <w:color w:val="auto"/>
                <w:kern w:val="0"/>
                <w:sz w:val="22"/>
                <w:szCs w:val="22"/>
                <w:highlight w:val="none"/>
                <w:lang w:val="zh-CN"/>
              </w:rPr>
              <w:t>（3）磋商响应文件递交截止时间前，供应商仅递交了“备份磋商响应文件”而未将电子加密磋商响应文件上传至“政采云平台”的，投标无效。</w:t>
            </w:r>
          </w:p>
        </w:tc>
      </w:tr>
      <w:tr w14:paraId="1CA1FAED">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67FA2469">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21</w:t>
            </w:r>
          </w:p>
        </w:tc>
        <w:tc>
          <w:tcPr>
            <w:tcW w:w="1916" w:type="dxa"/>
            <w:tcBorders>
              <w:top w:val="single" w:color="auto" w:sz="4" w:space="0"/>
              <w:left w:val="single" w:color="auto" w:sz="4" w:space="0"/>
              <w:bottom w:val="single" w:color="auto" w:sz="4" w:space="0"/>
              <w:right w:val="single" w:color="auto" w:sz="4" w:space="0"/>
            </w:tcBorders>
            <w:vAlign w:val="center"/>
          </w:tcPr>
          <w:p w14:paraId="2B4D8F31">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磋商评审程序</w:t>
            </w:r>
          </w:p>
        </w:tc>
        <w:tc>
          <w:tcPr>
            <w:tcW w:w="7540" w:type="dxa"/>
            <w:tcBorders>
              <w:top w:val="single" w:color="auto" w:sz="4" w:space="0"/>
              <w:left w:val="single" w:color="auto" w:sz="4" w:space="0"/>
              <w:bottom w:val="single" w:color="auto" w:sz="4" w:space="0"/>
              <w:right w:val="single" w:color="auto" w:sz="4" w:space="0"/>
            </w:tcBorders>
            <w:vAlign w:val="center"/>
          </w:tcPr>
          <w:p w14:paraId="727A99B4">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1）磋商响应文件递交截止时间后，供应商登录政采云平台，用“项目采购－开标评标”功能对电子磋商响应文件进行在线解密。在线解密电子磋商文件时间为开标时间起半个小时内；</w:t>
            </w:r>
          </w:p>
          <w:p w14:paraId="1E5A9730">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采购</w:t>
            </w:r>
            <w:r>
              <w:rPr>
                <w:rFonts w:hint="eastAsia" w:ascii="宋体" w:hAnsi="宋体" w:cs="宋体"/>
                <w:color w:val="auto"/>
                <w:kern w:val="0"/>
                <w:sz w:val="22"/>
                <w:szCs w:val="22"/>
                <w:highlight w:val="none"/>
              </w:rPr>
              <w:t>代理机构对供应商进行资格审查；</w:t>
            </w:r>
          </w:p>
          <w:p w14:paraId="1AC551EA">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3）磋商小组对通过资格审查的磋商响应文件进行评分；</w:t>
            </w:r>
          </w:p>
          <w:p w14:paraId="58B59E32">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4）如有必要，磋商小组与供应商进行线上磋商；</w:t>
            </w:r>
          </w:p>
          <w:p w14:paraId="28040E71">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5）磋商小组要求供应商在规定的时间内在政采云平台提交二次（最终）报价；</w:t>
            </w:r>
          </w:p>
          <w:p w14:paraId="14AC1CC0">
            <w:pPr>
              <w:keepNext w:val="0"/>
              <w:keepLines w:val="0"/>
              <w:pageBreakBefore w:val="0"/>
              <w:tabs>
                <w:tab w:val="left" w:pos="4664"/>
              </w:tabs>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6）在系统上公开资格审查、商务技术标及报价标评分结果；</w:t>
            </w:r>
          </w:p>
          <w:p w14:paraId="3DA39881">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7）磋商小组编写磋商评审报告。</w:t>
            </w:r>
          </w:p>
          <w:p w14:paraId="63173A76">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说明：政采云公司如对电子化开标及评审程序有调整的，按调整后的程序操作。</w:t>
            </w:r>
          </w:p>
        </w:tc>
      </w:tr>
      <w:tr w14:paraId="0BE046C3">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862D7B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2</w:t>
            </w:r>
          </w:p>
        </w:tc>
        <w:tc>
          <w:tcPr>
            <w:tcW w:w="1916" w:type="dxa"/>
            <w:tcBorders>
              <w:top w:val="single" w:color="auto" w:sz="4" w:space="0"/>
              <w:left w:val="single" w:color="auto" w:sz="4" w:space="0"/>
              <w:bottom w:val="single" w:color="auto" w:sz="4" w:space="0"/>
              <w:right w:val="single" w:color="auto" w:sz="4" w:space="0"/>
            </w:tcBorders>
            <w:vAlign w:val="center"/>
          </w:tcPr>
          <w:p w14:paraId="489BB57F">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磋商小组的组建</w:t>
            </w:r>
          </w:p>
        </w:tc>
        <w:tc>
          <w:tcPr>
            <w:tcW w:w="7540" w:type="dxa"/>
            <w:tcBorders>
              <w:top w:val="single" w:color="auto" w:sz="4" w:space="0"/>
              <w:left w:val="single" w:color="auto" w:sz="4" w:space="0"/>
              <w:bottom w:val="single" w:color="auto" w:sz="4" w:space="0"/>
              <w:right w:val="single" w:color="auto" w:sz="4" w:space="0"/>
            </w:tcBorders>
            <w:vAlign w:val="center"/>
          </w:tcPr>
          <w:p w14:paraId="44A78E8A">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olor w:val="auto"/>
                <w:kern w:val="0"/>
                <w:sz w:val="22"/>
                <w:szCs w:val="22"/>
                <w:highlight w:val="none"/>
              </w:rPr>
              <w:t>磋商小组成员由采购人代表和有关技术、经济等方面的专家组成，</w:t>
            </w:r>
            <w:r>
              <w:rPr>
                <w:rFonts w:hint="eastAsia" w:ascii="宋体" w:hAnsi="宋体" w:cs="宋体"/>
                <w:color w:val="auto"/>
                <w:kern w:val="0"/>
                <w:sz w:val="22"/>
                <w:szCs w:val="22"/>
                <w:highlight w:val="none"/>
              </w:rPr>
              <w:t>磋商小组成员人数为3人及以上单数，</w:t>
            </w:r>
            <w:r>
              <w:rPr>
                <w:rFonts w:hint="eastAsia" w:ascii="宋体" w:hAnsi="宋体" w:cs="宋体"/>
                <w:bCs/>
                <w:color w:val="auto"/>
                <w:sz w:val="22"/>
                <w:szCs w:val="22"/>
                <w:highlight w:val="none"/>
              </w:rPr>
              <w:t>除采购人代表外的专家将在评标专家库中随机抽取产生。</w:t>
            </w:r>
          </w:p>
        </w:tc>
      </w:tr>
      <w:tr w14:paraId="5894C4E4">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0A2554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vAlign w:val="center"/>
          </w:tcPr>
          <w:p w14:paraId="6260FA18">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原 件</w:t>
            </w:r>
          </w:p>
        </w:tc>
        <w:tc>
          <w:tcPr>
            <w:tcW w:w="7540" w:type="dxa"/>
            <w:tcBorders>
              <w:top w:val="single" w:color="auto" w:sz="4" w:space="0"/>
              <w:left w:val="single" w:color="auto" w:sz="4" w:space="0"/>
              <w:bottom w:val="single" w:color="auto" w:sz="4" w:space="0"/>
              <w:right w:val="single" w:color="auto" w:sz="4" w:space="0"/>
            </w:tcBorders>
            <w:vAlign w:val="center"/>
          </w:tcPr>
          <w:p w14:paraId="252937C2">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□提交，具体要求见供应商须知</w:t>
            </w:r>
          </w:p>
          <w:p w14:paraId="286DD449">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F0FE"/>
            </w:r>
            <w:r>
              <w:rPr>
                <w:rFonts w:hint="eastAsia" w:ascii="宋体" w:hAnsi="宋体" w:cs="宋体"/>
                <w:color w:val="auto"/>
                <w:kern w:val="0"/>
                <w:sz w:val="22"/>
                <w:szCs w:val="22"/>
                <w:highlight w:val="none"/>
              </w:rPr>
              <w:t>不提交</w:t>
            </w:r>
          </w:p>
        </w:tc>
      </w:tr>
      <w:tr w14:paraId="3716B60F">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0BE6D5A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4</w:t>
            </w:r>
          </w:p>
        </w:tc>
        <w:tc>
          <w:tcPr>
            <w:tcW w:w="1916" w:type="dxa"/>
            <w:tcBorders>
              <w:top w:val="single" w:color="auto" w:sz="4" w:space="0"/>
              <w:left w:val="single" w:color="auto" w:sz="4" w:space="0"/>
              <w:bottom w:val="single" w:color="auto" w:sz="4" w:space="0"/>
              <w:right w:val="single" w:color="auto" w:sz="4" w:space="0"/>
            </w:tcBorders>
            <w:vAlign w:val="center"/>
          </w:tcPr>
          <w:p w14:paraId="3AB6E4ED">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06E4DF83">
            <w:pPr>
              <w:keepNext w:val="0"/>
              <w:keepLines w:val="0"/>
              <w:pageBreakBefore w:val="0"/>
              <w:kinsoku/>
              <w:wordWrap/>
              <w:overflowPunct/>
              <w:topLinePunct w:val="0"/>
              <w:bidi w:val="0"/>
              <w:snapToGrid/>
              <w:spacing w:line="312" w:lineRule="auto"/>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sym w:font="Wingdings" w:char="00FE"/>
            </w:r>
            <w:r>
              <w:rPr>
                <w:rFonts w:hint="eastAsia" w:ascii="新宋体" w:hAnsi="新宋体" w:eastAsia="新宋体" w:cs="宋体"/>
                <w:color w:val="auto"/>
                <w:kern w:val="0"/>
                <w:sz w:val="22"/>
                <w:szCs w:val="22"/>
                <w:highlight w:val="none"/>
              </w:rPr>
              <w:t>不需要</w:t>
            </w:r>
          </w:p>
          <w:p w14:paraId="2C285809">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新宋体" w:hAnsi="新宋体" w:eastAsia="新宋体" w:cs="宋体"/>
                <w:color w:val="auto"/>
                <w:kern w:val="0"/>
                <w:sz w:val="22"/>
                <w:szCs w:val="22"/>
                <w:highlight w:val="none"/>
              </w:rPr>
              <w:t>□需要</w:t>
            </w:r>
          </w:p>
        </w:tc>
      </w:tr>
      <w:tr w14:paraId="5AA04DEB">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17F856E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vAlign w:val="center"/>
          </w:tcPr>
          <w:p w14:paraId="022D2893">
            <w:pPr>
              <w:keepNext w:val="0"/>
              <w:keepLines w:val="0"/>
              <w:pageBreakBefore w:val="0"/>
              <w:kinsoku/>
              <w:wordWrap/>
              <w:overflowPunct/>
              <w:topLinePunct w:val="0"/>
              <w:bidi w:val="0"/>
              <w:adjustRightInd w:val="0"/>
              <w:snapToGrid/>
              <w:spacing w:line="312" w:lineRule="auto"/>
              <w:jc w:val="center"/>
              <w:textAlignment w:val="auto"/>
              <w:rPr>
                <w:rFonts w:hint="eastAsia" w:ascii="宋体" w:hAnsi="宋体" w:cs="宋体"/>
                <w:b/>
                <w:bCs/>
                <w:color w:val="auto"/>
                <w:kern w:val="0"/>
                <w:sz w:val="22"/>
                <w:szCs w:val="22"/>
                <w:highlight w:val="none"/>
              </w:rPr>
            </w:pPr>
            <w:r>
              <w:rPr>
                <w:rFonts w:hint="eastAsia" w:ascii="宋体" w:hAnsi="宋体" w:cs="宋体"/>
                <w:b/>
                <w:bCs/>
                <w:color w:val="auto"/>
                <w:sz w:val="22"/>
                <w:szCs w:val="22"/>
                <w:highlight w:val="none"/>
              </w:rPr>
              <w:t>政府采购扶持政策</w:t>
            </w:r>
          </w:p>
        </w:tc>
        <w:tc>
          <w:tcPr>
            <w:tcW w:w="7540" w:type="dxa"/>
            <w:tcBorders>
              <w:top w:val="single" w:color="auto" w:sz="4" w:space="0"/>
              <w:left w:val="single" w:color="auto" w:sz="4" w:space="0"/>
              <w:bottom w:val="single" w:color="auto" w:sz="4" w:space="0"/>
              <w:right w:val="single" w:color="auto" w:sz="4" w:space="0"/>
            </w:tcBorders>
            <w:vAlign w:val="center"/>
          </w:tcPr>
          <w:p w14:paraId="7B509AC7">
            <w:pPr>
              <w:keepNext w:val="0"/>
              <w:keepLines w:val="0"/>
              <w:pageBreakBefore w:val="0"/>
              <w:kinsoku/>
              <w:wordWrap/>
              <w:overflowPunct/>
              <w:topLinePunct w:val="0"/>
              <w:bidi w:val="0"/>
              <w:snapToGrid/>
              <w:spacing w:line="312" w:lineRule="auto"/>
              <w:jc w:val="left"/>
              <w:textAlignment w:val="auto"/>
              <w:rPr>
                <w:rStyle w:val="65"/>
                <w:rFonts w:ascii="宋体" w:hAnsi="宋体" w:eastAsia="宋体" w:cs="新宋体"/>
                <w:b w:val="0"/>
                <w:bCs w:val="0"/>
                <w:color w:val="auto"/>
                <w:sz w:val="22"/>
                <w:szCs w:val="22"/>
                <w:highlight w:val="none"/>
              </w:rPr>
            </w:pPr>
            <w:r>
              <w:rPr>
                <w:rStyle w:val="65"/>
                <w:rFonts w:hint="eastAsia" w:ascii="宋体" w:hAnsi="宋体" w:eastAsia="宋体" w:cs="新宋体"/>
                <w:b w:val="0"/>
                <w:bCs w:val="0"/>
                <w:color w:val="auto"/>
                <w:sz w:val="22"/>
                <w:szCs w:val="22"/>
                <w:highlight w:val="none"/>
              </w:rPr>
              <w:t>1.本项目属于预留份额专门面向中小企业/小微企业采购项目，监狱企业、残疾人福利性单位视为中小企业。</w:t>
            </w:r>
          </w:p>
          <w:p w14:paraId="327C88F0">
            <w:pPr>
              <w:keepNext w:val="0"/>
              <w:keepLines w:val="0"/>
              <w:pageBreakBefore w:val="0"/>
              <w:kinsoku/>
              <w:wordWrap/>
              <w:overflowPunct/>
              <w:topLinePunct w:val="0"/>
              <w:bidi w:val="0"/>
              <w:snapToGrid/>
              <w:spacing w:line="312" w:lineRule="auto"/>
              <w:jc w:val="left"/>
              <w:textAlignment w:val="auto"/>
              <w:rPr>
                <w:rStyle w:val="65"/>
                <w:rFonts w:ascii="宋体" w:hAnsi="宋体" w:eastAsia="宋体" w:cs="新宋体"/>
                <w:color w:val="auto"/>
                <w:sz w:val="22"/>
                <w:szCs w:val="22"/>
                <w:highlight w:val="none"/>
              </w:rPr>
            </w:pPr>
            <w:r>
              <w:rPr>
                <w:rStyle w:val="65"/>
                <w:rFonts w:hint="eastAsia" w:ascii="宋体" w:hAnsi="宋体" w:eastAsia="宋体" w:cs="新宋体"/>
                <w:color w:val="auto"/>
                <w:sz w:val="22"/>
                <w:szCs w:val="22"/>
                <w:highlight w:val="none"/>
              </w:rPr>
              <w:t>2.中小企业/小微企业为满足转发财政部 工业和信息化部关于印发《政府采购促进中小企业发展管理办法》（财库﹝2020﹞46 号）的规定的中小企业。</w:t>
            </w:r>
          </w:p>
          <w:p w14:paraId="6B73CA85">
            <w:pPr>
              <w:keepNext w:val="0"/>
              <w:keepLines w:val="0"/>
              <w:pageBreakBefore w:val="0"/>
              <w:kinsoku/>
              <w:wordWrap/>
              <w:overflowPunct/>
              <w:topLinePunct w:val="0"/>
              <w:bidi w:val="0"/>
              <w:snapToGrid/>
              <w:spacing w:line="312" w:lineRule="auto"/>
              <w:jc w:val="left"/>
              <w:textAlignment w:val="auto"/>
              <w:rPr>
                <w:rStyle w:val="65"/>
                <w:rFonts w:ascii="宋体" w:hAnsi="宋体" w:eastAsia="宋体" w:cs="新宋体"/>
                <w:color w:val="auto"/>
                <w:sz w:val="22"/>
                <w:szCs w:val="22"/>
                <w:highlight w:val="none"/>
              </w:rPr>
            </w:pPr>
            <w:r>
              <w:rPr>
                <w:rStyle w:val="65"/>
                <w:rFonts w:hint="eastAsia" w:ascii="宋体" w:hAnsi="宋体" w:eastAsia="宋体" w:cs="新宋体"/>
                <w:color w:val="auto"/>
                <w:sz w:val="22"/>
                <w:szCs w:val="22"/>
                <w:highlight w:val="none"/>
              </w:rPr>
              <w:t>3.专门面向中小企业/小微企业采购的项目，不再执行价格评审优惠的扶持政策。</w:t>
            </w:r>
          </w:p>
          <w:p w14:paraId="57CF7789">
            <w:pPr>
              <w:keepNext w:val="0"/>
              <w:keepLines w:val="0"/>
              <w:pageBreakBefore w:val="0"/>
              <w:kinsoku/>
              <w:wordWrap/>
              <w:overflowPunct/>
              <w:topLinePunct w:val="0"/>
              <w:bidi w:val="0"/>
              <w:snapToGrid/>
              <w:spacing w:line="312" w:lineRule="auto"/>
              <w:jc w:val="left"/>
              <w:textAlignment w:val="auto"/>
              <w:rPr>
                <w:rStyle w:val="65"/>
                <w:rFonts w:ascii="宋体" w:hAnsi="宋体" w:eastAsia="宋体" w:cs="新宋体"/>
                <w:color w:val="auto"/>
                <w:sz w:val="22"/>
                <w:szCs w:val="22"/>
                <w:highlight w:val="none"/>
              </w:rPr>
            </w:pPr>
            <w:r>
              <w:rPr>
                <w:rStyle w:val="65"/>
                <w:rFonts w:hint="eastAsia" w:ascii="宋体" w:hAnsi="宋体" w:eastAsia="宋体" w:cs="新宋体"/>
                <w:color w:val="auto"/>
                <w:sz w:val="22"/>
                <w:szCs w:val="22"/>
                <w:highlight w:val="none"/>
              </w:rPr>
              <w:t>4.依据《政府采购促进中小企业发展管理办法》（财库﹝2020﹞46 号）规定享受扶持政策获得政府采购合同的，小微企业不得将合同分包给大中型企业，中型企业不得将合同分包给大型企业。</w:t>
            </w:r>
          </w:p>
          <w:p w14:paraId="539DB315">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Style w:val="65"/>
                <w:rFonts w:hint="eastAsia" w:ascii="宋体" w:hAnsi="宋体" w:eastAsia="宋体" w:cs="新宋体"/>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EE650F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7E2CDD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6</w:t>
            </w:r>
          </w:p>
        </w:tc>
        <w:tc>
          <w:tcPr>
            <w:tcW w:w="1916" w:type="dxa"/>
            <w:tcBorders>
              <w:top w:val="single" w:color="auto" w:sz="4" w:space="0"/>
              <w:left w:val="single" w:color="auto" w:sz="4" w:space="0"/>
              <w:bottom w:val="single" w:color="auto" w:sz="4" w:space="0"/>
              <w:right w:val="single" w:color="auto" w:sz="4" w:space="0"/>
            </w:tcBorders>
            <w:vAlign w:val="center"/>
          </w:tcPr>
          <w:p w14:paraId="47887E7B">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供应商信用查询</w:t>
            </w:r>
          </w:p>
        </w:tc>
        <w:tc>
          <w:tcPr>
            <w:tcW w:w="7540" w:type="dxa"/>
            <w:tcBorders>
              <w:top w:val="single" w:color="auto" w:sz="4" w:space="0"/>
              <w:left w:val="single" w:color="auto" w:sz="4" w:space="0"/>
              <w:bottom w:val="single" w:color="auto" w:sz="4" w:space="0"/>
              <w:right w:val="single" w:color="auto" w:sz="4" w:space="0"/>
            </w:tcBorders>
            <w:vAlign w:val="center"/>
          </w:tcPr>
          <w:p w14:paraId="4C8ED69C">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4EF8C5BF">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（2）供应商信用信息查询截止时点：公告发布之日起至</w:t>
            </w:r>
            <w:r>
              <w:rPr>
                <w:rFonts w:hint="eastAsia" w:ascii="宋体" w:hAnsi="宋体" w:cs="宋体"/>
                <w:color w:val="auto"/>
                <w:sz w:val="22"/>
                <w:szCs w:val="22"/>
                <w:highlight w:val="none"/>
                <w:lang w:val="en-US" w:eastAsia="zh-CN"/>
              </w:rPr>
              <w:t>磋商响应</w:t>
            </w:r>
            <w:r>
              <w:rPr>
                <w:rFonts w:hint="eastAsia" w:ascii="宋体" w:hAnsi="宋体" w:cs="宋体"/>
                <w:color w:val="auto"/>
                <w:sz w:val="22"/>
                <w:szCs w:val="22"/>
                <w:highlight w:val="none"/>
              </w:rPr>
              <w:t>截止时间。</w:t>
            </w:r>
          </w:p>
          <w:p w14:paraId="7BDEB378">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2076200F">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14:paraId="3029B519">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624D6D2E">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6E295A78">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（5）具有以上（4）所述信息记录的供应商，其投标作无效投标处理。</w:t>
            </w:r>
          </w:p>
          <w:p w14:paraId="265BBC63">
            <w:pPr>
              <w:keepNext w:val="0"/>
              <w:keepLines w:val="0"/>
              <w:pageBreakBefore w:val="0"/>
              <w:kinsoku/>
              <w:wordWrap/>
              <w:overflowPunct/>
              <w:topLinePunct w:val="0"/>
              <w:bidi w:val="0"/>
              <w:snapToGrid/>
              <w:spacing w:line="312" w:lineRule="auto"/>
              <w:textAlignment w:val="auto"/>
              <w:rPr>
                <w:rFonts w:hint="eastAsia"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14:paraId="79A65A02">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43192CF8">
            <w:pPr>
              <w:keepNext w:val="0"/>
              <w:keepLines w:val="0"/>
              <w:pageBreakBefore w:val="0"/>
              <w:kinsoku/>
              <w:wordWrap/>
              <w:overflowPunct/>
              <w:topLinePunct w:val="0"/>
              <w:bidi w:val="0"/>
              <w:snapToGrid/>
              <w:spacing w:line="312" w:lineRule="auto"/>
              <w:textAlignment w:val="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14:paraId="37355ECE">
            <w:pPr>
              <w:keepNext w:val="0"/>
              <w:keepLines w:val="0"/>
              <w:pageBreakBefore w:val="0"/>
              <w:kinsoku/>
              <w:wordWrap/>
              <w:overflowPunct/>
              <w:topLinePunct w:val="0"/>
              <w:bidi w:val="0"/>
              <w:snapToGrid/>
              <w:spacing w:line="312" w:lineRule="auto"/>
              <w:textAlignment w:val="auto"/>
              <w:rPr>
                <w:rFonts w:hint="eastAsia"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14:paraId="083D898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03F3BA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7</w:t>
            </w:r>
          </w:p>
        </w:tc>
        <w:tc>
          <w:tcPr>
            <w:tcW w:w="1916" w:type="dxa"/>
            <w:tcBorders>
              <w:top w:val="single" w:color="auto" w:sz="4" w:space="0"/>
              <w:left w:val="single" w:color="auto" w:sz="4" w:space="0"/>
              <w:bottom w:val="single" w:color="auto" w:sz="4" w:space="0"/>
              <w:right w:val="single" w:color="auto" w:sz="4" w:space="0"/>
            </w:tcBorders>
            <w:vAlign w:val="center"/>
          </w:tcPr>
          <w:p w14:paraId="1FC50008">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合同备案</w:t>
            </w:r>
          </w:p>
        </w:tc>
        <w:tc>
          <w:tcPr>
            <w:tcW w:w="7540" w:type="dxa"/>
            <w:tcBorders>
              <w:top w:val="single" w:color="auto" w:sz="4" w:space="0"/>
              <w:left w:val="single" w:color="auto" w:sz="4" w:space="0"/>
              <w:bottom w:val="single" w:color="auto" w:sz="4" w:space="0"/>
              <w:right w:val="single" w:color="auto" w:sz="4" w:space="0"/>
            </w:tcBorders>
            <w:vAlign w:val="center"/>
          </w:tcPr>
          <w:p w14:paraId="2533C850">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（1）成交供应商须在成交通知书发出之日起30日历天内与采购人签订合同。</w:t>
            </w:r>
          </w:p>
          <w:p w14:paraId="42C1542F">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（2）成交供应商与采购人签订合同后，2日历天内将合同扫描件电子版发给采购代理机构：邮箱：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14:paraId="0740015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DD1B5B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B416B86">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合同履约管理</w:t>
            </w:r>
          </w:p>
        </w:tc>
        <w:tc>
          <w:tcPr>
            <w:tcW w:w="7540" w:type="dxa"/>
            <w:tcBorders>
              <w:top w:val="single" w:color="auto" w:sz="4" w:space="0"/>
              <w:left w:val="single" w:color="auto" w:sz="4" w:space="0"/>
              <w:bottom w:val="single" w:color="auto" w:sz="4" w:space="0"/>
              <w:right w:val="single" w:color="auto" w:sz="4" w:space="0"/>
            </w:tcBorders>
            <w:vAlign w:val="center"/>
          </w:tcPr>
          <w:p w14:paraId="78559FAE">
            <w:pPr>
              <w:keepNext w:val="0"/>
              <w:keepLines w:val="0"/>
              <w:pageBreakBefore w:val="0"/>
              <w:kinsoku/>
              <w:wordWrap/>
              <w:overflowPunct/>
              <w:topLinePunct w:val="0"/>
              <w:bidi w:val="0"/>
              <w:snapToGrid/>
              <w:spacing w:line="312" w:lineRule="auto"/>
              <w:jc w:val="left"/>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合同签订后，采购人依法加强对合同履约进行管理，并在中标单位服务、项目验收等重要环节，如实填写《合同验收报告》（或考核资料），并及时向同级财政部门报告验收过程中遇到的问题。</w:t>
            </w:r>
          </w:p>
        </w:tc>
      </w:tr>
      <w:tr w14:paraId="7B3BBC9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6862DB2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1DFD50B0">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解释权</w:t>
            </w:r>
          </w:p>
        </w:tc>
        <w:tc>
          <w:tcPr>
            <w:tcW w:w="7540" w:type="dxa"/>
            <w:tcBorders>
              <w:top w:val="single" w:color="auto" w:sz="4" w:space="0"/>
              <w:left w:val="single" w:color="auto" w:sz="4" w:space="0"/>
              <w:bottom w:val="single" w:color="auto" w:sz="4" w:space="0"/>
              <w:right w:val="single" w:color="auto" w:sz="4" w:space="0"/>
            </w:tcBorders>
            <w:vAlign w:val="center"/>
          </w:tcPr>
          <w:p w14:paraId="03402775">
            <w:pPr>
              <w:keepNext w:val="0"/>
              <w:keepLines w:val="0"/>
              <w:pageBreakBefore w:val="0"/>
              <w:kinsoku/>
              <w:wordWrap/>
              <w:overflowPunct/>
              <w:topLinePunct w:val="0"/>
              <w:bidi w:val="0"/>
              <w:snapToGrid/>
              <w:spacing w:line="312" w:lineRule="auto"/>
              <w:textAlignment w:val="auto"/>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FB3A57A">
        <w:tblPrEx>
          <w:tblCellMar>
            <w:top w:w="0" w:type="dxa"/>
            <w:left w:w="108" w:type="dxa"/>
            <w:bottom w:w="0" w:type="dxa"/>
            <w:right w:w="108" w:type="dxa"/>
          </w:tblCellMar>
        </w:tblPrEx>
        <w:trPr>
          <w:trHeight w:val="380" w:hRule="atLeast"/>
        </w:trPr>
        <w:tc>
          <w:tcPr>
            <w:tcW w:w="667" w:type="dxa"/>
            <w:tcBorders>
              <w:top w:val="single" w:color="auto" w:sz="4" w:space="0"/>
              <w:left w:val="single" w:color="auto" w:sz="4" w:space="0"/>
              <w:bottom w:val="single" w:color="auto" w:sz="4" w:space="0"/>
              <w:right w:val="single" w:color="auto" w:sz="4" w:space="0"/>
            </w:tcBorders>
            <w:vAlign w:val="center"/>
          </w:tcPr>
          <w:p w14:paraId="57113F71">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c>
          <w:tcPr>
            <w:tcW w:w="1916" w:type="dxa"/>
            <w:tcBorders>
              <w:top w:val="single" w:color="auto" w:sz="4" w:space="0"/>
              <w:left w:val="single" w:color="auto" w:sz="4" w:space="0"/>
              <w:bottom w:val="single" w:color="auto" w:sz="4" w:space="0"/>
              <w:right w:val="single" w:color="auto" w:sz="4" w:space="0"/>
            </w:tcBorders>
            <w:vAlign w:val="center"/>
          </w:tcPr>
          <w:p w14:paraId="0D2FEAAD">
            <w:pPr>
              <w:keepNext w:val="0"/>
              <w:keepLines w:val="0"/>
              <w:pageBreakBefore w:val="0"/>
              <w:kinsoku/>
              <w:wordWrap/>
              <w:overflowPunct/>
              <w:topLinePunct w:val="0"/>
              <w:bidi w:val="0"/>
              <w:snapToGrid/>
              <w:spacing w:line="312" w:lineRule="auto"/>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540" w:type="dxa"/>
            <w:tcBorders>
              <w:top w:val="single" w:color="auto" w:sz="4" w:space="0"/>
              <w:left w:val="single" w:color="auto" w:sz="4" w:space="0"/>
              <w:bottom w:val="single" w:color="auto" w:sz="4" w:space="0"/>
              <w:right w:val="single" w:color="auto" w:sz="4" w:space="0"/>
            </w:tcBorders>
            <w:vAlign w:val="center"/>
          </w:tcPr>
          <w:p w14:paraId="3DF4E322">
            <w:pPr>
              <w:keepNext w:val="0"/>
              <w:keepLines w:val="0"/>
              <w:pageBreakBefore w:val="0"/>
              <w:kinsoku/>
              <w:wordWrap/>
              <w:overflowPunct/>
              <w:topLinePunct w:val="0"/>
              <w:bidi w:val="0"/>
              <w:snapToGrid/>
              <w:spacing w:line="312" w:lineRule="auto"/>
              <w:textAlignment w:val="auto"/>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（1）</w:t>
            </w:r>
            <w:r>
              <w:rPr>
                <w:rFonts w:hint="eastAsia" w:ascii="宋体" w:hAnsi="宋体" w:cs="宋体"/>
                <w:color w:val="auto"/>
                <w:sz w:val="22"/>
                <w:szCs w:val="22"/>
                <w:highlight w:val="none"/>
              </w:rPr>
              <w:t>采购代理服务费按国家计委计价格【2002】1980号文件</w:t>
            </w:r>
            <w:r>
              <w:rPr>
                <w:rFonts w:ascii="宋体" w:hAnsi="宋体" w:cs="宋体"/>
                <w:color w:val="auto"/>
                <w:sz w:val="22"/>
                <w:szCs w:val="22"/>
                <w:highlight w:val="none"/>
              </w:rPr>
              <w:t>规定的</w:t>
            </w:r>
            <w:r>
              <w:rPr>
                <w:rFonts w:hint="eastAsia" w:ascii="宋体" w:hAnsi="宋体" w:cs="宋体"/>
                <w:color w:val="auto"/>
                <w:sz w:val="22"/>
                <w:szCs w:val="22"/>
                <w:highlight w:val="none"/>
              </w:rPr>
              <w:t>服务</w:t>
            </w:r>
            <w:r>
              <w:rPr>
                <w:rFonts w:ascii="宋体" w:hAnsi="宋体" w:cs="宋体"/>
                <w:color w:val="auto"/>
                <w:sz w:val="22"/>
                <w:szCs w:val="22"/>
                <w:highlight w:val="none"/>
              </w:rPr>
              <w:t>类收费标准</w:t>
            </w:r>
            <w:r>
              <w:rPr>
                <w:rFonts w:hint="eastAsia" w:ascii="宋体" w:hAnsi="宋体" w:cs="宋体"/>
                <w:color w:val="auto"/>
                <w:sz w:val="22"/>
                <w:szCs w:val="22"/>
                <w:highlight w:val="none"/>
              </w:rPr>
              <w:t>的7</w:t>
            </w:r>
            <w:r>
              <w:rPr>
                <w:rFonts w:ascii="宋体" w:hAnsi="宋体" w:cs="宋体"/>
                <w:color w:val="auto"/>
                <w:sz w:val="22"/>
                <w:szCs w:val="22"/>
                <w:highlight w:val="none"/>
              </w:rPr>
              <w:t>0</w:t>
            </w:r>
            <w:r>
              <w:rPr>
                <w:rFonts w:hint="eastAsia" w:ascii="宋体" w:hAnsi="宋体" w:cs="宋体"/>
                <w:color w:val="auto"/>
                <w:sz w:val="22"/>
                <w:szCs w:val="22"/>
                <w:highlight w:val="none"/>
              </w:rPr>
              <w:t>%</w:t>
            </w:r>
            <w:r>
              <w:rPr>
                <w:rFonts w:ascii="宋体" w:hAnsi="宋体" w:cs="宋体"/>
                <w:color w:val="auto"/>
                <w:sz w:val="22"/>
                <w:szCs w:val="22"/>
                <w:highlight w:val="none"/>
              </w:rPr>
              <w:t>计取</w:t>
            </w:r>
            <w:r>
              <w:rPr>
                <w:rStyle w:val="413"/>
                <w:rFonts w:hint="eastAsia" w:ascii="新宋体" w:hAnsi="新宋体" w:eastAsia="新宋体"/>
                <w:color w:val="auto"/>
                <w:sz w:val="22"/>
                <w:szCs w:val="22"/>
                <w:highlight w:val="none"/>
              </w:rPr>
              <w:t>，</w:t>
            </w:r>
            <w:r>
              <w:rPr>
                <w:rFonts w:hint="eastAsia" w:ascii="新宋体" w:hAnsi="新宋体" w:eastAsia="新宋体" w:cs="宋体"/>
                <w:color w:val="auto"/>
                <w:sz w:val="22"/>
                <w:szCs w:val="22"/>
                <w:highlight w:val="none"/>
              </w:rPr>
              <w:t>由中标供应商在领取中标通知书时向招标代理机构进行支付，该服务费须综合考虑在投标报价中</w:t>
            </w:r>
            <w:r>
              <w:rPr>
                <w:rFonts w:hint="eastAsia" w:ascii="新宋体" w:hAnsi="新宋体" w:eastAsia="新宋体" w:cs="宋体"/>
                <w:b/>
                <w:bCs/>
                <w:color w:val="auto"/>
                <w:sz w:val="22"/>
                <w:szCs w:val="22"/>
                <w:highlight w:val="none"/>
              </w:rPr>
              <w:t>。</w:t>
            </w:r>
          </w:p>
          <w:p w14:paraId="2493D0A7">
            <w:pPr>
              <w:keepNext w:val="0"/>
              <w:keepLines w:val="0"/>
              <w:pageBreakBefore w:val="0"/>
              <w:kinsoku/>
              <w:wordWrap/>
              <w:overflowPunct/>
              <w:topLinePunct w:val="0"/>
              <w:bidi w:val="0"/>
              <w:snapToGrid/>
              <w:spacing w:line="312" w:lineRule="auto"/>
              <w:textAlignment w:val="auto"/>
              <w:rPr>
                <w:rFonts w:hint="eastAsia" w:ascii="宋体" w:hAnsi="宋体" w:cs="新宋体"/>
                <w:color w:val="auto"/>
                <w:sz w:val="22"/>
                <w:szCs w:val="22"/>
                <w:highlight w:val="none"/>
              </w:rPr>
            </w:pPr>
            <w:r>
              <w:rPr>
                <w:rFonts w:hint="eastAsia" w:ascii="新宋体" w:hAnsi="新宋体" w:eastAsia="新宋体" w:cs="宋体"/>
                <w:color w:val="auto"/>
                <w:sz w:val="22"/>
                <w:szCs w:val="22"/>
                <w:highlight w:val="none"/>
              </w:rPr>
              <w:t>（2）采购代理服务费可以是现金、支票或汇票。</w:t>
            </w:r>
          </w:p>
          <w:p w14:paraId="71D40A35">
            <w:pPr>
              <w:keepNext w:val="0"/>
              <w:keepLines w:val="0"/>
              <w:pageBreakBefore w:val="0"/>
              <w:kinsoku/>
              <w:wordWrap/>
              <w:overflowPunct/>
              <w:topLinePunct w:val="0"/>
              <w:bidi w:val="0"/>
              <w:snapToGrid/>
              <w:spacing w:line="312" w:lineRule="auto"/>
              <w:textAlignment w:val="auto"/>
              <w:rPr>
                <w:rFonts w:hint="eastAsia" w:ascii="宋体" w:hAnsi="宋体"/>
                <w:color w:val="auto"/>
                <w:sz w:val="22"/>
                <w:szCs w:val="22"/>
                <w:highlight w:val="none"/>
              </w:rPr>
            </w:pPr>
            <w:r>
              <w:rPr>
                <w:rFonts w:hint="eastAsia" w:ascii="宋体" w:hAnsi="宋体"/>
                <w:color w:val="auto"/>
                <w:sz w:val="22"/>
                <w:szCs w:val="22"/>
                <w:highlight w:val="none"/>
              </w:rPr>
              <w:t>（3）收款账户户名：温州市智信招标代理有限公司</w:t>
            </w:r>
          </w:p>
          <w:p w14:paraId="5F3F4305">
            <w:pPr>
              <w:keepNext w:val="0"/>
              <w:keepLines w:val="0"/>
              <w:pageBreakBefore w:val="0"/>
              <w:kinsoku/>
              <w:wordWrap/>
              <w:overflowPunct/>
              <w:topLinePunct w:val="0"/>
              <w:bidi w:val="0"/>
              <w:snapToGrid/>
              <w:spacing w:line="312" w:lineRule="auto"/>
              <w:ind w:firstLine="550" w:firstLineChars="250"/>
              <w:textAlignment w:val="auto"/>
              <w:rPr>
                <w:rFonts w:hint="eastAsia" w:ascii="宋体" w:hAnsi="宋体"/>
                <w:color w:val="auto"/>
                <w:sz w:val="22"/>
                <w:szCs w:val="22"/>
                <w:highlight w:val="none"/>
              </w:rPr>
            </w:pPr>
            <w:r>
              <w:rPr>
                <w:rFonts w:hint="eastAsia" w:ascii="宋体" w:hAnsi="宋体"/>
                <w:color w:val="auto"/>
                <w:sz w:val="22"/>
                <w:szCs w:val="22"/>
                <w:highlight w:val="none"/>
              </w:rPr>
              <w:t>收款账号：333504140018800009390</w:t>
            </w:r>
          </w:p>
          <w:p w14:paraId="3C557D04">
            <w:pPr>
              <w:keepNext w:val="0"/>
              <w:keepLines w:val="0"/>
              <w:pageBreakBefore w:val="0"/>
              <w:kinsoku/>
              <w:wordWrap/>
              <w:overflowPunct/>
              <w:topLinePunct w:val="0"/>
              <w:bidi w:val="0"/>
              <w:snapToGrid/>
              <w:spacing w:line="312" w:lineRule="auto"/>
              <w:ind w:firstLine="550" w:firstLineChars="250"/>
              <w:textAlignment w:val="auto"/>
              <w:rPr>
                <w:rFonts w:hint="eastAsia" w:ascii="宋体" w:hAnsi="宋体" w:cs="宋体"/>
                <w:b/>
                <w:bCs/>
                <w:color w:val="auto"/>
                <w:kern w:val="0"/>
                <w:sz w:val="22"/>
                <w:szCs w:val="22"/>
                <w:highlight w:val="none"/>
              </w:rPr>
            </w:pPr>
            <w:r>
              <w:rPr>
                <w:rFonts w:hint="eastAsia" w:ascii="宋体" w:hAnsi="宋体"/>
                <w:color w:val="auto"/>
                <w:sz w:val="22"/>
                <w:szCs w:val="22"/>
                <w:highlight w:val="none"/>
              </w:rPr>
              <w:t>开户行：交通银行温州分行瓯海支行</w:t>
            </w:r>
          </w:p>
        </w:tc>
      </w:tr>
      <w:tr w14:paraId="3502F265">
        <w:tblPrEx>
          <w:tblCellMar>
            <w:top w:w="0" w:type="dxa"/>
            <w:left w:w="108" w:type="dxa"/>
            <w:bottom w:w="0" w:type="dxa"/>
            <w:right w:w="108" w:type="dxa"/>
          </w:tblCellMar>
        </w:tblPrEx>
        <w:trPr>
          <w:trHeight w:val="613" w:hRule="atLeast"/>
        </w:trPr>
        <w:tc>
          <w:tcPr>
            <w:tcW w:w="667" w:type="dxa"/>
            <w:tcBorders>
              <w:top w:val="single" w:color="auto" w:sz="4" w:space="0"/>
              <w:left w:val="single" w:color="auto" w:sz="4" w:space="0"/>
              <w:bottom w:val="single" w:color="auto" w:sz="4" w:space="0"/>
              <w:right w:val="single" w:color="auto" w:sz="4" w:space="0"/>
            </w:tcBorders>
            <w:vAlign w:val="center"/>
          </w:tcPr>
          <w:p w14:paraId="55CD378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1</w:t>
            </w:r>
          </w:p>
        </w:tc>
        <w:tc>
          <w:tcPr>
            <w:tcW w:w="1916" w:type="dxa"/>
            <w:tcBorders>
              <w:top w:val="single" w:color="auto" w:sz="4" w:space="0"/>
              <w:left w:val="single" w:color="auto" w:sz="4" w:space="0"/>
              <w:bottom w:val="single" w:color="auto" w:sz="4" w:space="0"/>
              <w:right w:val="single" w:color="auto" w:sz="4" w:space="0"/>
            </w:tcBorders>
            <w:vAlign w:val="center"/>
          </w:tcPr>
          <w:p w14:paraId="462A5D88">
            <w:pPr>
              <w:keepNext w:val="0"/>
              <w:keepLines w:val="0"/>
              <w:pageBreakBefore w:val="0"/>
              <w:kinsoku/>
              <w:wordWrap/>
              <w:overflowPunct/>
              <w:topLinePunct w:val="0"/>
              <w:bidi w:val="0"/>
              <w:snapToGrid/>
              <w:spacing w:line="312" w:lineRule="auto"/>
              <w:jc w:val="center"/>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rPr>
              <w:t>项目类型</w:t>
            </w:r>
            <w:r>
              <w:rPr>
                <w:rFonts w:hint="eastAsia" w:ascii="宋体" w:hAnsi="宋体" w:cs="宋体"/>
                <w:b/>
                <w:bCs/>
                <w:color w:val="auto"/>
                <w:sz w:val="22"/>
                <w:szCs w:val="22"/>
                <w:highlight w:val="none"/>
                <w:lang w:val="en-US" w:eastAsia="zh-CN"/>
              </w:rPr>
              <w:t>及行业</w:t>
            </w:r>
          </w:p>
        </w:tc>
        <w:tc>
          <w:tcPr>
            <w:tcW w:w="7540" w:type="dxa"/>
            <w:tcBorders>
              <w:top w:val="single" w:color="auto" w:sz="4" w:space="0"/>
              <w:left w:val="single" w:color="auto" w:sz="4" w:space="0"/>
              <w:bottom w:val="single" w:color="auto" w:sz="4" w:space="0"/>
              <w:right w:val="single" w:color="auto" w:sz="4" w:space="0"/>
            </w:tcBorders>
            <w:vAlign w:val="center"/>
          </w:tcPr>
          <w:p w14:paraId="70C6FD3A">
            <w:pPr>
              <w:keepNext w:val="0"/>
              <w:keepLines w:val="0"/>
              <w:pageBreakBefore w:val="0"/>
              <w:kinsoku/>
              <w:wordWrap/>
              <w:overflowPunct/>
              <w:topLinePunct w:val="0"/>
              <w:bidi w:val="0"/>
              <w:snapToGrid/>
              <w:spacing w:line="312"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服务类</w:t>
            </w:r>
            <w:r>
              <w:rPr>
                <w:rFonts w:hint="eastAsia" w:ascii="宋体" w:hAnsi="宋体" w:cs="宋体"/>
                <w:b/>
                <w:bCs/>
                <w:color w:val="auto"/>
                <w:sz w:val="22"/>
                <w:szCs w:val="22"/>
                <w:highlight w:val="none"/>
                <w:lang w:val="en-US" w:eastAsia="zh-CN"/>
              </w:rPr>
              <w:t xml:space="preserve">  所属行业：</w:t>
            </w:r>
            <w:r>
              <w:rPr>
                <w:rFonts w:hint="eastAsia" w:ascii="宋体" w:hAnsi="宋体" w:cs="宋体"/>
                <w:b/>
                <w:bCs/>
                <w:color w:val="auto"/>
                <w:sz w:val="22"/>
                <w:szCs w:val="22"/>
                <w:highlight w:val="none"/>
              </w:rPr>
              <w:t>其他未列明行业</w:t>
            </w:r>
          </w:p>
        </w:tc>
      </w:tr>
      <w:tr w14:paraId="3C677462">
        <w:tblPrEx>
          <w:tblCellMar>
            <w:top w:w="0" w:type="dxa"/>
            <w:left w:w="108" w:type="dxa"/>
            <w:bottom w:w="0" w:type="dxa"/>
            <w:right w:w="108" w:type="dxa"/>
          </w:tblCellMar>
        </w:tblPrEx>
        <w:trPr>
          <w:trHeight w:val="457" w:hRule="atLeast"/>
        </w:trPr>
        <w:tc>
          <w:tcPr>
            <w:tcW w:w="667" w:type="dxa"/>
            <w:tcBorders>
              <w:top w:val="single" w:color="auto" w:sz="4" w:space="0"/>
              <w:left w:val="single" w:color="auto" w:sz="4" w:space="0"/>
              <w:bottom w:val="single" w:color="auto" w:sz="4" w:space="0"/>
              <w:right w:val="single" w:color="auto" w:sz="4" w:space="0"/>
            </w:tcBorders>
            <w:vAlign w:val="center"/>
          </w:tcPr>
          <w:p w14:paraId="6D26772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2</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4F0C5EC4">
            <w:pPr>
              <w:keepNext w:val="0"/>
              <w:keepLines w:val="0"/>
              <w:pageBreakBefore w:val="0"/>
              <w:kinsoku/>
              <w:wordWrap/>
              <w:overflowPunct/>
              <w:topLinePunct w:val="0"/>
              <w:bidi w:val="0"/>
              <w:snapToGrid/>
              <w:spacing w:line="312" w:lineRule="auto"/>
              <w:jc w:val="center"/>
              <w:textAlignment w:val="auto"/>
              <w:rPr>
                <w:color w:val="auto"/>
                <w:sz w:val="22"/>
                <w:szCs w:val="22"/>
                <w:highlight w:val="none"/>
              </w:rPr>
            </w:pPr>
            <w:r>
              <w:rPr>
                <w:rFonts w:hint="eastAsia" w:ascii="新宋体" w:hAnsi="新宋体" w:eastAsia="新宋体" w:cs="新宋体"/>
                <w:color w:val="auto"/>
                <w:kern w:val="0"/>
                <w:sz w:val="22"/>
                <w:szCs w:val="22"/>
                <w:highlight w:val="none"/>
              </w:rPr>
              <w:t>联合体投标相关说明</w:t>
            </w:r>
          </w:p>
        </w:tc>
        <w:tc>
          <w:tcPr>
            <w:tcW w:w="7540" w:type="dxa"/>
            <w:tcBorders>
              <w:top w:val="single" w:color="auto" w:sz="4" w:space="0"/>
              <w:left w:val="single" w:color="auto" w:sz="4" w:space="0"/>
              <w:bottom w:val="single" w:color="auto" w:sz="4" w:space="0"/>
              <w:right w:val="single" w:color="auto" w:sz="4" w:space="0"/>
            </w:tcBorders>
            <w:shd w:val="clear" w:color="auto" w:fill="auto"/>
            <w:vAlign w:val="center"/>
          </w:tcPr>
          <w:p w14:paraId="6AAC44A8">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（1）供应商如为联合体，必须提供各方签章的联合体协议书，明确联合体牵头人和各方权利义务，并承诺就成交项目向采购人承担连带责任。</w:t>
            </w:r>
          </w:p>
          <w:p w14:paraId="3C2E4B26">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（2）供应商如为联合体，联合体成员各方资格审查资料、企业证书、人员证书、业绩证明材料等复印件应由联合体成员各自盖章。</w:t>
            </w:r>
          </w:p>
          <w:p w14:paraId="0ECA245F">
            <w:pPr>
              <w:pStyle w:val="21"/>
              <w:keepNext w:val="0"/>
              <w:keepLines w:val="0"/>
              <w:pageBreakBefore w:val="0"/>
              <w:kinsoku/>
              <w:wordWrap/>
              <w:overflowPunct/>
              <w:topLinePunct w:val="0"/>
              <w:bidi w:val="0"/>
              <w:snapToGrid/>
              <w:spacing w:after="0"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（3）由同一专业的单位组成的联合体，按照资质等级较低的单位确定资质等级。</w:t>
            </w:r>
          </w:p>
          <w:p w14:paraId="554595BB">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（4）其他文件可由联合体牵头方盖章。</w:t>
            </w:r>
          </w:p>
          <w:p w14:paraId="6D9FE9C6">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（5）供应商若为联合体，电子投标工作由联合体牵头方的账号制作电子投标文件并提交。</w:t>
            </w:r>
          </w:p>
          <w:p w14:paraId="52111FF0">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（6）联合体各方不得再以自己名义单独或参加其他联合体在本项目中投标，否则各相关投标均无效。</w:t>
            </w:r>
          </w:p>
          <w:p w14:paraId="08770E8E">
            <w:pPr>
              <w:keepNext w:val="0"/>
              <w:keepLines w:val="0"/>
              <w:pageBreakBefore w:val="0"/>
              <w:kinsoku/>
              <w:wordWrap/>
              <w:overflowPunct/>
              <w:topLinePunct w:val="0"/>
              <w:bidi w:val="0"/>
              <w:snapToGrid/>
              <w:spacing w:line="312" w:lineRule="auto"/>
              <w:textAlignment w:val="auto"/>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（7）中标后，联合体各方根据联合体协议约定承担的项目采购内容与项目采购人签订政府采购合同。</w:t>
            </w:r>
          </w:p>
        </w:tc>
      </w:tr>
    </w:tbl>
    <w:p w14:paraId="024570AA">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8" w:name="_Toc58832081"/>
      <w:r>
        <w:rPr>
          <w:rFonts w:hint="eastAsia" w:ascii="宋体" w:hAnsi="宋体" w:eastAsia="宋体" w:cs="宋体"/>
          <w:color w:val="auto"/>
          <w:sz w:val="36"/>
          <w:szCs w:val="36"/>
          <w:highlight w:val="none"/>
        </w:rPr>
        <w:t>第一部分    供应商须知</w:t>
      </w:r>
      <w:bookmarkEnd w:id="8"/>
    </w:p>
    <w:p w14:paraId="462C2CAC">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9" w:name="_Toc22689"/>
      <w:bookmarkStart w:id="10" w:name="_Toc57626724"/>
      <w:bookmarkStart w:id="11" w:name="_Toc58832082"/>
      <w:bookmarkStart w:id="12" w:name="_Toc221356886"/>
      <w:bookmarkStart w:id="13" w:name="_Toc393699549"/>
      <w:r>
        <w:rPr>
          <w:rFonts w:hint="eastAsia" w:ascii="宋体" w:hAnsi="宋体" w:cs="宋体"/>
          <w:b/>
          <w:bCs/>
          <w:color w:val="auto"/>
          <w:sz w:val="22"/>
          <w:szCs w:val="22"/>
          <w:highlight w:val="none"/>
        </w:rPr>
        <w:t>一   说 明</w:t>
      </w:r>
      <w:bookmarkEnd w:id="9"/>
      <w:bookmarkEnd w:id="10"/>
      <w:bookmarkEnd w:id="11"/>
    </w:p>
    <w:p w14:paraId="7AB237E2">
      <w:pPr>
        <w:tabs>
          <w:tab w:val="left" w:pos="360"/>
        </w:tabs>
        <w:spacing w:line="360" w:lineRule="auto"/>
        <w:rPr>
          <w:rFonts w:hint="eastAsia" w:ascii="宋体" w:hAnsi="宋体" w:cs="宋体"/>
          <w:color w:val="auto"/>
          <w:sz w:val="22"/>
          <w:szCs w:val="22"/>
          <w:highlight w:val="none"/>
        </w:rPr>
      </w:pPr>
      <w:bookmarkStart w:id="14" w:name="_Toc25973"/>
      <w:r>
        <w:rPr>
          <w:rFonts w:hint="eastAsia" w:ascii="宋体" w:hAnsi="宋体" w:cs="宋体"/>
          <w:color w:val="auto"/>
          <w:sz w:val="22"/>
          <w:szCs w:val="22"/>
          <w:highlight w:val="none"/>
        </w:rPr>
        <w:t>1.本次采购是根据</w:t>
      </w:r>
      <w:r>
        <w:rPr>
          <w:rFonts w:hint="eastAsia" w:ascii="宋体" w:hAnsi="宋体" w:cs="宋体"/>
          <w:color w:val="auto"/>
          <w:kern w:val="0"/>
          <w:sz w:val="22"/>
          <w:szCs w:val="22"/>
          <w:highlight w:val="none"/>
        </w:rPr>
        <w:t>《中华人民共和国政府采购法》《</w:t>
      </w:r>
      <w:r>
        <w:rPr>
          <w:rFonts w:hint="eastAsia" w:ascii="宋体" w:hAnsi="宋体" w:cs="宋体"/>
          <w:color w:val="auto"/>
          <w:sz w:val="22"/>
          <w:szCs w:val="22"/>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73E44275">
      <w:pPr>
        <w:tabs>
          <w:tab w:val="left" w:pos="360"/>
        </w:tabs>
        <w:spacing w:line="360" w:lineRule="auto"/>
        <w:rPr>
          <w:rFonts w:hint="eastAsia" w:ascii="宋体" w:hAnsi="宋体" w:cs="宋体"/>
          <w:bCs/>
          <w:color w:val="auto"/>
          <w:sz w:val="22"/>
          <w:szCs w:val="22"/>
          <w:highlight w:val="none"/>
        </w:rPr>
      </w:pPr>
      <w:r>
        <w:rPr>
          <w:rFonts w:hint="eastAsia" w:ascii="宋体" w:hAnsi="宋体" w:cs="宋体"/>
          <w:b/>
          <w:bCs/>
          <w:color w:val="auto"/>
          <w:sz w:val="22"/>
          <w:szCs w:val="22"/>
          <w:highlight w:val="none"/>
        </w:rPr>
        <w:t>2.合格供应商要求以本项目公告及供应商须知前附表表述为准。</w:t>
      </w:r>
    </w:p>
    <w:p w14:paraId="1E9A2E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3.供应商代表</w:t>
      </w:r>
    </w:p>
    <w:p w14:paraId="442761B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指全权代表供应商参加投标活动并签署磋商响应文件的人。如果供应商代表不是法定代表人，须持有《法定代表人授权书》。</w:t>
      </w:r>
    </w:p>
    <w:p w14:paraId="670C4C6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4.磋商响应费用</w:t>
      </w:r>
    </w:p>
    <w:p w14:paraId="59BE226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供应商应承担所有与准备和参加投标有关费用，不论投标的结果如何，采购人及采购代理机构均无义务和责任承担这些费用。</w:t>
      </w:r>
    </w:p>
    <w:p w14:paraId="2ACF4C2A">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5" w:name="_Toc57626725"/>
      <w:bookmarkStart w:id="16" w:name="_Toc58832083"/>
      <w:r>
        <w:rPr>
          <w:rFonts w:hint="eastAsia" w:ascii="宋体" w:hAnsi="宋体" w:cs="宋体"/>
          <w:b/>
          <w:bCs/>
          <w:color w:val="auto"/>
          <w:sz w:val="22"/>
          <w:szCs w:val="22"/>
          <w:highlight w:val="none"/>
        </w:rPr>
        <w:t>二   采购文件</w:t>
      </w:r>
      <w:bookmarkEnd w:id="14"/>
      <w:bookmarkEnd w:id="15"/>
      <w:bookmarkEnd w:id="16"/>
    </w:p>
    <w:p w14:paraId="3A87F19B">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5.采购文件由采购文件目录所列内容及相关资料组成。</w:t>
      </w:r>
    </w:p>
    <w:p w14:paraId="21716D3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6.质疑</w:t>
      </w:r>
    </w:p>
    <w:p w14:paraId="577805AA">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z w:val="22"/>
          <w:szCs w:val="22"/>
          <w:highlight w:val="none"/>
        </w:rPr>
        <w:t>6.1</w:t>
      </w:r>
      <w:r>
        <w:rPr>
          <w:rFonts w:hint="eastAsia" w:ascii="宋体" w:hAnsi="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4914B3E">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6.2供应商提出质疑应当提交质疑函和必要的证明材料，质疑函范本请到“浙江政府采购网下载专区”下载，质疑函内容及签署等相关要求请参看《政府采购质疑和投诉办法》相关规定。</w:t>
      </w:r>
    </w:p>
    <w:p w14:paraId="160B6237">
      <w:pPr>
        <w:tabs>
          <w:tab w:val="left" w:pos="540"/>
        </w:tabs>
        <w:spacing w:line="440" w:lineRule="exact"/>
        <w:rPr>
          <w:rFonts w:hint="eastAsia" w:ascii="宋体" w:hAnsi="宋体" w:cs="宋体"/>
          <w:b/>
          <w:bCs/>
          <w:color w:val="auto"/>
          <w:spacing w:val="6"/>
          <w:sz w:val="22"/>
          <w:highlight w:val="none"/>
        </w:rPr>
      </w:pPr>
      <w:r>
        <w:rPr>
          <w:rFonts w:hint="eastAsia" w:ascii="宋体" w:hAnsi="宋体" w:cs="宋体"/>
          <w:color w:val="auto"/>
          <w:spacing w:val="6"/>
          <w:sz w:val="22"/>
          <w:highlight w:val="none"/>
        </w:rPr>
        <w:t>6.3提出质疑的供应商应当是参与本项目采购活动的供应商。</w:t>
      </w:r>
      <w:r>
        <w:rPr>
          <w:rFonts w:hint="eastAsia" w:ascii="宋体" w:hAnsi="宋体" w:cs="宋体"/>
          <w:b/>
          <w:bCs/>
          <w:color w:val="auto"/>
          <w:spacing w:val="6"/>
          <w:sz w:val="22"/>
          <w:highlight w:val="none"/>
        </w:rPr>
        <w:t>供应商在法定质疑期内一次性提出针对同一采购程序环节的质疑。</w:t>
      </w:r>
    </w:p>
    <w:p w14:paraId="69805074">
      <w:pPr>
        <w:tabs>
          <w:tab w:val="left" w:pos="540"/>
        </w:tabs>
        <w:spacing w:line="440" w:lineRule="exact"/>
        <w:rPr>
          <w:rFonts w:hint="eastAsia" w:ascii="宋体" w:hAnsi="宋体" w:cs="宋体"/>
          <w:color w:val="auto"/>
          <w:spacing w:val="6"/>
          <w:sz w:val="22"/>
          <w:highlight w:val="none"/>
        </w:rPr>
      </w:pPr>
      <w:r>
        <w:rPr>
          <w:rFonts w:hint="eastAsia" w:ascii="宋体" w:hAnsi="宋体" w:cs="宋体"/>
          <w:b/>
          <w:bCs/>
          <w:color w:val="auto"/>
          <w:spacing w:val="6"/>
          <w:sz w:val="22"/>
          <w:highlight w:val="none"/>
        </w:rPr>
        <w:t>6.4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0723D665">
      <w:pPr>
        <w:tabs>
          <w:tab w:val="left" w:pos="540"/>
          <w:tab w:val="left" w:pos="2385"/>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7.投诉</w:t>
      </w:r>
      <w:r>
        <w:rPr>
          <w:rFonts w:hint="eastAsia" w:ascii="宋体" w:hAnsi="宋体" w:cs="宋体"/>
          <w:color w:val="auto"/>
          <w:spacing w:val="6"/>
          <w:sz w:val="22"/>
          <w:highlight w:val="none"/>
        </w:rPr>
        <w:tab/>
      </w:r>
    </w:p>
    <w:p w14:paraId="4D54AA0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7.1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F7B205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8.采购文件的澄清或修改</w:t>
      </w:r>
    </w:p>
    <w:p w14:paraId="2E45F9F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8.1采购人或者采购代理机构可以对已发出的采购文件进行必要的澄清或者修改。澄清或者修改</w:t>
      </w:r>
      <w:r>
        <w:rPr>
          <w:rFonts w:hint="eastAsia" w:ascii="宋体" w:hAnsi="宋体" w:cs="宋体"/>
          <w:bCs/>
          <w:color w:val="auto"/>
          <w:spacing w:val="6"/>
          <w:highlight w:val="none"/>
        </w:rPr>
        <w:t>在浙江政府采购网上发布公告，同时政采云系统会向所有已按采购文件规定方式获取采购文件的潜在供应商发送更正提醒信息，潜在供应商请自行到浙江政府采购网上下载公告附件，潜在供应商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澄清或者修改的内容为采购文件的组成部分。</w:t>
      </w:r>
    </w:p>
    <w:p w14:paraId="3194346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8.2澄清或者修改的内容可能影响磋商响应文件编制的，采购人或者采购代理机构应当在磋商响应文件递交截止时间至少5日前，以书面形式（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）通知所有获取采购文件的潜在供应商；不足5日的，采购人或者采购代理机构应当顺延提交磋商响应文件的截止时间。</w:t>
      </w:r>
    </w:p>
    <w:p w14:paraId="487B0CF2">
      <w:pPr>
        <w:spacing w:line="360" w:lineRule="auto"/>
        <w:rPr>
          <w:rFonts w:hint="eastAsia" w:ascii="宋体" w:hAnsi="宋体" w:cs="宋体"/>
          <w:color w:val="auto"/>
          <w:sz w:val="22"/>
          <w:szCs w:val="22"/>
          <w:highlight w:val="none"/>
        </w:rPr>
      </w:pPr>
      <w:r>
        <w:rPr>
          <w:rFonts w:hint="eastAsia" w:ascii="宋体" w:hAnsi="宋体" w:cs="宋体"/>
          <w:color w:val="auto"/>
          <w:spacing w:val="6"/>
          <w:sz w:val="22"/>
          <w:highlight w:val="none"/>
        </w:rPr>
        <w:t>8.3采购文件如有补充更正均见“政采云”（http://www.zcygov.cn）。供应商须在开标前一日自行查看是否有补充更正文件，并按补充更正文件要求投标，否则责任自负。</w:t>
      </w:r>
    </w:p>
    <w:p w14:paraId="172B21F4">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7" w:name="_Toc58832084"/>
      <w:bookmarkStart w:id="18" w:name="_Toc4093"/>
      <w:bookmarkStart w:id="19" w:name="_Toc57626726"/>
      <w:r>
        <w:rPr>
          <w:rFonts w:hint="eastAsia" w:ascii="宋体" w:hAnsi="宋体" w:cs="宋体"/>
          <w:b/>
          <w:bCs/>
          <w:color w:val="auto"/>
          <w:sz w:val="22"/>
          <w:szCs w:val="22"/>
          <w:highlight w:val="none"/>
        </w:rPr>
        <w:t>三   磋商响应文件的编制</w:t>
      </w:r>
      <w:bookmarkEnd w:id="17"/>
      <w:bookmarkEnd w:id="18"/>
      <w:bookmarkEnd w:id="19"/>
    </w:p>
    <w:p w14:paraId="74476A05">
      <w:pPr>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9.磋商响应文件的形式和效力</w:t>
      </w:r>
    </w:p>
    <w:p w14:paraId="361E5013">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9.1磋商响应文件分为电子磋商响应文件以及备份磋商响应文件，备份文件分为以介质存储的数据电文形式的备份磋商响应文件。</w:t>
      </w:r>
    </w:p>
    <w:p w14:paraId="7616D83B">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9.2电子磋商响应文件，按“政采云供应商项目采购－电子招投标操作指南”及本采购文件要求制作、加密并递交。</w:t>
      </w:r>
    </w:p>
    <w:p w14:paraId="0B36E074">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9.3以介质存储的数据电文形式的备份磋商响应文件，即电子磋商响应文件按“政采云供应商项目采购－电子招投标操作指南”制作的备份文件。</w:t>
      </w:r>
    </w:p>
    <w:p w14:paraId="652FAFEA">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9.4磋商响应文件的效力</w:t>
      </w:r>
    </w:p>
    <w:p w14:paraId="6E9AEF4C">
      <w:pPr>
        <w:tabs>
          <w:tab w:val="left" w:pos="360"/>
        </w:tabs>
        <w:spacing w:line="440" w:lineRule="exact"/>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磋商响应文件的启用，按先后顺位分别为电子磋商响应文件、以介质存储的数据电文形式的备份磋商响应文件。在下一顺位的磋商响应文件启用时，前一顺位的磋商响应文件自动失效。</w:t>
      </w:r>
    </w:p>
    <w:p w14:paraId="34823086">
      <w:pPr>
        <w:tabs>
          <w:tab w:val="left" w:pos="54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10.磋商响应文件的构成：</w:t>
      </w:r>
    </w:p>
    <w:p w14:paraId="242F8624">
      <w:pPr>
        <w:tabs>
          <w:tab w:val="left" w:pos="360"/>
        </w:tabs>
        <w:spacing w:line="440" w:lineRule="exact"/>
        <w:contextualSpacing/>
        <w:rPr>
          <w:rFonts w:hint="eastAsia" w:ascii="宋体" w:hAnsi="宋体" w:cs="宋体"/>
          <w:color w:val="auto"/>
          <w:sz w:val="22"/>
          <w:szCs w:val="22"/>
          <w:highlight w:val="none"/>
        </w:rPr>
      </w:pPr>
      <w:r>
        <w:rPr>
          <w:rFonts w:hint="eastAsia" w:ascii="宋体" w:hAnsi="宋体" w:cs="宋体"/>
          <w:b/>
          <w:bCs/>
          <w:color w:val="auto"/>
          <w:sz w:val="22"/>
          <w:szCs w:val="22"/>
          <w:highlight w:val="none"/>
        </w:rPr>
        <w:t>10.1 磋商响应文件包括资格审查资料、商务技术文件、报价文件三部分。</w:t>
      </w:r>
    </w:p>
    <w:p w14:paraId="00925857">
      <w:pPr>
        <w:spacing w:line="440" w:lineRule="exact"/>
        <w:contextualSpacing/>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10.1.1 磋商响应文件资格审查资料须包括下列部分：</w:t>
      </w: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239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9" w:type="dxa"/>
            <w:vAlign w:val="center"/>
          </w:tcPr>
          <w:p w14:paraId="10D86D7F">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vAlign w:val="center"/>
          </w:tcPr>
          <w:p w14:paraId="0DBB59BE">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6C56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EFE4E93">
            <w:pPr>
              <w:overflowPunct w:val="0"/>
              <w:spacing w:line="430" w:lineRule="exact"/>
              <w:jc w:val="center"/>
              <w:rPr>
                <w:rFonts w:hint="eastAsia" w:ascii="新宋体" w:hAnsi="新宋体" w:eastAsia="新宋体" w:cs="新宋体"/>
                <w:bCs/>
                <w:color w:val="auto"/>
                <w:sz w:val="22"/>
                <w:szCs w:val="22"/>
                <w:highlight w:val="none"/>
              </w:rPr>
            </w:pPr>
            <w:bookmarkStart w:id="20"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5D56BB1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641A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E3027CE">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7485A32D">
            <w:pPr>
              <w:rPr>
                <w:rFonts w:hint="eastAsia" w:ascii="新宋体" w:hAnsi="新宋体" w:eastAsia="新宋体" w:cs="楷体"/>
                <w:color w:val="auto"/>
                <w:kern w:val="0"/>
                <w:sz w:val="22"/>
                <w:szCs w:val="22"/>
                <w:highlight w:val="none"/>
              </w:rPr>
            </w:pPr>
            <w:r>
              <w:rPr>
                <w:rFonts w:hint="eastAsia" w:ascii="新宋体" w:hAnsi="新宋体" w:eastAsia="新宋体" w:cs="新宋体"/>
                <w:color w:val="auto"/>
                <w:kern w:val="0"/>
                <w:sz w:val="22"/>
                <w:szCs w:val="22"/>
                <w:highlight w:val="none"/>
              </w:rPr>
              <w:t>联合体协议书（非联合体无需提供）</w:t>
            </w:r>
          </w:p>
        </w:tc>
      </w:tr>
      <w:tr w14:paraId="796D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8513151">
            <w:pPr>
              <w:overflowPunct w:val="0"/>
              <w:spacing w:line="43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vAlign w:val="center"/>
          </w:tcPr>
          <w:p w14:paraId="07BBFE62">
            <w:pPr>
              <w:rPr>
                <w:rFonts w:hint="eastAsia" w:ascii="新宋体" w:hAnsi="新宋体" w:eastAsia="新宋体" w:cs="新宋体"/>
                <w:color w:val="auto"/>
                <w:kern w:val="0"/>
                <w:sz w:val="22"/>
                <w:szCs w:val="22"/>
                <w:highlight w:val="none"/>
              </w:rPr>
            </w:pPr>
            <w:r>
              <w:rPr>
                <w:rFonts w:hint="eastAsia" w:ascii="新宋体" w:hAnsi="新宋体" w:eastAsia="新宋体" w:cs="楷体"/>
                <w:color w:val="auto"/>
                <w:kern w:val="0"/>
                <w:sz w:val="22"/>
                <w:szCs w:val="22"/>
                <w:highlight w:val="none"/>
              </w:rPr>
              <w:t>中小企业声明函（或监狱企业声明函、残疾人福利性单位声明函）（采购文件第二部分相关附件）</w:t>
            </w:r>
          </w:p>
        </w:tc>
      </w:tr>
      <w:tr w14:paraId="722F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983C0D9">
            <w:pPr>
              <w:overflowPunct w:val="0"/>
              <w:spacing w:line="430" w:lineRule="exact"/>
              <w:jc w:val="center"/>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vAlign w:val="center"/>
          </w:tcPr>
          <w:p w14:paraId="30876396">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营业执照（或事业法人登记证书或其他工商等登记证明材料）。</w:t>
            </w:r>
          </w:p>
        </w:tc>
      </w:tr>
      <w:tr w14:paraId="0B20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06662E53">
            <w:pPr>
              <w:overflowPunct w:val="0"/>
              <w:spacing w:line="43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43C466B3">
            <w:pPr>
              <w:rPr>
                <w:rFonts w:hint="eastAsia" w:ascii="新宋体" w:hAnsi="新宋体" w:eastAsia="新宋体" w:cs="Times New Roman"/>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064D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655895C7">
            <w:pPr>
              <w:overflowPunct w:val="0"/>
              <w:spacing w:line="430" w:lineRule="exact"/>
              <w:jc w:val="center"/>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7A026ABA">
            <w:pPr>
              <w:rPr>
                <w:rFonts w:hint="eastAsia" w:ascii="新宋体" w:hAnsi="新宋体" w:eastAsia="新宋体" w:cs="楷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20"/>
    </w:tbl>
    <w:p w14:paraId="6BE3C131">
      <w:pPr>
        <w:spacing w:line="430" w:lineRule="exact"/>
        <w:rPr>
          <w:rFonts w:hint="eastAsia" w:ascii="宋体" w:hAnsi="宋体" w:cs="宋体"/>
          <w:b/>
          <w:bCs/>
          <w:color w:val="auto"/>
          <w:sz w:val="22"/>
          <w:szCs w:val="22"/>
          <w:highlight w:val="none"/>
        </w:rPr>
      </w:pPr>
      <w:r>
        <w:rPr>
          <w:rFonts w:hint="eastAsia" w:ascii="新宋体" w:hAnsi="新宋体" w:eastAsia="新宋体" w:cs="新宋体"/>
          <w:b/>
          <w:bCs/>
          <w:color w:val="auto"/>
          <w:sz w:val="22"/>
          <w:szCs w:val="22"/>
          <w:highlight w:val="none"/>
        </w:rPr>
        <w:t>备注：如为联合体，则3-</w:t>
      </w: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项资格审查材料联合体双方均须提供。</w:t>
      </w:r>
    </w:p>
    <w:p w14:paraId="56F31662">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7B62E1FD">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以上所需的各种证书、证件、证明、执照若系复印件，须在复印件上加盖供应商有效的公章。</w:t>
      </w:r>
    </w:p>
    <w:p w14:paraId="4D921B1D">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10.1.2 磋商响应文件商务技术标应包括下列部分：</w:t>
      </w:r>
    </w:p>
    <w:tbl>
      <w:tblPr>
        <w:tblStyle w:val="54"/>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01C5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tcBorders>
              <w:top w:val="single" w:color="auto" w:sz="4" w:space="0"/>
              <w:left w:val="single" w:color="auto" w:sz="4" w:space="0"/>
              <w:bottom w:val="single" w:color="auto" w:sz="4" w:space="0"/>
              <w:right w:val="single" w:color="auto" w:sz="4" w:space="0"/>
            </w:tcBorders>
            <w:vAlign w:val="center"/>
          </w:tcPr>
          <w:p w14:paraId="5F6CBACD">
            <w:pPr>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9109" w:type="dxa"/>
            <w:tcBorders>
              <w:top w:val="single" w:color="auto" w:sz="4" w:space="0"/>
              <w:left w:val="single" w:color="auto" w:sz="4" w:space="0"/>
              <w:bottom w:val="single" w:color="auto" w:sz="4" w:space="0"/>
              <w:right w:val="single" w:color="auto" w:sz="4" w:space="0"/>
            </w:tcBorders>
            <w:vAlign w:val="center"/>
          </w:tcPr>
          <w:p w14:paraId="65386B30">
            <w:pPr>
              <w:jc w:val="center"/>
              <w:rPr>
                <w:rFonts w:hint="eastAsia" w:ascii="宋体" w:hAnsi="宋体"/>
                <w:b/>
                <w:color w:val="auto"/>
                <w:sz w:val="22"/>
                <w:szCs w:val="22"/>
                <w:highlight w:val="none"/>
              </w:rPr>
            </w:pPr>
            <w:r>
              <w:rPr>
                <w:rFonts w:hint="eastAsia" w:ascii="宋体" w:hAnsi="宋体"/>
                <w:b/>
                <w:color w:val="auto"/>
                <w:sz w:val="22"/>
                <w:szCs w:val="22"/>
                <w:highlight w:val="none"/>
              </w:rPr>
              <w:t>内容</w:t>
            </w:r>
          </w:p>
        </w:tc>
      </w:tr>
      <w:tr w14:paraId="0BED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CE42B10">
            <w:pPr>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9109" w:type="dxa"/>
            <w:tcBorders>
              <w:top w:val="single" w:color="auto" w:sz="4" w:space="0"/>
              <w:left w:val="single" w:color="auto" w:sz="4" w:space="0"/>
              <w:bottom w:val="single" w:color="auto" w:sz="4" w:space="0"/>
              <w:right w:val="single" w:color="auto" w:sz="4" w:space="0"/>
            </w:tcBorders>
            <w:vAlign w:val="center"/>
          </w:tcPr>
          <w:p w14:paraId="7D4EB614">
            <w:pPr>
              <w:rPr>
                <w:rFonts w:hint="eastAsia" w:ascii="宋体" w:hAnsi="宋体"/>
                <w:color w:val="auto"/>
                <w:sz w:val="22"/>
                <w:szCs w:val="22"/>
                <w:highlight w:val="none"/>
              </w:rPr>
            </w:pPr>
            <w:r>
              <w:rPr>
                <w:rFonts w:hint="eastAsia" w:ascii="宋体" w:hAnsi="宋体"/>
                <w:color w:val="auto"/>
                <w:sz w:val="22"/>
                <w:szCs w:val="22"/>
                <w:highlight w:val="none"/>
              </w:rPr>
              <w:t>投标函</w:t>
            </w:r>
          </w:p>
        </w:tc>
      </w:tr>
      <w:tr w14:paraId="0563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B2260E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9109" w:type="dxa"/>
            <w:tcBorders>
              <w:top w:val="single" w:color="auto" w:sz="4" w:space="0"/>
              <w:left w:val="single" w:color="auto" w:sz="4" w:space="0"/>
              <w:bottom w:val="single" w:color="auto" w:sz="4" w:space="0"/>
              <w:right w:val="single" w:color="auto" w:sz="4" w:space="0"/>
            </w:tcBorders>
            <w:vAlign w:val="center"/>
          </w:tcPr>
          <w:p w14:paraId="0E878AD9">
            <w:pPr>
              <w:rPr>
                <w:rFonts w:hint="eastAsia" w:ascii="宋体" w:hAnsi="宋体" w:cs="宋体"/>
                <w:color w:val="auto"/>
                <w:sz w:val="22"/>
                <w:szCs w:val="22"/>
                <w:highlight w:val="none"/>
              </w:rPr>
            </w:pPr>
            <w:r>
              <w:rPr>
                <w:rFonts w:hint="eastAsia" w:ascii="宋体" w:hAnsi="宋体" w:cs="宋体"/>
                <w:color w:val="auto"/>
                <w:sz w:val="22"/>
                <w:szCs w:val="22"/>
                <w:highlight w:val="none"/>
              </w:rPr>
              <w:t>技术条款偏离表、商务条款偏离表</w:t>
            </w:r>
          </w:p>
        </w:tc>
      </w:tr>
      <w:tr w14:paraId="72BF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F7B5F0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9109" w:type="dxa"/>
            <w:tcBorders>
              <w:top w:val="single" w:color="auto" w:sz="4" w:space="0"/>
              <w:left w:val="single" w:color="auto" w:sz="4" w:space="0"/>
              <w:bottom w:val="single" w:color="auto" w:sz="4" w:space="0"/>
              <w:right w:val="single" w:color="auto" w:sz="4" w:space="0"/>
            </w:tcBorders>
            <w:vAlign w:val="center"/>
          </w:tcPr>
          <w:p w14:paraId="0B533087">
            <w:pPr>
              <w:rPr>
                <w:rFonts w:hint="eastAsia" w:ascii="宋体" w:hAnsi="宋体" w:cs="宋体"/>
                <w:color w:val="auto"/>
                <w:sz w:val="22"/>
                <w:szCs w:val="22"/>
                <w:highlight w:val="none"/>
              </w:rPr>
            </w:pPr>
            <w:r>
              <w:rPr>
                <w:rFonts w:hint="eastAsia" w:ascii="宋体" w:hAnsi="宋体" w:cs="宋体"/>
                <w:color w:val="auto"/>
                <w:sz w:val="22"/>
                <w:szCs w:val="22"/>
                <w:highlight w:val="none"/>
              </w:rPr>
              <w:t>资信证明文件（以评分表为依据，本项为量化评分内容，非强制性要求）</w:t>
            </w:r>
          </w:p>
        </w:tc>
      </w:tr>
      <w:tr w14:paraId="1363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EDD0DC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9109" w:type="dxa"/>
            <w:tcBorders>
              <w:top w:val="single" w:color="auto" w:sz="4" w:space="0"/>
              <w:left w:val="single" w:color="auto" w:sz="4" w:space="0"/>
              <w:bottom w:val="single" w:color="auto" w:sz="4" w:space="0"/>
              <w:right w:val="single" w:color="auto" w:sz="4" w:space="0"/>
            </w:tcBorders>
            <w:vAlign w:val="center"/>
          </w:tcPr>
          <w:p w14:paraId="0ADE6712">
            <w:pPr>
              <w:tabs>
                <w:tab w:val="left" w:pos="5355"/>
              </w:tabs>
              <w:snapToGrid w:val="0"/>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val="zh-CN"/>
              </w:rPr>
              <w:t>同类项目业绩</w:t>
            </w:r>
          </w:p>
        </w:tc>
      </w:tr>
      <w:tr w14:paraId="7C14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80B765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9109" w:type="dxa"/>
            <w:tcBorders>
              <w:top w:val="single" w:color="auto" w:sz="4" w:space="0"/>
              <w:left w:val="single" w:color="auto" w:sz="4" w:space="0"/>
              <w:bottom w:val="single" w:color="auto" w:sz="4" w:space="0"/>
              <w:right w:val="single" w:color="auto" w:sz="4" w:space="0"/>
            </w:tcBorders>
            <w:vAlign w:val="center"/>
          </w:tcPr>
          <w:p w14:paraId="633C7241">
            <w:pPr>
              <w:tabs>
                <w:tab w:val="left" w:pos="5355"/>
              </w:tabs>
              <w:snapToGrid w:val="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val="en-US" w:eastAsia="zh-CN"/>
              </w:rPr>
              <w:t>团队</w:t>
            </w:r>
            <w:r>
              <w:rPr>
                <w:rFonts w:hint="eastAsia" w:ascii="宋体" w:hAnsi="宋体" w:cs="宋体"/>
                <w:color w:val="auto"/>
                <w:sz w:val="22"/>
                <w:szCs w:val="22"/>
                <w:highlight w:val="none"/>
              </w:rPr>
              <w:t>人员情况</w:t>
            </w:r>
          </w:p>
        </w:tc>
      </w:tr>
      <w:tr w14:paraId="4473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484498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9109" w:type="dxa"/>
            <w:tcBorders>
              <w:top w:val="single" w:color="auto" w:sz="4" w:space="0"/>
              <w:left w:val="single" w:color="auto" w:sz="4" w:space="0"/>
              <w:bottom w:val="single" w:color="auto" w:sz="4" w:space="0"/>
              <w:right w:val="single" w:color="auto" w:sz="4" w:space="0"/>
            </w:tcBorders>
            <w:vAlign w:val="center"/>
          </w:tcPr>
          <w:p w14:paraId="00686D49">
            <w:pPr>
              <w:jc w:val="left"/>
              <w:rPr>
                <w:rFonts w:hint="eastAsia" w:ascii="宋体" w:hAnsi="宋体" w:cs="宋体"/>
                <w:color w:val="auto"/>
                <w:kern w:val="0"/>
                <w:sz w:val="22"/>
                <w:szCs w:val="22"/>
                <w:highlight w:val="none"/>
              </w:rPr>
            </w:pPr>
            <w:r>
              <w:rPr>
                <w:rFonts w:hint="eastAsia" w:ascii="新宋体" w:hAnsi="新宋体" w:eastAsia="新宋体"/>
                <w:color w:val="auto"/>
                <w:sz w:val="22"/>
                <w:szCs w:val="22"/>
                <w:highlight w:val="none"/>
              </w:rPr>
              <w:t>对整体项目的理解与分析</w:t>
            </w:r>
          </w:p>
        </w:tc>
      </w:tr>
      <w:tr w14:paraId="0E5C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73C179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9109" w:type="dxa"/>
            <w:tcBorders>
              <w:top w:val="single" w:color="auto" w:sz="4" w:space="0"/>
              <w:left w:val="single" w:color="auto" w:sz="4" w:space="0"/>
              <w:bottom w:val="single" w:color="auto" w:sz="4" w:space="0"/>
              <w:right w:val="single" w:color="auto" w:sz="4" w:space="0"/>
            </w:tcBorders>
            <w:vAlign w:val="center"/>
          </w:tcPr>
          <w:p w14:paraId="79088444">
            <w:pPr>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视觉设计与氛围营造方案</w:t>
            </w:r>
          </w:p>
        </w:tc>
      </w:tr>
      <w:tr w14:paraId="513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935810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9109" w:type="dxa"/>
            <w:tcBorders>
              <w:top w:val="single" w:color="auto" w:sz="4" w:space="0"/>
              <w:left w:val="single" w:color="auto" w:sz="4" w:space="0"/>
              <w:bottom w:val="single" w:color="auto" w:sz="4" w:space="0"/>
              <w:right w:val="single" w:color="auto" w:sz="4" w:space="0"/>
            </w:tcBorders>
            <w:vAlign w:val="center"/>
          </w:tcPr>
          <w:p w14:paraId="6BEA96EE">
            <w:pPr>
              <w:widowControl/>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项目规划方案</w:t>
            </w:r>
          </w:p>
        </w:tc>
      </w:tr>
      <w:tr w14:paraId="61B6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79633B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9109" w:type="dxa"/>
            <w:tcBorders>
              <w:top w:val="single" w:color="auto" w:sz="4" w:space="0"/>
              <w:left w:val="single" w:color="auto" w:sz="4" w:space="0"/>
              <w:bottom w:val="single" w:color="auto" w:sz="4" w:space="0"/>
              <w:right w:val="single" w:color="auto" w:sz="4" w:space="0"/>
            </w:tcBorders>
            <w:vAlign w:val="center"/>
          </w:tcPr>
          <w:p w14:paraId="6D7E646E">
            <w:pPr>
              <w:widowControl/>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服务执行方案</w:t>
            </w:r>
          </w:p>
        </w:tc>
      </w:tr>
      <w:tr w14:paraId="1889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9969B6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9109" w:type="dxa"/>
            <w:tcBorders>
              <w:top w:val="single" w:color="auto" w:sz="4" w:space="0"/>
              <w:left w:val="single" w:color="auto" w:sz="4" w:space="0"/>
              <w:bottom w:val="single" w:color="auto" w:sz="4" w:space="0"/>
              <w:right w:val="single" w:color="auto" w:sz="4" w:space="0"/>
            </w:tcBorders>
            <w:vAlign w:val="center"/>
          </w:tcPr>
          <w:p w14:paraId="43B7069D">
            <w:pPr>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安全与应急保障方案</w:t>
            </w:r>
          </w:p>
        </w:tc>
      </w:tr>
      <w:tr w14:paraId="3D2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CF3F28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9109" w:type="dxa"/>
            <w:tcBorders>
              <w:top w:val="single" w:color="auto" w:sz="4" w:space="0"/>
              <w:left w:val="single" w:color="auto" w:sz="4" w:space="0"/>
              <w:bottom w:val="single" w:color="auto" w:sz="4" w:space="0"/>
              <w:right w:val="single" w:color="auto" w:sz="4" w:space="0"/>
            </w:tcBorders>
            <w:vAlign w:val="center"/>
          </w:tcPr>
          <w:p w14:paraId="4F782BCA">
            <w:pPr>
              <w:jc w:val="left"/>
              <w:rPr>
                <w:rFonts w:hint="eastAsia" w:ascii="宋体" w:hAnsi="宋体" w:cs="宋体"/>
                <w:color w:val="auto"/>
                <w:kern w:val="0"/>
                <w:sz w:val="22"/>
                <w:szCs w:val="22"/>
                <w:highlight w:val="none"/>
              </w:rPr>
            </w:pPr>
            <w:r>
              <w:rPr>
                <w:rFonts w:hint="eastAsia" w:ascii="新宋体" w:hAnsi="新宋体" w:eastAsia="新宋体"/>
                <w:color w:val="auto"/>
                <w:sz w:val="22"/>
                <w:szCs w:val="22"/>
                <w:highlight w:val="none"/>
              </w:rPr>
              <w:t>服务响应措施</w:t>
            </w:r>
          </w:p>
        </w:tc>
      </w:tr>
      <w:tr w14:paraId="78D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7BF0DF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9109" w:type="dxa"/>
            <w:tcBorders>
              <w:top w:val="single" w:color="auto" w:sz="4" w:space="0"/>
              <w:left w:val="single" w:color="auto" w:sz="4" w:space="0"/>
              <w:bottom w:val="single" w:color="auto" w:sz="4" w:space="0"/>
              <w:right w:val="single" w:color="auto" w:sz="4" w:space="0"/>
            </w:tcBorders>
            <w:vAlign w:val="center"/>
          </w:tcPr>
          <w:p w14:paraId="2AB1FA3C">
            <w:pPr>
              <w:tabs>
                <w:tab w:val="left" w:pos="5355"/>
              </w:tabs>
              <w:snapToGrid w:val="0"/>
              <w:rPr>
                <w:rFonts w:hint="eastAsia" w:ascii="宋体" w:hAnsi="宋体" w:cs="宋体"/>
                <w:color w:val="auto"/>
                <w:kern w:val="0"/>
                <w:sz w:val="22"/>
                <w:szCs w:val="22"/>
                <w:highlight w:val="none"/>
              </w:rPr>
            </w:pPr>
            <w:r>
              <w:rPr>
                <w:rFonts w:hint="eastAsia" w:ascii="宋体" w:hAnsi="宋体" w:cs="宋体"/>
                <w:bCs/>
                <w:color w:val="auto"/>
                <w:sz w:val="22"/>
                <w:szCs w:val="22"/>
                <w:highlight w:val="none"/>
                <w:lang w:val="zh-CN"/>
              </w:rPr>
              <w:t>投标人参照本项目技术资信评分细则认为需要提交的其他资信技术证明文件</w:t>
            </w:r>
          </w:p>
        </w:tc>
      </w:tr>
    </w:tbl>
    <w:p w14:paraId="479AF466">
      <w:pPr>
        <w:spacing w:line="43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14:paraId="362BA132">
      <w:pPr>
        <w:numPr>
          <w:ilvl w:val="0"/>
          <w:numId w:val="5"/>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0BB5334D">
      <w:pPr>
        <w:numPr>
          <w:ilvl w:val="0"/>
          <w:numId w:val="5"/>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以上所需的各种证书、证件、证明等若系复印件，须在复印件上加盖供应商有效的公章。</w:t>
      </w:r>
    </w:p>
    <w:p w14:paraId="019812CB">
      <w:pPr>
        <w:tabs>
          <w:tab w:val="left" w:pos="5355"/>
        </w:tabs>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10.1.3 磋商响应文件报价标应包括下列部分：</w:t>
      </w:r>
    </w:p>
    <w:bookmarkEnd w:id="12"/>
    <w:tbl>
      <w:tblPr>
        <w:tblStyle w:val="54"/>
        <w:tblW w:w="9854" w:type="dxa"/>
        <w:tblInd w:w="0" w:type="dxa"/>
        <w:tblLayout w:type="fixed"/>
        <w:tblCellMar>
          <w:top w:w="0" w:type="dxa"/>
          <w:left w:w="108" w:type="dxa"/>
          <w:bottom w:w="0" w:type="dxa"/>
          <w:right w:w="108" w:type="dxa"/>
        </w:tblCellMar>
      </w:tblPr>
      <w:tblGrid>
        <w:gridCol w:w="966"/>
        <w:gridCol w:w="8888"/>
      </w:tblGrid>
      <w:tr w14:paraId="3A3F0CB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DEEE67">
            <w:pPr>
              <w:autoSpaceDE w:val="0"/>
              <w:autoSpaceDN w:val="0"/>
              <w:adjustRightInd w:val="0"/>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B3A17B">
            <w:pPr>
              <w:autoSpaceDE w:val="0"/>
              <w:autoSpaceDN w:val="0"/>
              <w:adjustRightInd w:val="0"/>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14:paraId="7998004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E5A321">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B29AE8">
            <w:pPr>
              <w:autoSpaceDE w:val="0"/>
              <w:autoSpaceDN w:val="0"/>
              <w:adjustRightInd w:val="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14:paraId="1EADAE39">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081414">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D018DB">
            <w:pPr>
              <w:autoSpaceDE w:val="0"/>
              <w:autoSpaceDN w:val="0"/>
              <w:adjustRightInd w:val="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分项报价表</w:t>
            </w:r>
          </w:p>
        </w:tc>
      </w:tr>
    </w:tbl>
    <w:p w14:paraId="4D8D219F">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11.磋商响应文件编制</w:t>
      </w:r>
    </w:p>
    <w:p w14:paraId="0CB78E3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11.1本项目通过“政采云平台（www.zcygov.cn）”实行在线投标响应（电子投标）。供应商应通过“政采云电子交易客户端”，并按照本采购文件和“政采云平台”的要求编制并加密磋商响应文件。</w:t>
      </w:r>
    </w:p>
    <w:p w14:paraId="0C35B8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11A70396">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磋商响应文件格式”未提供格式的，请各投标单位自行拟定格式，并加盖单位公章并由法定代表人或其授权代表签署（签字或盖章），否则视为未提供。</w:t>
      </w:r>
    </w:p>
    <w:p w14:paraId="53257FDB">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11.4磋商响应文件内容不完整、编排混乱导致磋商响应文件被误读、漏读或者查找不到相关内容的，是供应商的责任。</w:t>
      </w:r>
    </w:p>
    <w:p w14:paraId="4498F45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11.5磋商响应文件因字迹潦草或表达不清所引起的后果由供应商负责。</w:t>
      </w:r>
    </w:p>
    <w:p w14:paraId="2DC42C37">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11.6 供应商没有按照本章节 “磋商响应文件组成”要求提供全部资料，或者没有仔细阅读采购文件，或者没有对采购文件在各方面的要求做出实质性响应是供应商的风险，由此造成的一切后果由供应商自行承担。</w:t>
      </w:r>
    </w:p>
    <w:p w14:paraId="5B16F2AE">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12.磋商响应文件的签章</w:t>
      </w:r>
    </w:p>
    <w:p w14:paraId="633239CF">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12.1磋商响应文件的签章要求：供应商须知前附表第</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款；</w:t>
      </w:r>
    </w:p>
    <w:p w14:paraId="68F20609">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12.2磋商响应文件应由供应商法定代表人或其授权代表签章（电子签章），同时加盖供应商公章（电子签章）。</w:t>
      </w:r>
    </w:p>
    <w:p w14:paraId="439F3041">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12.3电子签章操作指南详见采购公告附件《供应商项目采购－电子招投标操作指南》。</w:t>
      </w:r>
    </w:p>
    <w:p w14:paraId="2036BDF9">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13.磋商响应文件的形式</w:t>
      </w:r>
    </w:p>
    <w:p w14:paraId="249F2AE8">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13.1磋商响应文件的形式：见供应商须知前附表第</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款；</w:t>
      </w:r>
    </w:p>
    <w:p w14:paraId="161E64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13.2“电子加密磋商响应文件”：“电子加密磋商响应文件”是指通过“政采云电子交易客户端”完成磋商响应文件编制后生成并加密的数据电文形式的磋商响应文件。</w:t>
      </w:r>
    </w:p>
    <w:p w14:paraId="186BDF12">
      <w:pPr>
        <w:tabs>
          <w:tab w:val="left" w:pos="360"/>
        </w:tabs>
        <w:spacing w:line="460" w:lineRule="exact"/>
        <w:rPr>
          <w:rFonts w:hint="eastAsia" w:ascii="宋体" w:hAnsi="宋体" w:cs="宋体"/>
          <w:b/>
          <w:color w:val="auto"/>
          <w:sz w:val="24"/>
          <w:highlight w:val="none"/>
        </w:rPr>
      </w:pPr>
      <w:r>
        <w:rPr>
          <w:rFonts w:hint="eastAsia" w:ascii="宋体" w:hAnsi="宋体" w:cs="宋体"/>
          <w:color w:val="auto"/>
          <w:sz w:val="22"/>
          <w:szCs w:val="22"/>
          <w:highlight w:val="none"/>
        </w:rPr>
        <w:t>13.3“备份磋商响应文件”：“备份磋商响应文件”是指与“电子加密磋商响应文件”同时生成的数据电文形式的电子文件（备份标书），其他方式编制的“备份磋商响应文件”视为无效的“备份磋商响应文件”。</w:t>
      </w:r>
    </w:p>
    <w:p w14:paraId="5F3C38BA">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14.磋商响应文件的份数</w:t>
      </w:r>
    </w:p>
    <w:p w14:paraId="47731E71">
      <w:pPr>
        <w:tabs>
          <w:tab w:val="left" w:pos="5355"/>
        </w:tabs>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14.1磋商响应文件的份数：见供应商须知前附表第1</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款。</w:t>
      </w:r>
    </w:p>
    <w:p w14:paraId="16282214">
      <w:pPr>
        <w:tabs>
          <w:tab w:val="left" w:pos="540"/>
        </w:tabs>
        <w:spacing w:line="460" w:lineRule="exact"/>
        <w:rPr>
          <w:rFonts w:hint="eastAsia" w:ascii="宋体" w:hAnsi="宋体" w:cs="宋体"/>
          <w:color w:val="auto"/>
          <w:sz w:val="22"/>
          <w:szCs w:val="22"/>
          <w:highlight w:val="none"/>
        </w:rPr>
      </w:pPr>
      <w:r>
        <w:rPr>
          <w:rFonts w:hint="eastAsia" w:ascii="宋体" w:hAnsi="宋体" w:cs="宋体"/>
          <w:bCs/>
          <w:color w:val="auto"/>
          <w:sz w:val="22"/>
          <w:szCs w:val="22"/>
          <w:highlight w:val="none"/>
        </w:rPr>
        <w:t>15.投标报价</w:t>
      </w:r>
    </w:p>
    <w:p w14:paraId="269A3716">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15.1 供应商应报出本项目内容所包含的所有单价和总价，并且报出价格组成表，对于供应商价格组成表中未列出的项目或没有填写单价和总价的项目，在合同执行时采购人将不予支付，并认为这些项目费用已包括在投标报价内。</w:t>
      </w:r>
    </w:p>
    <w:p w14:paraId="04E3C9BB">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15.2 </w:t>
      </w:r>
      <w:r>
        <w:rPr>
          <w:rFonts w:hint="eastAsia" w:ascii="新宋体" w:hAnsi="新宋体" w:eastAsia="新宋体" w:cs="新宋体"/>
          <w:color w:val="auto"/>
          <w:sz w:val="22"/>
          <w:szCs w:val="22"/>
          <w:highlight w:val="none"/>
        </w:rPr>
        <w:t>本项目为总价合同，投标报价应是成交供应商在正确地完全履行合同义务后采购人应支付给成交供应商的全部服务费用，实行固定总价结算，供应商应根据上述因素自行考虑含入投标总价，否则由此而引起的一切费用均视为已包括在投标总价中</w:t>
      </w:r>
      <w:r>
        <w:rPr>
          <w:rFonts w:hint="eastAsia" w:ascii="宋体" w:hAnsi="宋体" w:cs="宋体"/>
          <w:color w:val="auto"/>
          <w:sz w:val="22"/>
          <w:szCs w:val="22"/>
          <w:highlight w:val="none"/>
        </w:rPr>
        <w:t>。</w:t>
      </w:r>
    </w:p>
    <w:p w14:paraId="17E0BDEE">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15.3 供应商须认真阅读、充分理解采购文件，如有疑问可在询疑截止时间前送达（或传真）采购代理机构，采购代理机构将会统一解答。任何因对本项目采购文件理解不清、产生歧义等由此产生的费用，视作包含在投标总价中。</w:t>
      </w:r>
    </w:p>
    <w:p w14:paraId="3473EBD7">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15.4 供应商必须按第三部分附件的开标一览表（统一格式）、投标分项报价表（统一格式）的内容填写单价、合价及其他事项，并由法定代表人或授权代表签署。</w:t>
      </w:r>
    </w:p>
    <w:p w14:paraId="2B3A7910">
      <w:pPr>
        <w:tabs>
          <w:tab w:val="left" w:pos="540"/>
        </w:tabs>
        <w:spacing w:line="4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15.5 所有投标报价均以人民币报价。</w:t>
      </w:r>
    </w:p>
    <w:p w14:paraId="5245D948">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15.6 采购人不接受任何选择报价，对每一项货物/服务只允许一个报价。</w:t>
      </w:r>
    </w:p>
    <w:p w14:paraId="6ECB53E6">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15.7 采购人要求分类报价是为了方便评标，但在任何情况下不限制采购人以其认为最合适的条款、条件签订合同的权利。</w:t>
      </w:r>
    </w:p>
    <w:p w14:paraId="603D5F4D">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15.8 报价是成交的一个重要因素，但最低报价不是成交的唯一依据。</w:t>
      </w:r>
    </w:p>
    <w:p w14:paraId="70493C9F">
      <w:pPr>
        <w:tabs>
          <w:tab w:val="left" w:pos="-180"/>
          <w:tab w:val="left" w:pos="180"/>
          <w:tab w:val="left" w:pos="360"/>
        </w:tabs>
        <w:spacing w:line="440" w:lineRule="exact"/>
        <w:ind w:left="660" w:hanging="660" w:hangingChars="30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16. </w:t>
      </w:r>
      <w:r>
        <w:rPr>
          <w:rFonts w:hint="eastAsia" w:ascii="宋体" w:hAnsi="宋体" w:cs="宋体"/>
          <w:b/>
          <w:bCs/>
          <w:color w:val="auto"/>
          <w:sz w:val="22"/>
          <w:szCs w:val="22"/>
          <w:highlight w:val="none"/>
        </w:rPr>
        <w:t>供应商如发生下列情况之一，将上报同级政府采购监督管理部门，追究其责任：</w:t>
      </w:r>
    </w:p>
    <w:p w14:paraId="41851D8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（1）供应商在采购文件规定的磋商响应文件有效期内撤回投标；</w:t>
      </w:r>
    </w:p>
    <w:p w14:paraId="68717CA0">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（2）成交供应商未按成交通知书中规定的时间与采购人签订合同；</w:t>
      </w:r>
    </w:p>
    <w:p w14:paraId="05D70A1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（3）供应商在采购文件中提供虚假技术指标及参数，经磋商小组确认属实的。</w:t>
      </w:r>
    </w:p>
    <w:p w14:paraId="61BBE6BF">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（4）经同级政府采购监督管理部门审查认定供应商有违反《中华人民共和国政府采购法》等有关法律法规的行为。</w:t>
      </w:r>
    </w:p>
    <w:p w14:paraId="2D101038">
      <w:pPr>
        <w:tabs>
          <w:tab w:val="left" w:pos="-180"/>
          <w:tab w:val="left" w:pos="180"/>
          <w:tab w:val="left" w:pos="360"/>
        </w:tabs>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17. 磋商响应文件有效期</w:t>
      </w:r>
    </w:p>
    <w:p w14:paraId="50429CEA">
      <w:pPr>
        <w:tabs>
          <w:tab w:val="left" w:pos="540"/>
          <w:tab w:val="left" w:pos="992"/>
        </w:tabs>
        <w:autoSpaceDE w:val="0"/>
        <w:autoSpaceDN w:val="0"/>
        <w:adjustRightInd w:val="0"/>
        <w:spacing w:line="46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17.1 自开标之日起 90天内投标应保持有效。磋商响应文件有效期短于这个规定期限的投标将视为非响应性投标而予以拒绝。</w:t>
      </w:r>
    </w:p>
    <w:p w14:paraId="31C7A1DF">
      <w:pPr>
        <w:spacing w:line="440" w:lineRule="exact"/>
        <w:ind w:left="2"/>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17.2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1872C605">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1" w:name="_Toc58832085"/>
      <w:bookmarkStart w:id="22" w:name="_Toc18954"/>
      <w:bookmarkStart w:id="23" w:name="_Toc38618585"/>
      <w:bookmarkStart w:id="24" w:name="_Toc57626727"/>
      <w:r>
        <w:rPr>
          <w:rFonts w:hint="eastAsia" w:ascii="宋体" w:hAnsi="宋体" w:cs="宋体"/>
          <w:b/>
          <w:bCs/>
          <w:color w:val="auto"/>
          <w:sz w:val="22"/>
          <w:szCs w:val="22"/>
          <w:highlight w:val="none"/>
        </w:rPr>
        <w:t>四   磋商响应文件的递交</w:t>
      </w:r>
      <w:bookmarkEnd w:id="21"/>
      <w:bookmarkEnd w:id="22"/>
      <w:bookmarkEnd w:id="23"/>
      <w:bookmarkEnd w:id="24"/>
    </w:p>
    <w:p w14:paraId="53E5ED67">
      <w:pPr>
        <w:tabs>
          <w:tab w:val="left" w:pos="540"/>
        </w:tabs>
        <w:spacing w:line="460" w:lineRule="exact"/>
        <w:rPr>
          <w:rFonts w:hint="eastAsia" w:ascii="宋体" w:hAnsi="宋体" w:cs="宋体"/>
          <w:b/>
          <w:bCs/>
          <w:color w:val="auto"/>
          <w:kern w:val="0"/>
          <w:sz w:val="22"/>
          <w:szCs w:val="22"/>
          <w:highlight w:val="none"/>
        </w:rPr>
      </w:pPr>
      <w:bookmarkStart w:id="25" w:name="_Toc10467"/>
      <w:r>
        <w:rPr>
          <w:rFonts w:hint="eastAsia" w:ascii="宋体" w:hAnsi="宋体" w:cs="宋体"/>
          <w:b/>
          <w:bCs/>
          <w:color w:val="auto"/>
          <w:kern w:val="0"/>
          <w:sz w:val="22"/>
          <w:szCs w:val="22"/>
          <w:highlight w:val="none"/>
        </w:rPr>
        <w:t>18. 磋商响应文件的递交</w:t>
      </w:r>
    </w:p>
    <w:p w14:paraId="5D6285D1">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18.1磋商响应文件的上传、递交：见供应商须知前附表</w:t>
      </w:r>
      <w:r>
        <w:rPr>
          <w:rFonts w:hint="eastAsia" w:ascii="宋体" w:hAnsi="宋体" w:cs="宋体"/>
          <w:bCs/>
          <w:color w:val="auto"/>
          <w:kern w:val="0"/>
          <w:sz w:val="22"/>
          <w:szCs w:val="22"/>
          <w:highlight w:val="none"/>
          <w:lang w:val="en-US" w:eastAsia="zh-CN"/>
        </w:rPr>
        <w:t>第18款</w:t>
      </w:r>
      <w:r>
        <w:rPr>
          <w:rFonts w:hint="eastAsia" w:ascii="宋体" w:hAnsi="宋体" w:cs="宋体"/>
          <w:bCs/>
          <w:color w:val="auto"/>
          <w:kern w:val="0"/>
          <w:sz w:val="22"/>
          <w:szCs w:val="22"/>
          <w:highlight w:val="none"/>
        </w:rPr>
        <w:t>。</w:t>
      </w:r>
    </w:p>
    <w:p w14:paraId="39D7ECA7">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19. “电子加密磋商响应文件”解密和异常情况处理。</w:t>
      </w:r>
    </w:p>
    <w:p w14:paraId="16654CF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19.1“电子加密磋商响应文件”解密：见供应商须知前附表</w:t>
      </w:r>
      <w:r>
        <w:rPr>
          <w:rFonts w:hint="eastAsia" w:ascii="宋体" w:hAnsi="宋体" w:cs="宋体"/>
          <w:bCs/>
          <w:color w:val="auto"/>
          <w:kern w:val="0"/>
          <w:sz w:val="22"/>
          <w:szCs w:val="22"/>
          <w:highlight w:val="none"/>
          <w:lang w:val="en-US" w:eastAsia="zh-CN"/>
        </w:rPr>
        <w:t>第20款</w:t>
      </w:r>
      <w:r>
        <w:rPr>
          <w:rFonts w:hint="eastAsia" w:ascii="宋体" w:hAnsi="宋体" w:cs="宋体"/>
          <w:bCs/>
          <w:color w:val="auto"/>
          <w:kern w:val="0"/>
          <w:sz w:val="22"/>
          <w:szCs w:val="22"/>
          <w:highlight w:val="none"/>
        </w:rPr>
        <w:t>。</w:t>
      </w:r>
    </w:p>
    <w:p w14:paraId="26048C1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磋商响应文件的补充、修改或撤回</w:t>
      </w:r>
    </w:p>
    <w:p w14:paraId="7B822F20">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3E4DC709">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20.2磋商响应文件递交截止时间后，供应商不得撤回、修改磋商响应文件。</w:t>
      </w:r>
    </w:p>
    <w:p w14:paraId="7F0081B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21. 磋商响应文件的备选方案</w:t>
      </w:r>
    </w:p>
    <w:p w14:paraId="103A2F96">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21.1供应商不得递交任何的投标备选（替代）方案，否则其磋商响应文件将作无效标处理。与“电子加密磋商响应文件”同时生成的“备份磋商响应文件”不是投标备选（替代）方案。</w:t>
      </w:r>
    </w:p>
    <w:p w14:paraId="2B536FBB">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6" w:name="_Toc221356952"/>
      <w:bookmarkStart w:id="27" w:name="_Toc221374627"/>
      <w:bookmarkStart w:id="28" w:name="_Toc239145355"/>
      <w:bookmarkStart w:id="29" w:name="_Toc241404203"/>
      <w:bookmarkStart w:id="30" w:name="_Toc221423620"/>
      <w:bookmarkStart w:id="31" w:name="_Toc221356888"/>
      <w:bookmarkStart w:id="32" w:name="_Toc265529384"/>
      <w:bookmarkStart w:id="33" w:name="_Toc57626728"/>
      <w:bookmarkStart w:id="34" w:name="_Toc58832086"/>
      <w:bookmarkStart w:id="35" w:name="_Toc38618586"/>
      <w:bookmarkStart w:id="36" w:name="_Toc222114880"/>
      <w:bookmarkStart w:id="37" w:name="_Toc38203957"/>
      <w:bookmarkStart w:id="38" w:name="_Toc223715999"/>
      <w:r>
        <w:rPr>
          <w:rFonts w:hint="eastAsia" w:ascii="宋体" w:hAnsi="宋体" w:cs="宋体"/>
          <w:b/>
          <w:bCs/>
          <w:color w:val="auto"/>
          <w:sz w:val="22"/>
          <w:szCs w:val="22"/>
          <w:highlight w:val="none"/>
        </w:rPr>
        <w:t>五   开标</w:t>
      </w:r>
      <w:bookmarkEnd w:id="26"/>
      <w:bookmarkEnd w:id="27"/>
      <w:bookmarkEnd w:id="28"/>
      <w:bookmarkEnd w:id="29"/>
      <w:bookmarkEnd w:id="30"/>
      <w:bookmarkEnd w:id="31"/>
      <w:bookmarkEnd w:id="32"/>
      <w:bookmarkEnd w:id="33"/>
      <w:bookmarkEnd w:id="34"/>
      <w:bookmarkEnd w:id="35"/>
      <w:bookmarkEnd w:id="36"/>
      <w:bookmarkEnd w:id="37"/>
      <w:bookmarkEnd w:id="38"/>
    </w:p>
    <w:p w14:paraId="46D20A8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开标形式</w:t>
      </w:r>
    </w:p>
    <w:p w14:paraId="6284380F">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22.1 采购组织机构将按照采购文件规定的时间通过“政采云平台”组织开标、开启磋商响应文件，所有供应商均应当准时在线参加。</w:t>
      </w:r>
    </w:p>
    <w:p w14:paraId="366170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23. 开标准备</w:t>
      </w:r>
    </w:p>
    <w:p w14:paraId="16C23175">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23.1开标的准备工作由采购组织机构负责落实。</w:t>
      </w:r>
    </w:p>
    <w:p w14:paraId="0EEFB7EC">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05C03BE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24.开标流程（三阶段）</w:t>
      </w:r>
    </w:p>
    <w:p w14:paraId="639810C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24.1开标第一阶段</w:t>
      </w:r>
    </w:p>
    <w:p w14:paraId="1F4B26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24EE984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（2）磋商响应文件解密结束，各供应商签署《政府采购活动现场确认声明书》（见附件）后将扫描件发送至采购代理机构邮箱：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4177C15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（3）开启磋商响应文件，进入资格审查；</w:t>
      </w:r>
    </w:p>
    <w:p w14:paraId="2AAEDA1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（4）开启资格审查通过的供应商的商务技术文件进入符合性审查、商务技术评审；</w:t>
      </w:r>
    </w:p>
    <w:p w14:paraId="1C0E3F8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（5）第一阶段开标结束。</w:t>
      </w:r>
    </w:p>
    <w:p w14:paraId="1099898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14:paraId="6D1DD93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24.2开标大会第二阶段</w:t>
      </w:r>
    </w:p>
    <w:p w14:paraId="11DC233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14:paraId="758BF02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6064589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24.3开标第三阶段</w:t>
      </w:r>
    </w:p>
    <w:p w14:paraId="1440FEB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（1）供应商在规定的时间内在政采云平台提交二次（最终）报价；</w:t>
      </w:r>
    </w:p>
    <w:p w14:paraId="1C1C8EB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（2）开启供应商的二次（最终）报价文件，公布二次（最终）报价有关内容，同时当场制作开标记录，供应商在线进行确认。开标结束后，由磋商小组对报价的合理性、准确性等进行审查核实。</w:t>
      </w:r>
    </w:p>
    <w:p w14:paraId="4F2FD80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2956E5BE">
      <w:pPr>
        <w:tabs>
          <w:tab w:val="left" w:pos="540"/>
        </w:tabs>
        <w:spacing w:line="460" w:lineRule="exact"/>
        <w:rPr>
          <w:rFonts w:hint="eastAsia" w:ascii="宋体" w:hAnsi="宋体" w:cs="宋体"/>
          <w:b/>
          <w:bCs/>
          <w:color w:val="auto"/>
          <w:kern w:val="0"/>
          <w:sz w:val="22"/>
          <w:szCs w:val="22"/>
          <w:highlight w:val="none"/>
        </w:rPr>
      </w:pPr>
      <w:bookmarkStart w:id="39" w:name="_Toc24550037"/>
      <w:bookmarkStart w:id="40" w:name="_Toc33194393"/>
      <w:r>
        <w:rPr>
          <w:rFonts w:hint="eastAsia" w:ascii="宋体" w:hAnsi="宋体" w:cs="宋体"/>
          <w:b/>
          <w:bCs/>
          <w:color w:val="auto"/>
          <w:kern w:val="0"/>
          <w:sz w:val="22"/>
          <w:szCs w:val="22"/>
          <w:highlight w:val="none"/>
        </w:rPr>
        <w:t>25. 供应商资格审查</w:t>
      </w:r>
      <w:bookmarkEnd w:id="39"/>
      <w:bookmarkEnd w:id="40"/>
    </w:p>
    <w:p w14:paraId="61575D7E">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4AE9A29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25.2供应商提交的资格审查材料无法证明其符合采购文件规定的“供应商资格要求”的，采购人或采购代理机构将对其做资格审查不通过处理（无效投标），并不再将其投标提交磋商小组进行后续评审。</w:t>
      </w:r>
    </w:p>
    <w:p w14:paraId="07B4492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25.3单位负责人为同一人或者存在直接控股、管理关系的不同供应商参加同一合同项下的政府采购活动的，相关供应商均作资格无效处理。</w:t>
      </w:r>
    </w:p>
    <w:p w14:paraId="1748AEA0">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1" w:name="_Toc57626729"/>
      <w:bookmarkStart w:id="42" w:name="_Toc38618587"/>
      <w:bookmarkStart w:id="43" w:name="_Toc58832087"/>
      <w:r>
        <w:rPr>
          <w:rFonts w:hint="eastAsia" w:ascii="宋体" w:hAnsi="宋体" w:cs="宋体"/>
          <w:b/>
          <w:bCs/>
          <w:color w:val="auto"/>
          <w:sz w:val="22"/>
          <w:szCs w:val="22"/>
          <w:highlight w:val="none"/>
        </w:rPr>
        <w:t>六   磋商</w:t>
      </w:r>
      <w:bookmarkEnd w:id="25"/>
      <w:bookmarkEnd w:id="41"/>
      <w:bookmarkEnd w:id="42"/>
      <w:bookmarkEnd w:id="43"/>
    </w:p>
    <w:p w14:paraId="353261B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26.磋商小组</w:t>
      </w:r>
    </w:p>
    <w:p w14:paraId="3CCBE7C3">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磋商小组，磋商小组成员由采购人代表和有关技术、经济等方面的专家组成，成员人数为3人及以上，除采购人代表外的专家将在评标专家库中随机抽取产生。</w:t>
      </w:r>
    </w:p>
    <w:p w14:paraId="01C2425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27.磋商评审过程的保密性</w:t>
      </w:r>
    </w:p>
    <w:p w14:paraId="4F13ACD6">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3E4FA719">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28.磋商和评审</w:t>
      </w:r>
    </w:p>
    <w:p w14:paraId="4AA205C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28.1 磋商小组根据磋商文件的规定，对磋商响应文件的有效性、完整性和对磋商文件的响应程度进行审查，以确定其是否对磋商文件作出了实质性响应。实质上没有响应磋商文件要求的磋商响应文件将被否决。</w:t>
      </w:r>
    </w:p>
    <w:p w14:paraId="1E893412">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28.2磋商响应文件的澄清</w:t>
      </w:r>
    </w:p>
    <w:p w14:paraId="455E30E4">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（1）磋商评审过程中供应商有义务对磋商小组提出就磋商响应文件中含义不明确、同类问题表述不</w:t>
      </w:r>
      <w:r>
        <w:rPr>
          <w:rFonts w:hint="eastAsia" w:ascii="宋体" w:hAnsi="宋体" w:cs="宋体"/>
          <w:color w:val="auto"/>
          <w:sz w:val="22"/>
          <w:szCs w:val="22"/>
          <w:highlight w:val="none"/>
        </w:rPr>
        <w:t>一致或者有明显的文字和计算错误的内容进行澄清、说明，或者纠正。并在磋商结束前，对澄清、说明或者纠正的相关内容在政采云平台以书面形式进行最终确认，并由磋商供应商代表签字（签章），但不得改变磋商响应文件的实质性内容。供应商的澄清、说明或者更正应当由法定代表人或其授权代表签字或者加盖公章（CA电子公章）。</w:t>
      </w:r>
    </w:p>
    <w:p w14:paraId="5A2F0E93">
      <w:pPr>
        <w:spacing w:line="4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若磋商响应文件中所提交的证书、证明等材料若出现已过有效期、时间或其他主要信息不明确，且供应商书面澄清（书面澄清仅限在磋商响应文件递交截止时间前所提交磋商响应文件及相关材料中未被磋商小组审查出的内容）亦不明确的，评审过程中将不予认可，不再寻求外部证据（外部证据包括供应商在澄清过程中申请补交的证明材料或网络查询结果等非磋商响应文件本身内容）。</w:t>
      </w:r>
    </w:p>
    <w:p w14:paraId="0C4F2631">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r>
        <w:rPr>
          <w:rFonts w:hint="eastAsia" w:ascii="宋体" w:hAnsi="宋体" w:cs="宋体"/>
          <w:b/>
          <w:bCs/>
          <w:color w:val="auto"/>
          <w:sz w:val="22"/>
          <w:szCs w:val="22"/>
          <w:highlight w:val="none"/>
        </w:rPr>
        <w:t>如果供应商代表拒绝按磋商小组要求在“政采云平台”作出在线回复且无其他有效回复方式的，磋商小组可以否决其磋商响应文件。</w:t>
      </w:r>
    </w:p>
    <w:p w14:paraId="44419860">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28.3</w:t>
      </w:r>
      <w:r>
        <w:rPr>
          <w:rFonts w:hint="eastAsia" w:ascii="宋体" w:hAnsi="宋体" w:cs="宋体"/>
          <w:color w:val="auto"/>
          <w:sz w:val="22"/>
          <w:szCs w:val="22"/>
          <w:highlight w:val="none"/>
          <w:u w:val="single"/>
        </w:rPr>
        <w:t>▲</w:t>
      </w:r>
      <w:r>
        <w:rPr>
          <w:rFonts w:hint="eastAsia" w:ascii="宋体" w:hAnsi="宋体" w:cs="宋体"/>
          <w:b/>
          <w:bCs/>
          <w:color w:val="auto"/>
          <w:sz w:val="22"/>
          <w:szCs w:val="22"/>
          <w:highlight w:val="none"/>
          <w:u w:val="single"/>
        </w:rPr>
        <w:t>经澄清后，若偏差仍存在，且不可接受，磋商供应商则被认为是“没有实质性响应采购文件要求”，其磋商不进入下一步评审</w:t>
      </w:r>
      <w:r>
        <w:rPr>
          <w:rFonts w:hint="eastAsia" w:ascii="宋体" w:hAnsi="宋体" w:cs="宋体"/>
          <w:color w:val="auto"/>
          <w:sz w:val="22"/>
          <w:szCs w:val="22"/>
          <w:highlight w:val="none"/>
        </w:rPr>
        <w:t>。</w:t>
      </w:r>
    </w:p>
    <w:p w14:paraId="0376277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0F7FA1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2EEA0012">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28.6在磋商过程中，磋商供应商不得向磋商小组成员询问磋商情况，不得进行旨在影响磋商结果的活动，否则将取消其磋商资格。</w:t>
      </w:r>
    </w:p>
    <w:p w14:paraId="64170A9B">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28.7在磋商过程中，磋商小组成员不得与磋商供应商私下交换意见，在竞争性磋商结束后，凡与磋商情况有接触的人不得将磋商情况扩散出磋商小组成员外。</w:t>
      </w:r>
    </w:p>
    <w:p w14:paraId="61E7A97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28.8磋商结束后，磋商小组将要求磋商供应商在规定的时间内，统一进行最后报价，最后报价不得高于一次报价（磋商小组另有决议的除外）。</w:t>
      </w:r>
    </w:p>
    <w:p w14:paraId="5B436C51">
      <w:pPr>
        <w:spacing w:line="460" w:lineRule="exact"/>
        <w:rPr>
          <w:rFonts w:hint="eastAsia" w:ascii="宋体" w:hAnsi="宋体" w:cs="宋体"/>
          <w:color w:val="auto"/>
          <w:sz w:val="22"/>
          <w:szCs w:val="22"/>
          <w:highlight w:val="none"/>
        </w:rPr>
      </w:pPr>
      <w:r>
        <w:rPr>
          <w:rFonts w:hint="eastAsia" w:ascii="宋体" w:hAnsi="宋体" w:eastAsia="新宋体"/>
          <w:b/>
          <w:bCs/>
          <w:color w:val="auto"/>
          <w:sz w:val="22"/>
          <w:szCs w:val="22"/>
          <w:highlight w:val="none"/>
          <w:lang w:val="en-US" w:eastAsia="zh-CN"/>
        </w:rPr>
        <w:t>28.9</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认为</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的报价明显低于其他通过符合性审查</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的报价，有可能影响产品质量或者不能诚信履约的，将要求其在合理时间内在“政采云平台”上作出在线澄清并提供书面说明，必要时提交相关证明材料；</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不能证明其报价合理性的，</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应当将其作为无效投标处理</w:t>
      </w:r>
      <w:r>
        <w:rPr>
          <w:rFonts w:hint="eastAsia" w:ascii="新宋体" w:hAnsi="新宋体" w:eastAsia="新宋体" w:cs="新宋体"/>
          <w:color w:val="auto"/>
          <w:kern w:val="0"/>
          <w:sz w:val="22"/>
          <w:szCs w:val="22"/>
          <w:highlight w:val="none"/>
        </w:rPr>
        <w:t>。</w:t>
      </w:r>
    </w:p>
    <w:p w14:paraId="413C32F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29.▲ </w:t>
      </w:r>
      <w:r>
        <w:rPr>
          <w:rFonts w:hint="eastAsia" w:ascii="宋体" w:hAnsi="宋体" w:cs="宋体"/>
          <w:b/>
          <w:bCs/>
          <w:color w:val="auto"/>
          <w:sz w:val="22"/>
          <w:szCs w:val="22"/>
          <w:highlight w:val="none"/>
          <w:u w:val="single"/>
        </w:rPr>
        <w:t>在磋商响应文件的评审过程中，有下列情况之一的，经磋商小组认定后按无效标处理</w:t>
      </w:r>
      <w:r>
        <w:rPr>
          <w:rFonts w:hint="eastAsia" w:ascii="宋体" w:hAnsi="宋体" w:cs="宋体"/>
          <w:color w:val="auto"/>
          <w:sz w:val="22"/>
          <w:szCs w:val="22"/>
          <w:highlight w:val="none"/>
        </w:rPr>
        <w:t>：</w:t>
      </w:r>
    </w:p>
    <w:p w14:paraId="2C91B191">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磋商响应文件未按采购文件的要求签章的；</w:t>
      </w:r>
    </w:p>
    <w:p w14:paraId="456CB4BC">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授权代表没有法定代表人合法、有效委托的；</w:t>
      </w:r>
    </w:p>
    <w:p w14:paraId="6E13F742">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未按采购文件要求提供资格审查资料原件扫描件的；</w:t>
      </w:r>
    </w:p>
    <w:p w14:paraId="60A5F573">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电子磋商响应文件解密失败的，且未在规定时间内提交备份磋商响应文件的；</w:t>
      </w:r>
    </w:p>
    <w:p w14:paraId="675AA1B6">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磋商响应文件内容不全或关键字迹模糊无法辨认的。</w:t>
      </w:r>
    </w:p>
    <w:p w14:paraId="663F5FDB">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供应商递交两份或多份内容不同的磋商响应文件，或在一份磋商响应文件中对同一项目报价有两个或多个报价，且未声明哪一个有效（大小写不一致的除外）。</w:t>
      </w:r>
    </w:p>
    <w:p w14:paraId="6F580215">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磋商响应文件附有采购人不能接受的条件；</w:t>
      </w:r>
    </w:p>
    <w:p w14:paraId="35401AEC">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磋商响应文件采用总价让利或百分比让利等让利方式报价；</w:t>
      </w:r>
    </w:p>
    <w:p w14:paraId="271C5B37">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供应商报价超过项目预算金额或最高限价的；</w:t>
      </w:r>
    </w:p>
    <w:p w14:paraId="63BE372C">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磋商小组认定不符合法律、法规和采购文件中规定的其他实质性要求的。</w:t>
      </w:r>
    </w:p>
    <w:p w14:paraId="0C799143">
      <w:pPr>
        <w:pStyle w:val="14"/>
        <w:numPr>
          <w:ilvl w:val="0"/>
          <w:numId w:val="6"/>
        </w:numPr>
        <w:snapToGrid w:val="0"/>
        <w:spacing w:line="440" w:lineRule="exact"/>
        <w:ind w:firstLine="418" w:firstLineChars="190"/>
        <w:rPr>
          <w:color w:val="auto"/>
          <w:sz w:val="22"/>
          <w:szCs w:val="22"/>
          <w:highlight w:val="none"/>
        </w:rPr>
      </w:pPr>
      <w:r>
        <w:rPr>
          <w:rFonts w:hint="eastAsia"/>
          <w:color w:val="auto"/>
          <w:sz w:val="22"/>
          <w:szCs w:val="22"/>
          <w:highlight w:val="none"/>
        </w:rPr>
        <w:t>不同供应商的电子投标（响应）文件上传的IP地址、MAC地址、硬盘序列号等硬件信息相同且无法合理解释的；</w:t>
      </w:r>
    </w:p>
    <w:p w14:paraId="712CE36B">
      <w:pPr>
        <w:pStyle w:val="14"/>
        <w:numPr>
          <w:ilvl w:val="0"/>
          <w:numId w:val="6"/>
        </w:numPr>
        <w:snapToGrid w:val="0"/>
        <w:spacing w:line="440" w:lineRule="exact"/>
        <w:ind w:firstLine="418" w:firstLineChars="190"/>
        <w:rPr>
          <w:color w:val="auto"/>
          <w:sz w:val="22"/>
          <w:szCs w:val="22"/>
          <w:highlight w:val="none"/>
        </w:rPr>
      </w:pPr>
      <w:r>
        <w:rPr>
          <w:rFonts w:hint="eastAsia"/>
          <w:color w:val="auto"/>
          <w:sz w:val="22"/>
          <w:szCs w:val="22"/>
          <w:highlight w:val="none"/>
        </w:rPr>
        <w:t>不同供应商的电子投标（响应）文件上传时的手机号信息相同且无法合理解释的。</w:t>
      </w:r>
    </w:p>
    <w:p w14:paraId="5C4FFD3C">
      <w:pPr>
        <w:snapToGrid w:val="0"/>
        <w:spacing w:line="440" w:lineRule="exact"/>
        <w:rPr>
          <w:rFonts w:hint="eastAsia" w:ascii="宋体" w:hAnsi="宋体" w:cs="宋体"/>
          <w:color w:val="auto"/>
          <w:sz w:val="22"/>
          <w:szCs w:val="22"/>
          <w:highlight w:val="none"/>
        </w:rPr>
      </w:pPr>
      <w:r>
        <w:rPr>
          <w:rFonts w:hint="eastAsia" w:ascii="宋体" w:hAnsi="宋体" w:cs="宋体"/>
          <w:b/>
          <w:bCs/>
          <w:color w:val="auto"/>
          <w:kern w:val="0"/>
          <w:sz w:val="22"/>
          <w:szCs w:val="22"/>
          <w:highlight w:val="none"/>
          <w:u w:val="single"/>
        </w:rPr>
        <w:t>30.有下列情形之一的，视为供应商串通投标，其磋商响应文件无效</w:t>
      </w:r>
      <w:r>
        <w:rPr>
          <w:rFonts w:hint="eastAsia" w:ascii="宋体" w:hAnsi="宋体" w:cs="宋体"/>
          <w:color w:val="auto"/>
          <w:kern w:val="0"/>
          <w:sz w:val="22"/>
          <w:szCs w:val="22"/>
          <w:highlight w:val="none"/>
        </w:rPr>
        <w:t>：</w:t>
      </w:r>
    </w:p>
    <w:p w14:paraId="1ECD480D">
      <w:pPr>
        <w:numPr>
          <w:ilvl w:val="0"/>
          <w:numId w:val="7"/>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不同供应商的磋商响应文件由同一单位或者个人编制；</w:t>
      </w:r>
    </w:p>
    <w:p w14:paraId="1E0BF8D1">
      <w:pPr>
        <w:numPr>
          <w:ilvl w:val="0"/>
          <w:numId w:val="7"/>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不同供应商委托同一单位或者个人办理投标事宜；</w:t>
      </w:r>
    </w:p>
    <w:p w14:paraId="14BC2E8C">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不同供应商的磋商响应文件载明的项目管理成员或者联系人员为同一人；</w:t>
      </w:r>
    </w:p>
    <w:p w14:paraId="202A31C0">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不同供应商的磋商响应文件异常一致或者投标报价呈规律性差异；</w:t>
      </w:r>
    </w:p>
    <w:p w14:paraId="5F8FA6F9">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不同供应商的磋商响应文件相互混装</w:t>
      </w:r>
      <w:r>
        <w:rPr>
          <w:rFonts w:hint="eastAsia" w:ascii="宋体" w:hAnsi="宋体" w:cs="宋体"/>
          <w:bCs/>
          <w:color w:val="auto"/>
          <w:sz w:val="22"/>
          <w:szCs w:val="22"/>
          <w:highlight w:val="none"/>
          <w:lang w:eastAsia="zh-CN"/>
        </w:rPr>
        <w:t>。</w:t>
      </w:r>
    </w:p>
    <w:p w14:paraId="32496C8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31.推荐成交候选供应商</w:t>
      </w:r>
    </w:p>
    <w:p w14:paraId="10A0BE4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31.1 本项目采购由磋商小组向采购人推荐成交候选供应商。</w:t>
      </w:r>
    </w:p>
    <w:p w14:paraId="4C8CF3A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31.2 磋商小组根据综合评审情况，按照评审得分由高到低顺序，推荐综合得分前两名的供应商为成交候选供应商及成交备选供应商（得分相同最终报价低的排序前位；得分且最终报价相同的，</w:t>
      </w:r>
      <w:r>
        <w:rPr>
          <w:rFonts w:hint="eastAsia" w:ascii="新宋体" w:hAnsi="新宋体" w:eastAsia="新宋体"/>
          <w:color w:val="auto"/>
          <w:sz w:val="22"/>
          <w:szCs w:val="22"/>
          <w:highlight w:val="none"/>
        </w:rPr>
        <w:t>服务执行方案</w:t>
      </w:r>
      <w:r>
        <w:rPr>
          <w:rFonts w:hint="eastAsia" w:ascii="宋体" w:hAnsi="宋体" w:cs="宋体"/>
          <w:color w:val="auto"/>
          <w:sz w:val="22"/>
          <w:szCs w:val="22"/>
          <w:highlight w:val="none"/>
        </w:rPr>
        <w:t>得分最高的供应商推荐为成交候选供应商）。</w:t>
      </w:r>
    </w:p>
    <w:p w14:paraId="57FB83C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32.在磋商过程中符合竞争要求的供应商或者最终报价未超过采购预算的供应商不足3家：</w:t>
      </w:r>
    </w:p>
    <w:p w14:paraId="44A30D31">
      <w:pPr>
        <w:numPr>
          <w:ilvl w:val="0"/>
          <w:numId w:val="8"/>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及成交备选供应商。</w:t>
      </w:r>
    </w:p>
    <w:p w14:paraId="786D2979">
      <w:pPr>
        <w:numPr>
          <w:ilvl w:val="0"/>
          <w:numId w:val="8"/>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磋商过程中符合竞争要求的供应商或者最终报价未超过采购预算的供应商仅有1家，本项目流标，应重新组织采购流程。</w:t>
      </w:r>
    </w:p>
    <w:p w14:paraId="799AD56E">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33.采购人、采购代理机构及磋商小组不向落选的供应商解释落选原因，也不公布评审磋商过程中的相关细节，不退还磋商响应文件。</w:t>
      </w:r>
    </w:p>
    <w:p w14:paraId="7AC7CBBF">
      <w:pPr>
        <w:tabs>
          <w:tab w:val="left" w:pos="1365"/>
        </w:tabs>
        <w:spacing w:line="46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34. 评标细则详见“磋商原则及方法”</w:t>
      </w:r>
      <w:r>
        <w:rPr>
          <w:rFonts w:hint="eastAsia" w:ascii="宋体" w:hAnsi="宋体" w:cs="宋体"/>
          <w:bCs/>
          <w:color w:val="auto"/>
          <w:sz w:val="22"/>
          <w:szCs w:val="22"/>
          <w:highlight w:val="none"/>
        </w:rPr>
        <w:t>。</w:t>
      </w:r>
    </w:p>
    <w:p w14:paraId="6752776B">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14:paraId="3A708018">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270D6FEF">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79445597">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7367C834">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10DAE688">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8A48AAD">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7A7C403A">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742EDF77">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4" w:name="_Toc57626730"/>
      <w:bookmarkStart w:id="45" w:name="_Toc58832088"/>
      <w:bookmarkStart w:id="46" w:name="_Toc38618588"/>
      <w:bookmarkStart w:id="47" w:name="_Toc30604"/>
      <w:r>
        <w:rPr>
          <w:rFonts w:hint="eastAsia" w:ascii="宋体" w:hAnsi="宋体" w:cs="宋体"/>
          <w:b/>
          <w:bCs/>
          <w:color w:val="auto"/>
          <w:sz w:val="22"/>
          <w:szCs w:val="22"/>
          <w:highlight w:val="none"/>
        </w:rPr>
        <w:t>七   定标及授予合同</w:t>
      </w:r>
      <w:bookmarkEnd w:id="44"/>
      <w:bookmarkEnd w:id="45"/>
      <w:bookmarkEnd w:id="46"/>
      <w:bookmarkEnd w:id="47"/>
    </w:p>
    <w:p w14:paraId="061A30F1">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36. 确定成交供应商</w:t>
      </w:r>
    </w:p>
    <w:p w14:paraId="6831F5B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36.1采购人自收到评标报告之日起5个工作日内，在评标报告确定的成交候选供应商名单中按顺序确定成交供应商。</w:t>
      </w:r>
    </w:p>
    <w:p w14:paraId="6C1B2942">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36.2成交供应商确定之日起2个工作日内，在“政采云”平台上公示成交结果，采购结果公示期限为1个工作日。</w:t>
      </w:r>
    </w:p>
    <w:p w14:paraId="5E451F2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36.3在公告成交结果的同时，采购人向成交供应商发出成交通知书。</w:t>
      </w:r>
    </w:p>
    <w:p w14:paraId="0478C157">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36.4各供应商对评标结果如有异议，可在成交结果公示之日起7个工作日内以书面形式向采购人</w:t>
      </w:r>
      <w:r>
        <w:rPr>
          <w:rFonts w:hint="eastAsia" w:ascii="宋体" w:hAnsi="宋体" w:cs="宋体"/>
          <w:color w:val="auto"/>
          <w:sz w:val="22"/>
          <w:szCs w:val="22"/>
          <w:highlight w:val="none"/>
          <w:lang w:val="en-US" w:eastAsia="zh-CN"/>
        </w:rPr>
        <w:t>或采购代理机构</w:t>
      </w:r>
      <w:r>
        <w:rPr>
          <w:rFonts w:hint="eastAsia" w:ascii="宋体" w:hAnsi="宋体" w:cs="宋体"/>
          <w:color w:val="auto"/>
          <w:sz w:val="22"/>
          <w:szCs w:val="22"/>
          <w:highlight w:val="none"/>
        </w:rPr>
        <w:t>进行</w:t>
      </w:r>
      <w:r>
        <w:rPr>
          <w:rFonts w:hint="eastAsia" w:ascii="宋体" w:hAnsi="宋体" w:cs="宋体"/>
          <w:color w:val="auto"/>
          <w:sz w:val="22"/>
          <w:szCs w:val="22"/>
          <w:highlight w:val="none"/>
          <w:lang w:val="en-US" w:eastAsia="zh-CN"/>
        </w:rPr>
        <w:t>实名</w:t>
      </w:r>
      <w:r>
        <w:rPr>
          <w:rFonts w:hint="eastAsia" w:ascii="宋体" w:hAnsi="宋体" w:cs="宋体"/>
          <w:color w:val="auto"/>
          <w:sz w:val="22"/>
          <w:szCs w:val="22"/>
          <w:highlight w:val="none"/>
        </w:rPr>
        <w:t>投诉或质疑，但需对投诉或质疑内容的真实性承担法律责任。</w:t>
      </w:r>
    </w:p>
    <w:p w14:paraId="397927CC">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37. 签订合同</w:t>
      </w:r>
    </w:p>
    <w:p w14:paraId="3CBE5E4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337964B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37.2采购文件、成交供应商的磋商响应文件及投标修改文件、评标过程中有关澄清文件及经双方签字的询标纪要（承诺）和成交通知书均作为合同附件。</w:t>
      </w:r>
    </w:p>
    <w:p w14:paraId="35A49439">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37.3拒签合同的责任</w:t>
      </w:r>
    </w:p>
    <w:p w14:paraId="14B2D47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37.4成交供应商在规定时间内（30日历天）借故否认已经承诺的条件、拒签合同，以投标违约处理，并赔偿采购人由此造成的直接经济损失；采购人重新组织采购的，所需费用由原成交供应商承担。</w:t>
      </w:r>
    </w:p>
    <w:p w14:paraId="62457EB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38.成交供应商有以下情况的，则采购人有权决定是否将其成交资格转交成交备选供应商或重新组织项目采购流程：</w:t>
      </w:r>
    </w:p>
    <w:p w14:paraId="66DF8A51">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成交供应商主动放弃成交资格；</w:t>
      </w:r>
    </w:p>
    <w:p w14:paraId="3FAD4047">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成交供应商因不可抗力提出不能履行合同；</w:t>
      </w:r>
    </w:p>
    <w:p w14:paraId="49ACF190">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成交供应商未能在规定时间内与采购人签订合同；</w:t>
      </w:r>
    </w:p>
    <w:p w14:paraId="2DEACC16">
      <w:pPr>
        <w:numPr>
          <w:ilvl w:val="0"/>
          <w:numId w:val="10"/>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经质疑，采购人审查后，成交供应商确实在本次采购活动中存在违法违规行为或其他原因使质疑成立的。</w:t>
      </w:r>
    </w:p>
    <w:p w14:paraId="5769445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39.未详尽事宜，遵照有关法律法规及规范性文件的规定执行。</w:t>
      </w:r>
    </w:p>
    <w:p w14:paraId="4537A8B8">
      <w:pPr>
        <w:pStyle w:val="384"/>
        <w:spacing w:line="500" w:lineRule="exact"/>
        <w:ind w:firstLine="0" w:firstLineChars="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rPr>
        <w:t>政府采购活动现场确认声明书</w:t>
      </w:r>
    </w:p>
    <w:p w14:paraId="78D42589">
      <w:pPr>
        <w:pStyle w:val="384"/>
        <w:spacing w:line="500" w:lineRule="exact"/>
        <w:ind w:firstLine="442"/>
        <w:rPr>
          <w:rFonts w:hint="eastAsia"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14:paraId="41140D32">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3D7114BC">
      <w:pPr>
        <w:pStyle w:val="383"/>
        <w:widowControl/>
        <w:numPr>
          <w:ilvl w:val="0"/>
          <w:numId w:val="11"/>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466495A0">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A.投资关系    B.行政隶属关系    C.业务指导关系</w:t>
      </w:r>
    </w:p>
    <w:p w14:paraId="5CDCC53C">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D.其他可能影响采购公正的利害关系（如有，请如实说明）</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w:t>
      </w:r>
    </w:p>
    <w:p w14:paraId="15C04197">
      <w:pPr>
        <w:pStyle w:val="383"/>
        <w:widowControl/>
        <w:numPr>
          <w:ilvl w:val="0"/>
          <w:numId w:val="11"/>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p>
    <w:p w14:paraId="2F754B45">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A.法定代表人或负责人或实际控制人是同一人</w:t>
      </w:r>
    </w:p>
    <w:p w14:paraId="73A42714">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B.法定代表人或负责人或实际控制人是夫妻关系</w:t>
      </w:r>
    </w:p>
    <w:p w14:paraId="513F260A">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C.法定代表人或负责人或实际控制人是直系血亲关系</w:t>
      </w:r>
    </w:p>
    <w:p w14:paraId="795F0409">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D.法定代表人或负责人或实际控制人存在三代以内旁系血亲关系</w:t>
      </w:r>
    </w:p>
    <w:p w14:paraId="707D72BE">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E.法定代表人或负责人或实际控制人存在近姻亲关系</w:t>
      </w:r>
    </w:p>
    <w:p w14:paraId="35B3FA4E">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F.法定代表人或负责人或实际控制人存在股份控制或实际控制关系</w:t>
      </w:r>
    </w:p>
    <w:p w14:paraId="34DA1F53">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G.存在共同直接或间接投资设立子公司、联营企业和合营企业情况</w:t>
      </w:r>
    </w:p>
    <w:p w14:paraId="1533A0D2">
      <w:pPr>
        <w:pStyle w:val="384"/>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H.存在分级代理或代销关系、同一生产制造商关系、管理关系、重要业务（占主营业务收入50%以上）或重要财务往来关系（如融资）等其他实质性控制关系</w:t>
      </w:r>
    </w:p>
    <w:p w14:paraId="56202EE8">
      <w:pPr>
        <w:pStyle w:val="384"/>
        <w:spacing w:line="480" w:lineRule="exact"/>
        <w:ind w:firstLine="440"/>
        <w:rPr>
          <w:rFonts w:hint="eastAsia" w:hAnsi="宋体" w:cs="宋体"/>
          <w:color w:val="auto"/>
          <w:spacing w:val="6"/>
          <w:sz w:val="22"/>
          <w:szCs w:val="22"/>
          <w:highlight w:val="none"/>
        </w:rPr>
      </w:pPr>
      <w:r>
        <w:rPr>
          <w:rFonts w:hint="eastAsia" w:hAnsi="宋体" w:cs="宋体"/>
          <w:color w:val="auto"/>
          <w:sz w:val="22"/>
          <w:szCs w:val="22"/>
          <w:highlight w:val="none"/>
        </w:rPr>
        <w:t>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3BA03805">
      <w:pPr>
        <w:pStyle w:val="383"/>
        <w:widowControl/>
        <w:numPr>
          <w:ilvl w:val="0"/>
          <w:numId w:val="1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65BA4276">
      <w:pPr>
        <w:pStyle w:val="383"/>
        <w:widowControl/>
        <w:numPr>
          <w:ilvl w:val="0"/>
          <w:numId w:val="1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项利害关系。</w:t>
      </w:r>
    </w:p>
    <w:p w14:paraId="4D828882">
      <w:pPr>
        <w:pStyle w:val="384"/>
        <w:spacing w:line="500" w:lineRule="exact"/>
        <w:ind w:firstLine="440"/>
        <w:rPr>
          <w:rFonts w:hint="eastAsia" w:hAnsi="宋体" w:cs="宋体"/>
          <w:color w:val="auto"/>
          <w:sz w:val="22"/>
          <w:szCs w:val="22"/>
          <w:highlight w:val="none"/>
        </w:rPr>
      </w:pPr>
    </w:p>
    <w:p w14:paraId="29950DD5">
      <w:pPr>
        <w:pStyle w:val="384"/>
        <w:spacing w:line="500" w:lineRule="exact"/>
        <w:ind w:firstLine="440"/>
        <w:rPr>
          <w:rFonts w:hint="eastAsia" w:hAnsi="宋体" w:cs="宋体"/>
          <w:color w:val="auto"/>
          <w:sz w:val="22"/>
          <w:szCs w:val="22"/>
          <w:highlight w:val="none"/>
          <w:u w:val="single"/>
        </w:rPr>
      </w:pPr>
      <w:r>
        <w:rPr>
          <w:rFonts w:hint="eastAsia" w:hAnsi="宋体" w:cs="宋体"/>
          <w:color w:val="auto"/>
          <w:sz w:val="22"/>
          <w:szCs w:val="22"/>
          <w:highlight w:val="none"/>
        </w:rPr>
        <w:t>供应商代表签字：</w:t>
      </w:r>
    </w:p>
    <w:p w14:paraId="391F37BC">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1A8F742B">
      <w:pPr>
        <w:spacing w:line="440" w:lineRule="exact"/>
        <w:jc w:val="right"/>
        <w:rPr>
          <w:rFonts w:hint="eastAsia" w:ascii="宋体" w:hAnsi="宋体" w:cs="宋体"/>
          <w:color w:val="auto"/>
          <w:sz w:val="22"/>
          <w:szCs w:val="22"/>
          <w:highlight w:val="none"/>
        </w:rPr>
      </w:pPr>
    </w:p>
    <w:p w14:paraId="4D28164F">
      <w:pPr>
        <w:spacing w:line="440" w:lineRule="exact"/>
        <w:jc w:val="righ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2EC0B11E">
      <w:pPr>
        <w:pStyle w:val="51"/>
        <w:ind w:firstLine="1732" w:firstLineChars="784"/>
        <w:jc w:val="both"/>
        <w:rPr>
          <w:rFonts w:hint="eastAsia"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48" w:name="_Toc495955195"/>
      <w:bookmarkStart w:id="49" w:name="_Toc8508"/>
      <w:bookmarkStart w:id="50" w:name="_Toc497985017"/>
      <w:r>
        <w:rPr>
          <w:rFonts w:hint="eastAsia" w:ascii="宋体" w:hAnsi="宋体" w:cs="宋体"/>
          <w:color w:val="auto"/>
          <w:kern w:val="2"/>
          <w:sz w:val="36"/>
          <w:szCs w:val="36"/>
          <w:highlight w:val="none"/>
        </w:rPr>
        <w:t xml:space="preserve">  </w:t>
      </w:r>
      <w:bookmarkStart w:id="51" w:name="_Toc21348"/>
      <w:bookmarkStart w:id="52" w:name="_Toc58832089"/>
      <w:r>
        <w:rPr>
          <w:rFonts w:hint="eastAsia" w:ascii="宋体" w:hAnsi="宋体" w:cs="宋体"/>
          <w:color w:val="auto"/>
          <w:sz w:val="36"/>
          <w:szCs w:val="36"/>
          <w:highlight w:val="none"/>
        </w:rPr>
        <w:t xml:space="preserve">第二部分   </w:t>
      </w:r>
      <w:r>
        <w:rPr>
          <w:rFonts w:hint="eastAsia" w:ascii="宋体" w:hAnsi="宋体" w:cs="宋体"/>
          <w:color w:val="auto"/>
          <w:kern w:val="2"/>
          <w:sz w:val="36"/>
          <w:szCs w:val="36"/>
          <w:highlight w:val="none"/>
        </w:rPr>
        <w:t>政府采购政策功能相关说明</w:t>
      </w:r>
      <w:bookmarkEnd w:id="48"/>
      <w:bookmarkEnd w:id="49"/>
      <w:bookmarkEnd w:id="50"/>
      <w:bookmarkEnd w:id="51"/>
      <w:bookmarkEnd w:id="52"/>
    </w:p>
    <w:p w14:paraId="3A2CFE2A">
      <w:pPr>
        <w:jc w:val="left"/>
        <w:rPr>
          <w:rFonts w:hint="eastAsia" w:ascii="宋体" w:hAnsi="宋体" w:cs="宋体"/>
          <w:b/>
          <w:color w:val="auto"/>
          <w:sz w:val="22"/>
          <w:highlight w:val="none"/>
        </w:rPr>
      </w:pPr>
    </w:p>
    <w:p w14:paraId="7D7C36E6">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15058B7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14:paraId="11CBA48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3797776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（2）浙江省财政厅《关于开展政府采购供应商网上注册登记和诚信管理工作的通知》（浙财采监〔2010〕8号）</w:t>
      </w:r>
    </w:p>
    <w:p w14:paraId="5AD68A5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5ECF0E4B">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5467695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56ECCE3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51C03AB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21298E2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5ED3240B">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34016A5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3EB4BF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2504CF2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5850C30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4B6AB08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14:paraId="507E7E7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2C3575C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48DBF0DB">
      <w:pPr>
        <w:spacing w:line="440" w:lineRule="atLeast"/>
        <w:ind w:firstLine="440" w:firstLineChars="200"/>
        <w:jc w:val="left"/>
        <w:rPr>
          <w:rFonts w:hint="eastAsia" w:ascii="宋体" w:hAnsi="宋体" w:cs="宋体"/>
          <w:color w:val="auto"/>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14:paraId="3F7DB658">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4.享受小微企业价格扣除应提供以下证明材料（磋商响应文件报价文件中，不提供的不享受价格扣除）</w:t>
      </w:r>
      <w:r>
        <w:rPr>
          <w:rFonts w:hint="eastAsia" w:ascii="宋体" w:hAnsi="宋体" w:cs="宋体"/>
          <w:b/>
          <w:bCs/>
          <w:color w:val="auto"/>
          <w:sz w:val="22"/>
          <w:highlight w:val="none"/>
        </w:rPr>
        <w:t>：</w:t>
      </w:r>
    </w:p>
    <w:p w14:paraId="5264E6A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（1）《中小企业声明函》（原件，加盖供应商公章，格式见附件1）</w:t>
      </w:r>
    </w:p>
    <w:p w14:paraId="48003F0B">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享受监狱企业价格扣除应提供以下证明材料（磋商响应文件报价文件中，不提供的不享受价格扣除）</w:t>
      </w:r>
      <w:r>
        <w:rPr>
          <w:rFonts w:hint="eastAsia" w:ascii="宋体" w:hAnsi="宋体" w:cs="宋体"/>
          <w:bCs/>
          <w:color w:val="auto"/>
          <w:sz w:val="22"/>
          <w:highlight w:val="none"/>
        </w:rPr>
        <w:t>：</w:t>
      </w:r>
    </w:p>
    <w:p w14:paraId="34D9B06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33147B4">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享受残疾人福利性单位价格扣除应提供以下证明材料（磋商响应文件报价文件中，不提供的不享受价格扣除）</w:t>
      </w:r>
      <w:r>
        <w:rPr>
          <w:rFonts w:hint="eastAsia" w:ascii="宋体" w:hAnsi="宋体" w:cs="宋体"/>
          <w:bCs/>
          <w:color w:val="auto"/>
          <w:sz w:val="22"/>
          <w:highlight w:val="none"/>
        </w:rPr>
        <w:t>：</w:t>
      </w:r>
    </w:p>
    <w:p w14:paraId="291630C4">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1A65F6D7">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扣除。</w:t>
      </w:r>
    </w:p>
    <w:p w14:paraId="34B98034">
      <w:pPr>
        <w:pStyle w:val="260"/>
        <w:spacing w:before="120"/>
        <w:rPr>
          <w:rFonts w:hint="eastAsia" w:ascii="宋体" w:hAnsi="宋体" w:cs="宋体"/>
          <w:color w:val="auto"/>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4770119A">
      <w:pPr>
        <w:pStyle w:val="260"/>
        <w:spacing w:before="120"/>
        <w:rPr>
          <w:rFonts w:hint="eastAsia" w:ascii="宋体" w:hAnsi="宋体" w:cs="宋体"/>
          <w:color w:val="auto"/>
          <w:highlight w:val="none"/>
        </w:rPr>
      </w:pPr>
    </w:p>
    <w:p w14:paraId="79ED480C">
      <w:pPr>
        <w:pStyle w:val="260"/>
        <w:spacing w:before="120"/>
        <w:rPr>
          <w:rFonts w:hint="eastAsia" w:ascii="宋体" w:hAnsi="宋体" w:cs="宋体"/>
          <w:color w:val="auto"/>
          <w:highlight w:val="none"/>
        </w:rPr>
      </w:pPr>
    </w:p>
    <w:p w14:paraId="08D4637C">
      <w:pPr>
        <w:pStyle w:val="260"/>
        <w:spacing w:before="120"/>
        <w:rPr>
          <w:rFonts w:hint="eastAsia" w:ascii="宋体" w:hAnsi="宋体" w:cs="宋体"/>
          <w:color w:val="auto"/>
          <w:highlight w:val="none"/>
        </w:rPr>
      </w:pPr>
    </w:p>
    <w:p w14:paraId="6AC9BC7B">
      <w:pPr>
        <w:pStyle w:val="260"/>
        <w:spacing w:before="120"/>
        <w:rPr>
          <w:rFonts w:hint="eastAsia" w:ascii="宋体" w:hAnsi="宋体" w:cs="宋体"/>
          <w:color w:val="auto"/>
          <w:highlight w:val="none"/>
        </w:rPr>
      </w:pPr>
    </w:p>
    <w:p w14:paraId="74AA6C9A">
      <w:pPr>
        <w:pStyle w:val="260"/>
        <w:spacing w:before="120"/>
        <w:rPr>
          <w:rFonts w:hint="eastAsia" w:ascii="宋体" w:hAnsi="宋体" w:cs="宋体"/>
          <w:color w:val="auto"/>
          <w:highlight w:val="none"/>
        </w:rPr>
      </w:pPr>
    </w:p>
    <w:p w14:paraId="487BD7B9">
      <w:pPr>
        <w:pStyle w:val="260"/>
        <w:spacing w:before="120"/>
        <w:rPr>
          <w:rFonts w:hint="eastAsia" w:ascii="宋体" w:hAnsi="宋体" w:cs="宋体"/>
          <w:color w:val="auto"/>
          <w:highlight w:val="none"/>
        </w:rPr>
      </w:pPr>
    </w:p>
    <w:p w14:paraId="14796383">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22"/>
          <w:szCs w:val="22"/>
          <w:highlight w:val="none"/>
        </w:rPr>
        <w:br w:type="page"/>
      </w:r>
      <w:r>
        <w:rPr>
          <w:rFonts w:hint="eastAsia" w:ascii="宋体" w:hAnsi="宋体" w:cs="宋体"/>
          <w:b/>
          <w:color w:val="auto"/>
          <w:sz w:val="24"/>
          <w:highlight w:val="none"/>
        </w:rPr>
        <w:t>附件1：</w:t>
      </w:r>
    </w:p>
    <w:p w14:paraId="37F7866A">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中小企业声明函（货物）</w:t>
      </w:r>
    </w:p>
    <w:p w14:paraId="7327556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14:paraId="6121A238">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4E6E859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1DB9728B">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378AC20C">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411BC358">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0566323A">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26BAF08D">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59153261">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88BC41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59D9E5B7">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C069011">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598BC32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34E62CD0">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14:paraId="4577F09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D7B749">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6C42CE5E">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05DBAFD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29FF26E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2D471210">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11B99F73">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699A7F7F">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27A55B9E">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2EB3B0D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51499A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9152C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44F515">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2F230D9B">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35FAB64F">
      <w:pPr>
        <w:widowControl/>
        <w:spacing w:before="100" w:beforeAutospacing="1" w:after="100" w:afterAutospacing="1" w:line="440" w:lineRule="atLeast"/>
        <w:jc w:val="center"/>
        <w:rPr>
          <w:rFonts w:hint="eastAsia" w:ascii="宋体" w:hAnsi="宋体" w:cs="宋体"/>
          <w:b/>
          <w:bCs/>
          <w:color w:val="auto"/>
          <w:sz w:val="24"/>
          <w:highlight w:val="none"/>
        </w:rPr>
      </w:pPr>
      <w:bookmarkStart w:id="53" w:name="OLE_LINK14"/>
      <w:bookmarkStart w:id="54" w:name="OLE_LINK13"/>
      <w:r>
        <w:rPr>
          <w:rFonts w:hint="eastAsia" w:ascii="宋体" w:hAnsi="宋体" w:cs="宋体"/>
          <w:b/>
          <w:bCs/>
          <w:color w:val="auto"/>
          <w:sz w:val="24"/>
          <w:highlight w:val="none"/>
        </w:rPr>
        <w:t>残疾人福利性单位声明函</w:t>
      </w:r>
      <w:bookmarkEnd w:id="53"/>
      <w:bookmarkEnd w:id="54"/>
    </w:p>
    <w:p w14:paraId="7C5C1F1F">
      <w:pPr>
        <w:spacing w:line="588" w:lineRule="exact"/>
        <w:rPr>
          <w:rFonts w:hint="eastAsia" w:ascii="宋体" w:hAnsi="宋体" w:cs="宋体"/>
          <w:b/>
          <w:color w:val="auto"/>
          <w:spacing w:val="6"/>
          <w:sz w:val="30"/>
          <w:szCs w:val="30"/>
          <w:highlight w:val="none"/>
        </w:rPr>
      </w:pPr>
    </w:p>
    <w:p w14:paraId="68A64836">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DC8C7E">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C9CEC28">
      <w:pPr>
        <w:spacing w:line="588" w:lineRule="exact"/>
        <w:ind w:firstLine="464" w:firstLineChars="200"/>
        <w:rPr>
          <w:rFonts w:hint="eastAsia" w:ascii="宋体" w:hAnsi="宋体" w:cs="宋体"/>
          <w:color w:val="auto"/>
          <w:spacing w:val="6"/>
          <w:sz w:val="22"/>
          <w:szCs w:val="22"/>
          <w:highlight w:val="none"/>
        </w:rPr>
      </w:pPr>
    </w:p>
    <w:p w14:paraId="19C4B853">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687C59C6">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供应商全称（盖章）：</w:t>
      </w:r>
    </w:p>
    <w:p w14:paraId="6DFECDD4">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1D6EC738">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6D23F33E">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150E0B24">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05054708">
      <w:pPr>
        <w:numPr>
          <w:ilvl w:val="2"/>
          <w:numId w:val="13"/>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3DCBB5FF">
      <w:pPr>
        <w:numPr>
          <w:ilvl w:val="2"/>
          <w:numId w:val="13"/>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171B2BA3">
      <w:pPr>
        <w:tabs>
          <w:tab w:val="left" w:pos="4860"/>
        </w:tabs>
        <w:spacing w:line="588" w:lineRule="exact"/>
        <w:ind w:right="1560"/>
        <w:jc w:val="left"/>
        <w:rPr>
          <w:rFonts w:hint="eastAsia" w:ascii="宋体" w:hAnsi="宋体" w:cs="宋体"/>
          <w:color w:val="auto"/>
          <w:sz w:val="22"/>
          <w:szCs w:val="22"/>
          <w:highlight w:val="none"/>
        </w:rPr>
      </w:pPr>
    </w:p>
    <w:p w14:paraId="4B33E667">
      <w:pPr>
        <w:pStyle w:val="51"/>
        <w:rPr>
          <w:rFonts w:hint="eastAsia" w:ascii="宋体" w:hAnsi="宋体" w:cs="宋体"/>
          <w:color w:val="auto"/>
          <w:sz w:val="22"/>
          <w:szCs w:val="22"/>
          <w:highlight w:val="none"/>
        </w:rPr>
      </w:pPr>
    </w:p>
    <w:p w14:paraId="07BDA2C7">
      <w:pPr>
        <w:spacing w:line="440" w:lineRule="exact"/>
        <w:rPr>
          <w:rFonts w:hint="eastAsia" w:ascii="宋体" w:hAnsi="宋体" w:cs="宋体"/>
          <w:b/>
          <w:bCs/>
          <w:color w:val="auto"/>
          <w:sz w:val="22"/>
          <w:szCs w:val="22"/>
          <w:highlight w:val="none"/>
        </w:rPr>
      </w:pPr>
    </w:p>
    <w:p w14:paraId="10279592">
      <w:pPr>
        <w:spacing w:line="440" w:lineRule="atLeast"/>
        <w:rPr>
          <w:rFonts w:hint="eastAsia" w:ascii="宋体" w:hAnsi="宋体" w:cs="宋体"/>
          <w:b/>
          <w:color w:val="auto"/>
          <w:sz w:val="24"/>
          <w:highlight w:val="none"/>
        </w:rPr>
      </w:pPr>
    </w:p>
    <w:p w14:paraId="4F664E69">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55" w:name="_Toc58832090"/>
      <w:r>
        <w:rPr>
          <w:rFonts w:hint="eastAsia" w:ascii="宋体" w:hAnsi="宋体" w:eastAsia="宋体" w:cs="宋体"/>
          <w:color w:val="auto"/>
          <w:sz w:val="36"/>
          <w:szCs w:val="36"/>
          <w:highlight w:val="none"/>
        </w:rPr>
        <w:t>第三部分   合同条款及格式</w:t>
      </w:r>
      <w:bookmarkEnd w:id="55"/>
    </w:p>
    <w:p w14:paraId="409E837D">
      <w:pPr>
        <w:rPr>
          <w:rFonts w:hint="eastAsia" w:ascii="宋体" w:hAnsi="宋体" w:cs="宋体"/>
          <w:color w:val="auto"/>
          <w:highlight w:val="none"/>
        </w:rPr>
      </w:pPr>
    </w:p>
    <w:p w14:paraId="095953B1">
      <w:pPr>
        <w:spacing w:line="400" w:lineRule="exact"/>
        <w:ind w:firstLine="440" w:firstLineChars="200"/>
        <w:rPr>
          <w:rFonts w:hint="eastAsia" w:ascii="新宋体" w:hAnsi="新宋体" w:eastAsia="新宋体" w:cs="新宋体"/>
          <w:color w:val="auto"/>
          <w:sz w:val="22"/>
          <w:szCs w:val="22"/>
          <w:highlight w:val="none"/>
        </w:rPr>
      </w:pPr>
      <w:bookmarkStart w:id="56" w:name="_Toc223716002"/>
      <w:bookmarkStart w:id="57" w:name="_Toc246996253"/>
      <w:bookmarkStart w:id="58" w:name="_Toc239145358"/>
      <w:bookmarkStart w:id="59" w:name="_Toc265529387"/>
      <w:bookmarkStart w:id="60" w:name="_Toc221356891"/>
      <w:bookmarkStart w:id="61" w:name="_Toc152045610"/>
      <w:bookmarkStart w:id="62" w:name="_Toc296602498"/>
      <w:bookmarkStart w:id="63" w:name="_Toc221356955"/>
      <w:bookmarkStart w:id="64" w:name="_Toc152042388"/>
      <w:bookmarkStart w:id="65" w:name="_Toc246996996"/>
      <w:bookmarkStart w:id="66" w:name="_Toc222114883"/>
      <w:bookmarkStart w:id="67" w:name="_Toc221423623"/>
      <w:bookmarkStart w:id="68" w:name="_Toc144974578"/>
      <w:bookmarkStart w:id="69" w:name="_Toc179632628"/>
      <w:bookmarkStart w:id="70" w:name="_Toc221374630"/>
      <w:bookmarkStart w:id="71" w:name="_Toc247085768"/>
      <w:bookmarkStart w:id="72" w:name="_Toc241404206"/>
      <w:r>
        <w:rPr>
          <w:rFonts w:hint="eastAsia" w:ascii="新宋体" w:hAnsi="新宋体" w:eastAsia="新宋体" w:cs="新宋体"/>
          <w:color w:val="auto"/>
          <w:sz w:val="22"/>
          <w:szCs w:val="22"/>
          <w:highlight w:val="none"/>
        </w:rPr>
        <w:t>说明：</w:t>
      </w:r>
      <w:r>
        <w:rPr>
          <w:rFonts w:hint="eastAsia" w:ascii="宋体" w:hAnsi="宋体" w:cs="宋体"/>
          <w:color w:val="auto"/>
          <w:kern w:val="0"/>
          <w:sz w:val="22"/>
          <w:szCs w:val="22"/>
          <w:highlight w:val="none"/>
          <w:lang w:val="zh-CN"/>
        </w:rPr>
        <w:t>本合同作为示范文本，</w:t>
      </w:r>
      <w:r>
        <w:rPr>
          <w:rFonts w:hint="eastAsia" w:ascii="新宋体" w:hAnsi="新宋体" w:eastAsia="新宋体" w:cs="新宋体"/>
          <w:color w:val="auto"/>
          <w:sz w:val="22"/>
          <w:szCs w:val="22"/>
          <w:highlight w:val="none"/>
        </w:rPr>
        <w:t>如甲、乙双方同意，合同格式也可以按照其他形式，但合同主要条款的相关内容应与本章节要求的内容相符，</w:t>
      </w:r>
      <w:r>
        <w:rPr>
          <w:rFonts w:hint="eastAsia" w:ascii="宋体" w:hAnsi="宋体" w:cs="宋体"/>
          <w:color w:val="auto"/>
          <w:kern w:val="0"/>
          <w:sz w:val="22"/>
          <w:szCs w:val="22"/>
          <w:highlight w:val="none"/>
          <w:lang w:val="zh-CN"/>
        </w:rPr>
        <w:t>具体以成交人与采购人所签定正式合同为准</w:t>
      </w:r>
    </w:p>
    <w:p w14:paraId="6AEBA89F">
      <w:pPr>
        <w:keepNext/>
        <w:keepLines/>
        <w:spacing w:line="360" w:lineRule="auto"/>
        <w:rPr>
          <w:rFonts w:eastAsiaTheme="minorEastAsia"/>
          <w:color w:val="auto"/>
          <w:sz w:val="24"/>
          <w:highlight w:val="none"/>
          <w:u w:val="single"/>
        </w:rPr>
      </w:pPr>
      <w:r>
        <w:rPr>
          <w:rFonts w:eastAsiaTheme="minorEastAsia"/>
          <w:color w:val="auto"/>
          <w:sz w:val="24"/>
          <w:highlight w:val="none"/>
        </w:rPr>
        <w:t>合同编号：</w:t>
      </w:r>
      <w:r>
        <w:rPr>
          <w:rFonts w:hint="eastAsia" w:eastAsiaTheme="minorEastAsia"/>
          <w:color w:val="auto"/>
          <w:sz w:val="24"/>
          <w:highlight w:val="none"/>
        </w:rPr>
        <w:t xml:space="preserve">                          </w:t>
      </w:r>
    </w:p>
    <w:p w14:paraId="5C145DDC">
      <w:pPr>
        <w:keepNext/>
        <w:keepLines/>
        <w:spacing w:line="360" w:lineRule="auto"/>
        <w:rPr>
          <w:rFonts w:eastAsiaTheme="minorEastAsia"/>
          <w:color w:val="auto"/>
          <w:sz w:val="24"/>
          <w:highlight w:val="none"/>
          <w:u w:val="single"/>
        </w:rPr>
      </w:pPr>
    </w:p>
    <w:p w14:paraId="020D597F">
      <w:pPr>
        <w:pStyle w:val="308"/>
        <w:keepNext/>
        <w:keepLines/>
        <w:rPr>
          <w:rFonts w:eastAsiaTheme="minorEastAsia"/>
          <w:color w:val="auto"/>
          <w:szCs w:val="24"/>
          <w:highlight w:val="none"/>
        </w:rPr>
      </w:pPr>
    </w:p>
    <w:p w14:paraId="56F954C1">
      <w:pPr>
        <w:keepNext/>
        <w:keepLines/>
        <w:spacing w:before="120" w:line="360" w:lineRule="auto"/>
        <w:rPr>
          <w:rFonts w:eastAsiaTheme="minorEastAsia"/>
          <w:color w:val="auto"/>
          <w:sz w:val="24"/>
          <w:highlight w:val="none"/>
        </w:rPr>
      </w:pPr>
    </w:p>
    <w:p w14:paraId="6F43CB3B">
      <w:pPr>
        <w:keepNext/>
        <w:keepLines/>
        <w:spacing w:before="120" w:line="360" w:lineRule="auto"/>
        <w:ind w:left="960"/>
        <w:rPr>
          <w:rFonts w:eastAsiaTheme="minorEastAsia"/>
          <w:color w:val="auto"/>
          <w:sz w:val="28"/>
          <w:szCs w:val="28"/>
          <w:highlight w:val="none"/>
          <w:u w:val="single"/>
        </w:rPr>
      </w:pPr>
      <w:r>
        <w:rPr>
          <w:rFonts w:eastAsiaTheme="minorEastAsia"/>
          <w:b/>
          <w:bCs/>
          <w:color w:val="auto"/>
          <w:sz w:val="28"/>
          <w:szCs w:val="28"/>
          <w:highlight w:val="none"/>
        </w:rPr>
        <w:t>项目名称</w:t>
      </w:r>
      <w:r>
        <w:rPr>
          <w:rFonts w:eastAsiaTheme="minorEastAsia"/>
          <w:color w:val="auto"/>
          <w:sz w:val="28"/>
          <w:szCs w:val="28"/>
          <w:highlight w:val="none"/>
        </w:rPr>
        <w:t>：</w:t>
      </w:r>
      <w:r>
        <w:rPr>
          <w:rFonts w:hint="eastAsia" w:eastAsiaTheme="minorEastAsia"/>
          <w:color w:val="auto"/>
          <w:sz w:val="28"/>
          <w:szCs w:val="28"/>
          <w:highlight w:val="none"/>
        </w:rPr>
        <w:t>2024国际眼健康科技创新与产业发展会议暨中国眼谷眼视光创新创业全球挑战赛</w:t>
      </w:r>
      <w:r>
        <w:rPr>
          <w:rFonts w:eastAsiaTheme="minorEastAsia"/>
          <w:color w:val="auto"/>
          <w:sz w:val="28"/>
          <w:szCs w:val="28"/>
          <w:highlight w:val="none"/>
        </w:rPr>
        <w:t>项目</w:t>
      </w:r>
    </w:p>
    <w:p w14:paraId="7581D8F1">
      <w:pPr>
        <w:keepNext/>
        <w:keepLines/>
        <w:spacing w:line="360" w:lineRule="auto"/>
        <w:rPr>
          <w:rFonts w:eastAsiaTheme="minorEastAsia"/>
          <w:color w:val="auto"/>
          <w:sz w:val="28"/>
          <w:szCs w:val="28"/>
          <w:highlight w:val="none"/>
        </w:rPr>
      </w:pPr>
    </w:p>
    <w:p w14:paraId="024BB164">
      <w:pPr>
        <w:keepNext/>
        <w:keepLines/>
        <w:spacing w:before="120" w:line="360" w:lineRule="auto"/>
        <w:ind w:left="960"/>
        <w:rPr>
          <w:rFonts w:eastAsiaTheme="minorEastAsia"/>
          <w:color w:val="auto"/>
          <w:sz w:val="28"/>
          <w:szCs w:val="28"/>
          <w:highlight w:val="none"/>
          <w:u w:val="single"/>
        </w:rPr>
      </w:pPr>
      <w:r>
        <w:rPr>
          <w:rFonts w:eastAsiaTheme="minorEastAsia"/>
          <w:b/>
          <w:bCs/>
          <w:color w:val="auto"/>
          <w:spacing w:val="280"/>
          <w:kern w:val="0"/>
          <w:sz w:val="28"/>
          <w:szCs w:val="28"/>
          <w:highlight w:val="none"/>
          <w:fitText w:val="1120" w:id="414326183"/>
        </w:rPr>
        <w:t>甲</w:t>
      </w:r>
      <w:r>
        <w:rPr>
          <w:rFonts w:eastAsiaTheme="minorEastAsia"/>
          <w:b/>
          <w:bCs/>
          <w:color w:val="auto"/>
          <w:spacing w:val="0"/>
          <w:kern w:val="0"/>
          <w:sz w:val="28"/>
          <w:szCs w:val="28"/>
          <w:highlight w:val="none"/>
          <w:fitText w:val="1120" w:id="414326183"/>
        </w:rPr>
        <w:t>方</w:t>
      </w:r>
      <w:r>
        <w:rPr>
          <w:rFonts w:eastAsiaTheme="minorEastAsia"/>
          <w:color w:val="auto"/>
          <w:sz w:val="28"/>
          <w:szCs w:val="28"/>
          <w:highlight w:val="none"/>
        </w:rPr>
        <w:t>：</w:t>
      </w:r>
      <w:r>
        <w:rPr>
          <w:rFonts w:hint="eastAsia" w:eastAsiaTheme="minorEastAsia"/>
          <w:color w:val="auto"/>
          <w:sz w:val="28"/>
          <w:szCs w:val="28"/>
          <w:highlight w:val="none"/>
          <w:u w:val="single"/>
        </w:rPr>
        <w:t xml:space="preserve">                      </w:t>
      </w:r>
    </w:p>
    <w:p w14:paraId="4181B41F">
      <w:pPr>
        <w:keepNext/>
        <w:keepLines/>
        <w:spacing w:before="120" w:line="360" w:lineRule="auto"/>
        <w:rPr>
          <w:rFonts w:eastAsiaTheme="minorEastAsia"/>
          <w:color w:val="auto"/>
          <w:sz w:val="28"/>
          <w:szCs w:val="28"/>
          <w:highlight w:val="none"/>
        </w:rPr>
      </w:pPr>
    </w:p>
    <w:p w14:paraId="198AA7F2">
      <w:pPr>
        <w:keepNext/>
        <w:keepLines/>
        <w:spacing w:before="120" w:line="360" w:lineRule="auto"/>
        <w:ind w:left="960"/>
        <w:rPr>
          <w:rFonts w:eastAsiaTheme="minorEastAsia"/>
          <w:color w:val="auto"/>
          <w:sz w:val="28"/>
          <w:szCs w:val="28"/>
          <w:highlight w:val="none"/>
          <w:u w:val="single"/>
        </w:rPr>
      </w:pPr>
      <w:r>
        <w:rPr>
          <w:rFonts w:eastAsiaTheme="minorEastAsia"/>
          <w:b/>
          <w:bCs/>
          <w:color w:val="auto"/>
          <w:spacing w:val="280"/>
          <w:kern w:val="0"/>
          <w:sz w:val="28"/>
          <w:szCs w:val="28"/>
          <w:highlight w:val="none"/>
          <w:fitText w:val="1120" w:id="1"/>
        </w:rPr>
        <w:t>乙</w:t>
      </w:r>
      <w:r>
        <w:rPr>
          <w:rFonts w:eastAsiaTheme="minorEastAsia"/>
          <w:b/>
          <w:bCs/>
          <w:color w:val="auto"/>
          <w:spacing w:val="0"/>
          <w:kern w:val="0"/>
          <w:sz w:val="28"/>
          <w:szCs w:val="28"/>
          <w:highlight w:val="none"/>
          <w:fitText w:val="1120" w:id="1"/>
        </w:rPr>
        <w:t>方</w:t>
      </w:r>
      <w:r>
        <w:rPr>
          <w:rFonts w:eastAsiaTheme="minorEastAsia"/>
          <w:color w:val="auto"/>
          <w:sz w:val="28"/>
          <w:szCs w:val="28"/>
          <w:highlight w:val="none"/>
        </w:rPr>
        <w:t>：</w:t>
      </w:r>
      <w:r>
        <w:rPr>
          <w:rFonts w:hint="eastAsia" w:eastAsiaTheme="minorEastAsia"/>
          <w:color w:val="auto"/>
          <w:sz w:val="28"/>
          <w:szCs w:val="28"/>
          <w:highlight w:val="none"/>
          <w:u w:val="single"/>
        </w:rPr>
        <w:t xml:space="preserve">                      </w:t>
      </w:r>
    </w:p>
    <w:p w14:paraId="7740F7E4">
      <w:pPr>
        <w:keepNext/>
        <w:keepLines/>
        <w:spacing w:before="120" w:line="360" w:lineRule="auto"/>
        <w:rPr>
          <w:rFonts w:eastAsiaTheme="minorEastAsia"/>
          <w:color w:val="auto"/>
          <w:spacing w:val="680"/>
          <w:kern w:val="0"/>
          <w:sz w:val="28"/>
          <w:szCs w:val="28"/>
          <w:highlight w:val="none"/>
        </w:rPr>
      </w:pPr>
    </w:p>
    <w:p w14:paraId="1B342EED">
      <w:pPr>
        <w:keepNext/>
        <w:keepLines/>
        <w:spacing w:before="120" w:line="360" w:lineRule="auto"/>
        <w:ind w:left="958"/>
        <w:rPr>
          <w:rFonts w:eastAsiaTheme="minorEastAsia"/>
          <w:color w:val="auto"/>
          <w:sz w:val="28"/>
          <w:szCs w:val="28"/>
          <w:highlight w:val="none"/>
          <w:u w:val="single"/>
        </w:rPr>
      </w:pPr>
      <w:r>
        <w:rPr>
          <w:rFonts w:eastAsiaTheme="minorEastAsia"/>
          <w:b/>
          <w:bCs/>
          <w:color w:val="auto"/>
          <w:spacing w:val="70"/>
          <w:kern w:val="0"/>
          <w:sz w:val="28"/>
          <w:szCs w:val="28"/>
          <w:highlight w:val="none"/>
          <w:fitText w:val="1120" w:id="2"/>
        </w:rPr>
        <w:t>签订</w:t>
      </w:r>
      <w:r>
        <w:rPr>
          <w:rFonts w:eastAsiaTheme="minorEastAsia"/>
          <w:b/>
          <w:bCs/>
          <w:color w:val="auto"/>
          <w:spacing w:val="0"/>
          <w:kern w:val="0"/>
          <w:sz w:val="28"/>
          <w:szCs w:val="28"/>
          <w:highlight w:val="none"/>
          <w:fitText w:val="1120" w:id="2"/>
        </w:rPr>
        <w:t>地</w:t>
      </w:r>
      <w:r>
        <w:rPr>
          <w:rFonts w:eastAsiaTheme="minorEastAsia"/>
          <w:color w:val="auto"/>
          <w:sz w:val="28"/>
          <w:szCs w:val="28"/>
          <w:highlight w:val="none"/>
        </w:rPr>
        <w:t>：</w:t>
      </w:r>
      <w:r>
        <w:rPr>
          <w:rFonts w:hint="eastAsia" w:eastAsiaTheme="minorEastAsia"/>
          <w:color w:val="auto"/>
          <w:sz w:val="28"/>
          <w:szCs w:val="28"/>
          <w:highlight w:val="none"/>
          <w:u w:val="single"/>
        </w:rPr>
        <w:t xml:space="preserve">                      </w:t>
      </w:r>
    </w:p>
    <w:p w14:paraId="381F5F0F">
      <w:pPr>
        <w:keepNext/>
        <w:keepLines/>
        <w:spacing w:before="120" w:line="360" w:lineRule="auto"/>
        <w:rPr>
          <w:rFonts w:eastAsiaTheme="minorEastAsia"/>
          <w:color w:val="auto"/>
          <w:sz w:val="28"/>
          <w:szCs w:val="28"/>
          <w:highlight w:val="none"/>
        </w:rPr>
      </w:pPr>
    </w:p>
    <w:p w14:paraId="4A7AE4D3">
      <w:pPr>
        <w:keepNext/>
        <w:keepLines/>
        <w:spacing w:before="120" w:line="360" w:lineRule="auto"/>
        <w:ind w:left="958"/>
        <w:rPr>
          <w:rFonts w:eastAsiaTheme="minorEastAsia"/>
          <w:color w:val="auto"/>
          <w:sz w:val="28"/>
          <w:szCs w:val="28"/>
          <w:highlight w:val="none"/>
          <w:u w:val="single"/>
        </w:rPr>
      </w:pPr>
      <w:r>
        <w:rPr>
          <w:rFonts w:eastAsiaTheme="minorEastAsia"/>
          <w:b/>
          <w:bCs/>
          <w:color w:val="auto"/>
          <w:sz w:val="28"/>
          <w:szCs w:val="28"/>
          <w:highlight w:val="none"/>
        </w:rPr>
        <w:t>签订日期</w:t>
      </w:r>
      <w:r>
        <w:rPr>
          <w:rFonts w:eastAsiaTheme="minorEastAsia"/>
          <w:color w:val="auto"/>
          <w:sz w:val="28"/>
          <w:szCs w:val="28"/>
          <w:highlight w:val="none"/>
        </w:rPr>
        <w:t>：</w:t>
      </w:r>
      <w:r>
        <w:rPr>
          <w:rFonts w:eastAsiaTheme="minorEastAsia"/>
          <w:color w:val="auto"/>
          <w:sz w:val="28"/>
          <w:szCs w:val="28"/>
          <w:highlight w:val="none"/>
          <w:u w:val="single"/>
        </w:rPr>
        <w:t xml:space="preserve">          </w:t>
      </w:r>
      <w:r>
        <w:rPr>
          <w:rFonts w:eastAsiaTheme="minorEastAsia"/>
          <w:color w:val="auto"/>
          <w:sz w:val="28"/>
          <w:szCs w:val="28"/>
          <w:highlight w:val="none"/>
        </w:rPr>
        <w:t>年</w:t>
      </w:r>
      <w:r>
        <w:rPr>
          <w:rFonts w:eastAsiaTheme="minorEastAsia"/>
          <w:color w:val="auto"/>
          <w:sz w:val="28"/>
          <w:szCs w:val="28"/>
          <w:highlight w:val="none"/>
          <w:u w:val="single"/>
        </w:rPr>
        <w:t xml:space="preserve">       </w:t>
      </w:r>
      <w:r>
        <w:rPr>
          <w:rFonts w:eastAsiaTheme="minorEastAsia"/>
          <w:color w:val="auto"/>
          <w:sz w:val="28"/>
          <w:szCs w:val="28"/>
          <w:highlight w:val="none"/>
        </w:rPr>
        <w:t>月</w:t>
      </w:r>
      <w:r>
        <w:rPr>
          <w:rFonts w:eastAsiaTheme="minorEastAsia"/>
          <w:color w:val="auto"/>
          <w:sz w:val="28"/>
          <w:szCs w:val="28"/>
          <w:highlight w:val="none"/>
          <w:u w:val="single"/>
        </w:rPr>
        <w:t xml:space="preserve">       </w:t>
      </w:r>
      <w:r>
        <w:rPr>
          <w:rFonts w:eastAsiaTheme="minorEastAsia"/>
          <w:color w:val="auto"/>
          <w:sz w:val="28"/>
          <w:szCs w:val="28"/>
          <w:highlight w:val="none"/>
        </w:rPr>
        <w:t>日</w:t>
      </w:r>
    </w:p>
    <w:p w14:paraId="280045BA">
      <w:pPr>
        <w:keepNext/>
        <w:keepLines/>
        <w:jc w:val="left"/>
        <w:rPr>
          <w:rFonts w:eastAsiaTheme="minorEastAsia"/>
          <w:b/>
          <w:color w:val="auto"/>
          <w:sz w:val="32"/>
          <w:szCs w:val="32"/>
          <w:highlight w:val="none"/>
        </w:rPr>
      </w:pPr>
      <w:r>
        <w:rPr>
          <w:rFonts w:eastAsiaTheme="minorEastAsia"/>
          <w:b/>
          <w:color w:val="auto"/>
          <w:sz w:val="32"/>
          <w:szCs w:val="32"/>
          <w:highlight w:val="none"/>
        </w:rPr>
        <w:br w:type="page"/>
      </w:r>
    </w:p>
    <w:p w14:paraId="717C5487">
      <w:pPr>
        <w:keepNext/>
        <w:keepLines/>
        <w:rPr>
          <w:b/>
          <w:color w:val="auto"/>
          <w:sz w:val="24"/>
          <w:highlight w:val="none"/>
        </w:rPr>
      </w:pPr>
    </w:p>
    <w:p w14:paraId="154F1C9D">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年</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月</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日</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方式对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项目进行了采购。经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评定，</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为该项目中标或者成交供应商。现按照采购文件确定的事项签订本合同。</w:t>
      </w:r>
    </w:p>
    <w:p w14:paraId="39F90DDD">
      <w:pPr>
        <w:keepNext/>
        <w:keepLines/>
        <w:wordWrap w:val="0"/>
        <w:adjustRightIn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甲方委托乙方策划举办2024国际眼健康科技创新与产业发展会议暨中国眼谷眼视光创新创业全球挑战赛。甲乙双方就大赛及论坛策划、举办事宜进行了充分磋商，达成本</w:t>
      </w:r>
      <w:r>
        <w:rPr>
          <w:rFonts w:hint="eastAsia" w:ascii="宋体" w:hAnsi="宋体" w:cs="宋体"/>
          <w:color w:val="auto"/>
          <w:sz w:val="22"/>
          <w:szCs w:val="22"/>
          <w:highlight w:val="none"/>
        </w:rPr>
        <w:t>合同</w:t>
      </w:r>
      <w:r>
        <w:rPr>
          <w:rFonts w:hint="eastAsia" w:ascii="宋体" w:hAnsi="宋体" w:cs="宋体"/>
          <w:color w:val="auto"/>
          <w:sz w:val="22"/>
          <w:szCs w:val="22"/>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以下简称：甲方）和</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以下简称：乙方）协商一致，约定以下合同</w:t>
      </w:r>
      <w:r>
        <w:rPr>
          <w:rFonts w:hint="eastAsia" w:ascii="宋体" w:hAnsi="宋体" w:cs="宋体"/>
          <w:color w:val="auto"/>
          <w:sz w:val="22"/>
          <w:szCs w:val="22"/>
          <w:highlight w:val="none"/>
        </w:rPr>
        <w:t>条款，以兹共同遵守、全面履行。</w:t>
      </w:r>
    </w:p>
    <w:p w14:paraId="72BCBDA7">
      <w:pPr>
        <w:keepNext/>
        <w:keepLines/>
        <w:spacing w:line="360" w:lineRule="auto"/>
        <w:ind w:firstLine="442" w:firstLineChars="200"/>
        <w:outlineLvl w:val="0"/>
        <w:rPr>
          <w:rFonts w:hint="eastAsia" w:ascii="宋体" w:hAnsi="宋体" w:cs="宋体"/>
          <w:color w:val="auto"/>
          <w:sz w:val="22"/>
          <w:szCs w:val="22"/>
          <w:highlight w:val="none"/>
        </w:rPr>
      </w:pPr>
      <w:bookmarkStart w:id="73" w:name="_Toc28855"/>
      <w:bookmarkStart w:id="74" w:name="_Toc5642"/>
      <w:bookmarkStart w:id="75" w:name="_Toc19273"/>
      <w:bookmarkStart w:id="76" w:name="_Toc20421"/>
      <w:bookmarkStart w:id="77" w:name="_Toc15367"/>
      <w:bookmarkStart w:id="78" w:name="_Toc22967"/>
      <w:r>
        <w:rPr>
          <w:rFonts w:hint="eastAsia" w:ascii="宋体" w:hAnsi="宋体" w:cs="宋体"/>
          <w:b/>
          <w:color w:val="auto"/>
          <w:sz w:val="22"/>
          <w:szCs w:val="22"/>
          <w:highlight w:val="none"/>
        </w:rPr>
        <w:t>1.1 合同组成部分</w:t>
      </w:r>
      <w:bookmarkEnd w:id="73"/>
      <w:bookmarkEnd w:id="74"/>
      <w:bookmarkEnd w:id="75"/>
      <w:bookmarkEnd w:id="76"/>
      <w:bookmarkEnd w:id="77"/>
      <w:bookmarkEnd w:id="78"/>
    </w:p>
    <w:p w14:paraId="4B4A3B0C">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E7E8C5">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1.1.1 本合同及其补充合同、变更协议；</w:t>
      </w:r>
    </w:p>
    <w:p w14:paraId="0207DF6F">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1.1.2 中标或者成交通知书；</w:t>
      </w:r>
    </w:p>
    <w:p w14:paraId="5C82A782">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1.1.3 投标或者响应文件（含澄清或者说明文件）；</w:t>
      </w:r>
    </w:p>
    <w:p w14:paraId="25FB6C65">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1.1.4 采购文件（含澄清或者修改文件）；</w:t>
      </w:r>
    </w:p>
    <w:p w14:paraId="3ED1149F">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1.1.5 其他相关采购文件。</w:t>
      </w:r>
    </w:p>
    <w:p w14:paraId="60E9B50D">
      <w:pPr>
        <w:keepNext/>
        <w:keepLines/>
        <w:spacing w:line="360" w:lineRule="auto"/>
        <w:ind w:firstLine="442" w:firstLineChars="200"/>
        <w:outlineLvl w:val="0"/>
        <w:rPr>
          <w:rFonts w:hint="eastAsia" w:ascii="宋体" w:hAnsi="宋体" w:cs="宋体"/>
          <w:b/>
          <w:color w:val="auto"/>
          <w:sz w:val="22"/>
          <w:szCs w:val="22"/>
          <w:highlight w:val="none"/>
        </w:rPr>
      </w:pPr>
      <w:bookmarkStart w:id="79" w:name="_Toc18585"/>
      <w:bookmarkStart w:id="80" w:name="_Toc6773"/>
      <w:bookmarkStart w:id="81" w:name="_Toc22185"/>
      <w:bookmarkStart w:id="82" w:name="_Toc6311"/>
      <w:bookmarkStart w:id="83" w:name="_Toc2918"/>
      <w:bookmarkStart w:id="84" w:name="_Toc5737"/>
      <w:r>
        <w:rPr>
          <w:rFonts w:hint="eastAsia" w:ascii="宋体" w:hAnsi="宋体" w:cs="宋体"/>
          <w:b/>
          <w:color w:val="auto"/>
          <w:sz w:val="22"/>
          <w:szCs w:val="22"/>
          <w:highlight w:val="none"/>
        </w:rPr>
        <w:t xml:space="preserve">1.2 </w:t>
      </w:r>
      <w:bookmarkEnd w:id="79"/>
      <w:bookmarkEnd w:id="80"/>
      <w:bookmarkEnd w:id="81"/>
      <w:bookmarkEnd w:id="82"/>
      <w:bookmarkEnd w:id="83"/>
      <w:r>
        <w:rPr>
          <w:rFonts w:hint="eastAsia" w:ascii="宋体" w:hAnsi="宋体" w:cs="宋体"/>
          <w:b/>
          <w:color w:val="auto"/>
          <w:sz w:val="22"/>
          <w:szCs w:val="22"/>
          <w:highlight w:val="none"/>
        </w:rPr>
        <w:t>双方的权利和义务</w:t>
      </w:r>
      <w:bookmarkEnd w:id="84"/>
    </w:p>
    <w:p w14:paraId="7AFEC667">
      <w:pPr>
        <w:keepNext/>
        <w:keepLines/>
        <w:spacing w:line="440" w:lineRule="exact"/>
        <w:ind w:firstLine="442" w:firstLineChars="200"/>
        <w:rPr>
          <w:rFonts w:hint="eastAsia" w:ascii="宋体" w:hAnsi="宋体" w:cs="宋体"/>
          <w:color w:val="auto"/>
          <w:sz w:val="22"/>
          <w:szCs w:val="22"/>
          <w:highlight w:val="none"/>
        </w:rPr>
      </w:pPr>
      <w:r>
        <w:rPr>
          <w:rFonts w:hint="eastAsia" w:ascii="宋体" w:hAnsi="宋体" w:cs="宋体"/>
          <w:b/>
          <w:bCs/>
          <w:color w:val="auto"/>
          <w:sz w:val="22"/>
          <w:szCs w:val="22"/>
          <w:highlight w:val="none"/>
        </w:rPr>
        <w:t>1.2.1 服务内容：</w:t>
      </w:r>
      <w:r>
        <w:rPr>
          <w:rFonts w:hint="eastAsia" w:ascii="宋体" w:hAnsi="宋体" w:cs="宋体"/>
          <w:color w:val="auto"/>
          <w:sz w:val="22"/>
          <w:szCs w:val="22"/>
          <w:highlight w:val="none"/>
        </w:rPr>
        <w:t>甲方委托乙方实施2024国际眼健康科技创新与产业发展会议暨中国眼谷眼视光创新创业全球挑战赛执行工作：</w:t>
      </w:r>
    </w:p>
    <w:p w14:paraId="6613A16F">
      <w:pPr>
        <w:keepNext/>
        <w:keepLines/>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1.会议场次包括但不限于：</w:t>
      </w:r>
    </w:p>
    <w:p w14:paraId="195CB9A3">
      <w:pPr>
        <w:keepNext/>
        <w:keepLines/>
        <w:numPr>
          <w:ilvl w:val="0"/>
          <w:numId w:val="14"/>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2024国际眼健康科技创新与产业发展会议暨中国眼谷眼视光创新创业全球挑战赛开幕式；</w:t>
      </w:r>
    </w:p>
    <w:p w14:paraId="105E1DA9">
      <w:pPr>
        <w:keepNext/>
        <w:keepLines/>
        <w:numPr>
          <w:ilvl w:val="0"/>
          <w:numId w:val="14"/>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中国眼谷眼视光创新创业全球挑战赛决赛</w:t>
      </w:r>
    </w:p>
    <w:p w14:paraId="6E3182ED">
      <w:pPr>
        <w:keepNext/>
        <w:keepLines/>
        <w:numPr>
          <w:ilvl w:val="0"/>
          <w:numId w:val="14"/>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眼健康产业峰会（人才 投资 创业者）；</w:t>
      </w:r>
    </w:p>
    <w:p w14:paraId="0836793A">
      <w:pPr>
        <w:keepNext/>
        <w:keepLines/>
        <w:numPr>
          <w:ilvl w:val="0"/>
          <w:numId w:val="14"/>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视觉再生与人工智能会议；</w:t>
      </w:r>
    </w:p>
    <w:p w14:paraId="371FA804">
      <w:pPr>
        <w:keepNext/>
        <w:keepLines/>
        <w:numPr>
          <w:ilvl w:val="0"/>
          <w:numId w:val="14"/>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眼科光电与健康光显会议；</w:t>
      </w:r>
    </w:p>
    <w:p w14:paraId="50CFBCE6">
      <w:pPr>
        <w:keepNext/>
        <w:keepLines/>
        <w:numPr>
          <w:ilvl w:val="0"/>
          <w:numId w:val="14"/>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中国眼谷眼视光创新创业全球挑战颁奖典礼；</w:t>
      </w:r>
    </w:p>
    <w:p w14:paraId="62AD7F74">
      <w:pPr>
        <w:keepNext/>
        <w:keepLines/>
        <w:numPr>
          <w:ilvl w:val="255"/>
          <w:numId w:val="0"/>
        </w:numPr>
        <w:tabs>
          <w:tab w:val="left" w:pos="210"/>
        </w:tabs>
        <w:adjustRightInd w:val="0"/>
        <w:spacing w:line="440" w:lineRule="exact"/>
        <w:ind w:left="420" w:leftChars="200"/>
        <w:rPr>
          <w:rFonts w:hint="eastAsia" w:ascii="宋体" w:hAnsi="宋体" w:cs="宋体"/>
          <w:color w:val="auto"/>
          <w:sz w:val="22"/>
          <w:szCs w:val="22"/>
          <w:highlight w:val="none"/>
        </w:rPr>
      </w:pPr>
      <w:r>
        <w:rPr>
          <w:rFonts w:hint="eastAsia" w:ascii="宋体" w:hAnsi="宋体" w:cs="宋体"/>
          <w:color w:val="auto"/>
          <w:sz w:val="22"/>
          <w:szCs w:val="22"/>
          <w:highlight w:val="none"/>
        </w:rPr>
        <w:t>2.主要服务内容包括但不限于：</w:t>
      </w:r>
    </w:p>
    <w:p w14:paraId="1D3C6993">
      <w:pPr>
        <w:keepNext/>
        <w:keepLines/>
        <w:numPr>
          <w:ilvl w:val="0"/>
          <w:numId w:val="15"/>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赛事、论坛整体组织、策划和宣传、视觉设计等；</w:t>
      </w:r>
    </w:p>
    <w:p w14:paraId="39F15FC7">
      <w:pPr>
        <w:keepNext/>
        <w:keepLines/>
        <w:numPr>
          <w:ilvl w:val="0"/>
          <w:numId w:val="15"/>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活动整体会务管理：活动现场组织、道具制作、物料</w:t>
      </w:r>
      <w:r>
        <w:rPr>
          <w:rFonts w:hint="eastAsia" w:ascii="宋体" w:hAnsi="宋体" w:cs="宋体"/>
          <w:color w:val="auto"/>
          <w:sz w:val="22"/>
          <w:szCs w:val="22"/>
          <w:highlight w:val="none"/>
          <w:lang w:val="en-US" w:eastAsia="zh-CN"/>
        </w:rPr>
        <w:t>设计</w:t>
      </w:r>
      <w:r>
        <w:rPr>
          <w:rFonts w:hint="eastAsia" w:ascii="宋体" w:hAnsi="宋体" w:cs="宋体"/>
          <w:color w:val="auto"/>
          <w:sz w:val="22"/>
          <w:szCs w:val="22"/>
          <w:highlight w:val="none"/>
        </w:rPr>
        <w:t>和人员配备；宣传报道：海报制作、视频制作等；嘉宾管理：嘉宾沟通、行程安排、机票动车票预定、市内接送、劳务费发放等。</w:t>
      </w:r>
    </w:p>
    <w:p w14:paraId="0E1BAADD">
      <w:pPr>
        <w:keepNext/>
        <w:keepLines/>
        <w:numPr>
          <w:ilvl w:val="0"/>
          <w:numId w:val="15"/>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大赛决赛：大赛决赛组织，参赛项目管理、评委管理、嘉宾管理、赛事宣传等。大赛现场组织包括道具、奖杯证书等物料制作、大赛流程保障、评分统计、物料</w:t>
      </w:r>
      <w:r>
        <w:rPr>
          <w:rFonts w:hint="eastAsia" w:ascii="宋体" w:hAnsi="宋体" w:cs="宋体"/>
          <w:color w:val="auto"/>
          <w:sz w:val="22"/>
          <w:szCs w:val="22"/>
          <w:highlight w:val="none"/>
          <w:lang w:val="en-US" w:eastAsia="zh-CN"/>
        </w:rPr>
        <w:t>制作</w:t>
      </w:r>
      <w:r>
        <w:rPr>
          <w:rFonts w:hint="eastAsia" w:ascii="宋体" w:hAnsi="宋体" w:cs="宋体"/>
          <w:color w:val="auto"/>
          <w:sz w:val="22"/>
          <w:szCs w:val="22"/>
          <w:highlight w:val="none"/>
        </w:rPr>
        <w:t>和人员配备；参赛项目管理包含参赛项目通知、路演顺序沟通、参赛项目补贴、食宿安排；评委及嘉宾管理包括评委邀请、行程沟通、机票动车票预定、住宿安排、市内接送、餐饮安排、劳务费发放等；赛事宣传：海报制作、文章宣传、决赛视频制作、现场媒体邀请等；</w:t>
      </w:r>
    </w:p>
    <w:p w14:paraId="6E04E83B">
      <w:pPr>
        <w:keepNext/>
        <w:keepLines/>
        <w:numPr>
          <w:ilvl w:val="0"/>
          <w:numId w:val="15"/>
        </w:numPr>
        <w:tabs>
          <w:tab w:val="left" w:pos="210"/>
        </w:tabs>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整体活动统筹管理和其他与赛事、论坛相关的事务。</w:t>
      </w:r>
    </w:p>
    <w:p w14:paraId="48D6300F">
      <w:pPr>
        <w:keepNext/>
        <w:keepLines/>
        <w:adjustRightIn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1.2.2甲方的权利和义务</w:t>
      </w:r>
    </w:p>
    <w:p w14:paraId="3792363E">
      <w:pPr>
        <w:keepNext/>
        <w:keepLines/>
        <w:numPr>
          <w:ilvl w:val="0"/>
          <w:numId w:val="16"/>
        </w:numPr>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甲方作为大赛的发起单位，可以在大赛现场、赛事资料中进行包括人才政策、产业平台在内的各种宣传。</w:t>
      </w:r>
    </w:p>
    <w:p w14:paraId="3FF65D58">
      <w:pPr>
        <w:keepNext/>
        <w:keepLines/>
        <w:numPr>
          <w:ilvl w:val="0"/>
          <w:numId w:val="16"/>
        </w:numPr>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甲方享有乙方提供的招商引智推介、宣传推广与合作增值服务权益。</w:t>
      </w:r>
    </w:p>
    <w:p w14:paraId="0825DFBD">
      <w:pPr>
        <w:keepNext/>
        <w:keepLines/>
        <w:numPr>
          <w:ilvl w:val="0"/>
          <w:numId w:val="16"/>
        </w:numPr>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甲方参与大赛决赛评委的确定。</w:t>
      </w:r>
    </w:p>
    <w:p w14:paraId="76DBEBC1">
      <w:pPr>
        <w:keepNext/>
        <w:keepLines/>
        <w:numPr>
          <w:ilvl w:val="0"/>
          <w:numId w:val="16"/>
        </w:numPr>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甲方负责邀请各地上市公司、重点企业等企业家（原则上不少于50家）积极参与本次大赛，促进与创新创业项目的成功对接。积极引导地方产业基金、风投机构为大赛提供支持。</w:t>
      </w:r>
    </w:p>
    <w:p w14:paraId="60D9E272">
      <w:pPr>
        <w:keepNext/>
        <w:keepLines/>
        <w:numPr>
          <w:ilvl w:val="0"/>
          <w:numId w:val="16"/>
        </w:numPr>
        <w:adjustRightInd w:val="0"/>
        <w:spacing w:line="440" w:lineRule="exact"/>
        <w:ind w:left="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甲方与乙方保持沟通对接，为乙方承办的本次赛事各项活动提供必要的支持，尽可能为乙方提供与大赛相关的信息与资源，便于乙方更好地完成各赛区的组织工作。</w:t>
      </w:r>
    </w:p>
    <w:p w14:paraId="2E6FCE03">
      <w:pPr>
        <w:keepNext/>
        <w:keepLines/>
        <w:adjustRightInd w:val="0"/>
        <w:spacing w:line="440" w:lineRule="exact"/>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1.2.3乙方的权利和义务</w:t>
      </w:r>
    </w:p>
    <w:p w14:paraId="5D2FD737">
      <w:pPr>
        <w:spacing w:line="44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乙方负责此次2024国际眼健康科技创新与产业发展会议暨中国眼谷眼视光创新创业全球挑战赛项目执行工作；</w:t>
      </w:r>
      <w:bookmarkStart w:id="85" w:name="_Toc5635"/>
      <w:bookmarkStart w:id="86" w:name="_Toc21124"/>
      <w:bookmarkStart w:id="87" w:name="_Toc1386"/>
      <w:bookmarkStart w:id="88" w:name="_Toc20438"/>
      <w:bookmarkStart w:id="89" w:name="_Toc13918"/>
      <w:bookmarkStart w:id="90" w:name="_Toc4929"/>
      <w:r>
        <w:rPr>
          <w:rFonts w:hint="eastAsia" w:ascii="宋体" w:hAnsi="宋体" w:cs="宋体"/>
          <w:color w:val="auto"/>
          <w:sz w:val="22"/>
          <w:szCs w:val="22"/>
          <w:highlight w:val="none"/>
        </w:rPr>
        <w:t>本次会议规模约1000人，会场周期2天，需要中标单位统筹负责活动的整体执行和协调工作及费用包干，要有专业的执行团队与应急响应能力。服务内容包括项目策划设计、</w:t>
      </w:r>
      <w:r>
        <w:rPr>
          <w:rFonts w:hint="eastAsia" w:ascii="宋体" w:hAnsi="宋体" w:cs="宋体"/>
          <w:color w:val="auto"/>
          <w:sz w:val="22"/>
          <w:szCs w:val="22"/>
          <w:highlight w:val="none"/>
          <w:lang w:val="en-US" w:eastAsia="zh-CN"/>
        </w:rPr>
        <w:t>会议现场设计（含舞台效果及控台设备需求）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会议页面设计，</w:t>
      </w:r>
      <w:r>
        <w:rPr>
          <w:rFonts w:hint="eastAsia" w:ascii="宋体" w:hAnsi="宋体" w:cs="宋体"/>
          <w:color w:val="auto"/>
          <w:sz w:val="22"/>
          <w:szCs w:val="22"/>
          <w:highlight w:val="none"/>
          <w:lang w:val="en-US" w:eastAsia="zh-CN"/>
        </w:rPr>
        <w:t>物料设计，会刊设计与印刷，公众号长图及H5文件设计，</w:t>
      </w:r>
      <w:r>
        <w:rPr>
          <w:rFonts w:hint="eastAsia" w:ascii="宋体" w:hAnsi="宋体" w:cs="宋体"/>
          <w:color w:val="auto"/>
          <w:sz w:val="22"/>
          <w:szCs w:val="22"/>
          <w:highlight w:val="none"/>
        </w:rPr>
        <w:t>会议控场、</w:t>
      </w:r>
      <w:r>
        <w:rPr>
          <w:rFonts w:hint="eastAsia" w:ascii="宋体" w:hAnsi="宋体" w:cs="宋体"/>
          <w:color w:val="auto"/>
          <w:sz w:val="22"/>
          <w:szCs w:val="22"/>
          <w:highlight w:val="none"/>
          <w:lang w:val="en-US" w:eastAsia="zh-CN"/>
        </w:rPr>
        <w:t>议程道具制作，</w:t>
      </w:r>
      <w:r>
        <w:rPr>
          <w:rFonts w:hint="eastAsia" w:ascii="宋体" w:hAnsi="宋体" w:cs="宋体"/>
          <w:color w:val="auto"/>
          <w:sz w:val="22"/>
          <w:szCs w:val="22"/>
          <w:highlight w:val="none"/>
        </w:rPr>
        <w:t>参会人员的用餐、住宿、交通、</w:t>
      </w:r>
      <w:r>
        <w:rPr>
          <w:rFonts w:hint="eastAsia" w:ascii="宋体" w:hAnsi="宋体" w:cs="宋体"/>
          <w:color w:val="auto"/>
          <w:sz w:val="22"/>
          <w:szCs w:val="22"/>
          <w:highlight w:val="none"/>
          <w:lang w:val="en-US" w:eastAsia="zh-CN"/>
        </w:rPr>
        <w:t>演讲嘉宾的劳务费发放</w:t>
      </w:r>
      <w:r>
        <w:rPr>
          <w:rFonts w:hint="eastAsia" w:ascii="宋体" w:hAnsi="宋体" w:cs="宋体"/>
          <w:color w:val="auto"/>
          <w:sz w:val="22"/>
          <w:szCs w:val="22"/>
          <w:highlight w:val="none"/>
        </w:rPr>
        <w:t>及会议安全保障等</w:t>
      </w:r>
      <w:r>
        <w:rPr>
          <w:rFonts w:hint="eastAsia" w:ascii="宋体" w:hAnsi="宋体" w:cs="宋体"/>
          <w:color w:val="auto"/>
          <w:sz w:val="22"/>
          <w:szCs w:val="22"/>
          <w:highlight w:val="none"/>
          <w:lang w:val="en-US" w:eastAsia="zh-CN"/>
        </w:rPr>
        <w:t>相关</w:t>
      </w:r>
      <w:r>
        <w:rPr>
          <w:rFonts w:hint="eastAsia" w:ascii="宋体" w:hAnsi="宋体" w:cs="宋体"/>
          <w:color w:val="auto"/>
          <w:sz w:val="22"/>
          <w:szCs w:val="22"/>
          <w:highlight w:val="none"/>
        </w:rPr>
        <w:t>工作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其中</w:t>
      </w:r>
      <w:r>
        <w:rPr>
          <w:rFonts w:hint="eastAsia" w:ascii="宋体" w:hAnsi="宋体" w:cs="宋体"/>
          <w:color w:val="auto"/>
          <w:sz w:val="22"/>
          <w:szCs w:val="22"/>
          <w:highlight w:val="none"/>
        </w:rPr>
        <w:t>会议场地</w:t>
      </w:r>
      <w:r>
        <w:rPr>
          <w:rFonts w:hint="eastAsia" w:ascii="宋体" w:hAnsi="宋体" w:cs="宋体"/>
          <w:color w:val="auto"/>
          <w:sz w:val="22"/>
          <w:szCs w:val="22"/>
          <w:highlight w:val="none"/>
          <w:lang w:val="en-US" w:eastAsia="zh-CN"/>
        </w:rPr>
        <w:t>及控台设备</w:t>
      </w:r>
      <w:r>
        <w:rPr>
          <w:rFonts w:hint="eastAsia" w:ascii="宋体" w:hAnsi="宋体" w:cs="宋体"/>
          <w:color w:val="auto"/>
          <w:sz w:val="22"/>
          <w:szCs w:val="22"/>
          <w:highlight w:val="none"/>
        </w:rPr>
        <w:t>租赁、氛围布置、媒体造势宣传、直播摄影摄像、会议主持人聘请事项不在本次招标范围内。</w:t>
      </w:r>
      <w:r>
        <w:rPr>
          <w:rFonts w:hint="eastAsia" w:ascii="宋体" w:hAnsi="宋体" w:cs="宋体"/>
          <w:color w:val="auto"/>
          <w:sz w:val="22"/>
          <w:szCs w:val="22"/>
          <w:highlight w:val="none"/>
          <w:lang w:val="en-US" w:eastAsia="zh-CN"/>
        </w:rPr>
        <w:t>本次</w:t>
      </w:r>
      <w:r>
        <w:rPr>
          <w:rFonts w:hint="eastAsia" w:ascii="宋体" w:hAnsi="宋体" w:cs="宋体"/>
          <w:color w:val="auto"/>
          <w:sz w:val="22"/>
          <w:szCs w:val="22"/>
          <w:highlight w:val="none"/>
        </w:rPr>
        <w:t>具体</w:t>
      </w:r>
      <w:r>
        <w:rPr>
          <w:rFonts w:hint="eastAsia" w:ascii="宋体" w:hAnsi="宋体" w:cs="宋体"/>
          <w:color w:val="auto"/>
          <w:sz w:val="22"/>
          <w:szCs w:val="22"/>
          <w:highlight w:val="none"/>
          <w:lang w:val="en-US" w:eastAsia="zh-CN"/>
        </w:rPr>
        <w:t>招标</w:t>
      </w:r>
      <w:r>
        <w:rPr>
          <w:rFonts w:hint="eastAsia" w:ascii="宋体" w:hAnsi="宋体" w:cs="宋体"/>
          <w:color w:val="auto"/>
          <w:sz w:val="22"/>
          <w:szCs w:val="22"/>
          <w:highlight w:val="none"/>
        </w:rPr>
        <w:t>需求如下：</w:t>
      </w:r>
    </w:p>
    <w:p w14:paraId="09EB035D">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一、</w:t>
      </w:r>
      <w:r>
        <w:rPr>
          <w:rFonts w:hint="eastAsia" w:ascii="宋体" w:hAnsi="宋体" w:cs="宋体"/>
          <w:color w:val="auto"/>
          <w:sz w:val="22"/>
          <w:szCs w:val="22"/>
          <w:highlight w:val="none"/>
        </w:rPr>
        <w:t>负责整体项目的执行创意设计，设备控制，技术支持，人员服务，要求体现项目时代特性，符合项目要求，富含展现力。</w:t>
      </w:r>
    </w:p>
    <w:p w14:paraId="6FAD213D">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rPr>
        <w:t>负责会场各项工作的组织实施，会场使用预计如下：</w:t>
      </w:r>
    </w:p>
    <w:p w14:paraId="190F718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论坛主会场1个，场地面积不少于1200平米。</w:t>
      </w:r>
    </w:p>
    <w:p w14:paraId="0C6F7E8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分论坛会场1个，场地面积不少于700平米。</w:t>
      </w:r>
    </w:p>
    <w:p w14:paraId="2BCF5EC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挑战赛项目会场1个，场地面积不少于700平米。</w:t>
      </w:r>
    </w:p>
    <w:p w14:paraId="40F1918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研讨会等分会场3个，场地面积不少于300平米。</w:t>
      </w:r>
    </w:p>
    <w:p w14:paraId="0479B82C">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设计制作技术要求：</w:t>
      </w:r>
    </w:p>
    <w:p w14:paraId="0CCC09EC">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麦克风套</w:t>
      </w:r>
      <w:r>
        <w:rPr>
          <w:rFonts w:hint="eastAsia" w:ascii="宋体" w:hAnsi="宋体" w:cs="宋体"/>
          <w:color w:val="auto"/>
          <w:sz w:val="22"/>
          <w:szCs w:val="22"/>
          <w:highlight w:val="none"/>
          <w:lang w:val="en-US" w:eastAsia="zh-CN"/>
        </w:rPr>
        <w:t>标</w:t>
      </w:r>
      <w:r>
        <w:rPr>
          <w:rFonts w:hint="eastAsia" w:ascii="宋体" w:hAnsi="宋体" w:cs="宋体"/>
          <w:color w:val="auto"/>
          <w:sz w:val="22"/>
          <w:szCs w:val="22"/>
          <w:highlight w:val="none"/>
        </w:rPr>
        <w:t>：10个，标准尺寸。</w:t>
      </w:r>
    </w:p>
    <w:p w14:paraId="2FAD783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2）餐券800张。</w:t>
      </w:r>
    </w:p>
    <w:p w14:paraId="7080971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嘉宾接站牌：10个，KT板，双面印刷，30CM*60CM。</w:t>
      </w:r>
    </w:p>
    <w:p w14:paraId="1D7C6AA2">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桌签台卡：</w:t>
      </w:r>
      <w:r>
        <w:rPr>
          <w:rFonts w:hint="eastAsia" w:ascii="宋体" w:hAnsi="宋体" w:cs="宋体"/>
          <w:color w:val="auto"/>
          <w:sz w:val="22"/>
          <w:szCs w:val="22"/>
          <w:highlight w:val="none"/>
          <w:lang w:val="en-US" w:eastAsia="zh-CN"/>
        </w:rPr>
        <w:t>350</w:t>
      </w:r>
      <w:r>
        <w:rPr>
          <w:rFonts w:hint="eastAsia" w:ascii="宋体" w:hAnsi="宋体" w:cs="宋体"/>
          <w:color w:val="auto"/>
          <w:sz w:val="22"/>
          <w:szCs w:val="22"/>
          <w:highlight w:val="none"/>
        </w:rPr>
        <w:t>个，10CM*20CM，157G铜版纸。</w:t>
      </w:r>
    </w:p>
    <w:p w14:paraId="5EE1DAE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嘉宾胸卡及挂绳：</w:t>
      </w:r>
      <w:r>
        <w:rPr>
          <w:rFonts w:hint="eastAsia" w:ascii="宋体" w:hAnsi="宋体" w:cs="宋体"/>
          <w:color w:val="auto"/>
          <w:sz w:val="22"/>
          <w:szCs w:val="22"/>
          <w:highlight w:val="none"/>
          <w:lang w:val="en-US" w:eastAsia="zh-CN"/>
        </w:rPr>
        <w:t>195</w:t>
      </w:r>
      <w:r>
        <w:rPr>
          <w:rFonts w:hint="eastAsia" w:ascii="宋体" w:hAnsi="宋体" w:cs="宋体"/>
          <w:color w:val="auto"/>
          <w:sz w:val="22"/>
          <w:szCs w:val="22"/>
          <w:highlight w:val="none"/>
        </w:rPr>
        <w:t>套，9CM*13CM，PVC材质，双面印刷，挂绳印刷LOGO。</w:t>
      </w:r>
    </w:p>
    <w:p w14:paraId="13653FC7">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帆布袋设计与制作：500个，标准尺寸。带LOGO印刷。</w:t>
      </w:r>
    </w:p>
    <w:p w14:paraId="1D6323C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参会文具设计与制作：500份，盒装，包含笔记本1本，签字笔1支。</w:t>
      </w:r>
    </w:p>
    <w:p w14:paraId="29C92DA2">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会场鲜花：4组。</w:t>
      </w:r>
    </w:p>
    <w:p w14:paraId="1042BFA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论坛会刊设计与印刷：550本，80页，A4尺寸，157G铜版纸。</w:t>
      </w:r>
    </w:p>
    <w:p w14:paraId="4F0F519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挑战赛项目手册设计与印刷：</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本，</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00页，A4尺寸，铜版纸封面，A4纸内页。</w:t>
      </w:r>
    </w:p>
    <w:p w14:paraId="0F7D33B7">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流程单设计与印刷：1000份，双面四色打印，A4尺寸。</w:t>
      </w:r>
    </w:p>
    <w:p w14:paraId="47FA044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挑战赛决赛日程设计与印刷：120份，双面四色打印，A4尺寸。</w:t>
      </w:r>
    </w:p>
    <w:p w14:paraId="702E929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企业宣传单页：500份，双面四色打印，A4尺寸。</w:t>
      </w:r>
    </w:p>
    <w:p w14:paraId="04CC318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奖杯与证书：奖杯1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个；证书20个。</w:t>
      </w:r>
    </w:p>
    <w:p w14:paraId="7673B9A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嘉宾伴手礼：200份，不低于200元/份。</w:t>
      </w:r>
    </w:p>
    <w:p w14:paraId="2F2B0885">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四、</w:t>
      </w:r>
      <w:r>
        <w:rPr>
          <w:rFonts w:hint="eastAsia" w:ascii="宋体" w:hAnsi="宋体" w:cs="宋体"/>
          <w:color w:val="auto"/>
          <w:sz w:val="22"/>
          <w:szCs w:val="22"/>
          <w:highlight w:val="none"/>
        </w:rPr>
        <w:t>供应商负责挑战赛决赛、颁奖仪式、主论坛、分论坛以及临时性会议的人员服务，包括但不限于：</w:t>
      </w:r>
    </w:p>
    <w:p w14:paraId="25249F1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礼仪人员：女性6人，服务周期2天，含服化，要求形象甜美，有大型活动礼仪服务经验。</w:t>
      </w:r>
    </w:p>
    <w:p w14:paraId="0CF9760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挑战赛决赛计分并统计人员。</w:t>
      </w:r>
    </w:p>
    <w:p w14:paraId="0318FDD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活动现场执行工作人员不少于</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人/天，包含现场设备技术人员。</w:t>
      </w:r>
    </w:p>
    <w:p w14:paraId="33C555AC">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五、</w:t>
      </w:r>
      <w:r>
        <w:rPr>
          <w:rFonts w:hint="eastAsia" w:ascii="宋体" w:hAnsi="宋体" w:cs="宋体"/>
          <w:color w:val="auto"/>
          <w:sz w:val="22"/>
          <w:szCs w:val="22"/>
          <w:highlight w:val="none"/>
        </w:rPr>
        <w:t>供应商负责创意制作所有颁奖签约等仪式执行计划，包括但不限于仪式推荐、初筛、彩排、背景视频制作，物料设计与制作，以及备用方案。</w:t>
      </w:r>
    </w:p>
    <w:p w14:paraId="50C32E6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大型签约：2-3次（开幕式及挑战赛决赛现场）。</w:t>
      </w:r>
    </w:p>
    <w:p w14:paraId="4C18842B">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项目启动：1-2次，含备用仪式。</w:t>
      </w:r>
    </w:p>
    <w:p w14:paraId="3CEF1C5F">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项目揭牌：1-2次，含铜牌制作。</w:t>
      </w:r>
    </w:p>
    <w:p w14:paraId="4EDCD3DC">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项目剪彩：1次。</w:t>
      </w:r>
    </w:p>
    <w:p w14:paraId="356980B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暖场视频：1次，开幕式或颁奖仪式使用。</w:t>
      </w:r>
    </w:p>
    <w:p w14:paraId="351BB76E">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cs="宋体"/>
          <w:color w:val="auto"/>
          <w:sz w:val="22"/>
          <w:szCs w:val="22"/>
          <w:highlight w:val="none"/>
        </w:rPr>
        <w:t>供应商负责会议H5设计与制作：2-3套，画面不少于20幅。</w:t>
      </w:r>
    </w:p>
    <w:p w14:paraId="4D6E64D7">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供应商负责参会嘉宾的邀请：</w:t>
      </w:r>
    </w:p>
    <w:p w14:paraId="64F06CED">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供应商负责邀请院士、诺奖得主、海外眼科专家、世界500强眼科企业主要负责人参会，不少于20位。</w:t>
      </w:r>
    </w:p>
    <w:p w14:paraId="3FA2CE9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供应商邀请知名生命健康投资机构，不少于30家。</w:t>
      </w:r>
    </w:p>
    <w:p w14:paraId="229E89C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供应商邀请国际知名眼科医院（世界排名前20，国内排名前10）主任级以上临床专家，不少于20位。</w:t>
      </w:r>
    </w:p>
    <w:p w14:paraId="2184CAFB">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供应商邀请行业投资人10位。</w:t>
      </w:r>
    </w:p>
    <w:p w14:paraId="3AA623EB">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供应商邀请挑战赛决赛评委12位。</w:t>
      </w:r>
    </w:p>
    <w:p w14:paraId="4C27AB9D">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八、</w:t>
      </w:r>
      <w:r>
        <w:rPr>
          <w:rFonts w:hint="eastAsia" w:ascii="宋体" w:hAnsi="宋体" w:cs="宋体"/>
          <w:color w:val="auto"/>
          <w:sz w:val="22"/>
          <w:szCs w:val="22"/>
          <w:highlight w:val="none"/>
        </w:rPr>
        <w:t>供应商负责项目涉及嘉宾、参赛人员、评委的行程安排，保证服务质量，保证嘉宾的参会感受，包括但不限于：</w:t>
      </w:r>
    </w:p>
    <w:p w14:paraId="5C172BA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40人经济舱/二等座往返交通票务代订代购服务。</w:t>
      </w:r>
    </w:p>
    <w:p w14:paraId="6F299C5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220间晚五星级酒店住宿服务。</w:t>
      </w:r>
    </w:p>
    <w:p w14:paraId="26D05FB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20位参赛选手参赛补贴，根据参赛选手的出发地不同，按照欧美地区</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000元、亚洲地区</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000元，国内省外2000元，省内1000元（均为人民币）的标准给予参赛项目交通住宿补助。</w:t>
      </w:r>
    </w:p>
    <w:p w14:paraId="34DE8CEB">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rPr>
        <w:t>供应商负责项目餐饮服务，对接酒店相关部门，保证客房数量及餐饮品质，符合项目要求：</w:t>
      </w:r>
    </w:p>
    <w:p w14:paraId="486A29A1">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会议自助餐2天四餐，共计300份；每餐包含20位重点嘉宾接待包厢。（午餐180份，晚餐120份）</w:t>
      </w:r>
    </w:p>
    <w:p w14:paraId="01D54BB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颁奖仪式晚宴</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桌；商务宴请10桌。（10-15人次/桌）</w:t>
      </w:r>
    </w:p>
    <w:p w14:paraId="6E82A018">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会议工作餐3天6餐，共计</w:t>
      </w:r>
      <w:r>
        <w:rPr>
          <w:rFonts w:hint="eastAsia" w:ascii="宋体" w:hAnsi="宋体" w:cs="宋体"/>
          <w:color w:val="auto"/>
          <w:sz w:val="22"/>
          <w:szCs w:val="22"/>
          <w:highlight w:val="none"/>
          <w:lang w:val="en-US" w:eastAsia="zh-CN"/>
        </w:rPr>
        <w:t>800</w:t>
      </w:r>
      <w:r>
        <w:rPr>
          <w:rFonts w:hint="eastAsia" w:ascii="宋体" w:hAnsi="宋体" w:cs="宋体"/>
          <w:color w:val="auto"/>
          <w:sz w:val="22"/>
          <w:szCs w:val="22"/>
          <w:highlight w:val="none"/>
        </w:rPr>
        <w:t>份。</w:t>
      </w:r>
    </w:p>
    <w:p w14:paraId="3E8D0C97">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会议茶歇2天，共计6场，每场300人份。（水果、甜品、小食10款/场，饮品3款/场）</w:t>
      </w:r>
    </w:p>
    <w:p w14:paraId="2589B76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挑战赛决赛茶歇1天，共计2场，每场300人份。（水果、甜品、小食10款/场，饮品3款/场）</w:t>
      </w:r>
    </w:p>
    <w:p w14:paraId="57B4154F">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会议期间不间断无限量的饮品服务，品种不少于4款，含咖啡。</w:t>
      </w:r>
    </w:p>
    <w:p w14:paraId="488E742C">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特殊用餐安排；例如：民族餐，禁忌餐。</w:t>
      </w:r>
    </w:p>
    <w:p w14:paraId="6AF65438">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十、</w:t>
      </w:r>
      <w:r>
        <w:rPr>
          <w:rFonts w:hint="eastAsia" w:ascii="宋体" w:hAnsi="宋体" w:cs="宋体"/>
          <w:color w:val="auto"/>
          <w:sz w:val="22"/>
          <w:szCs w:val="22"/>
          <w:highlight w:val="none"/>
        </w:rPr>
        <w:t>参会嘉宾/评委劳务费的发放及个税代扣代缴；</w:t>
      </w:r>
    </w:p>
    <w:p w14:paraId="561AC1CB">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挑战赛决赛评委（不少于12位），</w:t>
      </w:r>
    </w:p>
    <w:p w14:paraId="18867B0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各论坛报告嘉宾（</w:t>
      </w:r>
      <w:r>
        <w:rPr>
          <w:rFonts w:hint="eastAsia" w:ascii="宋体" w:hAnsi="宋体" w:cs="宋体"/>
          <w:color w:val="auto"/>
          <w:sz w:val="22"/>
          <w:szCs w:val="22"/>
          <w:highlight w:val="none"/>
          <w:lang w:val="en-US" w:eastAsia="zh-CN"/>
        </w:rPr>
        <w:t>累计</w:t>
      </w:r>
      <w:r>
        <w:rPr>
          <w:rFonts w:hint="eastAsia" w:ascii="宋体" w:hAnsi="宋体" w:cs="宋体"/>
          <w:color w:val="auto"/>
          <w:sz w:val="22"/>
          <w:szCs w:val="22"/>
          <w:highlight w:val="none"/>
        </w:rPr>
        <w:t>不少于</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0位）。</w:t>
      </w:r>
    </w:p>
    <w:p w14:paraId="6934EEBC">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十一、</w:t>
      </w:r>
      <w:r>
        <w:rPr>
          <w:rFonts w:hint="eastAsia" w:ascii="宋体" w:hAnsi="宋体" w:cs="宋体"/>
          <w:color w:val="auto"/>
          <w:sz w:val="22"/>
          <w:szCs w:val="22"/>
          <w:highlight w:val="none"/>
        </w:rPr>
        <w:t xml:space="preserve">供应商负责会议现场车辆服务，接送场站车辆服务，园区参观车辆服务： </w:t>
      </w:r>
    </w:p>
    <w:p w14:paraId="2043CC4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商务7座车，工作基础时间10小时/天，不含路桥费，含油费。</w:t>
      </w:r>
    </w:p>
    <w:p w14:paraId="4E230010">
      <w:pPr>
        <w:pStyle w:val="92"/>
        <w:spacing w:line="440" w:lineRule="exact"/>
        <w:ind w:left="92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用车数量：4天：共计12辆。</w:t>
      </w:r>
    </w:p>
    <w:p w14:paraId="0F3F39A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47座大客车，每日往返2-3次，总里程小于200公里，不含路桥费，含油费。</w:t>
      </w:r>
    </w:p>
    <w:p w14:paraId="4301973C">
      <w:pPr>
        <w:pStyle w:val="92"/>
        <w:spacing w:line="440" w:lineRule="exact"/>
        <w:ind w:left="92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用车数量：3天，共计7辆。</w:t>
      </w:r>
    </w:p>
    <w:p w14:paraId="5ACF014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行驶路线的规划设计。</w:t>
      </w:r>
    </w:p>
    <w:p w14:paraId="55C6C411">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重点嘉宾接送服务规范培训。</w:t>
      </w:r>
    </w:p>
    <w:p w14:paraId="08F6E73A">
      <w:pPr>
        <w:spacing w:line="440" w:lineRule="exact"/>
        <w:ind w:left="484" w:firstLine="440" w:firstLineChars="200"/>
        <w:rPr>
          <w:rFonts w:hint="eastAsia" w:ascii="宋体" w:hAnsi="宋体" w:cs="宋体"/>
          <w:color w:val="auto"/>
          <w:sz w:val="22"/>
          <w:szCs w:val="22"/>
          <w:highlight w:val="none"/>
        </w:rPr>
      </w:pPr>
    </w:p>
    <w:p w14:paraId="53D85C1F">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为确保活动的顺利进行和目标实现，若在合同执行期间，</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需要对服务要求进行新增或调整，双方应基于公平、公正、合理的原则进行协商。在不增加如上服务内容的前提下，费用实行总包干，但若调减服务数量，结算金额应相应调减，故投标报价请明确单价或明细金额，便于后续结算。如乙方未完全履行合同或拒绝配合甲方的调整要求，导致合同部分或全部目标无法达成，甲方保留依据法律及合同规定追究其违约责任的权利</w:t>
      </w:r>
    </w:p>
    <w:p w14:paraId="57F1EF02">
      <w:pPr>
        <w:pStyle w:val="92"/>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1.3 价款</w:t>
      </w:r>
      <w:bookmarkEnd w:id="85"/>
      <w:bookmarkEnd w:id="86"/>
      <w:bookmarkEnd w:id="87"/>
      <w:bookmarkEnd w:id="88"/>
      <w:bookmarkEnd w:id="89"/>
      <w:bookmarkEnd w:id="90"/>
    </w:p>
    <w:p w14:paraId="5197BB89">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本项目采用以下第</w:t>
      </w:r>
      <w:r>
        <w:rPr>
          <w:rFonts w:hint="eastAsia" w:ascii="宋体" w:hAnsi="宋体" w:cs="宋体"/>
          <w:color w:val="auto"/>
          <w:sz w:val="22"/>
          <w:szCs w:val="22"/>
          <w:highlight w:val="none"/>
          <w:u w:val="single"/>
        </w:rPr>
        <w:t xml:space="preserve">  1.3.1  </w:t>
      </w:r>
      <w:r>
        <w:rPr>
          <w:rFonts w:hint="eastAsia" w:ascii="宋体" w:hAnsi="宋体" w:cs="宋体"/>
          <w:color w:val="auto"/>
          <w:sz w:val="22"/>
          <w:szCs w:val="22"/>
          <w:highlight w:val="none"/>
        </w:rPr>
        <w:t>条款规定的计价方式计价。</w:t>
      </w:r>
    </w:p>
    <w:p w14:paraId="2A763C9B">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1.3.1总价合同，本合同总价（含税）为：￥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元人民币）。</w:t>
      </w:r>
      <w:bookmarkStart w:id="91" w:name="_Toc1814"/>
      <w:bookmarkStart w:id="92" w:name="_Toc22618"/>
      <w:bookmarkStart w:id="93" w:name="_Toc10340"/>
      <w:bookmarkStart w:id="94" w:name="_Toc11108"/>
      <w:bookmarkStart w:id="95" w:name="_Toc8772"/>
      <w:bookmarkStart w:id="96" w:name="_Toc31421"/>
      <w:bookmarkStart w:id="97" w:name="_Toc4760"/>
      <w:bookmarkStart w:id="98" w:name="_Toc3625"/>
    </w:p>
    <w:p w14:paraId="389E5C12">
      <w:pPr>
        <w:pStyle w:val="92"/>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1.4履约保证金</w:t>
      </w:r>
    </w:p>
    <w:p w14:paraId="083BD00F">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否 </w:t>
      </w:r>
      <w:r>
        <w:rPr>
          <w:rFonts w:hint="eastAsia" w:ascii="宋体" w:hAnsi="宋体" w:cs="宋体"/>
          <w:color w:val="auto"/>
          <w:sz w:val="22"/>
          <w:szCs w:val="22"/>
          <w:highlight w:val="none"/>
        </w:rPr>
        <w:t>（是/否）需要支付履约保证金。</w:t>
      </w:r>
      <w:bookmarkStart w:id="99" w:name="_Toc1716"/>
    </w:p>
    <w:p w14:paraId="505AB222">
      <w:pPr>
        <w:pStyle w:val="92"/>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1.5</w:t>
      </w:r>
      <w:bookmarkEnd w:id="91"/>
      <w:bookmarkEnd w:id="92"/>
      <w:bookmarkEnd w:id="93"/>
      <w:r>
        <w:rPr>
          <w:rFonts w:hint="eastAsia" w:ascii="宋体" w:hAnsi="宋体" w:cs="宋体"/>
          <w:b/>
          <w:color w:val="auto"/>
          <w:sz w:val="22"/>
          <w:szCs w:val="22"/>
          <w:highlight w:val="none"/>
        </w:rPr>
        <w:t>预付款</w:t>
      </w:r>
      <w:bookmarkEnd w:id="99"/>
    </w:p>
    <w:p w14:paraId="444B324F">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是  </w:t>
      </w:r>
      <w:r>
        <w:rPr>
          <w:rFonts w:hint="eastAsia" w:ascii="宋体" w:hAnsi="宋体" w:cs="宋体"/>
          <w:color w:val="auto"/>
          <w:sz w:val="22"/>
          <w:szCs w:val="22"/>
          <w:highlight w:val="none"/>
        </w:rPr>
        <w:t>（是/否）需要支付预付款。若需要支付预付款的，则：</w:t>
      </w:r>
    </w:p>
    <w:p w14:paraId="1892FDB6">
      <w:pPr>
        <w:pStyle w:val="92"/>
        <w:spacing w:line="440" w:lineRule="exact"/>
        <w:ind w:firstLine="44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1.5.1预付款比例、支付方式、时间详见</w:t>
      </w:r>
      <w:r>
        <w:rPr>
          <w:rFonts w:hint="eastAsia" w:ascii="宋体" w:hAnsi="宋体" w:cs="宋体"/>
          <w:color w:val="auto"/>
          <w:kern w:val="0"/>
          <w:sz w:val="22"/>
          <w:szCs w:val="22"/>
          <w:highlight w:val="none"/>
          <w:u w:val="single"/>
        </w:rPr>
        <w:t xml:space="preserve">    </w:t>
      </w:r>
      <w:r>
        <w:rPr>
          <w:rFonts w:hint="eastAsia" w:ascii="宋体" w:hAnsi="宋体" w:cs="宋体"/>
          <w:b/>
          <w:i/>
          <w:color w:val="auto"/>
          <w:sz w:val="22"/>
          <w:szCs w:val="22"/>
          <w:highlight w:val="none"/>
          <w:u w:val="single"/>
        </w:rPr>
        <w:t>合同专用条款</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5F823C12">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5.2预付款的扣回方式详见</w:t>
      </w:r>
      <w:r>
        <w:rPr>
          <w:rFonts w:hint="eastAsia" w:ascii="宋体" w:hAnsi="宋体" w:cs="宋体"/>
          <w:color w:val="auto"/>
          <w:sz w:val="22"/>
          <w:szCs w:val="22"/>
          <w:highlight w:val="none"/>
          <w:u w:val="single"/>
        </w:rPr>
        <w:t xml:space="preserve">    </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7450619">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1.5.3预付款的担保措施详见</w:t>
      </w:r>
      <w:r>
        <w:rPr>
          <w:rFonts w:hint="eastAsia" w:ascii="宋体" w:hAnsi="宋体" w:cs="宋体"/>
          <w:color w:val="auto"/>
          <w:sz w:val="22"/>
          <w:szCs w:val="22"/>
          <w:highlight w:val="none"/>
          <w:u w:val="single"/>
        </w:rPr>
        <w:t xml:space="preserve">    </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93016BE">
      <w:pPr>
        <w:pStyle w:val="92"/>
        <w:spacing w:line="440" w:lineRule="exact"/>
        <w:ind w:firstLine="44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1.6资金支付</w:t>
      </w:r>
    </w:p>
    <w:p w14:paraId="52AAE8DD">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1.6.1甲方应严格履行合同，及时组织验收，验收合格后及时将合同款支付完毕。对于满足合同约定支付条件的，甲方自收到发票后</w:t>
      </w:r>
      <w:r>
        <w:rPr>
          <w:rFonts w:hint="eastAsia" w:cs="宋体"/>
          <w:color w:val="auto"/>
          <w:sz w:val="22"/>
          <w:szCs w:val="22"/>
          <w:highlight w:val="none"/>
        </w:rPr>
        <w:t>7</w:t>
      </w:r>
      <w:r>
        <w:rPr>
          <w:rFonts w:hint="eastAsia" w:ascii="宋体" w:hAnsi="宋体" w:cs="宋体"/>
          <w:color w:val="auto"/>
          <w:sz w:val="22"/>
          <w:szCs w:val="22"/>
          <w:highlight w:val="none"/>
        </w:rPr>
        <w:t>个工作日内将资金支付到合同约定的乙方账户。</w:t>
      </w:r>
      <w:bookmarkStart w:id="100" w:name="_Toc24437"/>
    </w:p>
    <w:p w14:paraId="213530A4">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1.6.2资金支付的方式、时间和条件详见</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bookmarkEnd w:id="100"/>
      <w:bookmarkStart w:id="101" w:name="_Toc5285"/>
    </w:p>
    <w:p w14:paraId="5042B9D9">
      <w:pPr>
        <w:pStyle w:val="92"/>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1.7 履行期限、地点和方式</w:t>
      </w:r>
      <w:bookmarkEnd w:id="94"/>
      <w:bookmarkEnd w:id="95"/>
      <w:bookmarkEnd w:id="96"/>
      <w:bookmarkEnd w:id="97"/>
      <w:bookmarkEnd w:id="98"/>
      <w:bookmarkEnd w:id="101"/>
    </w:p>
    <w:p w14:paraId="61DE2BB1">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1.7.1 服务交付（实施）的时间（期限）：</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p>
    <w:p w14:paraId="4B0CED8D">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1.7.2 服务交付（实施）的地点（地域范围）：</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p>
    <w:p w14:paraId="361F80A2">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1.7.3 服务交付（实施）的方式：</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bookmarkStart w:id="102" w:name="_Toc8586"/>
      <w:bookmarkStart w:id="103" w:name="_Toc2375"/>
      <w:bookmarkStart w:id="104" w:name="_Toc3079"/>
      <w:bookmarkStart w:id="105" w:name="_Toc9766"/>
      <w:bookmarkStart w:id="106" w:name="_Toc24662"/>
      <w:bookmarkStart w:id="107" w:name="_Toc5698"/>
    </w:p>
    <w:p w14:paraId="5A0DBDB9">
      <w:pPr>
        <w:pStyle w:val="92"/>
        <w:spacing w:line="440" w:lineRule="exact"/>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1.8违约责任</w:t>
      </w:r>
      <w:bookmarkEnd w:id="102"/>
      <w:bookmarkEnd w:id="103"/>
      <w:bookmarkEnd w:id="104"/>
      <w:bookmarkEnd w:id="105"/>
      <w:bookmarkEnd w:id="106"/>
      <w:bookmarkEnd w:id="107"/>
    </w:p>
    <w:p w14:paraId="782C0239">
      <w:pPr>
        <w:pStyle w:val="92"/>
        <w:spacing w:line="440" w:lineRule="exact"/>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1.8.1 因乙方原因不能按合同规定时间交付阶段性服务成果的，每逾期一日乙方应按照合同金额0.1%向甲方承担违约责任，甲方有权在向乙方应当支付的合同款项中直接抵扣。因乙方原因不能按合同数量完成宣传报道的，每缺少一篇，乙方按照合同总金额的0.5%向甲方承担违约责任，甲方有权在向乙方应当支付的合同款项中直接抵扣。乙方不能完成的服务成果数量占规定要求数量的30%的，甲方有权单方面解除本合同，并要求乙方赔偿全部直接经济损失；</w:t>
      </w:r>
    </w:p>
    <w:p w14:paraId="1E0B8CD6">
      <w:pPr>
        <w:keepNext/>
        <w:keepLines/>
        <w:adjustRightIn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1.8.2除本合同另有约定外，如果乙方没有按照本合同约定的期限、地点和方式交付其他服务成果或者实施服务，那么甲方可要求乙方支付违约金，迟延履行违约金按每迟延履行一日的应提供而未提供服务价格的</w:t>
      </w:r>
      <w:r>
        <w:rPr>
          <w:rFonts w:hint="eastAsia" w:ascii="宋体" w:hAnsi="宋体" w:cs="宋体"/>
          <w:color w:val="auto"/>
          <w:sz w:val="22"/>
          <w:szCs w:val="22"/>
          <w:highlight w:val="none"/>
          <w:u w:val="single"/>
        </w:rPr>
        <w:t xml:space="preserve">0.05 </w:t>
      </w:r>
      <w:r>
        <w:rPr>
          <w:rFonts w:hint="eastAsia" w:ascii="宋体" w:hAnsi="宋体" w:cs="宋体"/>
          <w:color w:val="auto"/>
          <w:sz w:val="22"/>
          <w:szCs w:val="22"/>
          <w:highlight w:val="none"/>
        </w:rPr>
        <w:t>%计算，最高限额为本合同总价的</w:t>
      </w:r>
      <w:r>
        <w:rPr>
          <w:rFonts w:hint="eastAsia" w:ascii="宋体" w:hAnsi="宋体" w:cs="宋体"/>
          <w:color w:val="auto"/>
          <w:sz w:val="22"/>
          <w:szCs w:val="22"/>
          <w:highlight w:val="none"/>
          <w:u w:val="single"/>
        </w:rPr>
        <w:t xml:space="preserve">  20   </w:t>
      </w:r>
      <w:r>
        <w:rPr>
          <w:rFonts w:hint="eastAsia" w:ascii="宋体" w:hAnsi="宋体" w:cs="宋体"/>
          <w:color w:val="auto"/>
          <w:sz w:val="22"/>
          <w:szCs w:val="22"/>
          <w:highlight w:val="none"/>
        </w:rPr>
        <w:t>%；迟延履行的违约金计算数额达到前述最高限额之日起，甲方有权在要求乙方支付违约金的同时，书面通知乙方解除本合同；</w:t>
      </w:r>
    </w:p>
    <w:p w14:paraId="28CF14FB">
      <w:pPr>
        <w:keepNext/>
        <w:keepLines/>
        <w:adjustRightIn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1.8.3服务中涉及的货物，除本合同另有约定外，如果乙方没有按照本合同约定的期限、地点和方式交付货物，那么甲方可要求乙方支付违约金，违约金按每迟延交付货物一日的应交付而未交付货物价格的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2"/>
          <w:szCs w:val="22"/>
          <w:highlight w:val="none"/>
          <w:u w:val="single"/>
        </w:rPr>
        <w:t xml:space="preserve">  0.05  </w:t>
      </w:r>
      <w:r>
        <w:rPr>
          <w:rFonts w:hint="eastAsia" w:ascii="宋体" w:hAnsi="宋体" w:cs="宋体"/>
          <w:color w:val="auto"/>
          <w:sz w:val="22"/>
          <w:szCs w:val="22"/>
          <w:highlight w:val="none"/>
        </w:rPr>
        <w:t>%计算，最高限额为本合同总价的</w:t>
      </w:r>
      <w:r>
        <w:rPr>
          <w:rFonts w:hint="eastAsia" w:ascii="宋体" w:hAnsi="宋体" w:cs="宋体"/>
          <w:color w:val="auto"/>
          <w:sz w:val="22"/>
          <w:szCs w:val="22"/>
          <w:highlight w:val="none"/>
          <w:u w:val="single"/>
        </w:rPr>
        <w:t xml:space="preserve">  20  </w:t>
      </w:r>
      <w:r>
        <w:rPr>
          <w:rFonts w:hint="eastAsia" w:ascii="宋体" w:hAnsi="宋体" w:cs="宋体"/>
          <w:color w:val="auto"/>
          <w:sz w:val="22"/>
          <w:szCs w:val="22"/>
          <w:highlight w:val="none"/>
        </w:rPr>
        <w:t>%；迟延交付货物的违约金计算数额达到前述最高限额之日起，甲方有权在要求乙方支付违约金的同时，书面通知乙方解除本合同；</w:t>
      </w:r>
    </w:p>
    <w:p w14:paraId="5A4B45BB">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1.8.4除不可抗力外，如果甲方没有按照本合同约定的付款方式付款，那么乙方可要求甲方支付违约金，违约金按每迟延付款一日的应付而未付款的</w:t>
      </w:r>
      <w:r>
        <w:rPr>
          <w:rFonts w:hint="eastAsia" w:ascii="宋体" w:hAnsi="宋体" w:cs="宋体"/>
          <w:color w:val="auto"/>
          <w:sz w:val="22"/>
          <w:szCs w:val="22"/>
          <w:highlight w:val="none"/>
          <w:u w:val="single"/>
        </w:rPr>
        <w:t xml:space="preserve"> 0.05 </w:t>
      </w:r>
      <w:r>
        <w:rPr>
          <w:rFonts w:hint="eastAsia" w:ascii="宋体" w:hAnsi="宋体" w:cs="宋体"/>
          <w:color w:val="auto"/>
          <w:sz w:val="22"/>
          <w:szCs w:val="22"/>
          <w:highlight w:val="none"/>
        </w:rPr>
        <w:t>%计算，最高限额为本合同总价的</w:t>
      </w:r>
      <w:r>
        <w:rPr>
          <w:rFonts w:hint="eastAsia" w:ascii="宋体" w:hAnsi="宋体" w:cs="宋体"/>
          <w:color w:val="auto"/>
          <w:sz w:val="22"/>
          <w:szCs w:val="22"/>
          <w:highlight w:val="none"/>
          <w:u w:val="single"/>
        </w:rPr>
        <w:t xml:space="preserve">   20   </w:t>
      </w:r>
      <w:r>
        <w:rPr>
          <w:rFonts w:hint="eastAsia" w:ascii="宋体" w:hAnsi="宋体" w:cs="宋体"/>
          <w:color w:val="auto"/>
          <w:sz w:val="22"/>
          <w:szCs w:val="22"/>
          <w:highlight w:val="none"/>
        </w:rPr>
        <w:t>%；迟延付款的违约金计算数额达到前述最高限额之日起，乙方有权在要求甲方支付违约金的同时，书面通知甲方解除本合同；</w:t>
      </w:r>
    </w:p>
    <w:p w14:paraId="4608A524">
      <w:pPr>
        <w:keepNext/>
        <w:keepLines/>
        <w:spacing w:line="360" w:lineRule="auto"/>
        <w:ind w:firstLine="440" w:firstLineChars="200"/>
        <w:rPr>
          <w:rFonts w:hint="eastAsia" w:ascii="宋体" w:hAnsi="宋体" w:cs="宋体"/>
          <w:color w:val="auto"/>
          <w:sz w:val="22"/>
          <w:szCs w:val="22"/>
          <w:highlight w:val="none"/>
        </w:rPr>
      </w:pPr>
      <w:bookmarkStart w:id="108" w:name="_Toc26807"/>
      <w:bookmarkStart w:id="109" w:name="_Toc32454"/>
      <w:bookmarkStart w:id="110" w:name="_Toc30329"/>
      <w:bookmarkStart w:id="111" w:name="_Toc9497"/>
      <w:bookmarkStart w:id="112" w:name="_Toc18683"/>
      <w:r>
        <w:rPr>
          <w:rFonts w:hint="eastAsia" w:ascii="宋体" w:hAnsi="宋体" w:cs="宋体"/>
          <w:color w:val="auto"/>
          <w:sz w:val="22"/>
          <w:szCs w:val="22"/>
          <w:highlight w:val="none"/>
        </w:rPr>
        <w:t>1.8.5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CFB8CA">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1.8.6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FCB9B8">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1.8.7如果出现政府采购监督管理部门在处理投诉事项期间，书面通知甲方暂停采购活动的情形，或者询问或质疑事项可能影响中标或者成交结果的，导致甲方中止履行合同的情形，均不视为甲方违约。</w:t>
      </w:r>
    </w:p>
    <w:p w14:paraId="3C70C676">
      <w:pPr>
        <w:keepNext/>
        <w:keepLines/>
        <w:spacing w:line="360" w:lineRule="auto"/>
        <w:ind w:right="-420" w:rightChars="-20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1.8.8违约责任</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另有约定的，从其约定。</w:t>
      </w:r>
    </w:p>
    <w:bookmarkEnd w:id="108"/>
    <w:bookmarkEnd w:id="109"/>
    <w:bookmarkEnd w:id="110"/>
    <w:bookmarkEnd w:id="111"/>
    <w:bookmarkEnd w:id="112"/>
    <w:p w14:paraId="0375FA06">
      <w:pPr>
        <w:keepNext/>
        <w:keepLines/>
        <w:spacing w:line="360" w:lineRule="auto"/>
        <w:ind w:firstLine="442" w:firstLineChars="200"/>
        <w:outlineLvl w:val="0"/>
        <w:rPr>
          <w:rFonts w:hint="eastAsia" w:ascii="宋体" w:hAnsi="宋体" w:cs="宋体"/>
          <w:b/>
          <w:color w:val="auto"/>
          <w:sz w:val="22"/>
          <w:szCs w:val="22"/>
          <w:highlight w:val="none"/>
        </w:rPr>
      </w:pPr>
      <w:bookmarkStart w:id="113" w:name="_Toc20513"/>
      <w:r>
        <w:rPr>
          <w:rFonts w:hint="eastAsia" w:ascii="宋体" w:hAnsi="宋体" w:cs="宋体"/>
          <w:b/>
          <w:color w:val="auto"/>
          <w:sz w:val="22"/>
          <w:szCs w:val="22"/>
          <w:highlight w:val="none"/>
        </w:rPr>
        <w:t>1.9合同争议的解决</w:t>
      </w:r>
      <w:bookmarkEnd w:id="113"/>
    </w:p>
    <w:p w14:paraId="58FDC5B5">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2"/>
          <w:szCs w:val="22"/>
          <w:highlight w:val="none"/>
          <w:u w:val="single"/>
        </w:rPr>
        <w:t xml:space="preserve">  1.9.1  </w:t>
      </w:r>
      <w:r>
        <w:rPr>
          <w:rFonts w:hint="eastAsia" w:ascii="宋体" w:hAnsi="宋体" w:cs="宋体"/>
          <w:color w:val="auto"/>
          <w:sz w:val="22"/>
          <w:szCs w:val="22"/>
          <w:highlight w:val="none"/>
        </w:rPr>
        <w:t>条款规定的方式解决：</w:t>
      </w:r>
    </w:p>
    <w:p w14:paraId="27220852">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1.9.1 将争议提交</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仲裁委员会依申请仲裁时其现行有效的仲裁规则裁决；</w:t>
      </w:r>
    </w:p>
    <w:p w14:paraId="5CEB4159">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1.9.2 向</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人民法院起诉。</w:t>
      </w:r>
    </w:p>
    <w:p w14:paraId="2B6EA617">
      <w:pPr>
        <w:keepNext/>
        <w:keepLines/>
        <w:spacing w:line="360" w:lineRule="auto"/>
        <w:ind w:firstLine="442" w:firstLineChars="200"/>
        <w:outlineLvl w:val="0"/>
        <w:rPr>
          <w:rFonts w:hint="eastAsia" w:ascii="宋体" w:hAnsi="宋体" w:cs="宋体"/>
          <w:b/>
          <w:color w:val="auto"/>
          <w:sz w:val="22"/>
          <w:szCs w:val="22"/>
          <w:highlight w:val="none"/>
        </w:rPr>
      </w:pPr>
      <w:bookmarkStart w:id="114" w:name="_Toc8616"/>
      <w:r>
        <w:rPr>
          <w:rFonts w:hint="eastAsia" w:ascii="宋体" w:hAnsi="宋体" w:cs="宋体"/>
          <w:b/>
          <w:color w:val="auto"/>
          <w:sz w:val="22"/>
          <w:szCs w:val="22"/>
          <w:highlight w:val="none"/>
        </w:rPr>
        <w:t>2.0 合同生效</w:t>
      </w:r>
      <w:bookmarkEnd w:id="114"/>
    </w:p>
    <w:p w14:paraId="0D2BAE69">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本合同自双方当事人盖章签字时生效。</w:t>
      </w:r>
    </w:p>
    <w:p w14:paraId="034CCED1">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3F4C43BA">
      <w:pPr>
        <w:keepNext/>
        <w:keepLines/>
        <w:spacing w:line="360" w:lineRule="auto"/>
        <w:ind w:firstLine="440" w:firstLineChars="200"/>
        <w:rPr>
          <w:rFonts w:hint="eastAsia" w:ascii="宋体" w:hAnsi="宋体" w:cs="宋体"/>
          <w:color w:val="auto"/>
          <w:sz w:val="22"/>
          <w:szCs w:val="22"/>
          <w:highlight w:val="none"/>
        </w:rPr>
      </w:pPr>
    </w:p>
    <w:tbl>
      <w:tblPr>
        <w:tblStyle w:val="55"/>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1"/>
        <w:gridCol w:w="276"/>
        <w:gridCol w:w="5093"/>
      </w:tblGrid>
      <w:tr w14:paraId="0175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304D5A91">
            <w:pPr>
              <w:keepNext/>
              <w:keepLines/>
              <w:tabs>
                <w:tab w:val="left" w:pos="4620"/>
              </w:tabs>
              <w:autoSpaceDE w:val="0"/>
              <w:autoSpaceDN w:val="0"/>
              <w:jc w:val="center"/>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zh-CN"/>
              </w:rPr>
              <w:t>甲方</w:t>
            </w:r>
            <w:r>
              <w:rPr>
                <w:rFonts w:hint="eastAsia" w:ascii="宋体" w:hAnsi="宋体" w:cs="宋体"/>
                <w:color w:val="auto"/>
                <w:sz w:val="22"/>
                <w:szCs w:val="22"/>
                <w:highlight w:val="none"/>
                <w:lang w:val="zh-CN"/>
              </w:rPr>
              <w:t>：</w:t>
            </w:r>
          </w:p>
        </w:tc>
        <w:tc>
          <w:tcPr>
            <w:tcW w:w="276" w:type="dxa"/>
            <w:tcBorders>
              <w:tl2br w:val="nil"/>
              <w:tr2bl w:val="nil"/>
            </w:tcBorders>
            <w:vAlign w:val="center"/>
          </w:tcPr>
          <w:p w14:paraId="6EB0DD98">
            <w:pPr>
              <w:keepNext/>
              <w:keepLines/>
              <w:tabs>
                <w:tab w:val="left" w:pos="4620"/>
              </w:tabs>
              <w:autoSpaceDE w:val="0"/>
              <w:autoSpaceDN w:val="0"/>
              <w:jc w:val="center"/>
              <w:rPr>
                <w:rFonts w:hint="eastAsia" w:ascii="宋体" w:hAnsi="宋体" w:cs="宋体"/>
                <w:b/>
                <w:color w:val="auto"/>
                <w:sz w:val="22"/>
                <w:szCs w:val="22"/>
                <w:highlight w:val="none"/>
                <w:lang w:val="zh-CN"/>
              </w:rPr>
            </w:pPr>
          </w:p>
        </w:tc>
        <w:tc>
          <w:tcPr>
            <w:tcW w:w="5093" w:type="dxa"/>
            <w:tcBorders>
              <w:tl2br w:val="nil"/>
              <w:tr2bl w:val="nil"/>
            </w:tcBorders>
            <w:vAlign w:val="center"/>
          </w:tcPr>
          <w:p w14:paraId="0CBA1D6E">
            <w:pPr>
              <w:keepNext/>
              <w:keepLines/>
              <w:tabs>
                <w:tab w:val="left" w:pos="4620"/>
              </w:tabs>
              <w:autoSpaceDE w:val="0"/>
              <w:autoSpaceDN w:val="0"/>
              <w:jc w:val="center"/>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lang w:val="zh-CN"/>
              </w:rPr>
              <w:t>乙方</w:t>
            </w:r>
            <w:r>
              <w:rPr>
                <w:rFonts w:hint="eastAsia" w:ascii="宋体" w:hAnsi="宋体" w:cs="宋体"/>
                <w:b/>
                <w:bCs/>
                <w:color w:val="auto"/>
                <w:sz w:val="22"/>
                <w:szCs w:val="22"/>
                <w:highlight w:val="none"/>
                <w:lang w:val="zh-CN"/>
              </w:rPr>
              <w:t>：</w:t>
            </w:r>
          </w:p>
        </w:tc>
      </w:tr>
      <w:tr w14:paraId="2F16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369FBD6B">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统一社会信用代码：</w:t>
            </w:r>
          </w:p>
        </w:tc>
        <w:tc>
          <w:tcPr>
            <w:tcW w:w="276" w:type="dxa"/>
            <w:tcBorders>
              <w:tl2br w:val="nil"/>
              <w:tr2bl w:val="nil"/>
            </w:tcBorders>
            <w:vAlign w:val="center"/>
          </w:tcPr>
          <w:p w14:paraId="0D17F148">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2EB5BFDB">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统一社会信用代码：</w:t>
            </w:r>
          </w:p>
        </w:tc>
      </w:tr>
      <w:tr w14:paraId="7A78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12CDF5CE">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住所：</w:t>
            </w:r>
          </w:p>
        </w:tc>
        <w:tc>
          <w:tcPr>
            <w:tcW w:w="276" w:type="dxa"/>
            <w:tcBorders>
              <w:tl2br w:val="nil"/>
              <w:tr2bl w:val="nil"/>
            </w:tcBorders>
            <w:vAlign w:val="center"/>
          </w:tcPr>
          <w:p w14:paraId="2DBAA57D">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6D19D25D">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住所：</w:t>
            </w:r>
          </w:p>
        </w:tc>
      </w:tr>
      <w:tr w14:paraId="0F97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4481" w:type="dxa"/>
            <w:tcBorders>
              <w:tl2br w:val="nil"/>
              <w:tr2bl w:val="nil"/>
            </w:tcBorders>
            <w:vAlign w:val="center"/>
          </w:tcPr>
          <w:p w14:paraId="0B115478">
            <w:pPr>
              <w:keepNext/>
              <w:keepLines/>
              <w:tabs>
                <w:tab w:val="left" w:pos="4620"/>
              </w:tabs>
              <w:autoSpaceDE w:val="0"/>
              <w:autoSpaceDN w:val="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法定代表人或授权代表（签字）：</w:t>
            </w:r>
          </w:p>
        </w:tc>
        <w:tc>
          <w:tcPr>
            <w:tcW w:w="276" w:type="dxa"/>
            <w:tcBorders>
              <w:tl2br w:val="nil"/>
              <w:tr2bl w:val="nil"/>
            </w:tcBorders>
            <w:vAlign w:val="center"/>
          </w:tcPr>
          <w:p w14:paraId="4BC9CAC1">
            <w:pPr>
              <w:pStyle w:val="4"/>
              <w:spacing w:line="240" w:lineRule="auto"/>
              <w:jc w:val="center"/>
              <w:rPr>
                <w:rFonts w:hint="eastAsia" w:ascii="宋体" w:hAnsi="宋体" w:eastAsia="宋体" w:cs="宋体"/>
                <w:color w:val="auto"/>
                <w:sz w:val="22"/>
                <w:szCs w:val="22"/>
                <w:highlight w:val="none"/>
                <w:u w:val="single"/>
              </w:rPr>
            </w:pPr>
          </w:p>
        </w:tc>
        <w:tc>
          <w:tcPr>
            <w:tcW w:w="5093" w:type="dxa"/>
            <w:tcBorders>
              <w:tl2br w:val="nil"/>
              <w:tr2bl w:val="nil"/>
            </w:tcBorders>
            <w:vAlign w:val="center"/>
          </w:tcPr>
          <w:p w14:paraId="5435AB20">
            <w:pPr>
              <w:keepNext/>
              <w:keepLines/>
              <w:tabs>
                <w:tab w:val="left" w:pos="4620"/>
              </w:tabs>
              <w:autoSpaceDE w:val="0"/>
              <w:autoSpaceDN w:val="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法定代表人或授权代表（签字）：</w:t>
            </w:r>
          </w:p>
        </w:tc>
      </w:tr>
      <w:tr w14:paraId="75A9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425FA115">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联系人：</w:t>
            </w:r>
          </w:p>
        </w:tc>
        <w:tc>
          <w:tcPr>
            <w:tcW w:w="276" w:type="dxa"/>
            <w:tcBorders>
              <w:tl2br w:val="nil"/>
              <w:tr2bl w:val="nil"/>
            </w:tcBorders>
            <w:vAlign w:val="center"/>
          </w:tcPr>
          <w:p w14:paraId="51282543">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616E6313">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联系人：</w:t>
            </w:r>
          </w:p>
        </w:tc>
      </w:tr>
      <w:tr w14:paraId="7B76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578A6718">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约定送达地址：</w:t>
            </w:r>
          </w:p>
        </w:tc>
        <w:tc>
          <w:tcPr>
            <w:tcW w:w="276" w:type="dxa"/>
            <w:tcBorders>
              <w:tl2br w:val="nil"/>
              <w:tr2bl w:val="nil"/>
            </w:tcBorders>
            <w:vAlign w:val="center"/>
          </w:tcPr>
          <w:p w14:paraId="03C8F60E">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2E1B0446">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约定送达地址：</w:t>
            </w:r>
          </w:p>
        </w:tc>
      </w:tr>
      <w:tr w14:paraId="2241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2D54CDBE">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邮政编码：</w:t>
            </w:r>
          </w:p>
        </w:tc>
        <w:tc>
          <w:tcPr>
            <w:tcW w:w="276" w:type="dxa"/>
            <w:tcBorders>
              <w:tl2br w:val="nil"/>
              <w:tr2bl w:val="nil"/>
            </w:tcBorders>
            <w:vAlign w:val="center"/>
          </w:tcPr>
          <w:p w14:paraId="3384F86C">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236ADB89">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邮政编码：</w:t>
            </w:r>
          </w:p>
        </w:tc>
      </w:tr>
      <w:tr w14:paraId="0683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359D1FDD">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电话：</w:t>
            </w:r>
          </w:p>
        </w:tc>
        <w:tc>
          <w:tcPr>
            <w:tcW w:w="276" w:type="dxa"/>
            <w:tcBorders>
              <w:tl2br w:val="nil"/>
              <w:tr2bl w:val="nil"/>
            </w:tcBorders>
            <w:vAlign w:val="center"/>
          </w:tcPr>
          <w:p w14:paraId="2D201DAD">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17CF57F0">
            <w:pPr>
              <w:keepNext/>
              <w:keepLines/>
              <w:tabs>
                <w:tab w:val="left" w:pos="4620"/>
              </w:tabs>
              <w:autoSpaceDE w:val="0"/>
              <w:autoSpaceDN w:val="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lang w:val="zh-CN"/>
              </w:rPr>
              <w:t>电话：</w:t>
            </w:r>
          </w:p>
        </w:tc>
      </w:tr>
      <w:tr w14:paraId="12C6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66FDF96B">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传真：</w:t>
            </w:r>
          </w:p>
        </w:tc>
        <w:tc>
          <w:tcPr>
            <w:tcW w:w="276" w:type="dxa"/>
            <w:tcBorders>
              <w:tl2br w:val="nil"/>
              <w:tr2bl w:val="nil"/>
            </w:tcBorders>
            <w:vAlign w:val="center"/>
          </w:tcPr>
          <w:p w14:paraId="383BC2F5">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27B75645">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传真：</w:t>
            </w:r>
          </w:p>
        </w:tc>
      </w:tr>
      <w:tr w14:paraId="0F34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347D993D">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电子邮箱：</w:t>
            </w:r>
          </w:p>
        </w:tc>
        <w:tc>
          <w:tcPr>
            <w:tcW w:w="276" w:type="dxa"/>
            <w:tcBorders>
              <w:tl2br w:val="nil"/>
              <w:tr2bl w:val="nil"/>
            </w:tcBorders>
            <w:vAlign w:val="center"/>
          </w:tcPr>
          <w:p w14:paraId="302A6187">
            <w:pPr>
              <w:keepNext/>
              <w:keepLines/>
              <w:tabs>
                <w:tab w:val="left" w:pos="4620"/>
              </w:tabs>
              <w:autoSpaceDE w:val="0"/>
              <w:autoSpaceDN w:val="0"/>
              <w:jc w:val="center"/>
              <w:rPr>
                <w:rFonts w:hint="eastAsia" w:ascii="宋体" w:hAnsi="宋体" w:cs="宋体"/>
                <w:color w:val="auto"/>
                <w:sz w:val="22"/>
                <w:szCs w:val="22"/>
                <w:highlight w:val="none"/>
                <w:lang w:val="zh-CN"/>
              </w:rPr>
            </w:pPr>
          </w:p>
        </w:tc>
        <w:tc>
          <w:tcPr>
            <w:tcW w:w="5093" w:type="dxa"/>
            <w:tcBorders>
              <w:tl2br w:val="nil"/>
              <w:tr2bl w:val="nil"/>
            </w:tcBorders>
            <w:vAlign w:val="center"/>
          </w:tcPr>
          <w:p w14:paraId="6E9E4DCB">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电子邮箱：</w:t>
            </w:r>
          </w:p>
        </w:tc>
      </w:tr>
      <w:tr w14:paraId="0829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2AE8D03D">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开户银行：</w:t>
            </w:r>
          </w:p>
        </w:tc>
        <w:tc>
          <w:tcPr>
            <w:tcW w:w="276" w:type="dxa"/>
            <w:tcBorders>
              <w:tl2br w:val="nil"/>
              <w:tr2bl w:val="nil"/>
            </w:tcBorders>
            <w:vAlign w:val="center"/>
          </w:tcPr>
          <w:p w14:paraId="65D11F1F">
            <w:pPr>
              <w:keepNext/>
              <w:keepLines/>
              <w:tabs>
                <w:tab w:val="left" w:pos="4620"/>
              </w:tabs>
              <w:autoSpaceDE w:val="0"/>
              <w:autoSpaceDN w:val="0"/>
              <w:jc w:val="center"/>
              <w:rPr>
                <w:rFonts w:hint="eastAsia" w:ascii="宋体" w:hAnsi="宋体" w:cs="宋体"/>
                <w:color w:val="auto"/>
                <w:sz w:val="22"/>
                <w:szCs w:val="22"/>
                <w:highlight w:val="none"/>
              </w:rPr>
            </w:pPr>
          </w:p>
        </w:tc>
        <w:tc>
          <w:tcPr>
            <w:tcW w:w="5093" w:type="dxa"/>
            <w:tcBorders>
              <w:tl2br w:val="nil"/>
              <w:tr2bl w:val="nil"/>
            </w:tcBorders>
            <w:vAlign w:val="center"/>
          </w:tcPr>
          <w:p w14:paraId="547440D4">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开户银行：</w:t>
            </w:r>
          </w:p>
        </w:tc>
      </w:tr>
      <w:tr w14:paraId="3E9C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27295B57">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开户名称：</w:t>
            </w:r>
          </w:p>
        </w:tc>
        <w:tc>
          <w:tcPr>
            <w:tcW w:w="276" w:type="dxa"/>
            <w:tcBorders>
              <w:tl2br w:val="nil"/>
              <w:tr2bl w:val="nil"/>
            </w:tcBorders>
            <w:vAlign w:val="center"/>
          </w:tcPr>
          <w:p w14:paraId="4EC2879D">
            <w:pPr>
              <w:keepNext/>
              <w:keepLines/>
              <w:tabs>
                <w:tab w:val="left" w:pos="4620"/>
              </w:tabs>
              <w:autoSpaceDE w:val="0"/>
              <w:autoSpaceDN w:val="0"/>
              <w:jc w:val="center"/>
              <w:rPr>
                <w:rFonts w:hint="eastAsia" w:ascii="宋体" w:hAnsi="宋体" w:cs="宋体"/>
                <w:color w:val="auto"/>
                <w:sz w:val="22"/>
                <w:szCs w:val="22"/>
                <w:highlight w:val="none"/>
              </w:rPr>
            </w:pPr>
          </w:p>
        </w:tc>
        <w:tc>
          <w:tcPr>
            <w:tcW w:w="5093" w:type="dxa"/>
            <w:tcBorders>
              <w:tl2br w:val="nil"/>
              <w:tr2bl w:val="nil"/>
            </w:tcBorders>
            <w:vAlign w:val="center"/>
          </w:tcPr>
          <w:p w14:paraId="1A461A56">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开户名称：</w:t>
            </w:r>
          </w:p>
        </w:tc>
      </w:tr>
      <w:tr w14:paraId="0269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81" w:type="dxa"/>
            <w:tcBorders>
              <w:tl2br w:val="nil"/>
              <w:tr2bl w:val="nil"/>
            </w:tcBorders>
            <w:vAlign w:val="center"/>
          </w:tcPr>
          <w:p w14:paraId="5A7E331F">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开户账号：</w:t>
            </w:r>
          </w:p>
        </w:tc>
        <w:tc>
          <w:tcPr>
            <w:tcW w:w="276" w:type="dxa"/>
            <w:tcBorders>
              <w:tl2br w:val="nil"/>
              <w:tr2bl w:val="nil"/>
            </w:tcBorders>
            <w:vAlign w:val="center"/>
          </w:tcPr>
          <w:p w14:paraId="3A0D5E0A">
            <w:pPr>
              <w:keepNext/>
              <w:keepLines/>
              <w:tabs>
                <w:tab w:val="left" w:pos="4620"/>
              </w:tabs>
              <w:autoSpaceDE w:val="0"/>
              <w:autoSpaceDN w:val="0"/>
              <w:jc w:val="center"/>
              <w:rPr>
                <w:rFonts w:hint="eastAsia" w:ascii="宋体" w:hAnsi="宋体" w:cs="宋体"/>
                <w:color w:val="auto"/>
                <w:sz w:val="22"/>
                <w:szCs w:val="22"/>
                <w:highlight w:val="none"/>
              </w:rPr>
            </w:pPr>
          </w:p>
        </w:tc>
        <w:tc>
          <w:tcPr>
            <w:tcW w:w="5093" w:type="dxa"/>
            <w:tcBorders>
              <w:tl2br w:val="nil"/>
              <w:tr2bl w:val="nil"/>
            </w:tcBorders>
            <w:vAlign w:val="center"/>
          </w:tcPr>
          <w:p w14:paraId="7ED25C99">
            <w:pPr>
              <w:keepNext/>
              <w:keepLines/>
              <w:tabs>
                <w:tab w:val="left" w:pos="4620"/>
              </w:tabs>
              <w:autoSpaceDE w:val="0"/>
              <w:autoSpaceDN w:val="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开户账号：</w:t>
            </w:r>
          </w:p>
        </w:tc>
      </w:tr>
    </w:tbl>
    <w:p w14:paraId="0D8B116B">
      <w:pPr>
        <w:keepNext/>
        <w:keepLines/>
        <w:spacing w:line="360" w:lineRule="auto"/>
        <w:jc w:val="left"/>
        <w:rPr>
          <w:rFonts w:hint="eastAsia" w:ascii="宋体" w:hAnsi="宋体" w:cs="宋体"/>
          <w:b/>
          <w:color w:val="auto"/>
          <w:sz w:val="22"/>
          <w:szCs w:val="22"/>
          <w:highlight w:val="none"/>
        </w:rPr>
      </w:pPr>
    </w:p>
    <w:p w14:paraId="7387FF5C">
      <w:pPr>
        <w:keepNext/>
        <w:keepLines/>
        <w:spacing w:line="360" w:lineRule="auto"/>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59AFD194">
      <w:pPr>
        <w:pStyle w:val="308"/>
        <w:keepNext/>
        <w:keepLines/>
        <w:spacing w:line="360" w:lineRule="auto"/>
        <w:ind w:firstLine="482"/>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 合同一般条款</w:t>
      </w:r>
    </w:p>
    <w:p w14:paraId="54F598D0">
      <w:pPr>
        <w:keepNext/>
        <w:keepLines/>
        <w:spacing w:line="360" w:lineRule="auto"/>
        <w:ind w:firstLine="442" w:firstLineChars="200"/>
        <w:outlineLvl w:val="0"/>
        <w:rPr>
          <w:rFonts w:hint="eastAsia" w:ascii="宋体" w:hAnsi="宋体" w:cs="宋体"/>
          <w:b/>
          <w:color w:val="auto"/>
          <w:sz w:val="22"/>
          <w:szCs w:val="22"/>
          <w:highlight w:val="none"/>
        </w:rPr>
      </w:pPr>
      <w:bookmarkStart w:id="115" w:name="_Toc25079"/>
      <w:bookmarkStart w:id="116" w:name="_Toc31297"/>
      <w:bookmarkStart w:id="117" w:name="_Toc5228"/>
      <w:bookmarkStart w:id="118" w:name="_Toc15841"/>
      <w:bookmarkStart w:id="119" w:name="_Toc19680"/>
      <w:bookmarkStart w:id="120" w:name="_Toc14021"/>
      <w:r>
        <w:rPr>
          <w:rFonts w:hint="eastAsia" w:ascii="宋体" w:hAnsi="宋体" w:cs="宋体"/>
          <w:b/>
          <w:color w:val="auto"/>
          <w:sz w:val="22"/>
          <w:szCs w:val="22"/>
          <w:highlight w:val="none"/>
        </w:rPr>
        <w:t>2.1 定义</w:t>
      </w:r>
      <w:bookmarkEnd w:id="115"/>
      <w:bookmarkEnd w:id="116"/>
      <w:bookmarkEnd w:id="117"/>
      <w:bookmarkEnd w:id="118"/>
      <w:bookmarkEnd w:id="119"/>
      <w:bookmarkEnd w:id="120"/>
    </w:p>
    <w:p w14:paraId="1BA7A0E8">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本合同中的下列词语应按以下内容进行解释：</w:t>
      </w:r>
    </w:p>
    <w:p w14:paraId="5E902F20">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2.1.1 “合同”系指采购人和中标或成交供应商签订的载明双方当事人所达成的协议，并包括所有的附件、附录和构成合同的其他文件。</w:t>
      </w:r>
    </w:p>
    <w:p w14:paraId="73E4729E">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2.1.2 “合同价”系指根据合同约定，中标或成交供应商在完全履行合同义务后，采购人应支付给中标或成交供应商的价格。</w:t>
      </w:r>
    </w:p>
    <w:p w14:paraId="2B5425C6">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2.1.3 “服务”系指中标或成交供应商根据合同约定应向采购人履行的除货物和工程以外的其他政府采购对象，包括采购人自身需要的服务和向社会公众提供的公共服务。</w:t>
      </w:r>
    </w:p>
    <w:p w14:paraId="2DBB0B94">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2.1.4 “甲方”系指与中标或成交供应商签署合同的采购人；采购人委托集采机构代表其与乙方签订合同的，采购人的授权委托书作为合同附件。</w:t>
      </w:r>
    </w:p>
    <w:p w14:paraId="62725BE7">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EC51B6D">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2.1.6 “现场”系指合同约定提供服务的地点。</w:t>
      </w:r>
    </w:p>
    <w:p w14:paraId="58E7D6D1">
      <w:pPr>
        <w:keepNext/>
        <w:keepLines/>
        <w:spacing w:line="360" w:lineRule="auto"/>
        <w:ind w:firstLine="442" w:firstLineChars="200"/>
        <w:outlineLvl w:val="0"/>
        <w:rPr>
          <w:rFonts w:hint="eastAsia" w:ascii="宋体" w:hAnsi="宋体" w:cs="宋体"/>
          <w:b/>
          <w:color w:val="auto"/>
          <w:sz w:val="22"/>
          <w:szCs w:val="22"/>
          <w:highlight w:val="none"/>
        </w:rPr>
      </w:pPr>
      <w:bookmarkStart w:id="121" w:name="_Toc3769"/>
      <w:bookmarkStart w:id="122" w:name="_Toc19539"/>
      <w:bookmarkStart w:id="123" w:name="_Toc31035"/>
      <w:bookmarkStart w:id="124" w:name="_Toc23289"/>
      <w:bookmarkStart w:id="125" w:name="_Toc31402"/>
      <w:bookmarkStart w:id="126" w:name="_Toc16752"/>
      <w:r>
        <w:rPr>
          <w:rFonts w:hint="eastAsia" w:ascii="宋体" w:hAnsi="宋体" w:cs="宋体"/>
          <w:b/>
          <w:color w:val="auto"/>
          <w:sz w:val="22"/>
          <w:szCs w:val="22"/>
          <w:highlight w:val="none"/>
        </w:rPr>
        <w:t>2.2 技术规范</w:t>
      </w:r>
      <w:bookmarkEnd w:id="121"/>
      <w:bookmarkEnd w:id="122"/>
      <w:bookmarkEnd w:id="123"/>
      <w:bookmarkEnd w:id="124"/>
      <w:bookmarkEnd w:id="125"/>
      <w:bookmarkEnd w:id="126"/>
    </w:p>
    <w:p w14:paraId="766C3A65">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A19E45D">
      <w:pPr>
        <w:keepNext/>
        <w:keepLines/>
        <w:spacing w:line="360" w:lineRule="auto"/>
        <w:ind w:firstLine="442" w:firstLineChars="200"/>
        <w:outlineLvl w:val="0"/>
        <w:rPr>
          <w:rFonts w:hint="eastAsia" w:ascii="宋体" w:hAnsi="宋体" w:cs="宋体"/>
          <w:b/>
          <w:color w:val="auto"/>
          <w:sz w:val="22"/>
          <w:szCs w:val="22"/>
          <w:highlight w:val="none"/>
        </w:rPr>
      </w:pPr>
      <w:bookmarkStart w:id="127" w:name="_Toc4133"/>
      <w:bookmarkStart w:id="128" w:name="_Toc12412"/>
      <w:bookmarkStart w:id="129" w:name="_Toc13673"/>
      <w:bookmarkStart w:id="130" w:name="_Toc27945"/>
      <w:bookmarkStart w:id="131" w:name="_Toc9161"/>
      <w:bookmarkStart w:id="132" w:name="_Toc4043"/>
      <w:r>
        <w:rPr>
          <w:rFonts w:hint="eastAsia" w:ascii="宋体" w:hAnsi="宋体" w:cs="宋体"/>
          <w:b/>
          <w:color w:val="auto"/>
          <w:sz w:val="22"/>
          <w:szCs w:val="22"/>
          <w:highlight w:val="none"/>
        </w:rPr>
        <w:t>2.3 知识产权</w:t>
      </w:r>
      <w:bookmarkEnd w:id="127"/>
      <w:bookmarkEnd w:id="128"/>
      <w:bookmarkEnd w:id="129"/>
      <w:bookmarkEnd w:id="130"/>
      <w:bookmarkEnd w:id="131"/>
      <w:bookmarkEnd w:id="132"/>
    </w:p>
    <w:p w14:paraId="75C48363">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B4BD52A">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2.3.2 合同涉及技术成果的归属和收益的分成办法的，详见</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p>
    <w:p w14:paraId="56F9F0F2">
      <w:pPr>
        <w:keepNext/>
        <w:keepLines/>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2.4 履约检查和问题反馈</w:t>
      </w:r>
    </w:p>
    <w:p w14:paraId="3B7E07F7">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A91B1AB">
      <w:pPr>
        <w:keepNext/>
        <w:keepLines/>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2.4.2 合同履行期间，甲方有权将履行过程中出现的问题反馈给乙方，双方当事人应以书面形式约定需要完善和改进的内容。</w:t>
      </w:r>
    </w:p>
    <w:p w14:paraId="03EBA296">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2.4.3 安全保障：乙方应严格保障活动期间的人身和财产安全，避免发生人身和财产损害事故。乙方所负责提供的材料物资及各项服务等，必须确保符合安全条件。如因乙方原因导致人身或财产损害事故，乙方应承担全部赔偿责任；因此导致甲方损失以及甲方向第三方赔偿的，甲方有权向乙方追偿。</w:t>
      </w:r>
    </w:p>
    <w:p w14:paraId="3EDAF07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2.4.4 乙方应以自身名义就活动承办签订并履行相关合同，不得以甲方名义签署任何文件。甲方不对乙方履行对外签订的合同承担连带或补充责任。</w:t>
      </w:r>
      <w:bookmarkStart w:id="133" w:name="_Toc31233"/>
      <w:bookmarkStart w:id="134" w:name="_Toc32670"/>
      <w:bookmarkStart w:id="135" w:name="_Toc26555"/>
      <w:bookmarkStart w:id="136" w:name="_Toc22011"/>
      <w:bookmarkStart w:id="137" w:name="_Toc15447"/>
    </w:p>
    <w:p w14:paraId="5DF67224">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2.5 结算方式和付款条件</w:t>
      </w:r>
      <w:bookmarkEnd w:id="133"/>
      <w:bookmarkEnd w:id="134"/>
      <w:bookmarkEnd w:id="135"/>
      <w:bookmarkEnd w:id="136"/>
      <w:bookmarkEnd w:id="137"/>
    </w:p>
    <w:p w14:paraId="46D89A4C">
      <w:pPr>
        <w:spacing w:line="360" w:lineRule="auto"/>
        <w:ind w:firstLine="880" w:firstLineChars="400"/>
        <w:rPr>
          <w:rFonts w:hint="eastAsia" w:ascii="宋体" w:hAnsi="宋体" w:cs="宋体"/>
          <w:color w:val="auto"/>
          <w:sz w:val="22"/>
          <w:szCs w:val="22"/>
          <w:highlight w:val="none"/>
        </w:rPr>
      </w:pPr>
      <w:r>
        <w:rPr>
          <w:rFonts w:hint="eastAsia" w:ascii="宋体" w:hAnsi="宋体" w:cs="宋体"/>
          <w:color w:val="auto"/>
          <w:sz w:val="22"/>
          <w:szCs w:val="22"/>
          <w:highlight w:val="none"/>
        </w:rPr>
        <w:t>详见</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w:t>
      </w:r>
      <w:bookmarkStart w:id="138" w:name="_Toc13467"/>
      <w:bookmarkStart w:id="139" w:name="_Toc30507"/>
      <w:bookmarkStart w:id="140" w:name="_Toc18990"/>
      <w:bookmarkStart w:id="141" w:name="_Toc13154"/>
      <w:bookmarkStart w:id="142" w:name="_Toc16163"/>
    </w:p>
    <w:p w14:paraId="7C404443">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2.6 技术资料和保密义务</w:t>
      </w:r>
      <w:bookmarkEnd w:id="138"/>
      <w:bookmarkEnd w:id="139"/>
      <w:bookmarkEnd w:id="140"/>
      <w:bookmarkEnd w:id="141"/>
      <w:bookmarkEnd w:id="142"/>
    </w:p>
    <w:p w14:paraId="0132BDA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2.6.1 乙方有权依据合同约定和项目需要，向甲方了解有关情况，调阅有关资料等，甲方应予积极配合；</w:t>
      </w:r>
    </w:p>
    <w:p w14:paraId="695E378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2.6.2 乙方有义务妥善保管和保护由甲方提供的前款信息和资料等；</w:t>
      </w:r>
    </w:p>
    <w:p w14:paraId="315A129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bookmarkStart w:id="143" w:name="_Toc19069"/>
    </w:p>
    <w:p w14:paraId="79FE2C36">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2.7 质量保证</w:t>
      </w:r>
      <w:bookmarkEnd w:id="143"/>
    </w:p>
    <w:p w14:paraId="116D5EB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2.7.1 乙方应建立和完善履行合同的内部质量保证体系，并提供相关内部规章制度给甲方，以便甲方进行监督检查；</w:t>
      </w:r>
    </w:p>
    <w:p w14:paraId="5348DAD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2.7.2 乙方应保证履行合同的人员数量和素质、软件和硬件设备的配置、场地、环境和设施等满足全面履行合同的要求，并应接受甲方的监督检查。</w:t>
      </w:r>
      <w:bookmarkStart w:id="144" w:name="_Toc22267"/>
    </w:p>
    <w:p w14:paraId="76F41278">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2.8 延迟履行</w:t>
      </w:r>
      <w:bookmarkEnd w:id="144"/>
      <w:r>
        <w:rPr>
          <w:rFonts w:hint="eastAsia" w:ascii="宋体" w:hAnsi="宋体" w:cs="宋体"/>
          <w:color w:val="auto"/>
          <w:sz w:val="22"/>
          <w:szCs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bookmarkStart w:id="145" w:name="_Toc10611"/>
    </w:p>
    <w:p w14:paraId="7E933875">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2.9 合同变更</w:t>
      </w:r>
      <w:bookmarkEnd w:id="145"/>
      <w:r>
        <w:rPr>
          <w:rFonts w:hint="eastAsia" w:ascii="宋体" w:hAnsi="宋体" w:cs="宋体"/>
          <w:color w:val="auto"/>
          <w:sz w:val="22"/>
          <w:szCs w:val="22"/>
          <w:highlight w:val="none"/>
        </w:rPr>
        <w:t>合同继续履行将损害国家利益和社会公共利益的，双方当事人应当以书面形式变更合同。有过错的一方应当承担赔偿责任，双方当事人都有过错的，各自承担相应的责任。</w:t>
      </w:r>
      <w:bookmarkStart w:id="146" w:name="_Toc42"/>
      <w:bookmarkStart w:id="147" w:name="_Toc10663"/>
      <w:bookmarkStart w:id="148" w:name="_Toc21830"/>
      <w:bookmarkStart w:id="149" w:name="_Toc23368"/>
      <w:bookmarkStart w:id="150" w:name="_Toc26689"/>
    </w:p>
    <w:p w14:paraId="5FBADA87">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2.10 合同转让和分包</w:t>
      </w:r>
      <w:bookmarkEnd w:id="146"/>
      <w:bookmarkEnd w:id="147"/>
      <w:bookmarkEnd w:id="148"/>
      <w:bookmarkEnd w:id="149"/>
      <w:bookmarkEnd w:id="150"/>
      <w:r>
        <w:rPr>
          <w:rFonts w:hint="eastAsia" w:ascii="宋体" w:hAnsi="宋体" w:cs="宋体"/>
          <w:color w:val="auto"/>
          <w:sz w:val="22"/>
          <w:szCs w:val="22"/>
          <w:highlight w:val="none"/>
        </w:rPr>
        <w:t>合同的权利义务依法不得转让，但经甲方同意，乙方可以依法采取分包方式履行合同，即：依法可以将合同项下的工作分包给他人完成，接受分包的人应当具备相应的资格条件，并不得再次分包，且乙方应就分包项目向甲方负责，并与分包供应商就分包项目向甲方承担连带责任。</w:t>
      </w:r>
      <w:bookmarkStart w:id="151" w:name="_Toc32494"/>
      <w:bookmarkStart w:id="152" w:name="_Toc4720"/>
      <w:bookmarkStart w:id="153" w:name="_Toc14371"/>
      <w:bookmarkStart w:id="154" w:name="_Toc26633"/>
      <w:bookmarkStart w:id="155" w:name="_Toc25571"/>
    </w:p>
    <w:p w14:paraId="21B79326">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2.11 不可抗力</w:t>
      </w:r>
      <w:bookmarkEnd w:id="151"/>
      <w:bookmarkEnd w:id="152"/>
      <w:bookmarkEnd w:id="153"/>
      <w:bookmarkEnd w:id="154"/>
      <w:bookmarkEnd w:id="155"/>
    </w:p>
    <w:p w14:paraId="08E1907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2.11.1如果任何一方遭遇法律规定的不可抗力，致使合同履行受阻时，履行合同的期限应予延长，延长的期限应相当于不可抗力所影响的时间；</w:t>
      </w:r>
    </w:p>
    <w:p w14:paraId="5A3158D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2.11.2 因不可抗力致使不能实现合同目的的，当事人可以解除合同；</w:t>
      </w:r>
    </w:p>
    <w:p w14:paraId="0C02075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2.11.3 因不可抗力致使合同有变更必要的，双方当事人应在</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约定时间内以书面形式变更合同；</w:t>
      </w:r>
    </w:p>
    <w:p w14:paraId="680EF7E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2.11.4受不可抗力影响的一方在不可抗力发生后，应在</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约定时间内以书面形式通知对方当事人，并在</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约定时间内，将有关部门出具的证明文件送达对方当事人。</w:t>
      </w:r>
      <w:bookmarkStart w:id="156" w:name="_Toc23854"/>
      <w:bookmarkStart w:id="157" w:name="_Toc14115"/>
      <w:bookmarkStart w:id="158" w:name="_Toc3638"/>
      <w:bookmarkStart w:id="159" w:name="_Toc25783"/>
      <w:bookmarkStart w:id="160" w:name="_Toc24465"/>
    </w:p>
    <w:p w14:paraId="603A06B6">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2.12 税费</w:t>
      </w:r>
      <w:bookmarkEnd w:id="156"/>
      <w:bookmarkEnd w:id="157"/>
      <w:bookmarkEnd w:id="158"/>
      <w:bookmarkEnd w:id="159"/>
      <w:bookmarkEnd w:id="160"/>
    </w:p>
    <w:p w14:paraId="65D05C60">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与合同有关的一切税费，均按照中华人民共和国法律的相关规定缴纳。</w:t>
      </w:r>
      <w:bookmarkStart w:id="161" w:name="_Toc30105"/>
      <w:bookmarkStart w:id="162" w:name="_Toc7315"/>
      <w:bookmarkStart w:id="163" w:name="_Toc14814"/>
      <w:bookmarkStart w:id="164" w:name="_Toc25525"/>
      <w:bookmarkStart w:id="165" w:name="_Toc26883"/>
    </w:p>
    <w:p w14:paraId="7D44213C">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2.13 乙方破产</w:t>
      </w:r>
      <w:bookmarkEnd w:id="161"/>
      <w:bookmarkEnd w:id="162"/>
      <w:bookmarkEnd w:id="163"/>
      <w:bookmarkEnd w:id="164"/>
      <w:bookmarkEnd w:id="165"/>
    </w:p>
    <w:p w14:paraId="2130AD4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如果乙方破产导致合同无法履行时，甲方可以书面形式通知乙方终止合同且不给予乙方任何补偿和赔偿，但合同的终止不损害或不影响甲方已经采取或将要采取的任何要求乙方提供补救措施的权利。</w:t>
      </w:r>
      <w:bookmarkStart w:id="166" w:name="_Toc23323"/>
      <w:bookmarkStart w:id="167" w:name="_Toc1123"/>
      <w:bookmarkStart w:id="168" w:name="_Toc2016"/>
    </w:p>
    <w:p w14:paraId="6D66AAE4">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2.14 合同中止、终止</w:t>
      </w:r>
      <w:bookmarkEnd w:id="166"/>
      <w:bookmarkEnd w:id="167"/>
      <w:bookmarkEnd w:id="168"/>
    </w:p>
    <w:p w14:paraId="2B98B9D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2.14.1 双方当事人不得擅自中止或者终止合同；</w:t>
      </w:r>
    </w:p>
    <w:p w14:paraId="4ABEDDD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2.14.2合同继续履行将损害国家利益和社会公共利益的，双方当事人应当中止或者终止合同。有过错的一方应当承担赔偿责任，双方当事人都有过错的，各自承担相应的责任。</w:t>
      </w:r>
      <w:bookmarkStart w:id="169" w:name="_Toc1969"/>
      <w:bookmarkStart w:id="170" w:name="_Toc14525"/>
      <w:bookmarkStart w:id="171" w:name="_Toc17363"/>
    </w:p>
    <w:p w14:paraId="3C613734">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2.15 检验和验收</w:t>
      </w:r>
      <w:bookmarkEnd w:id="169"/>
      <w:bookmarkEnd w:id="170"/>
      <w:bookmarkEnd w:id="171"/>
    </w:p>
    <w:p w14:paraId="02453C4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2.15.1 乙方按照</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的约定，定期提交服务报告，甲方按照</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的约定进行定期验收；</w:t>
      </w:r>
    </w:p>
    <w:p w14:paraId="324558D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2.15.2 合同期满或者履行完毕后，甲方有权组织对乙方履约的验收，即：按照合同约定的标准，组织对乙方履约情况的验收，并出具验收书；向社会公众提供的公共服务项目，验收时应当邀请服务对象参与并出具意见，验收结果应当向社会公告；</w:t>
      </w:r>
    </w:p>
    <w:p w14:paraId="7D4C73E7">
      <w:pPr>
        <w:spacing w:line="360" w:lineRule="auto"/>
        <w:ind w:firstLine="440" w:firstLineChars="200"/>
        <w:rPr>
          <w:rFonts w:hint="eastAsia" w:ascii="宋体" w:hAnsi="宋体" w:cs="宋体"/>
          <w:i/>
          <w:color w:val="auto"/>
          <w:sz w:val="22"/>
          <w:szCs w:val="22"/>
          <w:highlight w:val="none"/>
        </w:rPr>
      </w:pPr>
      <w:r>
        <w:rPr>
          <w:rFonts w:hint="eastAsia" w:ascii="宋体" w:hAnsi="宋体" w:cs="宋体"/>
          <w:color w:val="auto"/>
          <w:sz w:val="22"/>
          <w:szCs w:val="22"/>
          <w:highlight w:val="none"/>
        </w:rPr>
        <w:t>2.15.3 检验和验收标准、程序等具体内容以及前述验收书的效力详见</w:t>
      </w:r>
      <w:r>
        <w:rPr>
          <w:rFonts w:hint="eastAsia" w:ascii="宋体" w:hAnsi="宋体" w:cs="宋体"/>
          <w:b/>
          <w:i/>
          <w:color w:val="auto"/>
          <w:sz w:val="22"/>
          <w:szCs w:val="22"/>
          <w:highlight w:val="none"/>
          <w:u w:val="single"/>
        </w:rPr>
        <w:t>合同专用条款</w:t>
      </w:r>
      <w:r>
        <w:rPr>
          <w:rFonts w:hint="eastAsia" w:ascii="宋体" w:hAnsi="宋体" w:cs="宋体"/>
          <w:i/>
          <w:color w:val="auto"/>
          <w:sz w:val="22"/>
          <w:szCs w:val="22"/>
          <w:highlight w:val="none"/>
        </w:rPr>
        <w:t>。</w:t>
      </w:r>
      <w:bookmarkStart w:id="172" w:name="_Toc31892"/>
      <w:bookmarkStart w:id="173" w:name="_Toc25198"/>
      <w:bookmarkStart w:id="174" w:name="_Toc12666"/>
      <w:bookmarkStart w:id="175" w:name="_Toc9808"/>
      <w:bookmarkStart w:id="176" w:name="_Toc2308"/>
    </w:p>
    <w:p w14:paraId="7F478CF7">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2.16 通知和送达</w:t>
      </w:r>
      <w:bookmarkEnd w:id="172"/>
      <w:bookmarkEnd w:id="173"/>
      <w:bookmarkEnd w:id="174"/>
      <w:bookmarkEnd w:id="175"/>
      <w:bookmarkEnd w:id="176"/>
      <w:bookmarkStart w:id="177" w:name="_Toc18401"/>
      <w:bookmarkStart w:id="178" w:name="_Toc27674"/>
    </w:p>
    <w:p w14:paraId="14E2045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2.16.1任何一方因履行合同而以合同第一部分尾部所列明的传真或电子邮件发出的所有通知、文件、材料，均视为已向对方当事人送达；任何一方变更上述送达方式或者地址的，应于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2"/>
          <w:szCs w:val="22"/>
          <w:highlight w:val="none"/>
          <w:u w:val="single"/>
        </w:rPr>
        <w:t>3</w:t>
      </w:r>
      <w:r>
        <w:rPr>
          <w:rFonts w:hint="eastAsia" w:ascii="宋体" w:hAnsi="宋体" w:cs="宋体"/>
          <w:color w:val="auto"/>
          <w:sz w:val="22"/>
          <w:szCs w:val="22"/>
          <w:highlight w:val="none"/>
        </w:rPr>
        <w:t>个工作日内书面通知对方当事人，在对方当事人收到有关变更通知之前，变更前的约定送达方式或者地址仍视为有效。</w:t>
      </w:r>
    </w:p>
    <w:p w14:paraId="6A0603A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7"/>
      <w:bookmarkEnd w:id="178"/>
      <w:bookmarkStart w:id="179" w:name="_Toc5063"/>
      <w:bookmarkStart w:id="180" w:name="_Toc20808"/>
      <w:bookmarkStart w:id="181" w:name="_Toc28906"/>
      <w:bookmarkStart w:id="182" w:name="_Toc27644"/>
      <w:bookmarkStart w:id="183" w:name="_Toc12254"/>
    </w:p>
    <w:p w14:paraId="43ACFA29">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2.17 合同使用的文字和适用的法律</w:t>
      </w:r>
      <w:bookmarkEnd w:id="179"/>
      <w:bookmarkEnd w:id="180"/>
      <w:bookmarkEnd w:id="181"/>
      <w:bookmarkEnd w:id="182"/>
      <w:bookmarkEnd w:id="183"/>
    </w:p>
    <w:p w14:paraId="098512A8">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2.17.1 合同使用汉语书就、变更和解释；</w:t>
      </w:r>
    </w:p>
    <w:p w14:paraId="1CB62EAB">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2.17.2 合同适用中华人民共和国法律。</w:t>
      </w:r>
    </w:p>
    <w:p w14:paraId="48793D9A">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2.18 计量单位</w:t>
      </w:r>
    </w:p>
    <w:p w14:paraId="175601A5">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除技术规范中另有规定外，合同的计量单位均使用国家法定计量单位。</w:t>
      </w:r>
    </w:p>
    <w:p w14:paraId="63D8FE3A">
      <w:pPr>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2.19合同份数</w:t>
      </w:r>
    </w:p>
    <w:p w14:paraId="51C36E3F">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合同份数按</w:t>
      </w:r>
      <w:r>
        <w:rPr>
          <w:rFonts w:hint="eastAsia" w:ascii="宋体" w:hAnsi="宋体" w:cs="宋体"/>
          <w:b/>
          <w:i/>
          <w:color w:val="auto"/>
          <w:sz w:val="22"/>
          <w:szCs w:val="22"/>
          <w:highlight w:val="none"/>
          <w:u w:val="single"/>
        </w:rPr>
        <w:t>合同专用条款</w:t>
      </w:r>
      <w:r>
        <w:rPr>
          <w:rFonts w:hint="eastAsia" w:ascii="宋体" w:hAnsi="宋体" w:cs="宋体"/>
          <w:color w:val="auto"/>
          <w:sz w:val="22"/>
          <w:szCs w:val="22"/>
          <w:highlight w:val="none"/>
        </w:rPr>
        <w:t>规定，每份均具有同等法律效力。</w:t>
      </w:r>
    </w:p>
    <w:p w14:paraId="7D823BF4">
      <w:pPr>
        <w:keepNext/>
        <w:keepLines/>
        <w:spacing w:line="360" w:lineRule="auto"/>
        <w:jc w:val="center"/>
        <w:outlineLvl w:val="0"/>
        <w:rPr>
          <w:rFonts w:hint="eastAsia" w:ascii="宋体" w:hAnsi="宋体" w:cs="宋体"/>
          <w:b/>
          <w:color w:val="auto"/>
          <w:sz w:val="22"/>
          <w:szCs w:val="22"/>
          <w:highlight w:val="none"/>
        </w:rPr>
      </w:pPr>
      <w:r>
        <w:rPr>
          <w:rFonts w:hint="eastAsia" w:ascii="宋体" w:hAnsi="宋体" w:cs="宋体"/>
          <w:color w:val="auto"/>
          <w:kern w:val="0"/>
          <w:sz w:val="22"/>
          <w:szCs w:val="22"/>
          <w:highlight w:val="none"/>
        </w:rPr>
        <w:br w:type="page"/>
      </w:r>
      <w:bookmarkStart w:id="184" w:name="_Toc18485"/>
      <w:r>
        <w:rPr>
          <w:rFonts w:hint="eastAsia" w:ascii="宋体" w:hAnsi="宋体" w:cs="宋体"/>
          <w:b/>
          <w:color w:val="auto"/>
          <w:sz w:val="22"/>
          <w:szCs w:val="22"/>
          <w:highlight w:val="none"/>
        </w:rPr>
        <w:t>合同专用条款</w:t>
      </w:r>
      <w:bookmarkEnd w:id="184"/>
    </w:p>
    <w:p w14:paraId="64580CA7">
      <w:pPr>
        <w:keepNext/>
        <w:keepLines/>
        <w:spacing w:line="360" w:lineRule="auto"/>
        <w:ind w:left="-420" w:leftChars="-200" w:right="-420" w:rightChars="-20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4"/>
        <w:tblW w:w="96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3"/>
        <w:gridCol w:w="8657"/>
      </w:tblGrid>
      <w:tr w14:paraId="5B637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3" w:type="dxa"/>
            <w:tcBorders>
              <w:left w:val="single" w:color="auto" w:sz="4" w:space="0"/>
            </w:tcBorders>
            <w:vAlign w:val="center"/>
          </w:tcPr>
          <w:p w14:paraId="11351CAE">
            <w:pPr>
              <w:keepNext/>
              <w:keepLines/>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条款号</w:t>
            </w:r>
          </w:p>
        </w:tc>
        <w:tc>
          <w:tcPr>
            <w:tcW w:w="8657" w:type="dxa"/>
            <w:vAlign w:val="center"/>
          </w:tcPr>
          <w:p w14:paraId="160F6DA8">
            <w:pPr>
              <w:keepNext/>
              <w:keepLines/>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约定内容</w:t>
            </w:r>
          </w:p>
        </w:tc>
      </w:tr>
      <w:tr w14:paraId="6248C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28ADE544">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1.5.1 </w:t>
            </w:r>
          </w:p>
        </w:tc>
        <w:tc>
          <w:tcPr>
            <w:tcW w:w="8657" w:type="dxa"/>
          </w:tcPr>
          <w:p w14:paraId="20B3DA0F">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本次服务费用总额为：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万元（人民币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整），服务费用为甲方签署及履行本协议而向乙方所需支付的全部费用，包括但不限于现场物料费、向评委及嘉宾支付的劳务费、评委及嘉宾交通费、评委及嘉宾及邀请参会人员的食宿费、参赛选手的路费补助、乙方工作人员成本、乙方税费等等。服务费用支付方式如下：合同生效以及具备实施条件后，甲方收到乙方提供合规发票之日起的7个工作日内支付服务费用总额的70%作为预付款，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万元（人民币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元整）；于会议决赛颁奖典礼结束、甲方收到所有赛事报告、项目资料、项目验收通过并在乙方提供合规发票之日起的7个工作日内付清尾款，即</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万元（人民币</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元整）。甲方向乙方付款前，乙方需向甲方提供符合甲方财务要求的发票。</w:t>
            </w:r>
          </w:p>
        </w:tc>
      </w:tr>
      <w:tr w14:paraId="1ED6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53EA76A6">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1.5.2</w:t>
            </w:r>
          </w:p>
        </w:tc>
        <w:tc>
          <w:tcPr>
            <w:tcW w:w="8657" w:type="dxa"/>
          </w:tcPr>
          <w:p w14:paraId="4D225DBF">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不涉及</w:t>
            </w:r>
          </w:p>
        </w:tc>
      </w:tr>
      <w:tr w14:paraId="54E9C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29F6A481">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1.5.3 </w:t>
            </w:r>
          </w:p>
        </w:tc>
        <w:tc>
          <w:tcPr>
            <w:tcW w:w="8657" w:type="dxa"/>
          </w:tcPr>
          <w:p w14:paraId="2F0566E1">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不涉及</w:t>
            </w:r>
          </w:p>
        </w:tc>
      </w:tr>
      <w:tr w14:paraId="64061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6C810AF5">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1.6.2</w:t>
            </w:r>
          </w:p>
        </w:tc>
        <w:tc>
          <w:tcPr>
            <w:tcW w:w="8657" w:type="dxa"/>
          </w:tcPr>
          <w:p w14:paraId="66A79DC6">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见1.5.1条</w:t>
            </w:r>
          </w:p>
        </w:tc>
      </w:tr>
      <w:tr w14:paraId="1311D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07904BBA">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1.7.1</w:t>
            </w:r>
          </w:p>
        </w:tc>
        <w:tc>
          <w:tcPr>
            <w:tcW w:w="8657" w:type="dxa"/>
          </w:tcPr>
          <w:p w14:paraId="71963F1C">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乙方应在合同签订后7日内组建项目承办团队并报甲方备案。乙方应在签订合同7日内提供包含项目时间节点的组织实施方案，并报甲方审核同意。乙方须根据组织实施方案要求，按各时间节点完成各项服务内容。</w:t>
            </w:r>
          </w:p>
        </w:tc>
      </w:tr>
      <w:tr w14:paraId="210D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11D10F78">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1.7.2</w:t>
            </w:r>
          </w:p>
        </w:tc>
        <w:tc>
          <w:tcPr>
            <w:tcW w:w="8657" w:type="dxa"/>
          </w:tcPr>
          <w:p w14:paraId="773E37D6">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中国</w:t>
            </w:r>
          </w:p>
        </w:tc>
      </w:tr>
      <w:tr w14:paraId="6F96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77E367B5">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1.7.3</w:t>
            </w:r>
          </w:p>
        </w:tc>
        <w:tc>
          <w:tcPr>
            <w:tcW w:w="8657" w:type="dxa"/>
          </w:tcPr>
          <w:p w14:paraId="039C8FB2">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见1.2.3条</w:t>
            </w:r>
          </w:p>
        </w:tc>
      </w:tr>
      <w:tr w14:paraId="6D59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09E2BDBE">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1.8.8</w:t>
            </w:r>
          </w:p>
        </w:tc>
        <w:tc>
          <w:tcPr>
            <w:tcW w:w="8657" w:type="dxa"/>
          </w:tcPr>
          <w:p w14:paraId="64567C1A">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不涉及</w:t>
            </w:r>
          </w:p>
        </w:tc>
      </w:tr>
      <w:tr w14:paraId="587E7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078A09EF">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1.9.1</w:t>
            </w:r>
          </w:p>
        </w:tc>
        <w:tc>
          <w:tcPr>
            <w:tcW w:w="8657" w:type="dxa"/>
          </w:tcPr>
          <w:p w14:paraId="5C03FF5E">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温州</w:t>
            </w:r>
          </w:p>
        </w:tc>
      </w:tr>
      <w:tr w14:paraId="734C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4D15C1BD">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1.9.2</w:t>
            </w:r>
          </w:p>
        </w:tc>
        <w:tc>
          <w:tcPr>
            <w:tcW w:w="8657" w:type="dxa"/>
          </w:tcPr>
          <w:p w14:paraId="4D24AA01">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不涉及</w:t>
            </w:r>
          </w:p>
        </w:tc>
      </w:tr>
      <w:tr w14:paraId="48DF1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35B4EEC8">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2.3.2</w:t>
            </w:r>
          </w:p>
        </w:tc>
        <w:tc>
          <w:tcPr>
            <w:tcW w:w="8657" w:type="dxa"/>
          </w:tcPr>
          <w:p w14:paraId="2B21B460">
            <w:pPr>
              <w:keepNext/>
              <w:keepLines/>
              <w:spacing w:line="360" w:lineRule="auto"/>
              <w:ind w:left="-420" w:leftChars="-200" w:right="-420" w:rightChars="-20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甲方在采购及使用本合同项下服务过程中所产生的技术成果、知识产权及其收益等均归属甲方自行所有。</w:t>
            </w:r>
          </w:p>
        </w:tc>
      </w:tr>
      <w:tr w14:paraId="0E5E0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08398C30">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8657" w:type="dxa"/>
          </w:tcPr>
          <w:p w14:paraId="4041CF3D">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见1.5.1条</w:t>
            </w:r>
          </w:p>
        </w:tc>
      </w:tr>
      <w:tr w14:paraId="035D1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17CDBE25">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2.11.3</w:t>
            </w:r>
          </w:p>
        </w:tc>
        <w:tc>
          <w:tcPr>
            <w:tcW w:w="8657" w:type="dxa"/>
          </w:tcPr>
          <w:p w14:paraId="322158FD">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因不可抗力致使合同有变更必要的，双方当事人应在10个工作日内以书面形式变更合同</w:t>
            </w:r>
          </w:p>
        </w:tc>
      </w:tr>
      <w:tr w14:paraId="31A1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tcPr>
          <w:p w14:paraId="3456B311">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2.11.4 </w:t>
            </w:r>
          </w:p>
        </w:tc>
        <w:tc>
          <w:tcPr>
            <w:tcW w:w="8657" w:type="dxa"/>
          </w:tcPr>
          <w:p w14:paraId="07C18E83">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受不可抗力影响的一方在不可抗力发生后，应在10个工作日内以书面形式通知对方当事人，并在5个工作日内，将有关部门出具的证明文件送达对方当事人</w:t>
            </w:r>
          </w:p>
        </w:tc>
      </w:tr>
      <w:tr w14:paraId="7B197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4D4A4C4C">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2.15.1</w:t>
            </w:r>
          </w:p>
        </w:tc>
        <w:tc>
          <w:tcPr>
            <w:tcW w:w="8657" w:type="dxa"/>
          </w:tcPr>
          <w:p w14:paraId="092C748A">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不涉及</w:t>
            </w:r>
          </w:p>
        </w:tc>
      </w:tr>
      <w:tr w14:paraId="26C0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3" w:type="dxa"/>
            <w:tcBorders>
              <w:left w:val="single" w:color="auto" w:sz="4" w:space="0"/>
            </w:tcBorders>
            <w:vAlign w:val="center"/>
          </w:tcPr>
          <w:p w14:paraId="07584039">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2.15.3</w:t>
            </w:r>
          </w:p>
        </w:tc>
        <w:tc>
          <w:tcPr>
            <w:tcW w:w="8657" w:type="dxa"/>
          </w:tcPr>
          <w:p w14:paraId="36B6B912">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乙方按本合同约定内容向甲方提供服务，合同服务期结束后，乙方向甲方提供服务清单，甲方成立验收小组，按照本合同的约定对乙方履约情况进行验收。验收时，按照本合同的约定对每一项技术、服务、安全标准的履约情况进行确认。验收结束后，应当出具验收书，列明各项标准的验收情况及项目总体评价，由验收双方共同签署。验收结果与本合同约定的尾款支付条件挂钩，验收不合格的项目，甲方将依法及时处理，并要求乙方按本合同约定承担违约责任。</w:t>
            </w:r>
          </w:p>
        </w:tc>
      </w:tr>
      <w:tr w14:paraId="32F2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3" w:type="dxa"/>
            <w:tcBorders>
              <w:left w:val="single" w:color="auto" w:sz="4" w:space="0"/>
            </w:tcBorders>
          </w:tcPr>
          <w:p w14:paraId="1D49DEC7">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2.19</w:t>
            </w:r>
          </w:p>
        </w:tc>
        <w:tc>
          <w:tcPr>
            <w:tcW w:w="8657" w:type="dxa"/>
          </w:tcPr>
          <w:p w14:paraId="28CCC125">
            <w:pPr>
              <w:keepNext/>
              <w:keepLines/>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合同份数一式四份，双方各执二份，每份均具有同等法律效力</w:t>
            </w:r>
          </w:p>
        </w:tc>
      </w:tr>
    </w:tbl>
    <w:p w14:paraId="755A56B5">
      <w:pPr>
        <w:overflowPunct w:val="0"/>
        <w:spacing w:line="40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w:t>
      </w:r>
    </w:p>
    <w:p w14:paraId="3AA35EA2">
      <w:pPr>
        <w:pStyle w:val="29"/>
        <w:snapToGrid w:val="0"/>
        <w:spacing w:line="360" w:lineRule="auto"/>
        <w:ind w:firstLine="1540" w:firstLineChars="700"/>
        <w:rPr>
          <w:rFonts w:hint="eastAsia" w:hAnsi="宋体" w:cs="宋体"/>
          <w:color w:val="auto"/>
          <w:sz w:val="22"/>
          <w:szCs w:val="22"/>
          <w:highlight w:val="none"/>
        </w:rPr>
      </w:pPr>
      <w:r>
        <w:rPr>
          <w:rFonts w:hint="eastAsia" w:hAnsi="宋体" w:cs="宋体"/>
          <w:color w:val="auto"/>
          <w:sz w:val="22"/>
          <w:szCs w:val="22"/>
          <w:highlight w:val="none"/>
        </w:rPr>
        <w:t xml:space="preserve"> </w:t>
      </w:r>
    </w:p>
    <w:p w14:paraId="313F64D2">
      <w:pPr>
        <w:spacing w:line="360" w:lineRule="auto"/>
        <w:ind w:firstLine="420"/>
        <w:rPr>
          <w:rFonts w:hint="eastAsia" w:ascii="宋体" w:hAnsi="宋体" w:cs="宋体"/>
          <w:color w:val="auto"/>
          <w:highlight w:val="none"/>
        </w:rPr>
      </w:pPr>
    </w:p>
    <w:p w14:paraId="0BDEBFC7">
      <w:pPr>
        <w:pStyle w:val="3"/>
        <w:rPr>
          <w:rFonts w:hint="eastAsia" w:ascii="宋体" w:hAnsi="宋体" w:eastAsia="宋体" w:cs="宋体"/>
          <w:bCs w:val="0"/>
          <w:color w:val="auto"/>
          <w:sz w:val="36"/>
          <w:szCs w:val="36"/>
          <w:highlight w:val="none"/>
        </w:rPr>
      </w:pPr>
      <w:bookmarkStart w:id="185" w:name="_Toc5314"/>
      <w:bookmarkStart w:id="186" w:name="_Toc58832091"/>
      <w:bookmarkStart w:id="187" w:name="_Toc21106"/>
      <w:r>
        <w:rPr>
          <w:rFonts w:hint="eastAsia" w:ascii="宋体" w:hAnsi="宋体" w:eastAsia="宋体" w:cs="宋体"/>
          <w:bCs w:val="0"/>
          <w:color w:val="auto"/>
          <w:sz w:val="36"/>
          <w:szCs w:val="36"/>
          <w:highlight w:val="none"/>
        </w:rPr>
        <w:br w:type="page"/>
      </w:r>
      <w:r>
        <w:rPr>
          <w:rFonts w:hint="eastAsia" w:ascii="宋体" w:hAnsi="宋体" w:eastAsia="宋体" w:cs="宋体"/>
          <w:bCs w:val="0"/>
          <w:color w:val="auto"/>
          <w:sz w:val="36"/>
          <w:szCs w:val="36"/>
          <w:highlight w:val="none"/>
        </w:rPr>
        <w:t>第四部分   磋商响应文件格式</w:t>
      </w:r>
      <w:bookmarkEnd w:id="185"/>
      <w:bookmarkEnd w:id="186"/>
      <w:bookmarkEnd w:id="187"/>
    </w:p>
    <w:p w14:paraId="3015B947">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14:paraId="2822C676">
      <w:pPr>
        <w:rPr>
          <w:rFonts w:hint="eastAsia" w:ascii="宋体" w:hAnsi="宋体" w:cs="宋体"/>
          <w:color w:val="auto"/>
          <w:highlight w:val="none"/>
        </w:rPr>
      </w:pPr>
    </w:p>
    <w:p w14:paraId="4D16BCE9">
      <w:pPr>
        <w:rPr>
          <w:rFonts w:hint="eastAsia" w:ascii="宋体" w:hAnsi="宋体" w:cs="宋体"/>
          <w:color w:val="auto"/>
          <w:highlight w:val="none"/>
        </w:rPr>
      </w:pPr>
    </w:p>
    <w:p w14:paraId="2DA216A3">
      <w:pPr>
        <w:rPr>
          <w:rFonts w:hint="eastAsia" w:ascii="宋体" w:hAnsi="宋体" w:cs="宋体"/>
          <w:color w:val="auto"/>
          <w:highlight w:val="none"/>
        </w:rPr>
      </w:pPr>
    </w:p>
    <w:p w14:paraId="245E8253">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2D178015">
      <w:pPr>
        <w:rPr>
          <w:rFonts w:hint="eastAsia" w:ascii="宋体" w:hAnsi="宋体" w:cs="宋体"/>
          <w:color w:val="auto"/>
          <w:sz w:val="28"/>
          <w:szCs w:val="28"/>
          <w:highlight w:val="none"/>
        </w:rPr>
      </w:pPr>
    </w:p>
    <w:p w14:paraId="09BEF8E5">
      <w:pPr>
        <w:rPr>
          <w:rFonts w:hint="eastAsia" w:ascii="宋体" w:hAnsi="宋体" w:cs="宋体"/>
          <w:color w:val="auto"/>
          <w:sz w:val="28"/>
          <w:szCs w:val="28"/>
          <w:highlight w:val="none"/>
        </w:rPr>
      </w:pPr>
    </w:p>
    <w:p w14:paraId="37D53079">
      <w:pPr>
        <w:pStyle w:val="22"/>
        <w:ind w:firstLine="281"/>
        <w:rPr>
          <w:rFonts w:hint="eastAsia" w:ascii="宋体" w:hAnsi="宋体" w:cs="宋体"/>
          <w:color w:val="auto"/>
          <w:sz w:val="28"/>
          <w:szCs w:val="28"/>
          <w:highlight w:val="none"/>
        </w:rPr>
      </w:pPr>
    </w:p>
    <w:p w14:paraId="60B1193D">
      <w:pPr>
        <w:pStyle w:val="22"/>
        <w:ind w:firstLine="281"/>
        <w:rPr>
          <w:rFonts w:hint="eastAsia" w:ascii="宋体" w:hAnsi="宋体" w:cs="宋体"/>
          <w:color w:val="auto"/>
          <w:sz w:val="28"/>
          <w:szCs w:val="28"/>
          <w:highlight w:val="none"/>
        </w:rPr>
      </w:pPr>
    </w:p>
    <w:p w14:paraId="25B0E430">
      <w:pPr>
        <w:rPr>
          <w:rFonts w:hint="eastAsia" w:ascii="宋体" w:hAnsi="宋体" w:cs="宋体"/>
          <w:color w:val="auto"/>
          <w:sz w:val="28"/>
          <w:szCs w:val="28"/>
          <w:highlight w:val="none"/>
        </w:rPr>
      </w:pPr>
    </w:p>
    <w:p w14:paraId="709CABA7">
      <w:pPr>
        <w:rPr>
          <w:rFonts w:hint="eastAsia" w:ascii="宋体" w:hAnsi="宋体" w:cs="宋体"/>
          <w:color w:val="auto"/>
          <w:sz w:val="28"/>
          <w:szCs w:val="28"/>
          <w:highlight w:val="none"/>
        </w:rPr>
      </w:pPr>
    </w:p>
    <w:p w14:paraId="06524B0E">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资格审查资料</w:t>
      </w:r>
    </w:p>
    <w:p w14:paraId="07F4408F">
      <w:pPr>
        <w:spacing w:line="360" w:lineRule="auto"/>
        <w:rPr>
          <w:rFonts w:hint="eastAsia" w:ascii="宋体" w:hAnsi="宋体" w:cs="宋体"/>
          <w:color w:val="auto"/>
          <w:szCs w:val="21"/>
          <w:highlight w:val="none"/>
        </w:rPr>
      </w:pPr>
    </w:p>
    <w:p w14:paraId="4F1437D0">
      <w:pPr>
        <w:spacing w:line="360" w:lineRule="auto"/>
        <w:rPr>
          <w:rFonts w:hint="eastAsia" w:ascii="宋体" w:hAnsi="宋体" w:cs="宋体"/>
          <w:color w:val="auto"/>
          <w:szCs w:val="21"/>
          <w:highlight w:val="none"/>
        </w:rPr>
      </w:pPr>
    </w:p>
    <w:p w14:paraId="1B165D60">
      <w:pPr>
        <w:spacing w:line="360" w:lineRule="auto"/>
        <w:rPr>
          <w:rFonts w:hint="eastAsia" w:ascii="宋体" w:hAnsi="宋体" w:cs="宋体"/>
          <w:color w:val="auto"/>
          <w:szCs w:val="21"/>
          <w:highlight w:val="none"/>
        </w:rPr>
      </w:pPr>
    </w:p>
    <w:p w14:paraId="199E531B">
      <w:pPr>
        <w:spacing w:line="360" w:lineRule="auto"/>
        <w:rPr>
          <w:rFonts w:hint="eastAsia" w:ascii="宋体" w:hAnsi="宋体" w:cs="宋体"/>
          <w:color w:val="auto"/>
          <w:szCs w:val="21"/>
          <w:highlight w:val="none"/>
        </w:rPr>
      </w:pPr>
    </w:p>
    <w:p w14:paraId="02594A7A">
      <w:pPr>
        <w:spacing w:line="360" w:lineRule="auto"/>
        <w:rPr>
          <w:rFonts w:hint="eastAsia" w:ascii="宋体" w:hAnsi="宋体" w:cs="宋体"/>
          <w:color w:val="auto"/>
          <w:szCs w:val="21"/>
          <w:highlight w:val="none"/>
        </w:rPr>
      </w:pPr>
    </w:p>
    <w:p w14:paraId="4E341D4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215D8860">
      <w:pPr>
        <w:rPr>
          <w:rFonts w:hint="eastAsia" w:ascii="宋体" w:hAnsi="宋体" w:cs="宋体"/>
          <w:color w:val="auto"/>
          <w:sz w:val="28"/>
          <w:szCs w:val="28"/>
          <w:highlight w:val="none"/>
          <w:u w:val="single"/>
        </w:rPr>
      </w:pPr>
    </w:p>
    <w:p w14:paraId="6C68D94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29898AC1">
      <w:pPr>
        <w:rPr>
          <w:rFonts w:hint="eastAsia" w:ascii="宋体" w:hAnsi="宋体" w:cs="宋体"/>
          <w:color w:val="auto"/>
          <w:sz w:val="28"/>
          <w:szCs w:val="28"/>
          <w:highlight w:val="none"/>
        </w:rPr>
      </w:pPr>
    </w:p>
    <w:p w14:paraId="122D79E9">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9FC71F1">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2A2C8571">
      <w:pPr>
        <w:jc w:val="center"/>
        <w:rPr>
          <w:rFonts w:hint="eastAsia" w:ascii="宋体" w:hAnsi="宋体" w:cs="宋体"/>
          <w:b/>
          <w:bCs/>
          <w:color w:val="auto"/>
          <w:sz w:val="52"/>
          <w:szCs w:val="52"/>
          <w:highlight w:val="none"/>
        </w:rPr>
      </w:pPr>
      <w:bookmarkStart w:id="188" w:name="_Toc504034734"/>
      <w:bookmarkStart w:id="189" w:name="_Toc465107614"/>
      <w:r>
        <w:rPr>
          <w:rFonts w:hint="eastAsia" w:ascii="宋体" w:hAnsi="宋体" w:cs="宋体"/>
          <w:b/>
          <w:bCs/>
          <w:color w:val="auto"/>
          <w:sz w:val="52"/>
          <w:szCs w:val="52"/>
          <w:highlight w:val="none"/>
        </w:rPr>
        <w:t>目    录</w:t>
      </w:r>
    </w:p>
    <w:p w14:paraId="6F218AFA">
      <w:pPr>
        <w:pStyle w:val="22"/>
        <w:ind w:firstLine="321"/>
        <w:rPr>
          <w:rFonts w:hint="eastAsia" w:ascii="宋体" w:hAnsi="宋体" w:cs="宋体"/>
          <w:color w:val="auto"/>
          <w:highlight w:val="none"/>
        </w:rPr>
      </w:pPr>
    </w:p>
    <w:p w14:paraId="063857A8">
      <w:pPr>
        <w:pStyle w:val="14"/>
        <w:spacing w:line="480" w:lineRule="auto"/>
        <w:rPr>
          <w:rFonts w:hint="eastAsia" w:ascii="新宋体" w:hAnsi="新宋体" w:eastAsia="新宋体" w:cs="新宋体"/>
          <w:color w:val="auto"/>
          <w:highlight w:val="none"/>
        </w:rPr>
      </w:pPr>
    </w:p>
    <w:p w14:paraId="2073CD10">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一、法定代表人（单位负责人）授权书和被授权人有效身份证明。</w:t>
      </w:r>
    </w:p>
    <w:p w14:paraId="370D18D1">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二、联合体协议书（非联合体无需提供）</w:t>
      </w:r>
    </w:p>
    <w:p w14:paraId="5DB07607">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三、</w:t>
      </w:r>
      <w:r>
        <w:rPr>
          <w:rFonts w:hint="eastAsia" w:ascii="新宋体" w:hAnsi="新宋体" w:eastAsia="新宋体" w:cs="楷体"/>
          <w:color w:val="auto"/>
          <w:kern w:val="0"/>
          <w:sz w:val="22"/>
          <w:szCs w:val="22"/>
          <w:highlight w:val="none"/>
        </w:rPr>
        <w:t>中小企业声明函（或监狱企业声明函、残疾人福利性单位声明函）（采购文件第二部分相关附件）</w:t>
      </w:r>
    </w:p>
    <w:p w14:paraId="3FA3D3CE">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四、</w:t>
      </w:r>
      <w:r>
        <w:rPr>
          <w:rFonts w:hint="eastAsia" w:ascii="新宋体" w:hAnsi="新宋体" w:eastAsia="新宋体" w:cs="新宋体"/>
          <w:color w:val="auto"/>
          <w:highlight w:val="none"/>
        </w:rPr>
        <w:t>营业执照(或事业法人登记证书或其它工商等登记证明材料)。</w:t>
      </w:r>
    </w:p>
    <w:p w14:paraId="32D9EFD9">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五</w:t>
      </w:r>
      <w:r>
        <w:rPr>
          <w:rFonts w:hint="eastAsia" w:ascii="新宋体" w:hAnsi="新宋体" w:eastAsia="新宋体" w:cs="新宋体"/>
          <w:color w:val="auto"/>
          <w:highlight w:val="none"/>
        </w:rPr>
        <w:t>、资格条件承诺函</w:t>
      </w:r>
    </w:p>
    <w:p w14:paraId="40DACC91">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六</w:t>
      </w:r>
      <w:r>
        <w:rPr>
          <w:rFonts w:hint="eastAsia" w:ascii="新宋体" w:hAnsi="新宋体" w:eastAsia="新宋体" w:cs="新宋体"/>
          <w:color w:val="auto"/>
          <w:highlight w:val="none"/>
        </w:rPr>
        <w:t>、申请材料真实性声明</w:t>
      </w:r>
    </w:p>
    <w:p w14:paraId="2AF2E808">
      <w:pPr>
        <w:pStyle w:val="14"/>
        <w:spacing w:line="480" w:lineRule="auto"/>
        <w:rPr>
          <w:rFonts w:hint="eastAsia" w:ascii="新宋体" w:hAnsi="新宋体" w:eastAsia="新宋体" w:cs="新宋体"/>
          <w:color w:val="auto"/>
          <w:highlight w:val="none"/>
        </w:rPr>
      </w:pPr>
    </w:p>
    <w:p w14:paraId="789A3B6A">
      <w:pPr>
        <w:pStyle w:val="14"/>
        <w:spacing w:line="480" w:lineRule="auto"/>
        <w:rPr>
          <w:rFonts w:hint="eastAsia" w:ascii="新宋体" w:hAnsi="新宋体" w:eastAsia="新宋体" w:cs="新宋体"/>
          <w:color w:val="auto"/>
          <w:highlight w:val="none"/>
        </w:rPr>
      </w:pPr>
    </w:p>
    <w:p w14:paraId="0149FB3F">
      <w:pPr>
        <w:pStyle w:val="14"/>
        <w:spacing w:line="480" w:lineRule="auto"/>
        <w:rPr>
          <w:rFonts w:hint="eastAsia" w:ascii="新宋体" w:hAnsi="新宋体" w:eastAsia="新宋体" w:cs="新宋体"/>
          <w:b/>
          <w:bCs/>
          <w:color w:val="auto"/>
          <w:highlight w:val="none"/>
        </w:rPr>
      </w:pPr>
      <w:r>
        <w:rPr>
          <w:rFonts w:hint="eastAsia" w:ascii="新宋体" w:hAnsi="新宋体" w:eastAsia="新宋体" w:cs="新宋体"/>
          <w:b/>
          <w:bCs/>
          <w:color w:val="auto"/>
          <w:highlight w:val="none"/>
        </w:rPr>
        <w:t>注：如为联合体，则3-</w:t>
      </w:r>
      <w:r>
        <w:rPr>
          <w:rFonts w:hint="eastAsia" w:ascii="新宋体" w:hAnsi="新宋体" w:eastAsia="新宋体" w:cs="新宋体"/>
          <w:b/>
          <w:bCs/>
          <w:color w:val="auto"/>
          <w:highlight w:val="none"/>
          <w:lang w:val="en-US" w:eastAsia="zh-CN"/>
        </w:rPr>
        <w:t>6</w:t>
      </w:r>
      <w:r>
        <w:rPr>
          <w:rFonts w:hint="eastAsia" w:ascii="新宋体" w:hAnsi="新宋体" w:eastAsia="新宋体" w:cs="新宋体"/>
          <w:b/>
          <w:bCs/>
          <w:color w:val="auto"/>
          <w:highlight w:val="none"/>
        </w:rPr>
        <w:t>项资格审查材料联合体双方均须提供。</w:t>
      </w:r>
    </w:p>
    <w:p w14:paraId="4A3F70B5">
      <w:pPr>
        <w:pStyle w:val="3"/>
        <w:spacing w:line="360" w:lineRule="auto"/>
        <w:ind w:left="420"/>
        <w:jc w:val="left"/>
        <w:rPr>
          <w:rFonts w:hint="eastAsia" w:ascii="宋体" w:hAnsi="宋体" w:eastAsia="宋体" w:cs="宋体"/>
          <w:b w:val="0"/>
          <w:color w:val="auto"/>
          <w:sz w:val="22"/>
          <w:szCs w:val="22"/>
          <w:highlight w:val="none"/>
        </w:rPr>
      </w:pPr>
    </w:p>
    <w:p w14:paraId="57DFB114">
      <w:pPr>
        <w:pStyle w:val="3"/>
        <w:spacing w:line="360" w:lineRule="auto"/>
        <w:ind w:left="420"/>
        <w:jc w:val="left"/>
        <w:rPr>
          <w:rFonts w:hint="eastAsia" w:ascii="宋体" w:hAnsi="宋体" w:eastAsia="宋体" w:cs="宋体"/>
          <w:b w:val="0"/>
          <w:color w:val="auto"/>
          <w:sz w:val="22"/>
          <w:szCs w:val="22"/>
          <w:highlight w:val="none"/>
        </w:rPr>
      </w:pPr>
    </w:p>
    <w:p w14:paraId="1CE9BA1B">
      <w:pPr>
        <w:pStyle w:val="3"/>
        <w:spacing w:line="360" w:lineRule="auto"/>
        <w:ind w:left="420"/>
        <w:jc w:val="left"/>
        <w:rPr>
          <w:rFonts w:hint="eastAsia" w:ascii="宋体" w:hAnsi="宋体" w:eastAsia="宋体" w:cs="宋体"/>
          <w:b w:val="0"/>
          <w:color w:val="auto"/>
          <w:sz w:val="22"/>
          <w:szCs w:val="22"/>
          <w:highlight w:val="none"/>
        </w:rPr>
      </w:pPr>
    </w:p>
    <w:p w14:paraId="34F75F93">
      <w:pPr>
        <w:pStyle w:val="3"/>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1811C8A8">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14:paraId="459629A4">
      <w:pPr>
        <w:spacing w:line="420" w:lineRule="exact"/>
        <w:rPr>
          <w:rFonts w:hint="eastAsia" w:ascii="宋体" w:hAnsi="宋体" w:cs="宋体"/>
          <w:b/>
          <w:color w:val="auto"/>
          <w:sz w:val="22"/>
          <w:szCs w:val="22"/>
          <w:highlight w:val="none"/>
        </w:rPr>
      </w:pPr>
    </w:p>
    <w:p w14:paraId="20AFC9A9">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温州眼视光国际创新中心：</w:t>
      </w:r>
    </w:p>
    <w:p w14:paraId="1146FEE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5BE2D5B">
      <w:pPr>
        <w:spacing w:line="460" w:lineRule="exact"/>
        <w:rPr>
          <w:rFonts w:hint="eastAsia" w:ascii="宋体" w:hAnsi="宋体" w:cs="宋体"/>
          <w:color w:val="auto"/>
          <w:sz w:val="22"/>
          <w:szCs w:val="22"/>
          <w:highlight w:val="none"/>
          <w:u w:val="single"/>
        </w:rPr>
      </w:pPr>
    </w:p>
    <w:p w14:paraId="67A2371F">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rPr>
        <w:t>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14:paraId="74F904C2">
      <w:pPr>
        <w:spacing w:line="460" w:lineRule="exact"/>
        <w:ind w:firstLine="2955"/>
        <w:rPr>
          <w:rFonts w:hint="eastAsia" w:ascii="宋体" w:hAnsi="宋体" w:cs="宋体"/>
          <w:color w:val="auto"/>
          <w:sz w:val="22"/>
          <w:szCs w:val="22"/>
          <w:highlight w:val="none"/>
        </w:rPr>
      </w:pPr>
    </w:p>
    <w:p w14:paraId="70A45C6B">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EF1A35D">
      <w:pPr>
        <w:spacing w:line="460" w:lineRule="exact"/>
        <w:ind w:firstLine="3971" w:firstLineChars="18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4B7EF5F5">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2BB097BE">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7FB84550">
      <w:pPr>
        <w:spacing w:line="460" w:lineRule="exact"/>
        <w:rPr>
          <w:rFonts w:hint="eastAsia" w:ascii="宋体" w:hAnsi="宋体" w:cs="宋体"/>
          <w:color w:val="auto"/>
          <w:sz w:val="22"/>
          <w:szCs w:val="22"/>
          <w:highlight w:val="none"/>
        </w:rPr>
      </w:pPr>
    </w:p>
    <w:p w14:paraId="4B9F442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536004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3E68C81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10AA84E0">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p w14:paraId="32C65B4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14:paraId="16B0DF73">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14:paraId="2E1DAF3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4"/>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1FE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4E16E048">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投标人代表身份证复印件</w:t>
            </w:r>
          </w:p>
          <w:p w14:paraId="72DA2FA2">
            <w:pPr>
              <w:spacing w:line="380" w:lineRule="exact"/>
              <w:jc w:val="center"/>
              <w:rPr>
                <w:rFonts w:hint="eastAsia" w:ascii="宋体" w:hAnsi="宋体" w:cs="宋体"/>
                <w:b/>
                <w:bCs/>
                <w:color w:val="auto"/>
                <w:sz w:val="28"/>
                <w:highlight w:val="none"/>
              </w:rPr>
            </w:pPr>
          </w:p>
        </w:tc>
      </w:tr>
    </w:tbl>
    <w:p w14:paraId="256FE39C">
      <w:pPr>
        <w:pStyle w:val="3"/>
        <w:rPr>
          <w:rFonts w:hint="eastAsia"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190" w:name="_Toc7025"/>
      <w:r>
        <w:rPr>
          <w:rFonts w:hint="eastAsia" w:ascii="新宋体" w:hAnsi="新宋体" w:eastAsia="新宋体" w:cs="新宋体"/>
          <w:color w:val="auto"/>
          <w:kern w:val="0"/>
          <w:sz w:val="28"/>
          <w:szCs w:val="28"/>
          <w:highlight w:val="none"/>
        </w:rPr>
        <w:t>资格条件承诺函</w:t>
      </w:r>
      <w:bookmarkEnd w:id="190"/>
    </w:p>
    <w:p w14:paraId="3B8799B2">
      <w:pPr>
        <w:spacing w:line="440" w:lineRule="exact"/>
        <w:ind w:right="-153" w:rightChars="-73"/>
        <w:rPr>
          <w:rFonts w:hint="eastAsia" w:ascii="宋体" w:hAnsi="宋体" w:cs="宋体"/>
          <w:color w:val="auto"/>
          <w:sz w:val="22"/>
          <w:szCs w:val="22"/>
          <w:highlight w:val="none"/>
        </w:rPr>
      </w:pPr>
    </w:p>
    <w:p w14:paraId="6B8CDBA9">
      <w:pPr>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温州眼视光国际创新中心：</w:t>
      </w:r>
    </w:p>
    <w:p w14:paraId="2A99436D">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5EC35D8D">
      <w:pPr>
        <w:shd w:val="clear" w:color="auto" w:fill="FFFFFF"/>
        <w:snapToGrid w:val="0"/>
        <w:spacing w:line="440" w:lineRule="exact"/>
        <w:rPr>
          <w:rFonts w:hint="eastAsia" w:ascii="宋体" w:hAnsi="宋体" w:cs="宋体"/>
          <w:color w:val="auto"/>
          <w:sz w:val="22"/>
          <w:szCs w:val="22"/>
          <w:highlight w:val="none"/>
        </w:rPr>
      </w:pPr>
    </w:p>
    <w:p w14:paraId="15E63678">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我方参与（采购项目名称、编号）磋商响应，现郑重承诺：</w:t>
      </w:r>
    </w:p>
    <w:p w14:paraId="0F079505">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451077AD">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8CCCC68">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A0D6A02">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72E0A5FB">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3F054014">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7F40A3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5"/>
          <w:rFonts w:hint="eastAsia" w:ascii="宋体" w:hAnsi="宋体" w:cs="宋体"/>
          <w:color w:val="auto"/>
          <w:kern w:val="0"/>
          <w:sz w:val="22"/>
          <w:szCs w:val="22"/>
          <w:highlight w:val="none"/>
        </w:rPr>
        <w:t>www.creditchina.gov.cn）、</w:t>
      </w:r>
      <w:r>
        <w:rPr>
          <w:rStyle w:val="65"/>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FB50F40">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eastAsia="新宋体" w:cs="宋体"/>
          <w:color w:val="auto"/>
          <w:kern w:val="0"/>
          <w:sz w:val="22"/>
          <w:szCs w:val="22"/>
          <w:highlight w:val="none"/>
        </w:rPr>
        <w:t>3.</w:t>
      </w:r>
      <w:r>
        <w:rPr>
          <w:rFonts w:hint="eastAsia" w:ascii="新宋体" w:hAnsi="新宋体" w:eastAsia="新宋体"/>
          <w:color w:val="auto"/>
          <w:kern w:val="0"/>
          <w:sz w:val="22"/>
          <w:szCs w:val="22"/>
          <w:highlight w:val="none"/>
          <w:lang w:val="zh-CN"/>
        </w:rPr>
        <w:t>单位、法定代表人、本项目授权代表及本项目负责人在参加本项目前三年内（以法院判决书生效日期为准）均无行贿犯罪记录。</w:t>
      </w:r>
    </w:p>
    <w:p w14:paraId="5CC78140">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04A5310">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16F89C41">
      <w:pPr>
        <w:pStyle w:val="29"/>
        <w:spacing w:line="600" w:lineRule="exact"/>
        <w:ind w:firstLine="4840" w:firstLineChars="2200"/>
        <w:rPr>
          <w:rFonts w:hint="eastAsia" w:hAnsi="宋体" w:cs="宋体"/>
          <w:color w:val="auto"/>
          <w:sz w:val="22"/>
          <w:szCs w:val="22"/>
          <w:highlight w:val="none"/>
        </w:rPr>
      </w:pPr>
    </w:p>
    <w:p w14:paraId="704EDA81">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14:paraId="5F6EAA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14:paraId="66C2A1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1B504B2">
      <w:pPr>
        <w:spacing w:line="380" w:lineRule="exact"/>
        <w:rPr>
          <w:rFonts w:hint="eastAsia" w:ascii="宋体" w:hAnsi="宋体" w:cs="宋体"/>
          <w:bCs/>
          <w:color w:val="auto"/>
          <w:sz w:val="22"/>
          <w:szCs w:val="22"/>
          <w:highlight w:val="none"/>
        </w:rPr>
      </w:pPr>
    </w:p>
    <w:p w14:paraId="0D44DE1E">
      <w:pPr>
        <w:spacing w:line="380" w:lineRule="exact"/>
        <w:ind w:left="-358" w:leftChars="-171" w:hanging="1"/>
        <w:jc w:val="center"/>
        <w:rPr>
          <w:rFonts w:hint="eastAsia" w:ascii="宋体" w:hAnsi="宋体" w:cs="宋体"/>
          <w:bCs/>
          <w:color w:val="auto"/>
          <w:sz w:val="22"/>
          <w:szCs w:val="22"/>
          <w:highlight w:val="none"/>
        </w:rPr>
      </w:pPr>
    </w:p>
    <w:p w14:paraId="74DECF69">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1CFAEE9D">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2883FEF4">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AFB8CA3">
      <w:pPr>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温州眼视光国际创新中心：</w:t>
      </w:r>
    </w:p>
    <w:p w14:paraId="322CC980">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0E49CE59">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14:paraId="6111E85B">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rPr>
        <w:t>（采购项目名称、编号）竞争性磋商活动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71778C5B">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077CD0A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6D7950E2">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3C96ECD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14:paraId="0146C03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14:paraId="04A3593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日    期   </w:t>
      </w:r>
    </w:p>
    <w:p w14:paraId="5BFF9E1B">
      <w:pPr>
        <w:spacing w:line="440" w:lineRule="exact"/>
        <w:rPr>
          <w:rFonts w:hint="eastAsia" w:ascii="宋体" w:hAnsi="宋体"/>
          <w:color w:val="auto"/>
          <w:sz w:val="22"/>
          <w:szCs w:val="22"/>
          <w:highlight w:val="none"/>
          <w:u w:val="single"/>
        </w:rPr>
      </w:pPr>
    </w:p>
    <w:p w14:paraId="44756969">
      <w:pPr>
        <w:pStyle w:val="22"/>
        <w:ind w:firstLine="221"/>
        <w:rPr>
          <w:rFonts w:hint="eastAsia" w:ascii="宋体" w:hAnsi="宋体"/>
          <w:color w:val="auto"/>
          <w:sz w:val="22"/>
          <w:szCs w:val="22"/>
          <w:highlight w:val="none"/>
          <w:u w:val="single"/>
        </w:rPr>
      </w:pPr>
    </w:p>
    <w:p w14:paraId="6C516FC4">
      <w:pPr>
        <w:spacing w:line="360" w:lineRule="auto"/>
        <w:rPr>
          <w:rFonts w:hint="eastAsia" w:ascii="宋体" w:hAnsi="宋体"/>
          <w:color w:val="auto"/>
          <w:sz w:val="22"/>
          <w:szCs w:val="22"/>
          <w:highlight w:val="none"/>
        </w:rPr>
      </w:pPr>
    </w:p>
    <w:p w14:paraId="42103130">
      <w:pPr>
        <w:pStyle w:val="22"/>
        <w:ind w:firstLine="321"/>
        <w:rPr>
          <w:rFonts w:hint="eastAsia" w:ascii="宋体" w:hAnsi="宋体"/>
          <w:color w:val="auto"/>
          <w:highlight w:val="none"/>
        </w:rPr>
      </w:pPr>
    </w:p>
    <w:p w14:paraId="36EE197D">
      <w:pPr>
        <w:widowControl/>
        <w:adjustRightInd w:val="0"/>
        <w:snapToGrid w:val="0"/>
        <w:spacing w:line="360" w:lineRule="auto"/>
        <w:ind w:firstLine="440" w:firstLineChars="200"/>
        <w:jc w:val="left"/>
        <w:rPr>
          <w:rFonts w:hint="eastAsia" w:ascii="宋体" w:hAnsi="宋体"/>
          <w:color w:val="auto"/>
          <w:kern w:val="0"/>
          <w:sz w:val="22"/>
          <w:szCs w:val="22"/>
          <w:highlight w:val="none"/>
        </w:rPr>
      </w:pPr>
    </w:p>
    <w:p w14:paraId="6A82BF9E">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08E049A0">
      <w:pPr>
        <w:widowControl/>
        <w:adjustRightInd w:val="0"/>
        <w:snapToGrid w:val="0"/>
        <w:spacing w:line="360" w:lineRule="auto"/>
        <w:ind w:firstLine="440" w:firstLineChars="200"/>
        <w:jc w:val="left"/>
        <w:rPr>
          <w:rFonts w:hint="eastAsia" w:ascii="新宋体" w:hAnsi="新宋体" w:eastAsia="新宋体"/>
          <w:color w:val="auto"/>
          <w:kern w:val="0"/>
          <w:sz w:val="22"/>
          <w:szCs w:val="22"/>
          <w:highlight w:val="none"/>
        </w:rPr>
      </w:pPr>
    </w:p>
    <w:p w14:paraId="6B0ED540">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single"/>
        </w:rPr>
        <w:t xml:space="preserve">               </w:t>
      </w:r>
    </w:p>
    <w:p w14:paraId="3EB752EF">
      <w:pPr>
        <w:pStyle w:val="3"/>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14:paraId="647D4C69">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（商务技术标封面，供参考）</w:t>
      </w:r>
      <w:bookmarkEnd w:id="188"/>
      <w:bookmarkEnd w:id="189"/>
    </w:p>
    <w:p w14:paraId="43F9CAA3">
      <w:pPr>
        <w:rPr>
          <w:rFonts w:hint="eastAsia" w:ascii="宋体" w:hAnsi="宋体" w:cs="宋体"/>
          <w:color w:val="auto"/>
          <w:highlight w:val="none"/>
        </w:rPr>
      </w:pPr>
    </w:p>
    <w:p w14:paraId="1596DF5F">
      <w:pPr>
        <w:rPr>
          <w:rFonts w:hint="eastAsia" w:ascii="宋体" w:hAnsi="宋体" w:cs="宋体"/>
          <w:color w:val="auto"/>
          <w:highlight w:val="none"/>
        </w:rPr>
      </w:pPr>
    </w:p>
    <w:p w14:paraId="454D14FD">
      <w:pPr>
        <w:rPr>
          <w:rFonts w:hint="eastAsia" w:ascii="宋体" w:hAnsi="宋体" w:cs="宋体"/>
          <w:color w:val="auto"/>
          <w:highlight w:val="none"/>
        </w:rPr>
      </w:pPr>
    </w:p>
    <w:p w14:paraId="1F2F0DBC">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990294B">
      <w:pPr>
        <w:rPr>
          <w:rFonts w:hint="eastAsia" w:ascii="宋体" w:hAnsi="宋体" w:cs="宋体"/>
          <w:color w:val="auto"/>
          <w:sz w:val="28"/>
          <w:szCs w:val="28"/>
          <w:highlight w:val="none"/>
        </w:rPr>
      </w:pPr>
    </w:p>
    <w:p w14:paraId="6B55A475">
      <w:pPr>
        <w:rPr>
          <w:rFonts w:hint="eastAsia" w:ascii="宋体" w:hAnsi="宋体" w:cs="宋体"/>
          <w:color w:val="auto"/>
          <w:sz w:val="28"/>
          <w:szCs w:val="28"/>
          <w:highlight w:val="none"/>
        </w:rPr>
      </w:pPr>
    </w:p>
    <w:p w14:paraId="1EFD381B">
      <w:pPr>
        <w:pStyle w:val="22"/>
        <w:ind w:firstLine="281"/>
        <w:rPr>
          <w:rFonts w:hint="eastAsia" w:ascii="宋体" w:hAnsi="宋体" w:cs="宋体"/>
          <w:color w:val="auto"/>
          <w:sz w:val="28"/>
          <w:szCs w:val="28"/>
          <w:highlight w:val="none"/>
        </w:rPr>
      </w:pPr>
    </w:p>
    <w:p w14:paraId="555E4892">
      <w:pPr>
        <w:pStyle w:val="22"/>
        <w:ind w:firstLine="281"/>
        <w:rPr>
          <w:rFonts w:hint="eastAsia" w:ascii="宋体" w:hAnsi="宋体" w:cs="宋体"/>
          <w:color w:val="auto"/>
          <w:sz w:val="28"/>
          <w:szCs w:val="28"/>
          <w:highlight w:val="none"/>
        </w:rPr>
      </w:pPr>
    </w:p>
    <w:p w14:paraId="3CDDE4F8">
      <w:pPr>
        <w:rPr>
          <w:rFonts w:hint="eastAsia" w:ascii="宋体" w:hAnsi="宋体" w:cs="宋体"/>
          <w:color w:val="auto"/>
          <w:sz w:val="28"/>
          <w:szCs w:val="28"/>
          <w:highlight w:val="none"/>
        </w:rPr>
      </w:pPr>
    </w:p>
    <w:p w14:paraId="0C996F05">
      <w:pPr>
        <w:rPr>
          <w:rFonts w:hint="eastAsia" w:ascii="宋体" w:hAnsi="宋体" w:cs="宋体"/>
          <w:color w:val="auto"/>
          <w:sz w:val="28"/>
          <w:szCs w:val="28"/>
          <w:highlight w:val="none"/>
        </w:rPr>
      </w:pPr>
    </w:p>
    <w:p w14:paraId="7D44C7CB">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商 务 技 术 标</w:t>
      </w:r>
    </w:p>
    <w:p w14:paraId="5CB5722B">
      <w:pPr>
        <w:spacing w:line="360" w:lineRule="auto"/>
        <w:rPr>
          <w:rFonts w:hint="eastAsia" w:ascii="宋体" w:hAnsi="宋体" w:cs="宋体"/>
          <w:color w:val="auto"/>
          <w:szCs w:val="21"/>
          <w:highlight w:val="none"/>
        </w:rPr>
      </w:pPr>
    </w:p>
    <w:p w14:paraId="413E1E6D">
      <w:pPr>
        <w:spacing w:line="360" w:lineRule="auto"/>
        <w:rPr>
          <w:rFonts w:hint="eastAsia" w:ascii="宋体" w:hAnsi="宋体" w:cs="宋体"/>
          <w:color w:val="auto"/>
          <w:szCs w:val="21"/>
          <w:highlight w:val="none"/>
        </w:rPr>
      </w:pPr>
    </w:p>
    <w:p w14:paraId="077A560F">
      <w:pPr>
        <w:spacing w:line="360" w:lineRule="auto"/>
        <w:rPr>
          <w:rFonts w:hint="eastAsia" w:ascii="宋体" w:hAnsi="宋体" w:cs="宋体"/>
          <w:color w:val="auto"/>
          <w:szCs w:val="21"/>
          <w:highlight w:val="none"/>
        </w:rPr>
      </w:pPr>
    </w:p>
    <w:p w14:paraId="482F3454">
      <w:pPr>
        <w:spacing w:line="360" w:lineRule="auto"/>
        <w:rPr>
          <w:rFonts w:hint="eastAsia" w:ascii="宋体" w:hAnsi="宋体" w:cs="宋体"/>
          <w:color w:val="auto"/>
          <w:szCs w:val="21"/>
          <w:highlight w:val="none"/>
        </w:rPr>
      </w:pPr>
    </w:p>
    <w:p w14:paraId="19C0EBD5">
      <w:pPr>
        <w:pStyle w:val="22"/>
        <w:ind w:firstLine="321"/>
        <w:rPr>
          <w:rFonts w:hint="eastAsia" w:ascii="宋体" w:hAnsi="宋体" w:cs="宋体"/>
          <w:color w:val="auto"/>
          <w:highlight w:val="none"/>
        </w:rPr>
      </w:pPr>
    </w:p>
    <w:p w14:paraId="79E9144F">
      <w:pPr>
        <w:spacing w:line="360" w:lineRule="auto"/>
        <w:rPr>
          <w:rFonts w:hint="eastAsia" w:ascii="宋体" w:hAnsi="宋体" w:cs="宋体"/>
          <w:color w:val="auto"/>
          <w:szCs w:val="21"/>
          <w:highlight w:val="none"/>
        </w:rPr>
      </w:pPr>
    </w:p>
    <w:p w14:paraId="625D6ABF">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32D07F4">
      <w:pPr>
        <w:rPr>
          <w:rFonts w:hint="eastAsia" w:ascii="宋体" w:hAnsi="宋体" w:cs="宋体"/>
          <w:color w:val="auto"/>
          <w:sz w:val="28"/>
          <w:szCs w:val="28"/>
          <w:highlight w:val="none"/>
          <w:u w:val="single"/>
        </w:rPr>
      </w:pPr>
    </w:p>
    <w:p w14:paraId="642C2BC4">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42ADBC2">
      <w:pPr>
        <w:rPr>
          <w:rFonts w:hint="eastAsia" w:ascii="宋体" w:hAnsi="宋体" w:cs="宋体"/>
          <w:color w:val="auto"/>
          <w:sz w:val="28"/>
          <w:szCs w:val="28"/>
          <w:highlight w:val="none"/>
        </w:rPr>
      </w:pPr>
    </w:p>
    <w:p w14:paraId="2C233F0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3B7F4C05">
      <w:pPr>
        <w:pStyle w:val="22"/>
        <w:ind w:firstLine="0" w:firstLineChars="0"/>
        <w:rPr>
          <w:rFonts w:hint="eastAsia" w:ascii="宋体" w:hAnsi="宋体" w:cs="宋体"/>
          <w:color w:val="auto"/>
          <w:sz w:val="22"/>
          <w:szCs w:val="22"/>
          <w:highlight w:val="none"/>
        </w:rPr>
      </w:pPr>
      <w:r>
        <w:rPr>
          <w:rFonts w:hint="eastAsia" w:ascii="宋体" w:hAnsi="宋体" w:cs="宋体"/>
          <w:color w:val="auto"/>
          <w:highlight w:val="none"/>
        </w:rPr>
        <w:br w:type="page"/>
      </w:r>
    </w:p>
    <w:p w14:paraId="73636253">
      <w:pPr>
        <w:jc w:val="center"/>
        <w:rPr>
          <w:rFonts w:hint="eastAsia" w:ascii="宋体" w:hAnsi="宋体" w:cs="宋体"/>
          <w:b/>
          <w:bCs/>
          <w:color w:val="auto"/>
          <w:sz w:val="52"/>
          <w:szCs w:val="52"/>
          <w:highlight w:val="none"/>
        </w:rPr>
      </w:pPr>
      <w:bookmarkStart w:id="191" w:name="_Toc465107615"/>
      <w:bookmarkStart w:id="192" w:name="_Toc247514246"/>
      <w:bookmarkStart w:id="193" w:name="_Toc247527827"/>
      <w:bookmarkStart w:id="194" w:name="_Toc144974856"/>
      <w:bookmarkStart w:id="195" w:name="_Toc152045787"/>
      <w:bookmarkStart w:id="196" w:name="_Toc152042576"/>
      <w:r>
        <w:rPr>
          <w:rFonts w:hint="eastAsia" w:ascii="宋体" w:hAnsi="宋体" w:cs="宋体"/>
          <w:b/>
          <w:bCs/>
          <w:color w:val="auto"/>
          <w:sz w:val="52"/>
          <w:szCs w:val="52"/>
          <w:highlight w:val="none"/>
        </w:rPr>
        <w:t>目    录</w:t>
      </w:r>
      <w:bookmarkEnd w:id="191"/>
      <w:bookmarkEnd w:id="192"/>
      <w:bookmarkEnd w:id="193"/>
      <w:bookmarkEnd w:id="194"/>
      <w:bookmarkEnd w:id="195"/>
      <w:bookmarkEnd w:id="196"/>
    </w:p>
    <w:tbl>
      <w:tblPr>
        <w:tblStyle w:val="54"/>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5F1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tcBorders>
              <w:top w:val="single" w:color="auto" w:sz="4" w:space="0"/>
              <w:left w:val="single" w:color="auto" w:sz="4" w:space="0"/>
              <w:bottom w:val="single" w:color="auto" w:sz="4" w:space="0"/>
              <w:right w:val="single" w:color="auto" w:sz="4" w:space="0"/>
            </w:tcBorders>
            <w:vAlign w:val="center"/>
          </w:tcPr>
          <w:p w14:paraId="45B4712C">
            <w:pPr>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9109" w:type="dxa"/>
            <w:tcBorders>
              <w:top w:val="single" w:color="auto" w:sz="4" w:space="0"/>
              <w:left w:val="single" w:color="auto" w:sz="4" w:space="0"/>
              <w:bottom w:val="single" w:color="auto" w:sz="4" w:space="0"/>
              <w:right w:val="single" w:color="auto" w:sz="4" w:space="0"/>
            </w:tcBorders>
            <w:vAlign w:val="center"/>
          </w:tcPr>
          <w:p w14:paraId="3CFEEBCB">
            <w:pPr>
              <w:jc w:val="center"/>
              <w:rPr>
                <w:rFonts w:hint="eastAsia" w:ascii="宋体" w:hAnsi="宋体"/>
                <w:b/>
                <w:color w:val="auto"/>
                <w:sz w:val="22"/>
                <w:szCs w:val="22"/>
                <w:highlight w:val="none"/>
              </w:rPr>
            </w:pPr>
            <w:r>
              <w:rPr>
                <w:rFonts w:hint="eastAsia" w:ascii="宋体" w:hAnsi="宋体"/>
                <w:b/>
                <w:color w:val="auto"/>
                <w:sz w:val="22"/>
                <w:szCs w:val="22"/>
                <w:highlight w:val="none"/>
              </w:rPr>
              <w:t>内容</w:t>
            </w:r>
          </w:p>
        </w:tc>
      </w:tr>
      <w:tr w14:paraId="3775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0BFBBB3">
            <w:pPr>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9109" w:type="dxa"/>
            <w:tcBorders>
              <w:top w:val="single" w:color="auto" w:sz="4" w:space="0"/>
              <w:left w:val="single" w:color="auto" w:sz="4" w:space="0"/>
              <w:bottom w:val="single" w:color="auto" w:sz="4" w:space="0"/>
              <w:right w:val="single" w:color="auto" w:sz="4" w:space="0"/>
            </w:tcBorders>
            <w:vAlign w:val="center"/>
          </w:tcPr>
          <w:p w14:paraId="750D3CFB">
            <w:pPr>
              <w:rPr>
                <w:rFonts w:hint="eastAsia" w:ascii="宋体" w:hAnsi="宋体"/>
                <w:color w:val="auto"/>
                <w:sz w:val="22"/>
                <w:szCs w:val="22"/>
                <w:highlight w:val="none"/>
              </w:rPr>
            </w:pPr>
            <w:r>
              <w:rPr>
                <w:rFonts w:hint="eastAsia" w:ascii="宋体" w:hAnsi="宋体"/>
                <w:color w:val="auto"/>
                <w:sz w:val="22"/>
                <w:szCs w:val="22"/>
                <w:highlight w:val="none"/>
              </w:rPr>
              <w:t>投标函</w:t>
            </w:r>
          </w:p>
        </w:tc>
      </w:tr>
      <w:tr w14:paraId="1416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19219F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9109" w:type="dxa"/>
            <w:tcBorders>
              <w:top w:val="single" w:color="auto" w:sz="4" w:space="0"/>
              <w:left w:val="single" w:color="auto" w:sz="4" w:space="0"/>
              <w:bottom w:val="single" w:color="auto" w:sz="4" w:space="0"/>
              <w:right w:val="single" w:color="auto" w:sz="4" w:space="0"/>
            </w:tcBorders>
            <w:vAlign w:val="center"/>
          </w:tcPr>
          <w:p w14:paraId="183EA812">
            <w:pPr>
              <w:rPr>
                <w:rFonts w:hint="eastAsia" w:ascii="宋体" w:hAnsi="宋体" w:cs="宋体"/>
                <w:color w:val="auto"/>
                <w:sz w:val="22"/>
                <w:szCs w:val="22"/>
                <w:highlight w:val="none"/>
              </w:rPr>
            </w:pPr>
            <w:r>
              <w:rPr>
                <w:rFonts w:hint="eastAsia" w:ascii="宋体" w:hAnsi="宋体" w:cs="宋体"/>
                <w:color w:val="auto"/>
                <w:sz w:val="22"/>
                <w:szCs w:val="22"/>
                <w:highlight w:val="none"/>
              </w:rPr>
              <w:t>技术条款偏离表、商务条款偏离表</w:t>
            </w:r>
          </w:p>
        </w:tc>
      </w:tr>
      <w:tr w14:paraId="1F60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939B56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9109" w:type="dxa"/>
            <w:tcBorders>
              <w:top w:val="single" w:color="auto" w:sz="4" w:space="0"/>
              <w:left w:val="single" w:color="auto" w:sz="4" w:space="0"/>
              <w:bottom w:val="single" w:color="auto" w:sz="4" w:space="0"/>
              <w:right w:val="single" w:color="auto" w:sz="4" w:space="0"/>
            </w:tcBorders>
            <w:vAlign w:val="center"/>
          </w:tcPr>
          <w:p w14:paraId="2C1C513F">
            <w:pPr>
              <w:rPr>
                <w:rFonts w:hint="eastAsia" w:ascii="宋体" w:hAnsi="宋体" w:cs="宋体"/>
                <w:color w:val="auto"/>
                <w:sz w:val="22"/>
                <w:szCs w:val="22"/>
                <w:highlight w:val="none"/>
              </w:rPr>
            </w:pPr>
            <w:r>
              <w:rPr>
                <w:rFonts w:hint="eastAsia" w:ascii="宋体" w:hAnsi="宋体" w:cs="宋体"/>
                <w:color w:val="auto"/>
                <w:sz w:val="22"/>
                <w:szCs w:val="22"/>
                <w:highlight w:val="none"/>
              </w:rPr>
              <w:t>资信证明文件（以评分表为依据，本项为量化评分内容，非强制性要求）</w:t>
            </w:r>
          </w:p>
        </w:tc>
      </w:tr>
      <w:tr w14:paraId="5F27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BABFD5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9109" w:type="dxa"/>
            <w:tcBorders>
              <w:top w:val="single" w:color="auto" w:sz="4" w:space="0"/>
              <w:left w:val="single" w:color="auto" w:sz="4" w:space="0"/>
              <w:bottom w:val="single" w:color="auto" w:sz="4" w:space="0"/>
              <w:right w:val="single" w:color="auto" w:sz="4" w:space="0"/>
            </w:tcBorders>
            <w:vAlign w:val="center"/>
          </w:tcPr>
          <w:p w14:paraId="3FE23CA7">
            <w:pPr>
              <w:tabs>
                <w:tab w:val="left" w:pos="5355"/>
              </w:tabs>
              <w:snapToGrid w:val="0"/>
              <w:rPr>
                <w:rFonts w:hint="eastAsia" w:ascii="宋体" w:hAnsi="宋体" w:cs="宋体"/>
                <w:color w:val="auto"/>
                <w:sz w:val="22"/>
                <w:szCs w:val="22"/>
                <w:highlight w:val="none"/>
                <w:u w:val="single"/>
              </w:rPr>
            </w:pPr>
            <w:r>
              <w:rPr>
                <w:rFonts w:hint="eastAsia" w:ascii="宋体" w:hAnsi="宋体" w:cs="宋体"/>
                <w:color w:val="auto"/>
                <w:sz w:val="22"/>
                <w:szCs w:val="22"/>
                <w:highlight w:val="none"/>
                <w:lang w:val="zh-CN"/>
              </w:rPr>
              <w:t>同类项目业绩</w:t>
            </w:r>
          </w:p>
        </w:tc>
      </w:tr>
      <w:tr w14:paraId="07A7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685750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9109" w:type="dxa"/>
            <w:tcBorders>
              <w:top w:val="single" w:color="auto" w:sz="4" w:space="0"/>
              <w:left w:val="single" w:color="auto" w:sz="4" w:space="0"/>
              <w:bottom w:val="single" w:color="auto" w:sz="4" w:space="0"/>
              <w:right w:val="single" w:color="auto" w:sz="4" w:space="0"/>
            </w:tcBorders>
            <w:vAlign w:val="center"/>
          </w:tcPr>
          <w:p w14:paraId="650B88FE">
            <w:pPr>
              <w:tabs>
                <w:tab w:val="left" w:pos="5355"/>
              </w:tabs>
              <w:snapToGrid w:val="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val="en-US" w:eastAsia="zh-CN"/>
              </w:rPr>
              <w:t>团队</w:t>
            </w:r>
            <w:r>
              <w:rPr>
                <w:rFonts w:hint="eastAsia" w:ascii="宋体" w:hAnsi="宋体" w:cs="宋体"/>
                <w:color w:val="auto"/>
                <w:sz w:val="22"/>
                <w:szCs w:val="22"/>
                <w:highlight w:val="none"/>
              </w:rPr>
              <w:t>人员情况</w:t>
            </w:r>
          </w:p>
        </w:tc>
      </w:tr>
      <w:tr w14:paraId="185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FF0EF3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9109" w:type="dxa"/>
            <w:tcBorders>
              <w:top w:val="single" w:color="auto" w:sz="4" w:space="0"/>
              <w:left w:val="single" w:color="auto" w:sz="4" w:space="0"/>
              <w:bottom w:val="single" w:color="auto" w:sz="4" w:space="0"/>
              <w:right w:val="single" w:color="auto" w:sz="4" w:space="0"/>
            </w:tcBorders>
            <w:vAlign w:val="center"/>
          </w:tcPr>
          <w:p w14:paraId="0D12B60C">
            <w:pPr>
              <w:jc w:val="left"/>
              <w:rPr>
                <w:rFonts w:hint="eastAsia" w:ascii="宋体" w:hAnsi="宋体" w:cs="宋体"/>
                <w:color w:val="auto"/>
                <w:kern w:val="0"/>
                <w:sz w:val="22"/>
                <w:szCs w:val="22"/>
                <w:highlight w:val="none"/>
              </w:rPr>
            </w:pPr>
            <w:r>
              <w:rPr>
                <w:rFonts w:hint="eastAsia" w:ascii="新宋体" w:hAnsi="新宋体" w:eastAsia="新宋体"/>
                <w:color w:val="auto"/>
                <w:sz w:val="22"/>
                <w:szCs w:val="22"/>
                <w:highlight w:val="none"/>
              </w:rPr>
              <w:t>对整体项目的理解与分析</w:t>
            </w:r>
          </w:p>
        </w:tc>
      </w:tr>
      <w:tr w14:paraId="689B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A13771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9109" w:type="dxa"/>
            <w:tcBorders>
              <w:top w:val="single" w:color="auto" w:sz="4" w:space="0"/>
              <w:left w:val="single" w:color="auto" w:sz="4" w:space="0"/>
              <w:bottom w:val="single" w:color="auto" w:sz="4" w:space="0"/>
              <w:right w:val="single" w:color="auto" w:sz="4" w:space="0"/>
            </w:tcBorders>
            <w:vAlign w:val="center"/>
          </w:tcPr>
          <w:p w14:paraId="2B671612">
            <w:pPr>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视觉设计与氛围营造方案</w:t>
            </w:r>
          </w:p>
        </w:tc>
      </w:tr>
      <w:tr w14:paraId="06A8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E5A4A3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9109" w:type="dxa"/>
            <w:tcBorders>
              <w:top w:val="single" w:color="auto" w:sz="4" w:space="0"/>
              <w:left w:val="single" w:color="auto" w:sz="4" w:space="0"/>
              <w:bottom w:val="single" w:color="auto" w:sz="4" w:space="0"/>
              <w:right w:val="single" w:color="auto" w:sz="4" w:space="0"/>
            </w:tcBorders>
            <w:vAlign w:val="center"/>
          </w:tcPr>
          <w:p w14:paraId="0F06528E">
            <w:pPr>
              <w:widowControl/>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项目规划方案</w:t>
            </w:r>
          </w:p>
        </w:tc>
      </w:tr>
      <w:tr w14:paraId="5D6B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62419A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9109" w:type="dxa"/>
            <w:tcBorders>
              <w:top w:val="single" w:color="auto" w:sz="4" w:space="0"/>
              <w:left w:val="single" w:color="auto" w:sz="4" w:space="0"/>
              <w:bottom w:val="single" w:color="auto" w:sz="4" w:space="0"/>
              <w:right w:val="single" w:color="auto" w:sz="4" w:space="0"/>
            </w:tcBorders>
            <w:vAlign w:val="center"/>
          </w:tcPr>
          <w:p w14:paraId="38952951">
            <w:pPr>
              <w:widowControl/>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服务执行方案</w:t>
            </w:r>
          </w:p>
        </w:tc>
      </w:tr>
      <w:tr w14:paraId="46A9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752ECC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9109" w:type="dxa"/>
            <w:tcBorders>
              <w:top w:val="single" w:color="auto" w:sz="4" w:space="0"/>
              <w:left w:val="single" w:color="auto" w:sz="4" w:space="0"/>
              <w:bottom w:val="single" w:color="auto" w:sz="4" w:space="0"/>
              <w:right w:val="single" w:color="auto" w:sz="4" w:space="0"/>
            </w:tcBorders>
            <w:vAlign w:val="center"/>
          </w:tcPr>
          <w:p w14:paraId="7196C497">
            <w:pPr>
              <w:jc w:val="left"/>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安全与应急保障方案</w:t>
            </w:r>
          </w:p>
        </w:tc>
      </w:tr>
      <w:tr w14:paraId="6621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130E08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9109" w:type="dxa"/>
            <w:tcBorders>
              <w:top w:val="single" w:color="auto" w:sz="4" w:space="0"/>
              <w:left w:val="single" w:color="auto" w:sz="4" w:space="0"/>
              <w:bottom w:val="single" w:color="auto" w:sz="4" w:space="0"/>
              <w:right w:val="single" w:color="auto" w:sz="4" w:space="0"/>
            </w:tcBorders>
            <w:vAlign w:val="center"/>
          </w:tcPr>
          <w:p w14:paraId="40A786B6">
            <w:pPr>
              <w:jc w:val="left"/>
              <w:rPr>
                <w:rFonts w:hint="eastAsia" w:ascii="宋体" w:hAnsi="宋体" w:cs="宋体"/>
                <w:color w:val="auto"/>
                <w:kern w:val="0"/>
                <w:sz w:val="22"/>
                <w:szCs w:val="22"/>
                <w:highlight w:val="none"/>
              </w:rPr>
            </w:pPr>
            <w:r>
              <w:rPr>
                <w:rFonts w:hint="eastAsia" w:ascii="新宋体" w:hAnsi="新宋体" w:eastAsia="新宋体"/>
                <w:color w:val="auto"/>
                <w:sz w:val="22"/>
                <w:szCs w:val="22"/>
                <w:highlight w:val="none"/>
              </w:rPr>
              <w:t>服务响应措施</w:t>
            </w:r>
          </w:p>
        </w:tc>
      </w:tr>
      <w:tr w14:paraId="16A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170377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9109" w:type="dxa"/>
            <w:tcBorders>
              <w:top w:val="single" w:color="auto" w:sz="4" w:space="0"/>
              <w:left w:val="single" w:color="auto" w:sz="4" w:space="0"/>
              <w:bottom w:val="single" w:color="auto" w:sz="4" w:space="0"/>
              <w:right w:val="single" w:color="auto" w:sz="4" w:space="0"/>
            </w:tcBorders>
            <w:vAlign w:val="center"/>
          </w:tcPr>
          <w:p w14:paraId="2B988457">
            <w:pPr>
              <w:tabs>
                <w:tab w:val="left" w:pos="5355"/>
              </w:tabs>
              <w:snapToGrid w:val="0"/>
              <w:rPr>
                <w:rFonts w:hint="eastAsia" w:ascii="宋体" w:hAnsi="宋体" w:cs="宋体"/>
                <w:color w:val="auto"/>
                <w:kern w:val="0"/>
                <w:sz w:val="22"/>
                <w:szCs w:val="22"/>
                <w:highlight w:val="none"/>
              </w:rPr>
            </w:pPr>
            <w:r>
              <w:rPr>
                <w:rFonts w:hint="eastAsia" w:ascii="宋体" w:hAnsi="宋体" w:cs="宋体"/>
                <w:bCs/>
                <w:color w:val="auto"/>
                <w:sz w:val="22"/>
                <w:szCs w:val="22"/>
                <w:highlight w:val="none"/>
                <w:lang w:val="zh-CN"/>
              </w:rPr>
              <w:t>投标人参照本项目技术资信评分细则认为需要提交的其他资信技术证明文件</w:t>
            </w:r>
          </w:p>
        </w:tc>
      </w:tr>
    </w:tbl>
    <w:p w14:paraId="65B17A86">
      <w:pPr>
        <w:spacing w:line="540" w:lineRule="exact"/>
        <w:rPr>
          <w:rFonts w:hint="eastAsia" w:ascii="宋体" w:hAnsi="宋体" w:cs="宋体"/>
          <w:b/>
          <w:bCs/>
          <w:color w:val="auto"/>
          <w:sz w:val="22"/>
          <w:szCs w:val="22"/>
          <w:highlight w:val="none"/>
        </w:rPr>
      </w:pPr>
    </w:p>
    <w:p w14:paraId="3627A59E">
      <w:pPr>
        <w:widowControl/>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8855F25">
      <w:pPr>
        <w:spacing w:line="5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3D763A5E">
      <w:pPr>
        <w:spacing w:line="460" w:lineRule="exact"/>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048612B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温州眼视光国际创新中心：</w:t>
      </w:r>
    </w:p>
    <w:p w14:paraId="5F7B31FF">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8AFA7C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08DCE46A">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在此提交的磋商响应文件中，包括如下内容：</w:t>
      </w:r>
    </w:p>
    <w:p w14:paraId="5E9FE7B5">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电子磋商响应文件，按政采云平台项目采购－电子招投标操作指南及本竞争性磋商采购文件要求制作。</w:t>
      </w:r>
    </w:p>
    <w:p w14:paraId="168E27B2">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以介质存储的数据电文形式的备份磋商响应文件，按政采云平台项目采购－电子招投标操作指南中上传的电子磋商响应文件格式，以U盘形式提供。数量为1份。</w:t>
      </w:r>
    </w:p>
    <w:p w14:paraId="7038B5DE">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我方已完全明白竞争性磋商文件的所有条款要求，并重申以下几点：</w:t>
      </w:r>
    </w:p>
    <w:p w14:paraId="6294E5AC">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091A1452">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同意提供按照贵方可能要求的与投标有关的一切数据或资料等。若贵方需要，我方愿意提供我方做出的一切承诺的证明材料。</w:t>
      </w:r>
    </w:p>
    <w:p w14:paraId="7DA7F131">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如中标，保证按照竞争性磋商文件要求及磋商响应文件的承诺与采购人签订合同，保证履行合同条款。</w:t>
      </w:r>
    </w:p>
    <w:p w14:paraId="5692CD57">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同意在竞争性磋商文件中供应商须知规定的开标日期起遵守本投标书中的承诺且在投标有效期满之前均具有约束力。</w:t>
      </w:r>
    </w:p>
    <w:p w14:paraId="177E6B57">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同意在开标后规定的投标有效期内不得撤回投标。</w:t>
      </w:r>
    </w:p>
    <w:p w14:paraId="4104633F">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完全理解贵方不一定要接受最低价的投标。</w:t>
      </w:r>
    </w:p>
    <w:p w14:paraId="407081BC">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在参加本项目前三年内（被通报或者处罚的违法行为有：</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至</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期间禁止参加政府采购活动但是期限届满，须附相关证明文件）</w:t>
      </w:r>
    </w:p>
    <w:p w14:paraId="674AC65B">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lang w:val="zh-CN"/>
        </w:rPr>
        <w:t>www.creditchina.gov.cn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 w:val="22"/>
          <w:szCs w:val="22"/>
          <w:highlight w:val="none"/>
          <w:lang w:val="zh-CN"/>
        </w:rPr>
        <w:t>www.ccgp.gov.cn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)列入政府采购严重违法失信行为记录名单。）或（被“信用中国”或“中国政府采购网”列入……名单。）</w:t>
      </w:r>
    </w:p>
    <w:p w14:paraId="77593B1A">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单位、法定代表人、本项目授权代表及本项目负责人在参加本项目前三年内（以法院判决书生效日期为准）均无行贿犯罪记录。</w:t>
      </w:r>
    </w:p>
    <w:p w14:paraId="7D746C1C">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有下列情形之一的，我方愿意被取消中标资格（如中标），继续承担其他一切法律后果，并不再寻求任何旨在减轻或免除法律责任的解释：</w:t>
      </w:r>
    </w:p>
    <w:p w14:paraId="55A05E0C">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50AE3C99">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0D75F8C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（3）与采购人、其他供应商或者招标代理机构恶意串通的；</w:t>
      </w:r>
    </w:p>
    <w:p w14:paraId="3A44F803">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（4）向采购人、招标代理机构行贿或者提供其他不正当利益的；</w:t>
      </w:r>
    </w:p>
    <w:p w14:paraId="124AC417">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2DA0976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508D6E00">
      <w:pPr>
        <w:numPr>
          <w:ilvl w:val="0"/>
          <w:numId w:val="18"/>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所有与本投标有关的函件请发往下列地址：</w:t>
      </w:r>
    </w:p>
    <w:p w14:paraId="11D439FB">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E48D68E">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32A134E4">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79FF5F15">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4D3825C">
      <w:pPr>
        <w:spacing w:line="420" w:lineRule="exact"/>
        <w:ind w:firstLine="435"/>
        <w:rPr>
          <w:rFonts w:hint="eastAsia" w:ascii="宋体" w:hAnsi="宋体" w:cs="宋体"/>
          <w:color w:val="auto"/>
          <w:sz w:val="22"/>
          <w:szCs w:val="22"/>
          <w:highlight w:val="none"/>
        </w:rPr>
      </w:pPr>
    </w:p>
    <w:p w14:paraId="74D4B4F6">
      <w:pPr>
        <w:spacing w:line="420" w:lineRule="exact"/>
        <w:ind w:firstLine="462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供应商名称（盖章）</w:t>
      </w:r>
      <w:r>
        <w:rPr>
          <w:rFonts w:hint="eastAsia" w:ascii="宋体" w:hAnsi="宋体" w:cs="宋体"/>
          <w:color w:val="auto"/>
          <w:sz w:val="22"/>
          <w:szCs w:val="22"/>
          <w:highlight w:val="none"/>
          <w:u w:val="single"/>
        </w:rPr>
        <w:t xml:space="preserve">                  </w:t>
      </w:r>
    </w:p>
    <w:p w14:paraId="14D803D5">
      <w:pPr>
        <w:spacing w:line="420" w:lineRule="exact"/>
        <w:ind w:firstLine="462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供应商代表（签字）</w:t>
      </w:r>
      <w:r>
        <w:rPr>
          <w:rFonts w:hint="eastAsia" w:ascii="宋体" w:hAnsi="宋体" w:cs="宋体"/>
          <w:color w:val="auto"/>
          <w:sz w:val="22"/>
          <w:szCs w:val="22"/>
          <w:highlight w:val="none"/>
          <w:u w:val="single"/>
        </w:rPr>
        <w:t xml:space="preserve">                   </w:t>
      </w:r>
    </w:p>
    <w:p w14:paraId="28DB12EC">
      <w:pPr>
        <w:spacing w:line="460" w:lineRule="exact"/>
        <w:ind w:firstLine="462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14:paraId="4E55A0A1">
      <w:pPr>
        <w:spacing w:line="460" w:lineRule="exact"/>
        <w:ind w:firstLine="4620"/>
        <w:rPr>
          <w:rFonts w:hint="eastAsia" w:ascii="宋体" w:hAnsi="宋体" w:cs="宋体"/>
          <w:color w:val="auto"/>
          <w:sz w:val="22"/>
          <w:szCs w:val="22"/>
          <w:highlight w:val="none"/>
          <w:u w:val="single"/>
        </w:rPr>
      </w:pPr>
    </w:p>
    <w:p w14:paraId="4A215C76">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▲不提供投标函的磋商响应文件将被视为未实质性响应竞争性磋商文件。</w:t>
      </w:r>
    </w:p>
    <w:p w14:paraId="2EE4C7B5">
      <w:pPr>
        <w:spacing w:line="460" w:lineRule="exact"/>
        <w:ind w:firstLine="435"/>
        <w:rPr>
          <w:rFonts w:hint="eastAsia" w:ascii="宋体" w:hAnsi="宋体" w:cs="宋体"/>
          <w:b/>
          <w:color w:val="auto"/>
          <w:sz w:val="22"/>
          <w:szCs w:val="22"/>
          <w:highlight w:val="none"/>
          <w:u w:val="single"/>
        </w:rPr>
      </w:pPr>
    </w:p>
    <w:p w14:paraId="6FA730B7">
      <w:pPr>
        <w:spacing w:line="4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14:paraId="7A1CC642">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14:paraId="217D226F">
      <w:pPr>
        <w:ind w:firstLine="435"/>
        <w:jc w:val="center"/>
        <w:rPr>
          <w:rFonts w:hint="eastAsia" w:ascii="宋体" w:hAnsi="宋体" w:cs="宋体"/>
          <w:b/>
          <w:color w:val="auto"/>
          <w:sz w:val="44"/>
          <w:highlight w:val="none"/>
        </w:rPr>
      </w:pPr>
    </w:p>
    <w:p w14:paraId="1A9C3687">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14:paraId="172576B8">
      <w:pPr>
        <w:ind w:firstLine="361" w:firstLineChars="150"/>
        <w:rPr>
          <w:rFonts w:hint="eastAsia" w:ascii="宋体" w:hAnsi="宋体" w:cs="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2EFAD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41C431F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14:paraId="0640E2B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14:paraId="5F2C1F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供应商技术响应</w:t>
            </w:r>
          </w:p>
        </w:tc>
        <w:tc>
          <w:tcPr>
            <w:tcW w:w="2115" w:type="dxa"/>
            <w:vAlign w:val="center"/>
          </w:tcPr>
          <w:p w14:paraId="1F14042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14:paraId="1F8E44F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4C9AA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79C7DAA">
            <w:pPr>
              <w:jc w:val="center"/>
              <w:rPr>
                <w:rFonts w:hint="eastAsia" w:ascii="宋体" w:hAnsi="宋体" w:cs="宋体"/>
                <w:color w:val="auto"/>
                <w:sz w:val="22"/>
                <w:szCs w:val="22"/>
                <w:highlight w:val="none"/>
              </w:rPr>
            </w:pPr>
          </w:p>
        </w:tc>
        <w:tc>
          <w:tcPr>
            <w:tcW w:w="2538" w:type="dxa"/>
            <w:vAlign w:val="center"/>
          </w:tcPr>
          <w:p w14:paraId="217888CF">
            <w:pPr>
              <w:jc w:val="center"/>
              <w:rPr>
                <w:rFonts w:hint="eastAsia" w:ascii="宋体" w:hAnsi="宋体" w:cs="宋体"/>
                <w:color w:val="auto"/>
                <w:sz w:val="22"/>
                <w:szCs w:val="22"/>
                <w:highlight w:val="none"/>
              </w:rPr>
            </w:pPr>
          </w:p>
        </w:tc>
        <w:tc>
          <w:tcPr>
            <w:tcW w:w="2326" w:type="dxa"/>
            <w:vAlign w:val="center"/>
          </w:tcPr>
          <w:p w14:paraId="16118BB9">
            <w:pPr>
              <w:jc w:val="center"/>
              <w:rPr>
                <w:rFonts w:hint="eastAsia" w:ascii="宋体" w:hAnsi="宋体" w:cs="宋体"/>
                <w:color w:val="auto"/>
                <w:sz w:val="22"/>
                <w:szCs w:val="22"/>
                <w:highlight w:val="none"/>
              </w:rPr>
            </w:pPr>
          </w:p>
        </w:tc>
        <w:tc>
          <w:tcPr>
            <w:tcW w:w="2115" w:type="dxa"/>
            <w:vAlign w:val="center"/>
          </w:tcPr>
          <w:p w14:paraId="7AB943BC">
            <w:pPr>
              <w:jc w:val="center"/>
              <w:rPr>
                <w:rFonts w:hint="eastAsia" w:ascii="宋体" w:hAnsi="宋体" w:cs="宋体"/>
                <w:color w:val="auto"/>
                <w:sz w:val="22"/>
                <w:szCs w:val="22"/>
                <w:highlight w:val="none"/>
              </w:rPr>
            </w:pPr>
          </w:p>
        </w:tc>
        <w:tc>
          <w:tcPr>
            <w:tcW w:w="1902" w:type="dxa"/>
            <w:vAlign w:val="center"/>
          </w:tcPr>
          <w:p w14:paraId="2831DDA3">
            <w:pPr>
              <w:jc w:val="center"/>
              <w:rPr>
                <w:rFonts w:hint="eastAsia" w:ascii="宋体" w:hAnsi="宋体" w:cs="宋体"/>
                <w:color w:val="auto"/>
                <w:sz w:val="22"/>
                <w:szCs w:val="22"/>
                <w:highlight w:val="none"/>
              </w:rPr>
            </w:pPr>
          </w:p>
        </w:tc>
      </w:tr>
      <w:tr w14:paraId="08371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73C44E9">
            <w:pPr>
              <w:jc w:val="center"/>
              <w:rPr>
                <w:rFonts w:hint="eastAsia" w:ascii="宋体" w:hAnsi="宋体" w:cs="宋体"/>
                <w:color w:val="auto"/>
                <w:sz w:val="22"/>
                <w:szCs w:val="22"/>
                <w:highlight w:val="none"/>
              </w:rPr>
            </w:pPr>
          </w:p>
        </w:tc>
        <w:tc>
          <w:tcPr>
            <w:tcW w:w="2538" w:type="dxa"/>
            <w:vAlign w:val="center"/>
          </w:tcPr>
          <w:p w14:paraId="737CC5DF">
            <w:pPr>
              <w:jc w:val="center"/>
              <w:rPr>
                <w:rFonts w:hint="eastAsia" w:ascii="宋体" w:hAnsi="宋体" w:cs="宋体"/>
                <w:color w:val="auto"/>
                <w:sz w:val="22"/>
                <w:szCs w:val="22"/>
                <w:highlight w:val="none"/>
              </w:rPr>
            </w:pPr>
          </w:p>
        </w:tc>
        <w:tc>
          <w:tcPr>
            <w:tcW w:w="2326" w:type="dxa"/>
            <w:vAlign w:val="center"/>
          </w:tcPr>
          <w:p w14:paraId="0A71F354">
            <w:pPr>
              <w:jc w:val="center"/>
              <w:rPr>
                <w:rFonts w:hint="eastAsia" w:ascii="宋体" w:hAnsi="宋体" w:cs="宋体"/>
                <w:color w:val="auto"/>
                <w:sz w:val="22"/>
                <w:szCs w:val="22"/>
                <w:highlight w:val="none"/>
              </w:rPr>
            </w:pPr>
          </w:p>
        </w:tc>
        <w:tc>
          <w:tcPr>
            <w:tcW w:w="2115" w:type="dxa"/>
            <w:vAlign w:val="center"/>
          </w:tcPr>
          <w:p w14:paraId="5C060FF1">
            <w:pPr>
              <w:jc w:val="center"/>
              <w:rPr>
                <w:rFonts w:hint="eastAsia" w:ascii="宋体" w:hAnsi="宋体" w:cs="宋体"/>
                <w:color w:val="auto"/>
                <w:sz w:val="22"/>
                <w:szCs w:val="22"/>
                <w:highlight w:val="none"/>
              </w:rPr>
            </w:pPr>
          </w:p>
        </w:tc>
        <w:tc>
          <w:tcPr>
            <w:tcW w:w="1902" w:type="dxa"/>
            <w:vAlign w:val="center"/>
          </w:tcPr>
          <w:p w14:paraId="240DBEBE">
            <w:pPr>
              <w:jc w:val="center"/>
              <w:rPr>
                <w:rFonts w:hint="eastAsia" w:ascii="宋体" w:hAnsi="宋体" w:cs="宋体"/>
                <w:color w:val="auto"/>
                <w:sz w:val="22"/>
                <w:szCs w:val="22"/>
                <w:highlight w:val="none"/>
              </w:rPr>
            </w:pPr>
          </w:p>
        </w:tc>
      </w:tr>
      <w:tr w14:paraId="00238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A84BA70">
            <w:pPr>
              <w:jc w:val="center"/>
              <w:rPr>
                <w:rFonts w:hint="eastAsia" w:ascii="宋体" w:hAnsi="宋体" w:cs="宋体"/>
                <w:color w:val="auto"/>
                <w:sz w:val="22"/>
                <w:szCs w:val="22"/>
                <w:highlight w:val="none"/>
              </w:rPr>
            </w:pPr>
          </w:p>
        </w:tc>
        <w:tc>
          <w:tcPr>
            <w:tcW w:w="2538" w:type="dxa"/>
            <w:vAlign w:val="center"/>
          </w:tcPr>
          <w:p w14:paraId="1135B32B">
            <w:pPr>
              <w:jc w:val="center"/>
              <w:rPr>
                <w:rFonts w:hint="eastAsia" w:ascii="宋体" w:hAnsi="宋体" w:cs="宋体"/>
                <w:color w:val="auto"/>
                <w:sz w:val="22"/>
                <w:szCs w:val="22"/>
                <w:highlight w:val="none"/>
              </w:rPr>
            </w:pPr>
          </w:p>
        </w:tc>
        <w:tc>
          <w:tcPr>
            <w:tcW w:w="2326" w:type="dxa"/>
            <w:vAlign w:val="center"/>
          </w:tcPr>
          <w:p w14:paraId="6F55C2CF">
            <w:pPr>
              <w:jc w:val="center"/>
              <w:rPr>
                <w:rFonts w:hint="eastAsia" w:ascii="宋体" w:hAnsi="宋体" w:cs="宋体"/>
                <w:color w:val="auto"/>
                <w:sz w:val="22"/>
                <w:szCs w:val="22"/>
                <w:highlight w:val="none"/>
              </w:rPr>
            </w:pPr>
          </w:p>
        </w:tc>
        <w:tc>
          <w:tcPr>
            <w:tcW w:w="2115" w:type="dxa"/>
            <w:vAlign w:val="center"/>
          </w:tcPr>
          <w:p w14:paraId="4243641B">
            <w:pPr>
              <w:jc w:val="center"/>
              <w:rPr>
                <w:rFonts w:hint="eastAsia" w:ascii="宋体" w:hAnsi="宋体" w:cs="宋体"/>
                <w:color w:val="auto"/>
                <w:sz w:val="22"/>
                <w:szCs w:val="22"/>
                <w:highlight w:val="none"/>
              </w:rPr>
            </w:pPr>
          </w:p>
        </w:tc>
        <w:tc>
          <w:tcPr>
            <w:tcW w:w="1902" w:type="dxa"/>
            <w:vAlign w:val="center"/>
          </w:tcPr>
          <w:p w14:paraId="06B7D3A7">
            <w:pPr>
              <w:jc w:val="center"/>
              <w:rPr>
                <w:rFonts w:hint="eastAsia" w:ascii="宋体" w:hAnsi="宋体" w:cs="宋体"/>
                <w:color w:val="auto"/>
                <w:sz w:val="22"/>
                <w:szCs w:val="22"/>
                <w:highlight w:val="none"/>
              </w:rPr>
            </w:pPr>
          </w:p>
        </w:tc>
      </w:tr>
      <w:tr w14:paraId="5BC4E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2CA0A25">
            <w:pPr>
              <w:jc w:val="center"/>
              <w:rPr>
                <w:rFonts w:hint="eastAsia" w:ascii="宋体" w:hAnsi="宋体" w:cs="宋体"/>
                <w:color w:val="auto"/>
                <w:sz w:val="22"/>
                <w:szCs w:val="22"/>
                <w:highlight w:val="none"/>
              </w:rPr>
            </w:pPr>
          </w:p>
        </w:tc>
        <w:tc>
          <w:tcPr>
            <w:tcW w:w="2538" w:type="dxa"/>
            <w:vAlign w:val="center"/>
          </w:tcPr>
          <w:p w14:paraId="09790DF6">
            <w:pPr>
              <w:jc w:val="center"/>
              <w:rPr>
                <w:rFonts w:hint="eastAsia" w:ascii="宋体" w:hAnsi="宋体" w:cs="宋体"/>
                <w:color w:val="auto"/>
                <w:sz w:val="22"/>
                <w:szCs w:val="22"/>
                <w:highlight w:val="none"/>
              </w:rPr>
            </w:pPr>
          </w:p>
        </w:tc>
        <w:tc>
          <w:tcPr>
            <w:tcW w:w="2326" w:type="dxa"/>
            <w:vAlign w:val="center"/>
          </w:tcPr>
          <w:p w14:paraId="71DE2234">
            <w:pPr>
              <w:jc w:val="center"/>
              <w:rPr>
                <w:rFonts w:hint="eastAsia" w:ascii="宋体" w:hAnsi="宋体" w:cs="宋体"/>
                <w:color w:val="auto"/>
                <w:sz w:val="22"/>
                <w:szCs w:val="22"/>
                <w:highlight w:val="none"/>
              </w:rPr>
            </w:pPr>
          </w:p>
        </w:tc>
        <w:tc>
          <w:tcPr>
            <w:tcW w:w="2115" w:type="dxa"/>
            <w:vAlign w:val="center"/>
          </w:tcPr>
          <w:p w14:paraId="5860906E">
            <w:pPr>
              <w:jc w:val="center"/>
              <w:rPr>
                <w:rFonts w:hint="eastAsia" w:ascii="宋体" w:hAnsi="宋体" w:cs="宋体"/>
                <w:color w:val="auto"/>
                <w:sz w:val="22"/>
                <w:szCs w:val="22"/>
                <w:highlight w:val="none"/>
              </w:rPr>
            </w:pPr>
          </w:p>
        </w:tc>
        <w:tc>
          <w:tcPr>
            <w:tcW w:w="1902" w:type="dxa"/>
            <w:vAlign w:val="center"/>
          </w:tcPr>
          <w:p w14:paraId="26EB2592">
            <w:pPr>
              <w:jc w:val="center"/>
              <w:rPr>
                <w:rFonts w:hint="eastAsia" w:ascii="宋体" w:hAnsi="宋体" w:cs="宋体"/>
                <w:color w:val="auto"/>
                <w:sz w:val="22"/>
                <w:szCs w:val="22"/>
                <w:highlight w:val="none"/>
              </w:rPr>
            </w:pPr>
          </w:p>
        </w:tc>
      </w:tr>
      <w:tr w14:paraId="4EE51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FFE0A65">
            <w:pPr>
              <w:jc w:val="center"/>
              <w:rPr>
                <w:rFonts w:hint="eastAsia" w:ascii="宋体" w:hAnsi="宋体" w:cs="宋体"/>
                <w:color w:val="auto"/>
                <w:sz w:val="22"/>
                <w:szCs w:val="22"/>
                <w:highlight w:val="none"/>
              </w:rPr>
            </w:pPr>
          </w:p>
        </w:tc>
        <w:tc>
          <w:tcPr>
            <w:tcW w:w="2538" w:type="dxa"/>
            <w:vAlign w:val="center"/>
          </w:tcPr>
          <w:p w14:paraId="5EB5FCD2">
            <w:pPr>
              <w:jc w:val="center"/>
              <w:rPr>
                <w:rFonts w:hint="eastAsia" w:ascii="宋体" w:hAnsi="宋体" w:cs="宋体"/>
                <w:color w:val="auto"/>
                <w:sz w:val="22"/>
                <w:szCs w:val="22"/>
                <w:highlight w:val="none"/>
              </w:rPr>
            </w:pPr>
          </w:p>
        </w:tc>
        <w:tc>
          <w:tcPr>
            <w:tcW w:w="2326" w:type="dxa"/>
            <w:vAlign w:val="center"/>
          </w:tcPr>
          <w:p w14:paraId="3A55F23E">
            <w:pPr>
              <w:jc w:val="center"/>
              <w:rPr>
                <w:rFonts w:hint="eastAsia" w:ascii="宋体" w:hAnsi="宋体" w:cs="宋体"/>
                <w:color w:val="auto"/>
                <w:sz w:val="22"/>
                <w:szCs w:val="22"/>
                <w:highlight w:val="none"/>
              </w:rPr>
            </w:pPr>
          </w:p>
        </w:tc>
        <w:tc>
          <w:tcPr>
            <w:tcW w:w="2115" w:type="dxa"/>
            <w:vAlign w:val="center"/>
          </w:tcPr>
          <w:p w14:paraId="458F0176">
            <w:pPr>
              <w:jc w:val="center"/>
              <w:rPr>
                <w:rFonts w:hint="eastAsia" w:ascii="宋体" w:hAnsi="宋体" w:cs="宋体"/>
                <w:color w:val="auto"/>
                <w:sz w:val="22"/>
                <w:szCs w:val="22"/>
                <w:highlight w:val="none"/>
              </w:rPr>
            </w:pPr>
          </w:p>
        </w:tc>
        <w:tc>
          <w:tcPr>
            <w:tcW w:w="1902" w:type="dxa"/>
            <w:vAlign w:val="center"/>
          </w:tcPr>
          <w:p w14:paraId="7B708FF0">
            <w:pPr>
              <w:jc w:val="center"/>
              <w:rPr>
                <w:rFonts w:hint="eastAsia" w:ascii="宋体" w:hAnsi="宋体" w:cs="宋体"/>
                <w:color w:val="auto"/>
                <w:sz w:val="22"/>
                <w:szCs w:val="22"/>
                <w:highlight w:val="none"/>
              </w:rPr>
            </w:pPr>
          </w:p>
        </w:tc>
      </w:tr>
    </w:tbl>
    <w:p w14:paraId="59FFA550">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04413B61">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7B3C1026">
      <w:pPr>
        <w:spacing w:line="400" w:lineRule="exact"/>
        <w:rPr>
          <w:rFonts w:hint="eastAsia" w:ascii="宋体" w:hAnsi="宋体" w:cs="宋体"/>
          <w:color w:val="auto"/>
          <w:sz w:val="22"/>
          <w:szCs w:val="22"/>
          <w:highlight w:val="none"/>
        </w:rPr>
      </w:pPr>
    </w:p>
    <w:p w14:paraId="776D3E83">
      <w:pPr>
        <w:spacing w:line="400" w:lineRule="exact"/>
        <w:rPr>
          <w:rFonts w:hint="eastAsia" w:ascii="宋体" w:hAnsi="宋体" w:cs="宋体"/>
          <w:color w:val="auto"/>
          <w:sz w:val="22"/>
          <w:szCs w:val="22"/>
          <w:highlight w:val="none"/>
        </w:rPr>
      </w:pPr>
    </w:p>
    <w:p w14:paraId="18E8DCDD">
      <w:pPr>
        <w:spacing w:line="400" w:lineRule="exact"/>
        <w:rPr>
          <w:rFonts w:hint="eastAsia" w:ascii="宋体" w:hAnsi="宋体" w:cs="宋体"/>
          <w:color w:val="auto"/>
          <w:sz w:val="22"/>
          <w:szCs w:val="22"/>
          <w:highlight w:val="none"/>
        </w:rPr>
      </w:pPr>
    </w:p>
    <w:p w14:paraId="1ABC1FD0">
      <w:pPr>
        <w:spacing w:line="400" w:lineRule="exact"/>
        <w:rPr>
          <w:rFonts w:hint="eastAsia" w:ascii="宋体" w:hAnsi="宋体" w:cs="宋体"/>
          <w:color w:val="auto"/>
          <w:sz w:val="22"/>
          <w:szCs w:val="22"/>
          <w:highlight w:val="none"/>
        </w:rPr>
      </w:pPr>
    </w:p>
    <w:p w14:paraId="3B2EAAF5">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2C0469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供应商代表（签名或盖章）：</w:t>
      </w:r>
    </w:p>
    <w:p w14:paraId="03D35C2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725B706">
      <w:pPr>
        <w:spacing w:line="400" w:lineRule="exact"/>
        <w:rPr>
          <w:rFonts w:hint="eastAsia" w:ascii="宋体" w:hAnsi="宋体" w:cs="宋体"/>
          <w:color w:val="auto"/>
          <w:sz w:val="22"/>
          <w:szCs w:val="22"/>
          <w:highlight w:val="none"/>
        </w:rPr>
      </w:pPr>
    </w:p>
    <w:p w14:paraId="5750DE7C">
      <w:pPr>
        <w:spacing w:line="500" w:lineRule="exact"/>
        <w:jc w:val="center"/>
        <w:rPr>
          <w:rFonts w:hint="eastAsia"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14:paraId="223C3AB6">
      <w:pPr>
        <w:ind w:firstLine="435"/>
        <w:jc w:val="center"/>
        <w:rPr>
          <w:rFonts w:hint="eastAsia" w:ascii="宋体" w:hAnsi="宋体" w:cs="宋体"/>
          <w:b/>
          <w:color w:val="auto"/>
          <w:sz w:val="44"/>
          <w:highlight w:val="none"/>
        </w:rPr>
      </w:pPr>
    </w:p>
    <w:p w14:paraId="09FF558B">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14:paraId="5C42824F">
      <w:pPr>
        <w:ind w:firstLine="221" w:firstLineChars="100"/>
        <w:rPr>
          <w:rFonts w:hint="eastAsia" w:ascii="宋体" w:hAnsi="宋体" w:cs="宋体"/>
          <w:b/>
          <w:color w:val="auto"/>
          <w:sz w:val="22"/>
          <w:szCs w:val="22"/>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2F465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69DEE38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14:paraId="1D19A60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14:paraId="22CDD84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14:paraId="04D01AD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磋商响应文件商务条款</w:t>
            </w:r>
          </w:p>
        </w:tc>
        <w:tc>
          <w:tcPr>
            <w:tcW w:w="1200" w:type="dxa"/>
            <w:vAlign w:val="center"/>
          </w:tcPr>
          <w:p w14:paraId="738653F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14:paraId="3129559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12E1B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DE017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14:paraId="62CC05F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vAlign w:val="center"/>
          </w:tcPr>
          <w:p w14:paraId="033FAD17">
            <w:pPr>
              <w:jc w:val="center"/>
              <w:rPr>
                <w:rFonts w:hint="eastAsia" w:ascii="宋体" w:hAnsi="宋体" w:cs="宋体"/>
                <w:color w:val="auto"/>
                <w:sz w:val="22"/>
                <w:szCs w:val="22"/>
                <w:highlight w:val="none"/>
              </w:rPr>
            </w:pPr>
          </w:p>
        </w:tc>
        <w:tc>
          <w:tcPr>
            <w:tcW w:w="2402" w:type="dxa"/>
            <w:vAlign w:val="center"/>
          </w:tcPr>
          <w:p w14:paraId="68724846">
            <w:pPr>
              <w:jc w:val="center"/>
              <w:rPr>
                <w:rFonts w:hint="eastAsia" w:ascii="宋体" w:hAnsi="宋体" w:cs="宋体"/>
                <w:color w:val="auto"/>
                <w:sz w:val="22"/>
                <w:szCs w:val="22"/>
                <w:highlight w:val="none"/>
              </w:rPr>
            </w:pPr>
          </w:p>
        </w:tc>
        <w:tc>
          <w:tcPr>
            <w:tcW w:w="1200" w:type="dxa"/>
            <w:vAlign w:val="center"/>
          </w:tcPr>
          <w:p w14:paraId="795E5679">
            <w:pPr>
              <w:jc w:val="center"/>
              <w:rPr>
                <w:rFonts w:hint="eastAsia" w:ascii="宋体" w:hAnsi="宋体" w:cs="宋体"/>
                <w:color w:val="auto"/>
                <w:sz w:val="22"/>
                <w:szCs w:val="22"/>
                <w:highlight w:val="none"/>
              </w:rPr>
            </w:pPr>
          </w:p>
        </w:tc>
        <w:tc>
          <w:tcPr>
            <w:tcW w:w="1588" w:type="dxa"/>
            <w:vAlign w:val="center"/>
          </w:tcPr>
          <w:p w14:paraId="7E6A0F21">
            <w:pPr>
              <w:jc w:val="center"/>
              <w:rPr>
                <w:rFonts w:hint="eastAsia" w:ascii="宋体" w:hAnsi="宋体" w:cs="宋体"/>
                <w:color w:val="auto"/>
                <w:sz w:val="22"/>
                <w:szCs w:val="22"/>
                <w:highlight w:val="none"/>
              </w:rPr>
            </w:pPr>
          </w:p>
        </w:tc>
      </w:tr>
      <w:tr w14:paraId="3AA76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83828A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14:paraId="449430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服务时间</w:t>
            </w:r>
          </w:p>
        </w:tc>
        <w:tc>
          <w:tcPr>
            <w:tcW w:w="2184" w:type="dxa"/>
            <w:vAlign w:val="center"/>
          </w:tcPr>
          <w:p w14:paraId="2A4AD8F3">
            <w:pPr>
              <w:jc w:val="center"/>
              <w:rPr>
                <w:rFonts w:hint="eastAsia" w:ascii="宋体" w:hAnsi="宋体" w:cs="宋体"/>
                <w:color w:val="auto"/>
                <w:sz w:val="22"/>
                <w:szCs w:val="22"/>
                <w:highlight w:val="none"/>
              </w:rPr>
            </w:pPr>
          </w:p>
        </w:tc>
        <w:tc>
          <w:tcPr>
            <w:tcW w:w="2402" w:type="dxa"/>
            <w:vAlign w:val="center"/>
          </w:tcPr>
          <w:p w14:paraId="574FEB02">
            <w:pPr>
              <w:jc w:val="center"/>
              <w:rPr>
                <w:rFonts w:hint="eastAsia" w:ascii="宋体" w:hAnsi="宋体" w:cs="宋体"/>
                <w:color w:val="auto"/>
                <w:sz w:val="22"/>
                <w:szCs w:val="22"/>
                <w:highlight w:val="none"/>
              </w:rPr>
            </w:pPr>
          </w:p>
        </w:tc>
        <w:tc>
          <w:tcPr>
            <w:tcW w:w="1200" w:type="dxa"/>
            <w:vAlign w:val="center"/>
          </w:tcPr>
          <w:p w14:paraId="39CBEFB4">
            <w:pPr>
              <w:jc w:val="center"/>
              <w:rPr>
                <w:rFonts w:hint="eastAsia" w:ascii="宋体" w:hAnsi="宋体" w:cs="宋体"/>
                <w:color w:val="auto"/>
                <w:sz w:val="22"/>
                <w:szCs w:val="22"/>
                <w:highlight w:val="none"/>
              </w:rPr>
            </w:pPr>
          </w:p>
        </w:tc>
        <w:tc>
          <w:tcPr>
            <w:tcW w:w="1588" w:type="dxa"/>
            <w:vAlign w:val="center"/>
          </w:tcPr>
          <w:p w14:paraId="5928D80F">
            <w:pPr>
              <w:jc w:val="center"/>
              <w:rPr>
                <w:rFonts w:hint="eastAsia" w:ascii="宋体" w:hAnsi="宋体" w:cs="宋体"/>
                <w:color w:val="auto"/>
                <w:sz w:val="22"/>
                <w:szCs w:val="22"/>
                <w:highlight w:val="none"/>
              </w:rPr>
            </w:pPr>
          </w:p>
        </w:tc>
      </w:tr>
      <w:tr w14:paraId="67D534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A4D286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14:paraId="1AD76462">
            <w:pPr>
              <w:jc w:val="center"/>
              <w:rPr>
                <w:rFonts w:hint="eastAsia" w:ascii="宋体" w:hAnsi="宋体" w:cs="宋体"/>
                <w:color w:val="auto"/>
                <w:sz w:val="22"/>
                <w:szCs w:val="22"/>
                <w:highlight w:val="none"/>
              </w:rPr>
            </w:pPr>
          </w:p>
        </w:tc>
        <w:tc>
          <w:tcPr>
            <w:tcW w:w="2184" w:type="dxa"/>
            <w:vAlign w:val="center"/>
          </w:tcPr>
          <w:p w14:paraId="1A660A32">
            <w:pPr>
              <w:jc w:val="center"/>
              <w:rPr>
                <w:rFonts w:hint="eastAsia" w:ascii="宋体" w:hAnsi="宋体" w:cs="宋体"/>
                <w:color w:val="auto"/>
                <w:sz w:val="22"/>
                <w:szCs w:val="22"/>
                <w:highlight w:val="none"/>
              </w:rPr>
            </w:pPr>
          </w:p>
        </w:tc>
        <w:tc>
          <w:tcPr>
            <w:tcW w:w="2402" w:type="dxa"/>
            <w:vAlign w:val="center"/>
          </w:tcPr>
          <w:p w14:paraId="3E9C2D0F">
            <w:pPr>
              <w:jc w:val="center"/>
              <w:rPr>
                <w:rFonts w:hint="eastAsia" w:ascii="宋体" w:hAnsi="宋体" w:cs="宋体"/>
                <w:color w:val="auto"/>
                <w:sz w:val="22"/>
                <w:szCs w:val="22"/>
                <w:highlight w:val="none"/>
              </w:rPr>
            </w:pPr>
          </w:p>
        </w:tc>
        <w:tc>
          <w:tcPr>
            <w:tcW w:w="1200" w:type="dxa"/>
            <w:vAlign w:val="center"/>
          </w:tcPr>
          <w:p w14:paraId="521654DF">
            <w:pPr>
              <w:jc w:val="center"/>
              <w:rPr>
                <w:rFonts w:hint="eastAsia" w:ascii="宋体" w:hAnsi="宋体" w:cs="宋体"/>
                <w:color w:val="auto"/>
                <w:sz w:val="22"/>
                <w:szCs w:val="22"/>
                <w:highlight w:val="none"/>
              </w:rPr>
            </w:pPr>
          </w:p>
        </w:tc>
        <w:tc>
          <w:tcPr>
            <w:tcW w:w="1588" w:type="dxa"/>
            <w:vAlign w:val="center"/>
          </w:tcPr>
          <w:p w14:paraId="6C094BF2">
            <w:pPr>
              <w:jc w:val="center"/>
              <w:rPr>
                <w:rFonts w:hint="eastAsia" w:ascii="宋体" w:hAnsi="宋体" w:cs="宋体"/>
                <w:color w:val="auto"/>
                <w:sz w:val="22"/>
                <w:szCs w:val="22"/>
                <w:highlight w:val="none"/>
              </w:rPr>
            </w:pPr>
          </w:p>
        </w:tc>
      </w:tr>
      <w:tr w14:paraId="4AF3D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3F7DFE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14:paraId="733057AE">
            <w:pPr>
              <w:jc w:val="center"/>
              <w:rPr>
                <w:rFonts w:hint="eastAsia" w:ascii="宋体" w:hAnsi="宋体" w:cs="宋体"/>
                <w:color w:val="auto"/>
                <w:sz w:val="22"/>
                <w:szCs w:val="22"/>
                <w:highlight w:val="none"/>
              </w:rPr>
            </w:pPr>
          </w:p>
        </w:tc>
        <w:tc>
          <w:tcPr>
            <w:tcW w:w="2184" w:type="dxa"/>
            <w:vAlign w:val="center"/>
          </w:tcPr>
          <w:p w14:paraId="7F689578">
            <w:pPr>
              <w:jc w:val="center"/>
              <w:rPr>
                <w:rFonts w:hint="eastAsia" w:ascii="宋体" w:hAnsi="宋体" w:cs="宋体"/>
                <w:color w:val="auto"/>
                <w:sz w:val="22"/>
                <w:szCs w:val="22"/>
                <w:highlight w:val="none"/>
              </w:rPr>
            </w:pPr>
          </w:p>
        </w:tc>
        <w:tc>
          <w:tcPr>
            <w:tcW w:w="2402" w:type="dxa"/>
            <w:vAlign w:val="center"/>
          </w:tcPr>
          <w:p w14:paraId="2C034DFB">
            <w:pPr>
              <w:jc w:val="center"/>
              <w:rPr>
                <w:rFonts w:hint="eastAsia" w:ascii="宋体" w:hAnsi="宋体" w:cs="宋体"/>
                <w:color w:val="auto"/>
                <w:sz w:val="22"/>
                <w:szCs w:val="22"/>
                <w:highlight w:val="none"/>
              </w:rPr>
            </w:pPr>
          </w:p>
        </w:tc>
        <w:tc>
          <w:tcPr>
            <w:tcW w:w="1200" w:type="dxa"/>
            <w:vAlign w:val="center"/>
          </w:tcPr>
          <w:p w14:paraId="27C8D1BE">
            <w:pPr>
              <w:jc w:val="center"/>
              <w:rPr>
                <w:rFonts w:hint="eastAsia" w:ascii="宋体" w:hAnsi="宋体" w:cs="宋体"/>
                <w:color w:val="auto"/>
                <w:sz w:val="22"/>
                <w:szCs w:val="22"/>
                <w:highlight w:val="none"/>
              </w:rPr>
            </w:pPr>
          </w:p>
        </w:tc>
        <w:tc>
          <w:tcPr>
            <w:tcW w:w="1588" w:type="dxa"/>
            <w:vAlign w:val="center"/>
          </w:tcPr>
          <w:p w14:paraId="740EB1D2">
            <w:pPr>
              <w:jc w:val="center"/>
              <w:rPr>
                <w:rFonts w:hint="eastAsia" w:ascii="宋体" w:hAnsi="宋体" w:cs="宋体"/>
                <w:color w:val="auto"/>
                <w:sz w:val="22"/>
                <w:szCs w:val="22"/>
                <w:highlight w:val="none"/>
              </w:rPr>
            </w:pPr>
          </w:p>
        </w:tc>
      </w:tr>
      <w:tr w14:paraId="1CA10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9E811C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14:paraId="2E314AD2">
            <w:pPr>
              <w:jc w:val="center"/>
              <w:rPr>
                <w:rFonts w:hint="eastAsia" w:ascii="宋体" w:hAnsi="宋体" w:cs="宋体"/>
                <w:color w:val="auto"/>
                <w:sz w:val="22"/>
                <w:szCs w:val="22"/>
                <w:highlight w:val="none"/>
              </w:rPr>
            </w:pPr>
          </w:p>
        </w:tc>
        <w:tc>
          <w:tcPr>
            <w:tcW w:w="2184" w:type="dxa"/>
            <w:vAlign w:val="center"/>
          </w:tcPr>
          <w:p w14:paraId="7BB2FDCA">
            <w:pPr>
              <w:jc w:val="center"/>
              <w:rPr>
                <w:rFonts w:hint="eastAsia" w:ascii="宋体" w:hAnsi="宋体" w:cs="宋体"/>
                <w:color w:val="auto"/>
                <w:sz w:val="22"/>
                <w:szCs w:val="22"/>
                <w:highlight w:val="none"/>
              </w:rPr>
            </w:pPr>
          </w:p>
        </w:tc>
        <w:tc>
          <w:tcPr>
            <w:tcW w:w="2402" w:type="dxa"/>
            <w:vAlign w:val="center"/>
          </w:tcPr>
          <w:p w14:paraId="0DF047CD">
            <w:pPr>
              <w:jc w:val="center"/>
              <w:rPr>
                <w:rFonts w:hint="eastAsia" w:ascii="宋体" w:hAnsi="宋体" w:cs="宋体"/>
                <w:color w:val="auto"/>
                <w:sz w:val="22"/>
                <w:szCs w:val="22"/>
                <w:highlight w:val="none"/>
              </w:rPr>
            </w:pPr>
          </w:p>
        </w:tc>
        <w:tc>
          <w:tcPr>
            <w:tcW w:w="1200" w:type="dxa"/>
            <w:vAlign w:val="center"/>
          </w:tcPr>
          <w:p w14:paraId="2BA11FF8">
            <w:pPr>
              <w:jc w:val="center"/>
              <w:rPr>
                <w:rFonts w:hint="eastAsia" w:ascii="宋体" w:hAnsi="宋体" w:cs="宋体"/>
                <w:color w:val="auto"/>
                <w:sz w:val="22"/>
                <w:szCs w:val="22"/>
                <w:highlight w:val="none"/>
              </w:rPr>
            </w:pPr>
          </w:p>
        </w:tc>
        <w:tc>
          <w:tcPr>
            <w:tcW w:w="1588" w:type="dxa"/>
            <w:vAlign w:val="center"/>
          </w:tcPr>
          <w:p w14:paraId="5630021B">
            <w:pPr>
              <w:jc w:val="center"/>
              <w:rPr>
                <w:rFonts w:hint="eastAsia" w:ascii="宋体" w:hAnsi="宋体" w:cs="宋体"/>
                <w:color w:val="auto"/>
                <w:sz w:val="22"/>
                <w:szCs w:val="22"/>
                <w:highlight w:val="none"/>
              </w:rPr>
            </w:pPr>
          </w:p>
        </w:tc>
      </w:tr>
      <w:tr w14:paraId="6B97C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B06713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14:paraId="6B0C914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14:paraId="268A5E9A">
            <w:pPr>
              <w:jc w:val="center"/>
              <w:rPr>
                <w:rFonts w:hint="eastAsia" w:ascii="宋体" w:hAnsi="宋体" w:cs="宋体"/>
                <w:color w:val="auto"/>
                <w:sz w:val="22"/>
                <w:szCs w:val="22"/>
                <w:highlight w:val="none"/>
              </w:rPr>
            </w:pPr>
          </w:p>
        </w:tc>
        <w:tc>
          <w:tcPr>
            <w:tcW w:w="2402" w:type="dxa"/>
            <w:vAlign w:val="center"/>
          </w:tcPr>
          <w:p w14:paraId="5B127B72">
            <w:pPr>
              <w:jc w:val="center"/>
              <w:rPr>
                <w:rFonts w:hint="eastAsia" w:ascii="宋体" w:hAnsi="宋体" w:cs="宋体"/>
                <w:color w:val="auto"/>
                <w:sz w:val="22"/>
                <w:szCs w:val="22"/>
                <w:highlight w:val="none"/>
              </w:rPr>
            </w:pPr>
          </w:p>
        </w:tc>
        <w:tc>
          <w:tcPr>
            <w:tcW w:w="1200" w:type="dxa"/>
            <w:vAlign w:val="center"/>
          </w:tcPr>
          <w:p w14:paraId="312B0CA9">
            <w:pPr>
              <w:jc w:val="center"/>
              <w:rPr>
                <w:rFonts w:hint="eastAsia" w:ascii="宋体" w:hAnsi="宋体" w:cs="宋体"/>
                <w:color w:val="auto"/>
                <w:sz w:val="22"/>
                <w:szCs w:val="22"/>
                <w:highlight w:val="none"/>
              </w:rPr>
            </w:pPr>
          </w:p>
        </w:tc>
        <w:tc>
          <w:tcPr>
            <w:tcW w:w="1588" w:type="dxa"/>
            <w:vAlign w:val="center"/>
          </w:tcPr>
          <w:p w14:paraId="51A0C68D">
            <w:pPr>
              <w:jc w:val="center"/>
              <w:rPr>
                <w:rFonts w:hint="eastAsia" w:ascii="宋体" w:hAnsi="宋体" w:cs="宋体"/>
                <w:color w:val="auto"/>
                <w:sz w:val="22"/>
                <w:szCs w:val="22"/>
                <w:highlight w:val="none"/>
              </w:rPr>
            </w:pPr>
          </w:p>
        </w:tc>
      </w:tr>
    </w:tbl>
    <w:p w14:paraId="1BEEF76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5B17A936">
      <w:pPr>
        <w:spacing w:line="5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68DB58F2">
      <w:pPr>
        <w:spacing w:line="500" w:lineRule="exact"/>
        <w:ind w:firstLine="4400" w:firstLineChars="2000"/>
        <w:rPr>
          <w:rFonts w:hint="eastAsia" w:ascii="宋体" w:hAnsi="宋体" w:cs="宋体"/>
          <w:color w:val="auto"/>
          <w:sz w:val="22"/>
          <w:szCs w:val="22"/>
          <w:highlight w:val="none"/>
        </w:rPr>
      </w:pPr>
    </w:p>
    <w:p w14:paraId="70EBE70D">
      <w:pPr>
        <w:spacing w:line="500" w:lineRule="exact"/>
        <w:ind w:firstLine="4400" w:firstLineChars="2000"/>
        <w:rPr>
          <w:rFonts w:hint="eastAsia" w:ascii="宋体" w:hAnsi="宋体" w:cs="宋体"/>
          <w:color w:val="auto"/>
          <w:sz w:val="22"/>
          <w:szCs w:val="22"/>
          <w:highlight w:val="none"/>
        </w:rPr>
      </w:pPr>
    </w:p>
    <w:p w14:paraId="58633173">
      <w:pPr>
        <w:spacing w:line="500" w:lineRule="exact"/>
        <w:ind w:firstLine="4400" w:firstLineChars="2000"/>
        <w:rPr>
          <w:rFonts w:hint="eastAsia" w:ascii="宋体" w:hAnsi="宋体" w:cs="宋体"/>
          <w:color w:val="auto"/>
          <w:sz w:val="22"/>
          <w:szCs w:val="22"/>
          <w:highlight w:val="none"/>
        </w:rPr>
      </w:pPr>
    </w:p>
    <w:p w14:paraId="06CD95CE">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1B9AB8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供应商代表（签名或盖章）：</w:t>
      </w:r>
    </w:p>
    <w:p w14:paraId="0A761A50">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DE02A0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14:paraId="6B7C5822">
      <w:pPr>
        <w:pStyle w:val="22"/>
        <w:ind w:firstLine="0" w:firstLineChars="0"/>
        <w:rPr>
          <w:rFonts w:hint="eastAsia" w:ascii="宋体" w:hAnsi="宋体" w:cs="宋体"/>
          <w:color w:val="auto"/>
          <w:sz w:val="22"/>
          <w:highlight w:val="none"/>
        </w:rPr>
      </w:pPr>
    </w:p>
    <w:p w14:paraId="09CEAFD7">
      <w:pPr>
        <w:pStyle w:val="22"/>
        <w:ind w:firstLine="221"/>
        <w:rPr>
          <w:rFonts w:hint="eastAsia" w:ascii="宋体" w:hAnsi="宋体" w:cs="宋体"/>
          <w:color w:val="auto"/>
          <w:sz w:val="22"/>
          <w:highlight w:val="none"/>
        </w:rPr>
      </w:pPr>
    </w:p>
    <w:p w14:paraId="3205467B">
      <w:pPr>
        <w:pStyle w:val="22"/>
        <w:ind w:firstLine="221"/>
        <w:rPr>
          <w:rFonts w:hint="eastAsia" w:ascii="宋体" w:hAnsi="宋体" w:cs="宋体"/>
          <w:color w:val="auto"/>
          <w:sz w:val="22"/>
          <w:highlight w:val="none"/>
        </w:rPr>
      </w:pPr>
    </w:p>
    <w:p w14:paraId="56AA7BCE">
      <w:pPr>
        <w:tabs>
          <w:tab w:val="left" w:pos="780"/>
        </w:tabs>
        <w:spacing w:line="400" w:lineRule="exact"/>
        <w:ind w:left="180"/>
        <w:rPr>
          <w:rFonts w:hint="eastAsia" w:ascii="宋体" w:hAnsi="宋体" w:cs="宋体"/>
          <w:b/>
          <w:bCs/>
          <w:color w:val="auto"/>
          <w:sz w:val="22"/>
          <w:szCs w:val="22"/>
          <w:highlight w:val="none"/>
        </w:rPr>
      </w:pPr>
    </w:p>
    <w:p w14:paraId="59C2E8F3">
      <w:pPr>
        <w:tabs>
          <w:tab w:val="left" w:pos="780"/>
        </w:tabs>
        <w:spacing w:line="400" w:lineRule="exact"/>
        <w:ind w:left="18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附件三                             项目负责人资格情况表</w:t>
      </w:r>
    </w:p>
    <w:p w14:paraId="69EB80C7">
      <w:pPr>
        <w:tabs>
          <w:tab w:val="left" w:pos="780"/>
        </w:tabs>
        <w:spacing w:line="400" w:lineRule="exact"/>
        <w:ind w:left="180"/>
        <w:rPr>
          <w:rFonts w:hint="eastAsia" w:ascii="宋体" w:hAnsi="宋体" w:cs="宋体"/>
          <w:b/>
          <w:color w:val="auto"/>
          <w:sz w:val="22"/>
          <w:szCs w:val="22"/>
          <w:highlight w:val="none"/>
        </w:rPr>
      </w:pPr>
    </w:p>
    <w:tbl>
      <w:tblPr>
        <w:tblStyle w:val="54"/>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99A0C8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0993DFC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1.一般情况</w:t>
            </w:r>
          </w:p>
        </w:tc>
      </w:tr>
      <w:tr w14:paraId="6753C2D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D01AFB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p>
        </w:tc>
        <w:tc>
          <w:tcPr>
            <w:tcW w:w="1799" w:type="dxa"/>
            <w:tcBorders>
              <w:top w:val="single" w:color="auto" w:sz="4" w:space="0"/>
              <w:bottom w:val="single" w:color="auto" w:sz="4" w:space="0"/>
            </w:tcBorders>
            <w:vAlign w:val="center"/>
          </w:tcPr>
          <w:p w14:paraId="24C12BEC">
            <w:pPr>
              <w:spacing w:line="360" w:lineRule="exact"/>
              <w:jc w:val="center"/>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2D30829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  龄</w:t>
            </w:r>
          </w:p>
        </w:tc>
        <w:tc>
          <w:tcPr>
            <w:tcW w:w="1062" w:type="dxa"/>
            <w:tcBorders>
              <w:top w:val="single" w:color="auto" w:sz="4" w:space="0"/>
              <w:bottom w:val="single" w:color="auto" w:sz="4" w:space="0"/>
            </w:tcBorders>
            <w:vAlign w:val="center"/>
          </w:tcPr>
          <w:p w14:paraId="1D3CF417">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2695B3E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568" w:type="dxa"/>
            <w:tcBorders>
              <w:top w:val="single" w:color="auto" w:sz="4" w:space="0"/>
              <w:bottom w:val="single" w:color="auto" w:sz="4" w:space="0"/>
            </w:tcBorders>
            <w:vAlign w:val="center"/>
          </w:tcPr>
          <w:p w14:paraId="080049A6">
            <w:pPr>
              <w:spacing w:line="360" w:lineRule="exact"/>
              <w:jc w:val="center"/>
              <w:rPr>
                <w:rFonts w:hint="eastAsia" w:ascii="宋体" w:hAnsi="宋体" w:cs="宋体"/>
                <w:color w:val="auto"/>
                <w:sz w:val="22"/>
                <w:szCs w:val="22"/>
                <w:highlight w:val="none"/>
              </w:rPr>
            </w:pPr>
          </w:p>
        </w:tc>
      </w:tr>
      <w:tr w14:paraId="1DAA4D0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A90C4C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1799" w:type="dxa"/>
            <w:tcBorders>
              <w:top w:val="single" w:color="auto" w:sz="4" w:space="0"/>
              <w:bottom w:val="single" w:color="auto" w:sz="4" w:space="0"/>
            </w:tcBorders>
            <w:vAlign w:val="center"/>
          </w:tcPr>
          <w:p w14:paraId="37C3F5B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5103F0C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  业</w:t>
            </w:r>
          </w:p>
        </w:tc>
        <w:tc>
          <w:tcPr>
            <w:tcW w:w="1062" w:type="dxa"/>
            <w:tcBorders>
              <w:top w:val="single" w:color="auto" w:sz="4" w:space="0"/>
              <w:bottom w:val="single" w:color="auto" w:sz="4" w:space="0"/>
            </w:tcBorders>
            <w:vAlign w:val="center"/>
          </w:tcPr>
          <w:p w14:paraId="0ACE7F23">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C8ECA5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务</w:t>
            </w:r>
          </w:p>
        </w:tc>
        <w:tc>
          <w:tcPr>
            <w:tcW w:w="1568" w:type="dxa"/>
            <w:tcBorders>
              <w:top w:val="single" w:color="auto" w:sz="4" w:space="0"/>
              <w:bottom w:val="single" w:color="auto" w:sz="4" w:space="0"/>
            </w:tcBorders>
            <w:vAlign w:val="center"/>
          </w:tcPr>
          <w:p w14:paraId="290D86DB">
            <w:pPr>
              <w:spacing w:line="360" w:lineRule="exact"/>
              <w:jc w:val="center"/>
              <w:rPr>
                <w:rFonts w:hint="eastAsia" w:ascii="宋体" w:hAnsi="宋体" w:cs="宋体"/>
                <w:color w:val="auto"/>
                <w:sz w:val="22"/>
                <w:szCs w:val="22"/>
                <w:highlight w:val="none"/>
              </w:rPr>
            </w:pPr>
          </w:p>
        </w:tc>
      </w:tr>
      <w:tr w14:paraId="69C6C09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57C627E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称</w:t>
            </w:r>
          </w:p>
        </w:tc>
        <w:tc>
          <w:tcPr>
            <w:tcW w:w="1799" w:type="dxa"/>
            <w:tcBorders>
              <w:top w:val="single" w:color="auto" w:sz="4" w:space="0"/>
              <w:bottom w:val="single" w:color="auto" w:sz="4" w:space="0"/>
            </w:tcBorders>
            <w:vAlign w:val="center"/>
          </w:tcPr>
          <w:p w14:paraId="2369C5F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77CB11AC">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拟任何职</w:t>
            </w:r>
          </w:p>
        </w:tc>
        <w:tc>
          <w:tcPr>
            <w:tcW w:w="1062" w:type="dxa"/>
            <w:tcBorders>
              <w:top w:val="single" w:color="auto" w:sz="4" w:space="0"/>
              <w:bottom w:val="single" w:color="auto" w:sz="4" w:space="0"/>
            </w:tcBorders>
            <w:vAlign w:val="center"/>
          </w:tcPr>
          <w:p w14:paraId="574B2CCF">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D9B9569">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参加工作</w:t>
            </w:r>
          </w:p>
          <w:p w14:paraId="25A65B5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1568" w:type="dxa"/>
            <w:tcBorders>
              <w:top w:val="single" w:color="auto" w:sz="4" w:space="0"/>
              <w:bottom w:val="single" w:color="auto" w:sz="4" w:space="0"/>
            </w:tcBorders>
            <w:vAlign w:val="center"/>
          </w:tcPr>
          <w:p w14:paraId="71D45C27">
            <w:pPr>
              <w:spacing w:line="360" w:lineRule="exact"/>
              <w:jc w:val="center"/>
              <w:rPr>
                <w:rFonts w:hint="eastAsia" w:ascii="宋体" w:hAnsi="宋体" w:cs="宋体"/>
                <w:color w:val="auto"/>
                <w:sz w:val="22"/>
                <w:szCs w:val="22"/>
                <w:highlight w:val="none"/>
              </w:rPr>
            </w:pPr>
          </w:p>
        </w:tc>
      </w:tr>
      <w:tr w14:paraId="39E22E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65A2FB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2.个人简历</w:t>
            </w:r>
          </w:p>
        </w:tc>
      </w:tr>
      <w:tr w14:paraId="34A1046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854DBB6">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445EC502">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专业工作经历</w:t>
            </w:r>
          </w:p>
        </w:tc>
      </w:tr>
      <w:tr w14:paraId="621C276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7851967">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22754A7C">
            <w:pPr>
              <w:spacing w:line="360" w:lineRule="exact"/>
              <w:rPr>
                <w:rFonts w:hint="eastAsia" w:ascii="宋体" w:hAnsi="宋体" w:cs="宋体"/>
                <w:color w:val="auto"/>
                <w:sz w:val="22"/>
                <w:szCs w:val="22"/>
                <w:highlight w:val="none"/>
              </w:rPr>
            </w:pPr>
          </w:p>
        </w:tc>
      </w:tr>
      <w:tr w14:paraId="0A26D2F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E60DA90">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776FE118">
            <w:pPr>
              <w:spacing w:line="360" w:lineRule="exact"/>
              <w:rPr>
                <w:rFonts w:hint="eastAsia" w:ascii="宋体" w:hAnsi="宋体" w:cs="宋体"/>
                <w:color w:val="auto"/>
                <w:sz w:val="22"/>
                <w:szCs w:val="22"/>
                <w:highlight w:val="none"/>
              </w:rPr>
            </w:pPr>
          </w:p>
        </w:tc>
      </w:tr>
      <w:tr w14:paraId="0A9D87C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63A24DAA">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3.项目负责人业绩</w:t>
            </w:r>
          </w:p>
        </w:tc>
      </w:tr>
      <w:tr w14:paraId="1859564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45C604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59318B9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3252C98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51E6735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获奖情况</w:t>
            </w:r>
          </w:p>
        </w:tc>
      </w:tr>
      <w:tr w14:paraId="42DECE1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653B014">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BEF63B7">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7473D0C5">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55FB63E">
            <w:pPr>
              <w:spacing w:line="360" w:lineRule="exact"/>
              <w:rPr>
                <w:rFonts w:hint="eastAsia" w:ascii="宋体" w:hAnsi="宋体" w:cs="宋体"/>
                <w:color w:val="auto"/>
                <w:sz w:val="22"/>
                <w:szCs w:val="22"/>
                <w:highlight w:val="none"/>
              </w:rPr>
            </w:pPr>
          </w:p>
        </w:tc>
      </w:tr>
      <w:tr w14:paraId="35FA470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20EA30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7CE26FA9">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3D9C78A2">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6937364">
            <w:pPr>
              <w:spacing w:line="360" w:lineRule="exact"/>
              <w:rPr>
                <w:rFonts w:hint="eastAsia" w:ascii="宋体" w:hAnsi="宋体" w:cs="宋体"/>
                <w:color w:val="auto"/>
                <w:sz w:val="22"/>
                <w:szCs w:val="22"/>
                <w:highlight w:val="none"/>
              </w:rPr>
            </w:pPr>
          </w:p>
        </w:tc>
      </w:tr>
      <w:tr w14:paraId="7C7E96F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0B79C0A">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2B8A3D6">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0245B97A">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9A6E13F">
            <w:pPr>
              <w:spacing w:line="360" w:lineRule="exact"/>
              <w:rPr>
                <w:rFonts w:hint="eastAsia" w:ascii="宋体" w:hAnsi="宋体" w:cs="宋体"/>
                <w:color w:val="auto"/>
                <w:sz w:val="22"/>
                <w:szCs w:val="22"/>
                <w:highlight w:val="none"/>
              </w:rPr>
            </w:pPr>
          </w:p>
        </w:tc>
      </w:tr>
      <w:tr w14:paraId="3D1839D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95789A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12" w:space="0"/>
            </w:tcBorders>
            <w:vAlign w:val="center"/>
          </w:tcPr>
          <w:p w14:paraId="563C24FB">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12" w:space="0"/>
            </w:tcBorders>
            <w:vAlign w:val="center"/>
          </w:tcPr>
          <w:p w14:paraId="1F8A93DC">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12" w:space="0"/>
            </w:tcBorders>
            <w:vAlign w:val="center"/>
          </w:tcPr>
          <w:p w14:paraId="7D9CD6F1">
            <w:pPr>
              <w:spacing w:line="360" w:lineRule="exact"/>
              <w:rPr>
                <w:rFonts w:hint="eastAsia" w:ascii="宋体" w:hAnsi="宋体" w:cs="宋体"/>
                <w:color w:val="auto"/>
                <w:sz w:val="22"/>
                <w:szCs w:val="22"/>
                <w:highlight w:val="none"/>
              </w:rPr>
            </w:pPr>
          </w:p>
        </w:tc>
      </w:tr>
    </w:tbl>
    <w:p w14:paraId="0CB24C23">
      <w:pPr>
        <w:spacing w:line="380" w:lineRule="exact"/>
        <w:ind w:firstLine="4400" w:firstLineChars="2000"/>
        <w:rPr>
          <w:rFonts w:hint="eastAsia" w:ascii="宋体" w:hAnsi="宋体" w:cs="宋体"/>
          <w:color w:val="auto"/>
          <w:sz w:val="22"/>
          <w:szCs w:val="22"/>
          <w:highlight w:val="none"/>
        </w:rPr>
      </w:pPr>
    </w:p>
    <w:p w14:paraId="4FE4581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15FC6344">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1E8A920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D914C3D">
      <w:pPr>
        <w:tabs>
          <w:tab w:val="left" w:pos="840"/>
        </w:tabs>
        <w:adjustRightInd w:val="0"/>
        <w:snapToGrid w:val="0"/>
        <w:spacing w:line="400" w:lineRule="exact"/>
        <w:jc w:val="center"/>
        <w:rPr>
          <w:rFonts w:hint="eastAsia" w:ascii="宋体" w:hAnsi="宋体" w:cs="宋体"/>
          <w:b/>
          <w:bCs/>
          <w:color w:val="auto"/>
          <w:sz w:val="22"/>
          <w:szCs w:val="22"/>
          <w:highlight w:val="none"/>
        </w:rPr>
      </w:pPr>
      <w:r>
        <w:rPr>
          <w:rFonts w:hint="eastAsia" w:ascii="宋体" w:hAnsi="宋体" w:cs="宋体"/>
          <w:b/>
          <w:color w:val="auto"/>
          <w:sz w:val="36"/>
          <w:szCs w:val="36"/>
          <w:highlight w:val="none"/>
        </w:rPr>
        <w:br w:type="page"/>
      </w:r>
      <w:r>
        <w:rPr>
          <w:rFonts w:hint="eastAsia" w:ascii="宋体" w:hAnsi="宋体" w:cs="宋体"/>
          <w:b/>
          <w:bCs/>
          <w:color w:val="auto"/>
          <w:sz w:val="22"/>
          <w:szCs w:val="22"/>
          <w:highlight w:val="none"/>
        </w:rPr>
        <w:t>项目组服务人员汇总表</w:t>
      </w:r>
    </w:p>
    <w:p w14:paraId="750E65D5">
      <w:pPr>
        <w:tabs>
          <w:tab w:val="left" w:pos="840"/>
        </w:tabs>
        <w:adjustRightInd w:val="0"/>
        <w:snapToGrid w:val="0"/>
        <w:spacing w:line="400" w:lineRule="exact"/>
        <w:rPr>
          <w:rFonts w:hint="eastAsia" w:ascii="宋体" w:hAnsi="宋体" w:cs="宋体"/>
          <w:b/>
          <w:bCs/>
          <w:color w:val="auto"/>
          <w:sz w:val="22"/>
          <w:szCs w:val="22"/>
          <w:highlight w:val="none"/>
        </w:rPr>
      </w:pPr>
    </w:p>
    <w:p w14:paraId="07185E53">
      <w:pPr>
        <w:rPr>
          <w:rFonts w:hint="eastAsia" w:ascii="宋体" w:hAnsi="宋体" w:cs="宋体"/>
          <w:color w:val="auto"/>
          <w:sz w:val="22"/>
          <w:highlight w:val="none"/>
        </w:rPr>
      </w:pPr>
      <w:r>
        <w:rPr>
          <w:rFonts w:hint="eastAsia" w:ascii="宋体" w:hAnsi="宋体" w:cs="宋体"/>
          <w:b/>
          <w:color w:val="auto"/>
          <w:sz w:val="24"/>
          <w:highlight w:val="none"/>
        </w:rPr>
        <w:t>项目名称：</w:t>
      </w:r>
      <w:r>
        <w:rPr>
          <w:rFonts w:hint="eastAsia" w:ascii="宋体" w:hAnsi="宋体" w:cs="宋体"/>
          <w:b/>
          <w:color w:val="auto"/>
          <w:sz w:val="22"/>
          <w:highlight w:val="none"/>
        </w:rPr>
        <w:t xml:space="preserve">                                         项目编号：</w:t>
      </w:r>
      <w:r>
        <w:rPr>
          <w:rFonts w:hint="eastAsia" w:ascii="宋体" w:hAnsi="宋体" w:cs="宋体"/>
          <w:color w:val="auto"/>
          <w:sz w:val="22"/>
          <w:highlight w:val="none"/>
        </w:rPr>
        <w:t xml:space="preserve"> </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AA0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187431E">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958" w:type="dxa"/>
            <w:vAlign w:val="center"/>
          </w:tcPr>
          <w:p w14:paraId="437D8BF2">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958" w:type="dxa"/>
            <w:vAlign w:val="center"/>
          </w:tcPr>
          <w:p w14:paraId="72F1996A">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767" w:type="dxa"/>
            <w:vAlign w:val="center"/>
          </w:tcPr>
          <w:p w14:paraId="651DEFF5">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767" w:type="dxa"/>
            <w:vAlign w:val="center"/>
          </w:tcPr>
          <w:p w14:paraId="53D7059F">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学历</w:t>
            </w:r>
          </w:p>
        </w:tc>
        <w:tc>
          <w:tcPr>
            <w:tcW w:w="1340" w:type="dxa"/>
            <w:vAlign w:val="center"/>
          </w:tcPr>
          <w:p w14:paraId="36376981">
            <w:pPr>
              <w:spacing w:line="280" w:lineRule="exact"/>
              <w:jc w:val="center"/>
              <w:rPr>
                <w:rFonts w:hint="eastAsia" w:ascii="宋体" w:hAnsi="宋体" w:cs="宋体"/>
                <w:color w:val="auto"/>
                <w:sz w:val="22"/>
                <w:highlight w:val="none"/>
              </w:rPr>
            </w:pPr>
            <w:r>
              <w:rPr>
                <w:rFonts w:hint="eastAsia" w:ascii="宋体" w:hAnsi="宋体" w:cs="宋体"/>
                <w:color w:val="auto"/>
                <w:sz w:val="22"/>
                <w:highlight w:val="none"/>
              </w:rPr>
              <w:t>职称/职务</w:t>
            </w:r>
          </w:p>
        </w:tc>
        <w:tc>
          <w:tcPr>
            <w:tcW w:w="1326" w:type="dxa"/>
            <w:vAlign w:val="center"/>
          </w:tcPr>
          <w:p w14:paraId="6EA9207C">
            <w:pPr>
              <w:spacing w:line="280" w:lineRule="exact"/>
              <w:jc w:val="center"/>
              <w:rPr>
                <w:rFonts w:hint="eastAsia" w:ascii="宋体" w:hAnsi="宋体" w:cs="宋体"/>
                <w:color w:val="auto"/>
                <w:sz w:val="22"/>
                <w:highlight w:val="none"/>
              </w:rPr>
            </w:pPr>
            <w:r>
              <w:rPr>
                <w:rFonts w:hint="eastAsia" w:ascii="宋体" w:hAnsi="宋体" w:cs="宋体"/>
                <w:color w:val="auto"/>
                <w:highlight w:val="none"/>
              </w:rPr>
              <w:t>本工程中的岗位</w:t>
            </w:r>
          </w:p>
        </w:tc>
        <w:tc>
          <w:tcPr>
            <w:tcW w:w="1825" w:type="dxa"/>
            <w:vAlign w:val="center"/>
          </w:tcPr>
          <w:p w14:paraId="0DDACB44">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从事专业年限</w:t>
            </w:r>
          </w:p>
        </w:tc>
        <w:tc>
          <w:tcPr>
            <w:tcW w:w="1147" w:type="dxa"/>
            <w:vAlign w:val="center"/>
          </w:tcPr>
          <w:p w14:paraId="6F498191">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1A94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0E49A1B">
            <w:pPr>
              <w:spacing w:line="360" w:lineRule="auto"/>
              <w:jc w:val="center"/>
              <w:rPr>
                <w:rFonts w:hint="eastAsia" w:ascii="宋体" w:hAnsi="宋体" w:cs="宋体"/>
                <w:color w:val="auto"/>
                <w:sz w:val="22"/>
                <w:highlight w:val="none"/>
              </w:rPr>
            </w:pPr>
          </w:p>
        </w:tc>
        <w:tc>
          <w:tcPr>
            <w:tcW w:w="958" w:type="dxa"/>
            <w:vAlign w:val="center"/>
          </w:tcPr>
          <w:p w14:paraId="7CD399CE">
            <w:pPr>
              <w:spacing w:line="360" w:lineRule="auto"/>
              <w:jc w:val="center"/>
              <w:rPr>
                <w:rFonts w:hint="eastAsia" w:ascii="宋体" w:hAnsi="宋体" w:cs="宋体"/>
                <w:color w:val="auto"/>
                <w:sz w:val="22"/>
                <w:highlight w:val="none"/>
              </w:rPr>
            </w:pPr>
          </w:p>
        </w:tc>
        <w:tc>
          <w:tcPr>
            <w:tcW w:w="958" w:type="dxa"/>
            <w:vAlign w:val="center"/>
          </w:tcPr>
          <w:p w14:paraId="64E53952">
            <w:pPr>
              <w:spacing w:line="360" w:lineRule="auto"/>
              <w:jc w:val="center"/>
              <w:rPr>
                <w:rFonts w:hint="eastAsia" w:ascii="宋体" w:hAnsi="宋体" w:cs="宋体"/>
                <w:color w:val="auto"/>
                <w:sz w:val="22"/>
                <w:highlight w:val="none"/>
              </w:rPr>
            </w:pPr>
          </w:p>
        </w:tc>
        <w:tc>
          <w:tcPr>
            <w:tcW w:w="767" w:type="dxa"/>
            <w:vAlign w:val="center"/>
          </w:tcPr>
          <w:p w14:paraId="0F5D246B">
            <w:pPr>
              <w:spacing w:line="360" w:lineRule="auto"/>
              <w:jc w:val="center"/>
              <w:rPr>
                <w:rFonts w:hint="eastAsia" w:ascii="宋体" w:hAnsi="宋体" w:cs="宋体"/>
                <w:color w:val="auto"/>
                <w:sz w:val="22"/>
                <w:highlight w:val="none"/>
              </w:rPr>
            </w:pPr>
          </w:p>
        </w:tc>
        <w:tc>
          <w:tcPr>
            <w:tcW w:w="767" w:type="dxa"/>
            <w:vAlign w:val="center"/>
          </w:tcPr>
          <w:p w14:paraId="3B298FD9">
            <w:pPr>
              <w:spacing w:line="360" w:lineRule="auto"/>
              <w:jc w:val="center"/>
              <w:rPr>
                <w:rFonts w:hint="eastAsia" w:ascii="宋体" w:hAnsi="宋体" w:cs="宋体"/>
                <w:color w:val="auto"/>
                <w:sz w:val="22"/>
                <w:highlight w:val="none"/>
              </w:rPr>
            </w:pPr>
          </w:p>
        </w:tc>
        <w:tc>
          <w:tcPr>
            <w:tcW w:w="1340" w:type="dxa"/>
            <w:vAlign w:val="center"/>
          </w:tcPr>
          <w:p w14:paraId="3A3191A1">
            <w:pPr>
              <w:spacing w:line="360" w:lineRule="auto"/>
              <w:jc w:val="center"/>
              <w:rPr>
                <w:rFonts w:hint="eastAsia" w:ascii="宋体" w:hAnsi="宋体" w:cs="宋体"/>
                <w:color w:val="auto"/>
                <w:sz w:val="22"/>
                <w:highlight w:val="none"/>
              </w:rPr>
            </w:pPr>
          </w:p>
        </w:tc>
        <w:tc>
          <w:tcPr>
            <w:tcW w:w="1326" w:type="dxa"/>
            <w:vAlign w:val="center"/>
          </w:tcPr>
          <w:p w14:paraId="628AFC1D">
            <w:pPr>
              <w:spacing w:line="360" w:lineRule="auto"/>
              <w:jc w:val="center"/>
              <w:rPr>
                <w:rFonts w:hint="eastAsia" w:ascii="宋体" w:hAnsi="宋体" w:cs="宋体"/>
                <w:color w:val="auto"/>
                <w:sz w:val="22"/>
                <w:highlight w:val="none"/>
              </w:rPr>
            </w:pPr>
          </w:p>
        </w:tc>
        <w:tc>
          <w:tcPr>
            <w:tcW w:w="1825" w:type="dxa"/>
          </w:tcPr>
          <w:p w14:paraId="45B9886F">
            <w:pPr>
              <w:spacing w:line="360" w:lineRule="auto"/>
              <w:jc w:val="center"/>
              <w:rPr>
                <w:rFonts w:hint="eastAsia" w:ascii="宋体" w:hAnsi="宋体" w:cs="宋体"/>
                <w:color w:val="auto"/>
                <w:sz w:val="22"/>
                <w:highlight w:val="none"/>
              </w:rPr>
            </w:pPr>
          </w:p>
        </w:tc>
        <w:tc>
          <w:tcPr>
            <w:tcW w:w="1147" w:type="dxa"/>
            <w:vAlign w:val="center"/>
          </w:tcPr>
          <w:p w14:paraId="443D87EA">
            <w:pPr>
              <w:spacing w:line="360" w:lineRule="auto"/>
              <w:jc w:val="center"/>
              <w:rPr>
                <w:rFonts w:hint="eastAsia" w:ascii="宋体" w:hAnsi="宋体" w:cs="宋体"/>
                <w:color w:val="auto"/>
                <w:sz w:val="22"/>
                <w:highlight w:val="none"/>
              </w:rPr>
            </w:pPr>
          </w:p>
        </w:tc>
      </w:tr>
      <w:tr w14:paraId="22A8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F828FC">
            <w:pPr>
              <w:spacing w:line="360" w:lineRule="auto"/>
              <w:jc w:val="center"/>
              <w:rPr>
                <w:rFonts w:hint="eastAsia" w:ascii="宋体" w:hAnsi="宋体" w:cs="宋体"/>
                <w:color w:val="auto"/>
                <w:sz w:val="22"/>
                <w:highlight w:val="none"/>
              </w:rPr>
            </w:pPr>
          </w:p>
        </w:tc>
        <w:tc>
          <w:tcPr>
            <w:tcW w:w="958" w:type="dxa"/>
            <w:vAlign w:val="center"/>
          </w:tcPr>
          <w:p w14:paraId="094EB812">
            <w:pPr>
              <w:spacing w:line="360" w:lineRule="auto"/>
              <w:jc w:val="center"/>
              <w:rPr>
                <w:rFonts w:hint="eastAsia" w:ascii="宋体" w:hAnsi="宋体" w:cs="宋体"/>
                <w:color w:val="auto"/>
                <w:sz w:val="22"/>
                <w:highlight w:val="none"/>
              </w:rPr>
            </w:pPr>
          </w:p>
        </w:tc>
        <w:tc>
          <w:tcPr>
            <w:tcW w:w="958" w:type="dxa"/>
            <w:vAlign w:val="center"/>
          </w:tcPr>
          <w:p w14:paraId="5019B6D8">
            <w:pPr>
              <w:spacing w:line="360" w:lineRule="auto"/>
              <w:jc w:val="center"/>
              <w:rPr>
                <w:rFonts w:hint="eastAsia" w:ascii="宋体" w:hAnsi="宋体" w:cs="宋体"/>
                <w:color w:val="auto"/>
                <w:sz w:val="22"/>
                <w:highlight w:val="none"/>
              </w:rPr>
            </w:pPr>
          </w:p>
        </w:tc>
        <w:tc>
          <w:tcPr>
            <w:tcW w:w="767" w:type="dxa"/>
            <w:vAlign w:val="center"/>
          </w:tcPr>
          <w:p w14:paraId="6D8C4665">
            <w:pPr>
              <w:spacing w:line="360" w:lineRule="auto"/>
              <w:jc w:val="center"/>
              <w:rPr>
                <w:rFonts w:hint="eastAsia" w:ascii="宋体" w:hAnsi="宋体" w:cs="宋体"/>
                <w:color w:val="auto"/>
                <w:sz w:val="22"/>
                <w:highlight w:val="none"/>
              </w:rPr>
            </w:pPr>
          </w:p>
        </w:tc>
        <w:tc>
          <w:tcPr>
            <w:tcW w:w="767" w:type="dxa"/>
            <w:vAlign w:val="center"/>
          </w:tcPr>
          <w:p w14:paraId="081CB5D5">
            <w:pPr>
              <w:spacing w:line="360" w:lineRule="auto"/>
              <w:jc w:val="center"/>
              <w:rPr>
                <w:rFonts w:hint="eastAsia" w:ascii="宋体" w:hAnsi="宋体" w:cs="宋体"/>
                <w:color w:val="auto"/>
                <w:sz w:val="22"/>
                <w:highlight w:val="none"/>
              </w:rPr>
            </w:pPr>
          </w:p>
        </w:tc>
        <w:tc>
          <w:tcPr>
            <w:tcW w:w="1340" w:type="dxa"/>
            <w:vAlign w:val="center"/>
          </w:tcPr>
          <w:p w14:paraId="35487ACD">
            <w:pPr>
              <w:spacing w:line="360" w:lineRule="auto"/>
              <w:jc w:val="center"/>
              <w:rPr>
                <w:rFonts w:hint="eastAsia" w:ascii="宋体" w:hAnsi="宋体" w:cs="宋体"/>
                <w:color w:val="auto"/>
                <w:sz w:val="22"/>
                <w:highlight w:val="none"/>
              </w:rPr>
            </w:pPr>
          </w:p>
        </w:tc>
        <w:tc>
          <w:tcPr>
            <w:tcW w:w="1326" w:type="dxa"/>
            <w:vAlign w:val="center"/>
          </w:tcPr>
          <w:p w14:paraId="0092F769">
            <w:pPr>
              <w:spacing w:line="360" w:lineRule="auto"/>
              <w:jc w:val="center"/>
              <w:rPr>
                <w:rFonts w:hint="eastAsia" w:ascii="宋体" w:hAnsi="宋体" w:cs="宋体"/>
                <w:color w:val="auto"/>
                <w:sz w:val="22"/>
                <w:highlight w:val="none"/>
              </w:rPr>
            </w:pPr>
          </w:p>
        </w:tc>
        <w:tc>
          <w:tcPr>
            <w:tcW w:w="1825" w:type="dxa"/>
          </w:tcPr>
          <w:p w14:paraId="7E911BFE">
            <w:pPr>
              <w:spacing w:line="360" w:lineRule="auto"/>
              <w:jc w:val="center"/>
              <w:rPr>
                <w:rFonts w:hint="eastAsia" w:ascii="宋体" w:hAnsi="宋体" w:cs="宋体"/>
                <w:color w:val="auto"/>
                <w:sz w:val="22"/>
                <w:highlight w:val="none"/>
              </w:rPr>
            </w:pPr>
          </w:p>
        </w:tc>
        <w:tc>
          <w:tcPr>
            <w:tcW w:w="1147" w:type="dxa"/>
            <w:vAlign w:val="center"/>
          </w:tcPr>
          <w:p w14:paraId="1F0D81A9">
            <w:pPr>
              <w:spacing w:line="360" w:lineRule="auto"/>
              <w:jc w:val="center"/>
              <w:rPr>
                <w:rFonts w:hint="eastAsia" w:ascii="宋体" w:hAnsi="宋体" w:cs="宋体"/>
                <w:color w:val="auto"/>
                <w:sz w:val="22"/>
                <w:highlight w:val="none"/>
              </w:rPr>
            </w:pPr>
          </w:p>
        </w:tc>
      </w:tr>
      <w:tr w14:paraId="4B9C7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B641B4">
            <w:pPr>
              <w:spacing w:line="360" w:lineRule="auto"/>
              <w:jc w:val="center"/>
              <w:rPr>
                <w:rFonts w:hint="eastAsia" w:ascii="宋体" w:hAnsi="宋体" w:cs="宋体"/>
                <w:color w:val="auto"/>
                <w:sz w:val="22"/>
                <w:highlight w:val="none"/>
              </w:rPr>
            </w:pPr>
          </w:p>
        </w:tc>
        <w:tc>
          <w:tcPr>
            <w:tcW w:w="958" w:type="dxa"/>
            <w:vAlign w:val="center"/>
          </w:tcPr>
          <w:p w14:paraId="4A5D242A">
            <w:pPr>
              <w:spacing w:line="360" w:lineRule="auto"/>
              <w:jc w:val="center"/>
              <w:rPr>
                <w:rFonts w:hint="eastAsia" w:ascii="宋体" w:hAnsi="宋体" w:cs="宋体"/>
                <w:color w:val="auto"/>
                <w:sz w:val="22"/>
                <w:highlight w:val="none"/>
              </w:rPr>
            </w:pPr>
          </w:p>
        </w:tc>
        <w:tc>
          <w:tcPr>
            <w:tcW w:w="958" w:type="dxa"/>
            <w:vAlign w:val="center"/>
          </w:tcPr>
          <w:p w14:paraId="31794304">
            <w:pPr>
              <w:spacing w:line="360" w:lineRule="auto"/>
              <w:jc w:val="center"/>
              <w:rPr>
                <w:rFonts w:hint="eastAsia" w:ascii="宋体" w:hAnsi="宋体" w:cs="宋体"/>
                <w:color w:val="auto"/>
                <w:sz w:val="22"/>
                <w:highlight w:val="none"/>
              </w:rPr>
            </w:pPr>
          </w:p>
        </w:tc>
        <w:tc>
          <w:tcPr>
            <w:tcW w:w="767" w:type="dxa"/>
            <w:vAlign w:val="center"/>
          </w:tcPr>
          <w:p w14:paraId="5650E4E3">
            <w:pPr>
              <w:spacing w:line="360" w:lineRule="auto"/>
              <w:jc w:val="center"/>
              <w:rPr>
                <w:rFonts w:hint="eastAsia" w:ascii="宋体" w:hAnsi="宋体" w:cs="宋体"/>
                <w:color w:val="auto"/>
                <w:sz w:val="22"/>
                <w:highlight w:val="none"/>
              </w:rPr>
            </w:pPr>
          </w:p>
        </w:tc>
        <w:tc>
          <w:tcPr>
            <w:tcW w:w="767" w:type="dxa"/>
            <w:vAlign w:val="center"/>
          </w:tcPr>
          <w:p w14:paraId="258925BA">
            <w:pPr>
              <w:spacing w:line="360" w:lineRule="auto"/>
              <w:jc w:val="center"/>
              <w:rPr>
                <w:rFonts w:hint="eastAsia" w:ascii="宋体" w:hAnsi="宋体" w:cs="宋体"/>
                <w:color w:val="auto"/>
                <w:sz w:val="22"/>
                <w:highlight w:val="none"/>
              </w:rPr>
            </w:pPr>
          </w:p>
        </w:tc>
        <w:tc>
          <w:tcPr>
            <w:tcW w:w="1340" w:type="dxa"/>
            <w:vAlign w:val="center"/>
          </w:tcPr>
          <w:p w14:paraId="3EAFEE5D">
            <w:pPr>
              <w:spacing w:line="360" w:lineRule="auto"/>
              <w:jc w:val="center"/>
              <w:rPr>
                <w:rFonts w:hint="eastAsia" w:ascii="宋体" w:hAnsi="宋体" w:cs="宋体"/>
                <w:color w:val="auto"/>
                <w:sz w:val="22"/>
                <w:highlight w:val="none"/>
              </w:rPr>
            </w:pPr>
          </w:p>
        </w:tc>
        <w:tc>
          <w:tcPr>
            <w:tcW w:w="1326" w:type="dxa"/>
            <w:vAlign w:val="center"/>
          </w:tcPr>
          <w:p w14:paraId="1B823454">
            <w:pPr>
              <w:spacing w:line="360" w:lineRule="auto"/>
              <w:jc w:val="center"/>
              <w:rPr>
                <w:rFonts w:hint="eastAsia" w:ascii="宋体" w:hAnsi="宋体" w:cs="宋体"/>
                <w:color w:val="auto"/>
                <w:sz w:val="22"/>
                <w:highlight w:val="none"/>
              </w:rPr>
            </w:pPr>
          </w:p>
        </w:tc>
        <w:tc>
          <w:tcPr>
            <w:tcW w:w="1825" w:type="dxa"/>
          </w:tcPr>
          <w:p w14:paraId="052A273A">
            <w:pPr>
              <w:spacing w:line="360" w:lineRule="auto"/>
              <w:jc w:val="center"/>
              <w:rPr>
                <w:rFonts w:hint="eastAsia" w:ascii="宋体" w:hAnsi="宋体" w:cs="宋体"/>
                <w:color w:val="auto"/>
                <w:sz w:val="22"/>
                <w:highlight w:val="none"/>
              </w:rPr>
            </w:pPr>
          </w:p>
        </w:tc>
        <w:tc>
          <w:tcPr>
            <w:tcW w:w="1147" w:type="dxa"/>
            <w:vAlign w:val="center"/>
          </w:tcPr>
          <w:p w14:paraId="30AAEDD0">
            <w:pPr>
              <w:spacing w:line="360" w:lineRule="auto"/>
              <w:jc w:val="center"/>
              <w:rPr>
                <w:rFonts w:hint="eastAsia" w:ascii="宋体" w:hAnsi="宋体" w:cs="宋体"/>
                <w:color w:val="auto"/>
                <w:sz w:val="22"/>
                <w:highlight w:val="none"/>
              </w:rPr>
            </w:pPr>
          </w:p>
        </w:tc>
      </w:tr>
      <w:tr w14:paraId="1A3D5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460C38">
            <w:pPr>
              <w:spacing w:line="360" w:lineRule="auto"/>
              <w:jc w:val="center"/>
              <w:rPr>
                <w:rFonts w:hint="eastAsia" w:ascii="宋体" w:hAnsi="宋体" w:cs="宋体"/>
                <w:color w:val="auto"/>
                <w:sz w:val="22"/>
                <w:highlight w:val="none"/>
              </w:rPr>
            </w:pPr>
          </w:p>
        </w:tc>
        <w:tc>
          <w:tcPr>
            <w:tcW w:w="958" w:type="dxa"/>
            <w:vAlign w:val="center"/>
          </w:tcPr>
          <w:p w14:paraId="3D557980">
            <w:pPr>
              <w:spacing w:line="360" w:lineRule="auto"/>
              <w:jc w:val="center"/>
              <w:rPr>
                <w:rFonts w:hint="eastAsia" w:ascii="宋体" w:hAnsi="宋体" w:cs="宋体"/>
                <w:color w:val="auto"/>
                <w:sz w:val="22"/>
                <w:highlight w:val="none"/>
              </w:rPr>
            </w:pPr>
          </w:p>
        </w:tc>
        <w:tc>
          <w:tcPr>
            <w:tcW w:w="958" w:type="dxa"/>
            <w:vAlign w:val="center"/>
          </w:tcPr>
          <w:p w14:paraId="47579036">
            <w:pPr>
              <w:spacing w:line="360" w:lineRule="auto"/>
              <w:jc w:val="center"/>
              <w:rPr>
                <w:rFonts w:hint="eastAsia" w:ascii="宋体" w:hAnsi="宋体" w:cs="宋体"/>
                <w:color w:val="auto"/>
                <w:sz w:val="22"/>
                <w:highlight w:val="none"/>
              </w:rPr>
            </w:pPr>
          </w:p>
        </w:tc>
        <w:tc>
          <w:tcPr>
            <w:tcW w:w="767" w:type="dxa"/>
            <w:vAlign w:val="center"/>
          </w:tcPr>
          <w:p w14:paraId="3AB510C4">
            <w:pPr>
              <w:spacing w:line="360" w:lineRule="auto"/>
              <w:jc w:val="center"/>
              <w:rPr>
                <w:rFonts w:hint="eastAsia" w:ascii="宋体" w:hAnsi="宋体" w:cs="宋体"/>
                <w:color w:val="auto"/>
                <w:sz w:val="22"/>
                <w:highlight w:val="none"/>
              </w:rPr>
            </w:pPr>
          </w:p>
        </w:tc>
        <w:tc>
          <w:tcPr>
            <w:tcW w:w="767" w:type="dxa"/>
            <w:vAlign w:val="center"/>
          </w:tcPr>
          <w:p w14:paraId="54F196AD">
            <w:pPr>
              <w:spacing w:line="360" w:lineRule="auto"/>
              <w:jc w:val="center"/>
              <w:rPr>
                <w:rFonts w:hint="eastAsia" w:ascii="宋体" w:hAnsi="宋体" w:cs="宋体"/>
                <w:color w:val="auto"/>
                <w:sz w:val="22"/>
                <w:highlight w:val="none"/>
              </w:rPr>
            </w:pPr>
          </w:p>
        </w:tc>
        <w:tc>
          <w:tcPr>
            <w:tcW w:w="1340" w:type="dxa"/>
            <w:vAlign w:val="center"/>
          </w:tcPr>
          <w:p w14:paraId="45941083">
            <w:pPr>
              <w:spacing w:line="360" w:lineRule="auto"/>
              <w:jc w:val="center"/>
              <w:rPr>
                <w:rFonts w:hint="eastAsia" w:ascii="宋体" w:hAnsi="宋体" w:cs="宋体"/>
                <w:color w:val="auto"/>
                <w:sz w:val="22"/>
                <w:highlight w:val="none"/>
              </w:rPr>
            </w:pPr>
          </w:p>
        </w:tc>
        <w:tc>
          <w:tcPr>
            <w:tcW w:w="1326" w:type="dxa"/>
            <w:vAlign w:val="center"/>
          </w:tcPr>
          <w:p w14:paraId="4F372CD3">
            <w:pPr>
              <w:spacing w:line="360" w:lineRule="auto"/>
              <w:jc w:val="center"/>
              <w:rPr>
                <w:rFonts w:hint="eastAsia" w:ascii="宋体" w:hAnsi="宋体" w:cs="宋体"/>
                <w:color w:val="auto"/>
                <w:sz w:val="22"/>
                <w:highlight w:val="none"/>
              </w:rPr>
            </w:pPr>
          </w:p>
        </w:tc>
        <w:tc>
          <w:tcPr>
            <w:tcW w:w="1825" w:type="dxa"/>
          </w:tcPr>
          <w:p w14:paraId="7FF3C4F9">
            <w:pPr>
              <w:spacing w:line="360" w:lineRule="auto"/>
              <w:jc w:val="center"/>
              <w:rPr>
                <w:rFonts w:hint="eastAsia" w:ascii="宋体" w:hAnsi="宋体" w:cs="宋体"/>
                <w:color w:val="auto"/>
                <w:sz w:val="22"/>
                <w:highlight w:val="none"/>
              </w:rPr>
            </w:pPr>
          </w:p>
        </w:tc>
        <w:tc>
          <w:tcPr>
            <w:tcW w:w="1147" w:type="dxa"/>
            <w:vAlign w:val="center"/>
          </w:tcPr>
          <w:p w14:paraId="089C941A">
            <w:pPr>
              <w:spacing w:line="360" w:lineRule="auto"/>
              <w:jc w:val="center"/>
              <w:rPr>
                <w:rFonts w:hint="eastAsia" w:ascii="宋体" w:hAnsi="宋体" w:cs="宋体"/>
                <w:color w:val="auto"/>
                <w:sz w:val="22"/>
                <w:highlight w:val="none"/>
              </w:rPr>
            </w:pPr>
          </w:p>
        </w:tc>
      </w:tr>
      <w:tr w14:paraId="04162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17280F4">
            <w:pPr>
              <w:spacing w:line="360" w:lineRule="auto"/>
              <w:jc w:val="center"/>
              <w:rPr>
                <w:rFonts w:hint="eastAsia" w:ascii="宋体" w:hAnsi="宋体" w:cs="宋体"/>
                <w:color w:val="auto"/>
                <w:sz w:val="22"/>
                <w:highlight w:val="none"/>
              </w:rPr>
            </w:pPr>
          </w:p>
        </w:tc>
        <w:tc>
          <w:tcPr>
            <w:tcW w:w="958" w:type="dxa"/>
            <w:vAlign w:val="center"/>
          </w:tcPr>
          <w:p w14:paraId="41802DAC">
            <w:pPr>
              <w:spacing w:line="360" w:lineRule="auto"/>
              <w:jc w:val="center"/>
              <w:rPr>
                <w:rFonts w:hint="eastAsia" w:ascii="宋体" w:hAnsi="宋体" w:cs="宋体"/>
                <w:color w:val="auto"/>
                <w:sz w:val="22"/>
                <w:highlight w:val="none"/>
              </w:rPr>
            </w:pPr>
          </w:p>
        </w:tc>
        <w:tc>
          <w:tcPr>
            <w:tcW w:w="958" w:type="dxa"/>
            <w:vAlign w:val="center"/>
          </w:tcPr>
          <w:p w14:paraId="06BB4320">
            <w:pPr>
              <w:spacing w:line="360" w:lineRule="auto"/>
              <w:jc w:val="center"/>
              <w:rPr>
                <w:rFonts w:hint="eastAsia" w:ascii="宋体" w:hAnsi="宋体" w:cs="宋体"/>
                <w:color w:val="auto"/>
                <w:sz w:val="22"/>
                <w:highlight w:val="none"/>
              </w:rPr>
            </w:pPr>
          </w:p>
        </w:tc>
        <w:tc>
          <w:tcPr>
            <w:tcW w:w="767" w:type="dxa"/>
            <w:vAlign w:val="center"/>
          </w:tcPr>
          <w:p w14:paraId="785C2FFD">
            <w:pPr>
              <w:spacing w:line="360" w:lineRule="auto"/>
              <w:jc w:val="center"/>
              <w:rPr>
                <w:rFonts w:hint="eastAsia" w:ascii="宋体" w:hAnsi="宋体" w:cs="宋体"/>
                <w:color w:val="auto"/>
                <w:sz w:val="22"/>
                <w:highlight w:val="none"/>
              </w:rPr>
            </w:pPr>
          </w:p>
        </w:tc>
        <w:tc>
          <w:tcPr>
            <w:tcW w:w="767" w:type="dxa"/>
            <w:vAlign w:val="center"/>
          </w:tcPr>
          <w:p w14:paraId="07512BFD">
            <w:pPr>
              <w:spacing w:line="360" w:lineRule="auto"/>
              <w:jc w:val="center"/>
              <w:rPr>
                <w:rFonts w:hint="eastAsia" w:ascii="宋体" w:hAnsi="宋体" w:cs="宋体"/>
                <w:color w:val="auto"/>
                <w:sz w:val="22"/>
                <w:highlight w:val="none"/>
              </w:rPr>
            </w:pPr>
          </w:p>
        </w:tc>
        <w:tc>
          <w:tcPr>
            <w:tcW w:w="1340" w:type="dxa"/>
            <w:vAlign w:val="center"/>
          </w:tcPr>
          <w:p w14:paraId="096B4E85">
            <w:pPr>
              <w:spacing w:line="360" w:lineRule="auto"/>
              <w:jc w:val="center"/>
              <w:rPr>
                <w:rFonts w:hint="eastAsia" w:ascii="宋体" w:hAnsi="宋体" w:cs="宋体"/>
                <w:color w:val="auto"/>
                <w:sz w:val="22"/>
                <w:highlight w:val="none"/>
              </w:rPr>
            </w:pPr>
          </w:p>
        </w:tc>
        <w:tc>
          <w:tcPr>
            <w:tcW w:w="1326" w:type="dxa"/>
            <w:vAlign w:val="center"/>
          </w:tcPr>
          <w:p w14:paraId="4346D404">
            <w:pPr>
              <w:spacing w:line="360" w:lineRule="auto"/>
              <w:jc w:val="center"/>
              <w:rPr>
                <w:rFonts w:hint="eastAsia" w:ascii="宋体" w:hAnsi="宋体" w:cs="宋体"/>
                <w:color w:val="auto"/>
                <w:sz w:val="22"/>
                <w:highlight w:val="none"/>
              </w:rPr>
            </w:pPr>
          </w:p>
        </w:tc>
        <w:tc>
          <w:tcPr>
            <w:tcW w:w="1825" w:type="dxa"/>
          </w:tcPr>
          <w:p w14:paraId="3883615E">
            <w:pPr>
              <w:spacing w:line="360" w:lineRule="auto"/>
              <w:jc w:val="center"/>
              <w:rPr>
                <w:rFonts w:hint="eastAsia" w:ascii="宋体" w:hAnsi="宋体" w:cs="宋体"/>
                <w:color w:val="auto"/>
                <w:sz w:val="22"/>
                <w:highlight w:val="none"/>
              </w:rPr>
            </w:pPr>
          </w:p>
        </w:tc>
        <w:tc>
          <w:tcPr>
            <w:tcW w:w="1147" w:type="dxa"/>
            <w:vAlign w:val="center"/>
          </w:tcPr>
          <w:p w14:paraId="62287E41">
            <w:pPr>
              <w:spacing w:line="360" w:lineRule="auto"/>
              <w:jc w:val="center"/>
              <w:rPr>
                <w:rFonts w:hint="eastAsia" w:ascii="宋体" w:hAnsi="宋体" w:cs="宋体"/>
                <w:color w:val="auto"/>
                <w:sz w:val="22"/>
                <w:highlight w:val="none"/>
              </w:rPr>
            </w:pPr>
          </w:p>
        </w:tc>
      </w:tr>
      <w:tr w14:paraId="0D649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8366640">
            <w:pPr>
              <w:spacing w:line="360" w:lineRule="auto"/>
              <w:jc w:val="center"/>
              <w:rPr>
                <w:rFonts w:hint="eastAsia" w:ascii="宋体" w:hAnsi="宋体" w:cs="宋体"/>
                <w:color w:val="auto"/>
                <w:sz w:val="22"/>
                <w:highlight w:val="none"/>
              </w:rPr>
            </w:pPr>
          </w:p>
        </w:tc>
        <w:tc>
          <w:tcPr>
            <w:tcW w:w="958" w:type="dxa"/>
            <w:vAlign w:val="center"/>
          </w:tcPr>
          <w:p w14:paraId="43B69FBC">
            <w:pPr>
              <w:spacing w:line="360" w:lineRule="auto"/>
              <w:jc w:val="center"/>
              <w:rPr>
                <w:rFonts w:hint="eastAsia" w:ascii="宋体" w:hAnsi="宋体" w:cs="宋体"/>
                <w:color w:val="auto"/>
                <w:sz w:val="22"/>
                <w:highlight w:val="none"/>
              </w:rPr>
            </w:pPr>
          </w:p>
        </w:tc>
        <w:tc>
          <w:tcPr>
            <w:tcW w:w="958" w:type="dxa"/>
            <w:vAlign w:val="center"/>
          </w:tcPr>
          <w:p w14:paraId="6888B07C">
            <w:pPr>
              <w:spacing w:line="360" w:lineRule="auto"/>
              <w:jc w:val="center"/>
              <w:rPr>
                <w:rFonts w:hint="eastAsia" w:ascii="宋体" w:hAnsi="宋体" w:cs="宋体"/>
                <w:color w:val="auto"/>
                <w:sz w:val="22"/>
                <w:highlight w:val="none"/>
              </w:rPr>
            </w:pPr>
          </w:p>
        </w:tc>
        <w:tc>
          <w:tcPr>
            <w:tcW w:w="767" w:type="dxa"/>
            <w:vAlign w:val="center"/>
          </w:tcPr>
          <w:p w14:paraId="598A35E3">
            <w:pPr>
              <w:spacing w:line="360" w:lineRule="auto"/>
              <w:jc w:val="center"/>
              <w:rPr>
                <w:rFonts w:hint="eastAsia" w:ascii="宋体" w:hAnsi="宋体" w:cs="宋体"/>
                <w:color w:val="auto"/>
                <w:sz w:val="22"/>
                <w:highlight w:val="none"/>
              </w:rPr>
            </w:pPr>
          </w:p>
        </w:tc>
        <w:tc>
          <w:tcPr>
            <w:tcW w:w="767" w:type="dxa"/>
            <w:vAlign w:val="center"/>
          </w:tcPr>
          <w:p w14:paraId="6A062078">
            <w:pPr>
              <w:spacing w:line="360" w:lineRule="auto"/>
              <w:jc w:val="center"/>
              <w:rPr>
                <w:rFonts w:hint="eastAsia" w:ascii="宋体" w:hAnsi="宋体" w:cs="宋体"/>
                <w:color w:val="auto"/>
                <w:sz w:val="22"/>
                <w:highlight w:val="none"/>
              </w:rPr>
            </w:pPr>
          </w:p>
        </w:tc>
        <w:tc>
          <w:tcPr>
            <w:tcW w:w="1340" w:type="dxa"/>
            <w:vAlign w:val="center"/>
          </w:tcPr>
          <w:p w14:paraId="66919D4E">
            <w:pPr>
              <w:spacing w:line="360" w:lineRule="auto"/>
              <w:jc w:val="center"/>
              <w:rPr>
                <w:rFonts w:hint="eastAsia" w:ascii="宋体" w:hAnsi="宋体" w:cs="宋体"/>
                <w:color w:val="auto"/>
                <w:sz w:val="22"/>
                <w:highlight w:val="none"/>
              </w:rPr>
            </w:pPr>
          </w:p>
        </w:tc>
        <w:tc>
          <w:tcPr>
            <w:tcW w:w="1326" w:type="dxa"/>
            <w:vAlign w:val="center"/>
          </w:tcPr>
          <w:p w14:paraId="08FB12F4">
            <w:pPr>
              <w:spacing w:line="360" w:lineRule="auto"/>
              <w:jc w:val="center"/>
              <w:rPr>
                <w:rFonts w:hint="eastAsia" w:ascii="宋体" w:hAnsi="宋体" w:cs="宋体"/>
                <w:color w:val="auto"/>
                <w:sz w:val="22"/>
                <w:highlight w:val="none"/>
              </w:rPr>
            </w:pPr>
          </w:p>
        </w:tc>
        <w:tc>
          <w:tcPr>
            <w:tcW w:w="1825" w:type="dxa"/>
          </w:tcPr>
          <w:p w14:paraId="045563D2">
            <w:pPr>
              <w:spacing w:line="360" w:lineRule="auto"/>
              <w:jc w:val="center"/>
              <w:rPr>
                <w:rFonts w:hint="eastAsia" w:ascii="宋体" w:hAnsi="宋体" w:cs="宋体"/>
                <w:color w:val="auto"/>
                <w:sz w:val="22"/>
                <w:highlight w:val="none"/>
              </w:rPr>
            </w:pPr>
          </w:p>
        </w:tc>
        <w:tc>
          <w:tcPr>
            <w:tcW w:w="1147" w:type="dxa"/>
            <w:vAlign w:val="center"/>
          </w:tcPr>
          <w:p w14:paraId="42223FD1">
            <w:pPr>
              <w:spacing w:line="360" w:lineRule="auto"/>
              <w:jc w:val="center"/>
              <w:rPr>
                <w:rFonts w:hint="eastAsia" w:ascii="宋体" w:hAnsi="宋体" w:cs="宋体"/>
                <w:color w:val="auto"/>
                <w:sz w:val="22"/>
                <w:highlight w:val="none"/>
              </w:rPr>
            </w:pPr>
          </w:p>
        </w:tc>
      </w:tr>
      <w:tr w14:paraId="0FCC9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D134A2">
            <w:pPr>
              <w:spacing w:line="360" w:lineRule="auto"/>
              <w:jc w:val="center"/>
              <w:rPr>
                <w:rFonts w:hint="eastAsia" w:ascii="宋体" w:hAnsi="宋体" w:cs="宋体"/>
                <w:color w:val="auto"/>
                <w:sz w:val="22"/>
                <w:highlight w:val="none"/>
              </w:rPr>
            </w:pPr>
          </w:p>
        </w:tc>
        <w:tc>
          <w:tcPr>
            <w:tcW w:w="958" w:type="dxa"/>
            <w:vAlign w:val="center"/>
          </w:tcPr>
          <w:p w14:paraId="588242E8">
            <w:pPr>
              <w:spacing w:line="360" w:lineRule="auto"/>
              <w:jc w:val="center"/>
              <w:rPr>
                <w:rFonts w:hint="eastAsia" w:ascii="宋体" w:hAnsi="宋体" w:cs="宋体"/>
                <w:color w:val="auto"/>
                <w:sz w:val="22"/>
                <w:highlight w:val="none"/>
              </w:rPr>
            </w:pPr>
          </w:p>
        </w:tc>
        <w:tc>
          <w:tcPr>
            <w:tcW w:w="958" w:type="dxa"/>
            <w:vAlign w:val="center"/>
          </w:tcPr>
          <w:p w14:paraId="08BCC178">
            <w:pPr>
              <w:spacing w:line="360" w:lineRule="auto"/>
              <w:jc w:val="center"/>
              <w:rPr>
                <w:rFonts w:hint="eastAsia" w:ascii="宋体" w:hAnsi="宋体" w:cs="宋体"/>
                <w:color w:val="auto"/>
                <w:sz w:val="22"/>
                <w:highlight w:val="none"/>
              </w:rPr>
            </w:pPr>
          </w:p>
        </w:tc>
        <w:tc>
          <w:tcPr>
            <w:tcW w:w="767" w:type="dxa"/>
            <w:vAlign w:val="center"/>
          </w:tcPr>
          <w:p w14:paraId="54720218">
            <w:pPr>
              <w:spacing w:line="360" w:lineRule="auto"/>
              <w:jc w:val="center"/>
              <w:rPr>
                <w:rFonts w:hint="eastAsia" w:ascii="宋体" w:hAnsi="宋体" w:cs="宋体"/>
                <w:color w:val="auto"/>
                <w:sz w:val="22"/>
                <w:highlight w:val="none"/>
              </w:rPr>
            </w:pPr>
          </w:p>
        </w:tc>
        <w:tc>
          <w:tcPr>
            <w:tcW w:w="767" w:type="dxa"/>
            <w:vAlign w:val="center"/>
          </w:tcPr>
          <w:p w14:paraId="70B78965">
            <w:pPr>
              <w:spacing w:line="360" w:lineRule="auto"/>
              <w:jc w:val="center"/>
              <w:rPr>
                <w:rFonts w:hint="eastAsia" w:ascii="宋体" w:hAnsi="宋体" w:cs="宋体"/>
                <w:color w:val="auto"/>
                <w:sz w:val="22"/>
                <w:highlight w:val="none"/>
              </w:rPr>
            </w:pPr>
          </w:p>
        </w:tc>
        <w:tc>
          <w:tcPr>
            <w:tcW w:w="1340" w:type="dxa"/>
            <w:vAlign w:val="center"/>
          </w:tcPr>
          <w:p w14:paraId="01DFA90A">
            <w:pPr>
              <w:spacing w:line="360" w:lineRule="auto"/>
              <w:jc w:val="center"/>
              <w:rPr>
                <w:rFonts w:hint="eastAsia" w:ascii="宋体" w:hAnsi="宋体" w:cs="宋体"/>
                <w:color w:val="auto"/>
                <w:sz w:val="22"/>
                <w:highlight w:val="none"/>
              </w:rPr>
            </w:pPr>
          </w:p>
        </w:tc>
        <w:tc>
          <w:tcPr>
            <w:tcW w:w="1326" w:type="dxa"/>
            <w:vAlign w:val="center"/>
          </w:tcPr>
          <w:p w14:paraId="79721CCA">
            <w:pPr>
              <w:spacing w:line="360" w:lineRule="auto"/>
              <w:jc w:val="center"/>
              <w:rPr>
                <w:rFonts w:hint="eastAsia" w:ascii="宋体" w:hAnsi="宋体" w:cs="宋体"/>
                <w:color w:val="auto"/>
                <w:sz w:val="22"/>
                <w:highlight w:val="none"/>
              </w:rPr>
            </w:pPr>
          </w:p>
        </w:tc>
        <w:tc>
          <w:tcPr>
            <w:tcW w:w="1825" w:type="dxa"/>
          </w:tcPr>
          <w:p w14:paraId="3A46101C">
            <w:pPr>
              <w:spacing w:line="360" w:lineRule="auto"/>
              <w:jc w:val="center"/>
              <w:rPr>
                <w:rFonts w:hint="eastAsia" w:ascii="宋体" w:hAnsi="宋体" w:cs="宋体"/>
                <w:color w:val="auto"/>
                <w:sz w:val="22"/>
                <w:highlight w:val="none"/>
              </w:rPr>
            </w:pPr>
          </w:p>
        </w:tc>
        <w:tc>
          <w:tcPr>
            <w:tcW w:w="1147" w:type="dxa"/>
            <w:vAlign w:val="center"/>
          </w:tcPr>
          <w:p w14:paraId="2B035D5D">
            <w:pPr>
              <w:spacing w:line="360" w:lineRule="auto"/>
              <w:jc w:val="center"/>
              <w:rPr>
                <w:rFonts w:hint="eastAsia" w:ascii="宋体" w:hAnsi="宋体" w:cs="宋体"/>
                <w:color w:val="auto"/>
                <w:sz w:val="22"/>
                <w:highlight w:val="none"/>
              </w:rPr>
            </w:pPr>
          </w:p>
        </w:tc>
      </w:tr>
      <w:tr w14:paraId="7BC4F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27BDCD">
            <w:pPr>
              <w:spacing w:line="360" w:lineRule="auto"/>
              <w:jc w:val="center"/>
              <w:rPr>
                <w:rFonts w:hint="eastAsia" w:ascii="宋体" w:hAnsi="宋体" w:cs="宋体"/>
                <w:color w:val="auto"/>
                <w:sz w:val="22"/>
                <w:highlight w:val="none"/>
              </w:rPr>
            </w:pPr>
          </w:p>
        </w:tc>
        <w:tc>
          <w:tcPr>
            <w:tcW w:w="958" w:type="dxa"/>
            <w:vAlign w:val="center"/>
          </w:tcPr>
          <w:p w14:paraId="36E51156">
            <w:pPr>
              <w:spacing w:line="360" w:lineRule="auto"/>
              <w:jc w:val="center"/>
              <w:rPr>
                <w:rFonts w:hint="eastAsia" w:ascii="宋体" w:hAnsi="宋体" w:cs="宋体"/>
                <w:color w:val="auto"/>
                <w:sz w:val="22"/>
                <w:highlight w:val="none"/>
              </w:rPr>
            </w:pPr>
          </w:p>
        </w:tc>
        <w:tc>
          <w:tcPr>
            <w:tcW w:w="958" w:type="dxa"/>
            <w:vAlign w:val="center"/>
          </w:tcPr>
          <w:p w14:paraId="09B2E40B">
            <w:pPr>
              <w:spacing w:line="360" w:lineRule="auto"/>
              <w:jc w:val="center"/>
              <w:rPr>
                <w:rFonts w:hint="eastAsia" w:ascii="宋体" w:hAnsi="宋体" w:cs="宋体"/>
                <w:color w:val="auto"/>
                <w:sz w:val="22"/>
                <w:highlight w:val="none"/>
              </w:rPr>
            </w:pPr>
          </w:p>
        </w:tc>
        <w:tc>
          <w:tcPr>
            <w:tcW w:w="767" w:type="dxa"/>
            <w:vAlign w:val="center"/>
          </w:tcPr>
          <w:p w14:paraId="7A40DD95">
            <w:pPr>
              <w:spacing w:line="360" w:lineRule="auto"/>
              <w:jc w:val="center"/>
              <w:rPr>
                <w:rFonts w:hint="eastAsia" w:ascii="宋体" w:hAnsi="宋体" w:cs="宋体"/>
                <w:color w:val="auto"/>
                <w:sz w:val="22"/>
                <w:highlight w:val="none"/>
              </w:rPr>
            </w:pPr>
          </w:p>
        </w:tc>
        <w:tc>
          <w:tcPr>
            <w:tcW w:w="767" w:type="dxa"/>
            <w:vAlign w:val="center"/>
          </w:tcPr>
          <w:p w14:paraId="3364EF8B">
            <w:pPr>
              <w:spacing w:line="360" w:lineRule="auto"/>
              <w:jc w:val="center"/>
              <w:rPr>
                <w:rFonts w:hint="eastAsia" w:ascii="宋体" w:hAnsi="宋体" w:cs="宋体"/>
                <w:color w:val="auto"/>
                <w:sz w:val="22"/>
                <w:highlight w:val="none"/>
              </w:rPr>
            </w:pPr>
          </w:p>
        </w:tc>
        <w:tc>
          <w:tcPr>
            <w:tcW w:w="1340" w:type="dxa"/>
            <w:vAlign w:val="center"/>
          </w:tcPr>
          <w:p w14:paraId="31958FA3">
            <w:pPr>
              <w:spacing w:line="360" w:lineRule="auto"/>
              <w:jc w:val="center"/>
              <w:rPr>
                <w:rFonts w:hint="eastAsia" w:ascii="宋体" w:hAnsi="宋体" w:cs="宋体"/>
                <w:color w:val="auto"/>
                <w:sz w:val="22"/>
                <w:highlight w:val="none"/>
              </w:rPr>
            </w:pPr>
          </w:p>
        </w:tc>
        <w:tc>
          <w:tcPr>
            <w:tcW w:w="1326" w:type="dxa"/>
            <w:vAlign w:val="center"/>
          </w:tcPr>
          <w:p w14:paraId="70595CFF">
            <w:pPr>
              <w:spacing w:line="360" w:lineRule="auto"/>
              <w:jc w:val="center"/>
              <w:rPr>
                <w:rFonts w:hint="eastAsia" w:ascii="宋体" w:hAnsi="宋体" w:cs="宋体"/>
                <w:color w:val="auto"/>
                <w:sz w:val="22"/>
                <w:highlight w:val="none"/>
              </w:rPr>
            </w:pPr>
          </w:p>
        </w:tc>
        <w:tc>
          <w:tcPr>
            <w:tcW w:w="1825" w:type="dxa"/>
          </w:tcPr>
          <w:p w14:paraId="5EF110AF">
            <w:pPr>
              <w:spacing w:line="360" w:lineRule="auto"/>
              <w:jc w:val="center"/>
              <w:rPr>
                <w:rFonts w:hint="eastAsia" w:ascii="宋体" w:hAnsi="宋体" w:cs="宋体"/>
                <w:color w:val="auto"/>
                <w:sz w:val="22"/>
                <w:highlight w:val="none"/>
              </w:rPr>
            </w:pPr>
          </w:p>
        </w:tc>
        <w:tc>
          <w:tcPr>
            <w:tcW w:w="1147" w:type="dxa"/>
            <w:vAlign w:val="center"/>
          </w:tcPr>
          <w:p w14:paraId="70828357">
            <w:pPr>
              <w:spacing w:line="360" w:lineRule="auto"/>
              <w:jc w:val="center"/>
              <w:rPr>
                <w:rFonts w:hint="eastAsia" w:ascii="宋体" w:hAnsi="宋体" w:cs="宋体"/>
                <w:color w:val="auto"/>
                <w:sz w:val="22"/>
                <w:highlight w:val="none"/>
              </w:rPr>
            </w:pPr>
          </w:p>
        </w:tc>
      </w:tr>
      <w:tr w14:paraId="11888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09CB9F5">
            <w:pPr>
              <w:spacing w:line="360" w:lineRule="auto"/>
              <w:jc w:val="center"/>
              <w:rPr>
                <w:rFonts w:hint="eastAsia" w:ascii="宋体" w:hAnsi="宋体" w:cs="宋体"/>
                <w:color w:val="auto"/>
                <w:sz w:val="22"/>
                <w:highlight w:val="none"/>
              </w:rPr>
            </w:pPr>
          </w:p>
        </w:tc>
        <w:tc>
          <w:tcPr>
            <w:tcW w:w="958" w:type="dxa"/>
            <w:vAlign w:val="center"/>
          </w:tcPr>
          <w:p w14:paraId="56482B55">
            <w:pPr>
              <w:spacing w:line="360" w:lineRule="auto"/>
              <w:jc w:val="center"/>
              <w:rPr>
                <w:rFonts w:hint="eastAsia" w:ascii="宋体" w:hAnsi="宋体" w:cs="宋体"/>
                <w:color w:val="auto"/>
                <w:sz w:val="22"/>
                <w:highlight w:val="none"/>
              </w:rPr>
            </w:pPr>
          </w:p>
        </w:tc>
        <w:tc>
          <w:tcPr>
            <w:tcW w:w="958" w:type="dxa"/>
            <w:vAlign w:val="center"/>
          </w:tcPr>
          <w:p w14:paraId="62A81ED9">
            <w:pPr>
              <w:spacing w:line="360" w:lineRule="auto"/>
              <w:jc w:val="center"/>
              <w:rPr>
                <w:rFonts w:hint="eastAsia" w:ascii="宋体" w:hAnsi="宋体" w:cs="宋体"/>
                <w:color w:val="auto"/>
                <w:sz w:val="22"/>
                <w:highlight w:val="none"/>
              </w:rPr>
            </w:pPr>
          </w:p>
        </w:tc>
        <w:tc>
          <w:tcPr>
            <w:tcW w:w="767" w:type="dxa"/>
            <w:vAlign w:val="center"/>
          </w:tcPr>
          <w:p w14:paraId="455EDBEB">
            <w:pPr>
              <w:spacing w:line="360" w:lineRule="auto"/>
              <w:jc w:val="center"/>
              <w:rPr>
                <w:rFonts w:hint="eastAsia" w:ascii="宋体" w:hAnsi="宋体" w:cs="宋体"/>
                <w:color w:val="auto"/>
                <w:sz w:val="22"/>
                <w:highlight w:val="none"/>
              </w:rPr>
            </w:pPr>
          </w:p>
        </w:tc>
        <w:tc>
          <w:tcPr>
            <w:tcW w:w="767" w:type="dxa"/>
            <w:vAlign w:val="center"/>
          </w:tcPr>
          <w:p w14:paraId="4F739DF2">
            <w:pPr>
              <w:spacing w:line="360" w:lineRule="auto"/>
              <w:jc w:val="center"/>
              <w:rPr>
                <w:rFonts w:hint="eastAsia" w:ascii="宋体" w:hAnsi="宋体" w:cs="宋体"/>
                <w:color w:val="auto"/>
                <w:sz w:val="22"/>
                <w:highlight w:val="none"/>
              </w:rPr>
            </w:pPr>
          </w:p>
        </w:tc>
        <w:tc>
          <w:tcPr>
            <w:tcW w:w="1340" w:type="dxa"/>
            <w:vAlign w:val="center"/>
          </w:tcPr>
          <w:p w14:paraId="2B48FD7F">
            <w:pPr>
              <w:spacing w:line="360" w:lineRule="auto"/>
              <w:jc w:val="center"/>
              <w:rPr>
                <w:rFonts w:hint="eastAsia" w:ascii="宋体" w:hAnsi="宋体" w:cs="宋体"/>
                <w:color w:val="auto"/>
                <w:sz w:val="22"/>
                <w:highlight w:val="none"/>
              </w:rPr>
            </w:pPr>
          </w:p>
        </w:tc>
        <w:tc>
          <w:tcPr>
            <w:tcW w:w="1326" w:type="dxa"/>
            <w:vAlign w:val="center"/>
          </w:tcPr>
          <w:p w14:paraId="583E998F">
            <w:pPr>
              <w:spacing w:line="360" w:lineRule="auto"/>
              <w:jc w:val="center"/>
              <w:rPr>
                <w:rFonts w:hint="eastAsia" w:ascii="宋体" w:hAnsi="宋体" w:cs="宋体"/>
                <w:color w:val="auto"/>
                <w:sz w:val="22"/>
                <w:highlight w:val="none"/>
              </w:rPr>
            </w:pPr>
          </w:p>
        </w:tc>
        <w:tc>
          <w:tcPr>
            <w:tcW w:w="1825" w:type="dxa"/>
          </w:tcPr>
          <w:p w14:paraId="5DA801A3">
            <w:pPr>
              <w:spacing w:line="360" w:lineRule="auto"/>
              <w:jc w:val="center"/>
              <w:rPr>
                <w:rFonts w:hint="eastAsia" w:ascii="宋体" w:hAnsi="宋体" w:cs="宋体"/>
                <w:color w:val="auto"/>
                <w:sz w:val="22"/>
                <w:highlight w:val="none"/>
              </w:rPr>
            </w:pPr>
          </w:p>
        </w:tc>
        <w:tc>
          <w:tcPr>
            <w:tcW w:w="1147" w:type="dxa"/>
            <w:vAlign w:val="center"/>
          </w:tcPr>
          <w:p w14:paraId="51432C46">
            <w:pPr>
              <w:spacing w:line="360" w:lineRule="auto"/>
              <w:jc w:val="center"/>
              <w:rPr>
                <w:rFonts w:hint="eastAsia" w:ascii="宋体" w:hAnsi="宋体" w:cs="宋体"/>
                <w:color w:val="auto"/>
                <w:sz w:val="22"/>
                <w:highlight w:val="none"/>
              </w:rPr>
            </w:pPr>
          </w:p>
        </w:tc>
      </w:tr>
      <w:tr w14:paraId="418DF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A61DC8">
            <w:pPr>
              <w:spacing w:line="360" w:lineRule="auto"/>
              <w:jc w:val="center"/>
              <w:rPr>
                <w:rFonts w:hint="eastAsia" w:ascii="宋体" w:hAnsi="宋体" w:cs="宋体"/>
                <w:color w:val="auto"/>
                <w:sz w:val="22"/>
                <w:highlight w:val="none"/>
              </w:rPr>
            </w:pPr>
          </w:p>
        </w:tc>
        <w:tc>
          <w:tcPr>
            <w:tcW w:w="958" w:type="dxa"/>
            <w:vAlign w:val="center"/>
          </w:tcPr>
          <w:p w14:paraId="3A645090">
            <w:pPr>
              <w:spacing w:line="360" w:lineRule="auto"/>
              <w:jc w:val="center"/>
              <w:rPr>
                <w:rFonts w:hint="eastAsia" w:ascii="宋体" w:hAnsi="宋体" w:cs="宋体"/>
                <w:color w:val="auto"/>
                <w:sz w:val="22"/>
                <w:highlight w:val="none"/>
              </w:rPr>
            </w:pPr>
          </w:p>
        </w:tc>
        <w:tc>
          <w:tcPr>
            <w:tcW w:w="958" w:type="dxa"/>
            <w:vAlign w:val="center"/>
          </w:tcPr>
          <w:p w14:paraId="24B9D984">
            <w:pPr>
              <w:spacing w:line="360" w:lineRule="auto"/>
              <w:jc w:val="center"/>
              <w:rPr>
                <w:rFonts w:hint="eastAsia" w:ascii="宋体" w:hAnsi="宋体" w:cs="宋体"/>
                <w:color w:val="auto"/>
                <w:sz w:val="22"/>
                <w:highlight w:val="none"/>
              </w:rPr>
            </w:pPr>
          </w:p>
        </w:tc>
        <w:tc>
          <w:tcPr>
            <w:tcW w:w="767" w:type="dxa"/>
            <w:vAlign w:val="center"/>
          </w:tcPr>
          <w:p w14:paraId="69F33EF6">
            <w:pPr>
              <w:spacing w:line="360" w:lineRule="auto"/>
              <w:jc w:val="center"/>
              <w:rPr>
                <w:rFonts w:hint="eastAsia" w:ascii="宋体" w:hAnsi="宋体" w:cs="宋体"/>
                <w:color w:val="auto"/>
                <w:sz w:val="22"/>
                <w:highlight w:val="none"/>
              </w:rPr>
            </w:pPr>
          </w:p>
        </w:tc>
        <w:tc>
          <w:tcPr>
            <w:tcW w:w="767" w:type="dxa"/>
            <w:vAlign w:val="center"/>
          </w:tcPr>
          <w:p w14:paraId="1A2C1B8E">
            <w:pPr>
              <w:spacing w:line="360" w:lineRule="auto"/>
              <w:jc w:val="center"/>
              <w:rPr>
                <w:rFonts w:hint="eastAsia" w:ascii="宋体" w:hAnsi="宋体" w:cs="宋体"/>
                <w:color w:val="auto"/>
                <w:sz w:val="22"/>
                <w:highlight w:val="none"/>
              </w:rPr>
            </w:pPr>
          </w:p>
        </w:tc>
        <w:tc>
          <w:tcPr>
            <w:tcW w:w="1340" w:type="dxa"/>
            <w:vAlign w:val="center"/>
          </w:tcPr>
          <w:p w14:paraId="1F4048A7">
            <w:pPr>
              <w:spacing w:line="360" w:lineRule="auto"/>
              <w:jc w:val="center"/>
              <w:rPr>
                <w:rFonts w:hint="eastAsia" w:ascii="宋体" w:hAnsi="宋体" w:cs="宋体"/>
                <w:color w:val="auto"/>
                <w:sz w:val="22"/>
                <w:highlight w:val="none"/>
              </w:rPr>
            </w:pPr>
          </w:p>
        </w:tc>
        <w:tc>
          <w:tcPr>
            <w:tcW w:w="1326" w:type="dxa"/>
            <w:vAlign w:val="center"/>
          </w:tcPr>
          <w:p w14:paraId="281D7537">
            <w:pPr>
              <w:spacing w:line="360" w:lineRule="auto"/>
              <w:jc w:val="center"/>
              <w:rPr>
                <w:rFonts w:hint="eastAsia" w:ascii="宋体" w:hAnsi="宋体" w:cs="宋体"/>
                <w:color w:val="auto"/>
                <w:sz w:val="22"/>
                <w:highlight w:val="none"/>
              </w:rPr>
            </w:pPr>
          </w:p>
        </w:tc>
        <w:tc>
          <w:tcPr>
            <w:tcW w:w="1825" w:type="dxa"/>
          </w:tcPr>
          <w:p w14:paraId="3B500223">
            <w:pPr>
              <w:spacing w:line="360" w:lineRule="auto"/>
              <w:jc w:val="center"/>
              <w:rPr>
                <w:rFonts w:hint="eastAsia" w:ascii="宋体" w:hAnsi="宋体" w:cs="宋体"/>
                <w:color w:val="auto"/>
                <w:sz w:val="22"/>
                <w:highlight w:val="none"/>
              </w:rPr>
            </w:pPr>
          </w:p>
        </w:tc>
        <w:tc>
          <w:tcPr>
            <w:tcW w:w="1147" w:type="dxa"/>
            <w:vAlign w:val="center"/>
          </w:tcPr>
          <w:p w14:paraId="3362A2AD">
            <w:pPr>
              <w:spacing w:line="360" w:lineRule="auto"/>
              <w:jc w:val="center"/>
              <w:rPr>
                <w:rFonts w:hint="eastAsia" w:ascii="宋体" w:hAnsi="宋体" w:cs="宋体"/>
                <w:color w:val="auto"/>
                <w:sz w:val="22"/>
                <w:highlight w:val="none"/>
              </w:rPr>
            </w:pPr>
          </w:p>
        </w:tc>
      </w:tr>
      <w:tr w14:paraId="1AB61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7E32DB">
            <w:pPr>
              <w:spacing w:line="360" w:lineRule="auto"/>
              <w:jc w:val="center"/>
              <w:rPr>
                <w:rFonts w:hint="eastAsia" w:ascii="宋体" w:hAnsi="宋体" w:cs="宋体"/>
                <w:color w:val="auto"/>
                <w:sz w:val="22"/>
                <w:highlight w:val="none"/>
              </w:rPr>
            </w:pPr>
          </w:p>
        </w:tc>
        <w:tc>
          <w:tcPr>
            <w:tcW w:w="958" w:type="dxa"/>
            <w:vAlign w:val="center"/>
          </w:tcPr>
          <w:p w14:paraId="487EC716">
            <w:pPr>
              <w:spacing w:line="360" w:lineRule="auto"/>
              <w:jc w:val="center"/>
              <w:rPr>
                <w:rFonts w:hint="eastAsia" w:ascii="宋体" w:hAnsi="宋体" w:cs="宋体"/>
                <w:color w:val="auto"/>
                <w:sz w:val="22"/>
                <w:highlight w:val="none"/>
              </w:rPr>
            </w:pPr>
          </w:p>
        </w:tc>
        <w:tc>
          <w:tcPr>
            <w:tcW w:w="958" w:type="dxa"/>
            <w:vAlign w:val="center"/>
          </w:tcPr>
          <w:p w14:paraId="4537D969">
            <w:pPr>
              <w:spacing w:line="360" w:lineRule="auto"/>
              <w:jc w:val="center"/>
              <w:rPr>
                <w:rFonts w:hint="eastAsia" w:ascii="宋体" w:hAnsi="宋体" w:cs="宋体"/>
                <w:color w:val="auto"/>
                <w:sz w:val="22"/>
                <w:highlight w:val="none"/>
              </w:rPr>
            </w:pPr>
          </w:p>
        </w:tc>
        <w:tc>
          <w:tcPr>
            <w:tcW w:w="767" w:type="dxa"/>
            <w:vAlign w:val="center"/>
          </w:tcPr>
          <w:p w14:paraId="5B06F6F3">
            <w:pPr>
              <w:spacing w:line="360" w:lineRule="auto"/>
              <w:jc w:val="center"/>
              <w:rPr>
                <w:rFonts w:hint="eastAsia" w:ascii="宋体" w:hAnsi="宋体" w:cs="宋体"/>
                <w:color w:val="auto"/>
                <w:sz w:val="22"/>
                <w:highlight w:val="none"/>
              </w:rPr>
            </w:pPr>
          </w:p>
        </w:tc>
        <w:tc>
          <w:tcPr>
            <w:tcW w:w="767" w:type="dxa"/>
            <w:vAlign w:val="center"/>
          </w:tcPr>
          <w:p w14:paraId="13027E8A">
            <w:pPr>
              <w:spacing w:line="360" w:lineRule="auto"/>
              <w:jc w:val="center"/>
              <w:rPr>
                <w:rFonts w:hint="eastAsia" w:ascii="宋体" w:hAnsi="宋体" w:cs="宋体"/>
                <w:color w:val="auto"/>
                <w:sz w:val="22"/>
                <w:highlight w:val="none"/>
              </w:rPr>
            </w:pPr>
          </w:p>
        </w:tc>
        <w:tc>
          <w:tcPr>
            <w:tcW w:w="1340" w:type="dxa"/>
            <w:vAlign w:val="center"/>
          </w:tcPr>
          <w:p w14:paraId="11A86E27">
            <w:pPr>
              <w:spacing w:line="360" w:lineRule="auto"/>
              <w:jc w:val="center"/>
              <w:rPr>
                <w:rFonts w:hint="eastAsia" w:ascii="宋体" w:hAnsi="宋体" w:cs="宋体"/>
                <w:color w:val="auto"/>
                <w:sz w:val="22"/>
                <w:highlight w:val="none"/>
              </w:rPr>
            </w:pPr>
          </w:p>
        </w:tc>
        <w:tc>
          <w:tcPr>
            <w:tcW w:w="1326" w:type="dxa"/>
            <w:vAlign w:val="center"/>
          </w:tcPr>
          <w:p w14:paraId="21400E3E">
            <w:pPr>
              <w:spacing w:line="360" w:lineRule="auto"/>
              <w:jc w:val="center"/>
              <w:rPr>
                <w:rFonts w:hint="eastAsia" w:ascii="宋体" w:hAnsi="宋体" w:cs="宋体"/>
                <w:color w:val="auto"/>
                <w:sz w:val="22"/>
                <w:highlight w:val="none"/>
              </w:rPr>
            </w:pPr>
          </w:p>
        </w:tc>
        <w:tc>
          <w:tcPr>
            <w:tcW w:w="1825" w:type="dxa"/>
          </w:tcPr>
          <w:p w14:paraId="46D8CA60">
            <w:pPr>
              <w:spacing w:line="360" w:lineRule="auto"/>
              <w:jc w:val="center"/>
              <w:rPr>
                <w:rFonts w:hint="eastAsia" w:ascii="宋体" w:hAnsi="宋体" w:cs="宋体"/>
                <w:color w:val="auto"/>
                <w:sz w:val="22"/>
                <w:highlight w:val="none"/>
              </w:rPr>
            </w:pPr>
          </w:p>
        </w:tc>
        <w:tc>
          <w:tcPr>
            <w:tcW w:w="1147" w:type="dxa"/>
            <w:vAlign w:val="center"/>
          </w:tcPr>
          <w:p w14:paraId="64A42404">
            <w:pPr>
              <w:spacing w:line="360" w:lineRule="auto"/>
              <w:jc w:val="center"/>
              <w:rPr>
                <w:rFonts w:hint="eastAsia" w:ascii="宋体" w:hAnsi="宋体" w:cs="宋体"/>
                <w:color w:val="auto"/>
                <w:sz w:val="22"/>
                <w:highlight w:val="none"/>
              </w:rPr>
            </w:pPr>
          </w:p>
        </w:tc>
      </w:tr>
      <w:tr w14:paraId="4B8A3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C19DB0B">
            <w:pPr>
              <w:spacing w:line="360" w:lineRule="auto"/>
              <w:jc w:val="center"/>
              <w:rPr>
                <w:rFonts w:hint="eastAsia" w:ascii="宋体" w:hAnsi="宋体" w:cs="宋体"/>
                <w:color w:val="auto"/>
                <w:sz w:val="22"/>
                <w:highlight w:val="none"/>
              </w:rPr>
            </w:pPr>
          </w:p>
        </w:tc>
        <w:tc>
          <w:tcPr>
            <w:tcW w:w="958" w:type="dxa"/>
            <w:vAlign w:val="center"/>
          </w:tcPr>
          <w:p w14:paraId="3EDAF5E2">
            <w:pPr>
              <w:spacing w:line="360" w:lineRule="auto"/>
              <w:jc w:val="center"/>
              <w:rPr>
                <w:rFonts w:hint="eastAsia" w:ascii="宋体" w:hAnsi="宋体" w:cs="宋体"/>
                <w:color w:val="auto"/>
                <w:sz w:val="22"/>
                <w:highlight w:val="none"/>
              </w:rPr>
            </w:pPr>
          </w:p>
        </w:tc>
        <w:tc>
          <w:tcPr>
            <w:tcW w:w="958" w:type="dxa"/>
            <w:vAlign w:val="center"/>
          </w:tcPr>
          <w:p w14:paraId="58E94A4D">
            <w:pPr>
              <w:spacing w:line="360" w:lineRule="auto"/>
              <w:jc w:val="center"/>
              <w:rPr>
                <w:rFonts w:hint="eastAsia" w:ascii="宋体" w:hAnsi="宋体" w:cs="宋体"/>
                <w:color w:val="auto"/>
                <w:sz w:val="22"/>
                <w:highlight w:val="none"/>
              </w:rPr>
            </w:pPr>
          </w:p>
        </w:tc>
        <w:tc>
          <w:tcPr>
            <w:tcW w:w="767" w:type="dxa"/>
            <w:vAlign w:val="center"/>
          </w:tcPr>
          <w:p w14:paraId="08B62951">
            <w:pPr>
              <w:spacing w:line="360" w:lineRule="auto"/>
              <w:jc w:val="center"/>
              <w:rPr>
                <w:rFonts w:hint="eastAsia" w:ascii="宋体" w:hAnsi="宋体" w:cs="宋体"/>
                <w:color w:val="auto"/>
                <w:sz w:val="22"/>
                <w:highlight w:val="none"/>
              </w:rPr>
            </w:pPr>
          </w:p>
        </w:tc>
        <w:tc>
          <w:tcPr>
            <w:tcW w:w="767" w:type="dxa"/>
            <w:vAlign w:val="center"/>
          </w:tcPr>
          <w:p w14:paraId="188116DA">
            <w:pPr>
              <w:spacing w:line="360" w:lineRule="auto"/>
              <w:jc w:val="center"/>
              <w:rPr>
                <w:rFonts w:hint="eastAsia" w:ascii="宋体" w:hAnsi="宋体" w:cs="宋体"/>
                <w:color w:val="auto"/>
                <w:sz w:val="22"/>
                <w:highlight w:val="none"/>
              </w:rPr>
            </w:pPr>
          </w:p>
        </w:tc>
        <w:tc>
          <w:tcPr>
            <w:tcW w:w="1340" w:type="dxa"/>
            <w:vAlign w:val="center"/>
          </w:tcPr>
          <w:p w14:paraId="16336F8B">
            <w:pPr>
              <w:spacing w:line="360" w:lineRule="auto"/>
              <w:jc w:val="center"/>
              <w:rPr>
                <w:rFonts w:hint="eastAsia" w:ascii="宋体" w:hAnsi="宋体" w:cs="宋体"/>
                <w:color w:val="auto"/>
                <w:sz w:val="22"/>
                <w:highlight w:val="none"/>
              </w:rPr>
            </w:pPr>
          </w:p>
        </w:tc>
        <w:tc>
          <w:tcPr>
            <w:tcW w:w="1326" w:type="dxa"/>
            <w:vAlign w:val="center"/>
          </w:tcPr>
          <w:p w14:paraId="29953BF4">
            <w:pPr>
              <w:spacing w:line="360" w:lineRule="auto"/>
              <w:jc w:val="center"/>
              <w:rPr>
                <w:rFonts w:hint="eastAsia" w:ascii="宋体" w:hAnsi="宋体" w:cs="宋体"/>
                <w:color w:val="auto"/>
                <w:sz w:val="22"/>
                <w:highlight w:val="none"/>
              </w:rPr>
            </w:pPr>
          </w:p>
        </w:tc>
        <w:tc>
          <w:tcPr>
            <w:tcW w:w="1825" w:type="dxa"/>
          </w:tcPr>
          <w:p w14:paraId="292A8B02">
            <w:pPr>
              <w:spacing w:line="360" w:lineRule="auto"/>
              <w:jc w:val="center"/>
              <w:rPr>
                <w:rFonts w:hint="eastAsia" w:ascii="宋体" w:hAnsi="宋体" w:cs="宋体"/>
                <w:color w:val="auto"/>
                <w:sz w:val="22"/>
                <w:highlight w:val="none"/>
              </w:rPr>
            </w:pPr>
          </w:p>
        </w:tc>
        <w:tc>
          <w:tcPr>
            <w:tcW w:w="1147" w:type="dxa"/>
            <w:vAlign w:val="center"/>
          </w:tcPr>
          <w:p w14:paraId="0360A166">
            <w:pPr>
              <w:spacing w:line="360" w:lineRule="auto"/>
              <w:jc w:val="center"/>
              <w:rPr>
                <w:rFonts w:hint="eastAsia" w:ascii="宋体" w:hAnsi="宋体" w:cs="宋体"/>
                <w:color w:val="auto"/>
                <w:sz w:val="22"/>
                <w:highlight w:val="none"/>
              </w:rPr>
            </w:pPr>
          </w:p>
        </w:tc>
      </w:tr>
      <w:tr w14:paraId="5772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8AFAA4">
            <w:pPr>
              <w:spacing w:line="360" w:lineRule="auto"/>
              <w:jc w:val="center"/>
              <w:rPr>
                <w:rFonts w:hint="eastAsia" w:ascii="宋体" w:hAnsi="宋体" w:cs="宋体"/>
                <w:color w:val="auto"/>
                <w:sz w:val="22"/>
                <w:highlight w:val="none"/>
              </w:rPr>
            </w:pPr>
          </w:p>
        </w:tc>
        <w:tc>
          <w:tcPr>
            <w:tcW w:w="958" w:type="dxa"/>
            <w:vAlign w:val="center"/>
          </w:tcPr>
          <w:p w14:paraId="3FC0BCFC">
            <w:pPr>
              <w:spacing w:line="360" w:lineRule="auto"/>
              <w:jc w:val="center"/>
              <w:rPr>
                <w:rFonts w:hint="eastAsia" w:ascii="宋体" w:hAnsi="宋体" w:cs="宋体"/>
                <w:color w:val="auto"/>
                <w:sz w:val="22"/>
                <w:highlight w:val="none"/>
              </w:rPr>
            </w:pPr>
          </w:p>
        </w:tc>
        <w:tc>
          <w:tcPr>
            <w:tcW w:w="958" w:type="dxa"/>
            <w:vAlign w:val="center"/>
          </w:tcPr>
          <w:p w14:paraId="5AA7C9A6">
            <w:pPr>
              <w:spacing w:line="360" w:lineRule="auto"/>
              <w:jc w:val="center"/>
              <w:rPr>
                <w:rFonts w:hint="eastAsia" w:ascii="宋体" w:hAnsi="宋体" w:cs="宋体"/>
                <w:color w:val="auto"/>
                <w:sz w:val="22"/>
                <w:highlight w:val="none"/>
              </w:rPr>
            </w:pPr>
          </w:p>
        </w:tc>
        <w:tc>
          <w:tcPr>
            <w:tcW w:w="767" w:type="dxa"/>
            <w:vAlign w:val="center"/>
          </w:tcPr>
          <w:p w14:paraId="660F1ECC">
            <w:pPr>
              <w:spacing w:line="360" w:lineRule="auto"/>
              <w:jc w:val="center"/>
              <w:rPr>
                <w:rFonts w:hint="eastAsia" w:ascii="宋体" w:hAnsi="宋体" w:cs="宋体"/>
                <w:color w:val="auto"/>
                <w:sz w:val="22"/>
                <w:highlight w:val="none"/>
              </w:rPr>
            </w:pPr>
          </w:p>
        </w:tc>
        <w:tc>
          <w:tcPr>
            <w:tcW w:w="767" w:type="dxa"/>
            <w:vAlign w:val="center"/>
          </w:tcPr>
          <w:p w14:paraId="73CD6C58">
            <w:pPr>
              <w:spacing w:line="360" w:lineRule="auto"/>
              <w:jc w:val="center"/>
              <w:rPr>
                <w:rFonts w:hint="eastAsia" w:ascii="宋体" w:hAnsi="宋体" w:cs="宋体"/>
                <w:color w:val="auto"/>
                <w:sz w:val="22"/>
                <w:highlight w:val="none"/>
              </w:rPr>
            </w:pPr>
          </w:p>
        </w:tc>
        <w:tc>
          <w:tcPr>
            <w:tcW w:w="1340" w:type="dxa"/>
            <w:vAlign w:val="center"/>
          </w:tcPr>
          <w:p w14:paraId="2881629C">
            <w:pPr>
              <w:spacing w:line="360" w:lineRule="auto"/>
              <w:jc w:val="center"/>
              <w:rPr>
                <w:rFonts w:hint="eastAsia" w:ascii="宋体" w:hAnsi="宋体" w:cs="宋体"/>
                <w:color w:val="auto"/>
                <w:sz w:val="22"/>
                <w:highlight w:val="none"/>
              </w:rPr>
            </w:pPr>
          </w:p>
        </w:tc>
        <w:tc>
          <w:tcPr>
            <w:tcW w:w="1326" w:type="dxa"/>
            <w:vAlign w:val="center"/>
          </w:tcPr>
          <w:p w14:paraId="15FB0EB4">
            <w:pPr>
              <w:spacing w:line="360" w:lineRule="auto"/>
              <w:jc w:val="center"/>
              <w:rPr>
                <w:rFonts w:hint="eastAsia" w:ascii="宋体" w:hAnsi="宋体" w:cs="宋体"/>
                <w:color w:val="auto"/>
                <w:sz w:val="22"/>
                <w:highlight w:val="none"/>
              </w:rPr>
            </w:pPr>
          </w:p>
        </w:tc>
        <w:tc>
          <w:tcPr>
            <w:tcW w:w="1825" w:type="dxa"/>
          </w:tcPr>
          <w:p w14:paraId="7D5647BF">
            <w:pPr>
              <w:spacing w:line="360" w:lineRule="auto"/>
              <w:jc w:val="center"/>
              <w:rPr>
                <w:rFonts w:hint="eastAsia" w:ascii="宋体" w:hAnsi="宋体" w:cs="宋体"/>
                <w:color w:val="auto"/>
                <w:sz w:val="22"/>
                <w:highlight w:val="none"/>
              </w:rPr>
            </w:pPr>
          </w:p>
        </w:tc>
        <w:tc>
          <w:tcPr>
            <w:tcW w:w="1147" w:type="dxa"/>
            <w:vAlign w:val="center"/>
          </w:tcPr>
          <w:p w14:paraId="0A447A4A">
            <w:pPr>
              <w:spacing w:line="360" w:lineRule="auto"/>
              <w:jc w:val="center"/>
              <w:rPr>
                <w:rFonts w:hint="eastAsia" w:ascii="宋体" w:hAnsi="宋体" w:cs="宋体"/>
                <w:color w:val="auto"/>
                <w:sz w:val="22"/>
                <w:highlight w:val="none"/>
              </w:rPr>
            </w:pPr>
          </w:p>
        </w:tc>
      </w:tr>
      <w:tr w14:paraId="6258D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859BFCD">
            <w:pPr>
              <w:spacing w:line="360" w:lineRule="auto"/>
              <w:jc w:val="center"/>
              <w:rPr>
                <w:rFonts w:hint="eastAsia" w:ascii="宋体" w:hAnsi="宋体" w:cs="宋体"/>
                <w:color w:val="auto"/>
                <w:sz w:val="22"/>
                <w:highlight w:val="none"/>
              </w:rPr>
            </w:pPr>
          </w:p>
        </w:tc>
        <w:tc>
          <w:tcPr>
            <w:tcW w:w="958" w:type="dxa"/>
            <w:vAlign w:val="center"/>
          </w:tcPr>
          <w:p w14:paraId="7F6A0FA7">
            <w:pPr>
              <w:spacing w:line="360" w:lineRule="auto"/>
              <w:jc w:val="center"/>
              <w:rPr>
                <w:rFonts w:hint="eastAsia" w:ascii="宋体" w:hAnsi="宋体" w:cs="宋体"/>
                <w:color w:val="auto"/>
                <w:sz w:val="22"/>
                <w:highlight w:val="none"/>
              </w:rPr>
            </w:pPr>
          </w:p>
        </w:tc>
        <w:tc>
          <w:tcPr>
            <w:tcW w:w="958" w:type="dxa"/>
            <w:vAlign w:val="center"/>
          </w:tcPr>
          <w:p w14:paraId="3B0E5B98">
            <w:pPr>
              <w:spacing w:line="360" w:lineRule="auto"/>
              <w:jc w:val="center"/>
              <w:rPr>
                <w:rFonts w:hint="eastAsia" w:ascii="宋体" w:hAnsi="宋体" w:cs="宋体"/>
                <w:color w:val="auto"/>
                <w:sz w:val="22"/>
                <w:highlight w:val="none"/>
              </w:rPr>
            </w:pPr>
          </w:p>
        </w:tc>
        <w:tc>
          <w:tcPr>
            <w:tcW w:w="767" w:type="dxa"/>
            <w:vAlign w:val="center"/>
          </w:tcPr>
          <w:p w14:paraId="5E66C158">
            <w:pPr>
              <w:spacing w:line="360" w:lineRule="auto"/>
              <w:jc w:val="center"/>
              <w:rPr>
                <w:rFonts w:hint="eastAsia" w:ascii="宋体" w:hAnsi="宋体" w:cs="宋体"/>
                <w:color w:val="auto"/>
                <w:sz w:val="22"/>
                <w:highlight w:val="none"/>
              </w:rPr>
            </w:pPr>
          </w:p>
        </w:tc>
        <w:tc>
          <w:tcPr>
            <w:tcW w:w="767" w:type="dxa"/>
            <w:vAlign w:val="center"/>
          </w:tcPr>
          <w:p w14:paraId="1A8BFF06">
            <w:pPr>
              <w:spacing w:line="360" w:lineRule="auto"/>
              <w:jc w:val="center"/>
              <w:rPr>
                <w:rFonts w:hint="eastAsia" w:ascii="宋体" w:hAnsi="宋体" w:cs="宋体"/>
                <w:color w:val="auto"/>
                <w:sz w:val="22"/>
                <w:highlight w:val="none"/>
              </w:rPr>
            </w:pPr>
          </w:p>
        </w:tc>
        <w:tc>
          <w:tcPr>
            <w:tcW w:w="1340" w:type="dxa"/>
            <w:vAlign w:val="center"/>
          </w:tcPr>
          <w:p w14:paraId="520635CB">
            <w:pPr>
              <w:spacing w:line="360" w:lineRule="auto"/>
              <w:jc w:val="center"/>
              <w:rPr>
                <w:rFonts w:hint="eastAsia" w:ascii="宋体" w:hAnsi="宋体" w:cs="宋体"/>
                <w:color w:val="auto"/>
                <w:sz w:val="22"/>
                <w:highlight w:val="none"/>
              </w:rPr>
            </w:pPr>
          </w:p>
        </w:tc>
        <w:tc>
          <w:tcPr>
            <w:tcW w:w="1326" w:type="dxa"/>
            <w:vAlign w:val="center"/>
          </w:tcPr>
          <w:p w14:paraId="3918AD04">
            <w:pPr>
              <w:spacing w:line="360" w:lineRule="auto"/>
              <w:jc w:val="center"/>
              <w:rPr>
                <w:rFonts w:hint="eastAsia" w:ascii="宋体" w:hAnsi="宋体" w:cs="宋体"/>
                <w:color w:val="auto"/>
                <w:sz w:val="22"/>
                <w:highlight w:val="none"/>
              </w:rPr>
            </w:pPr>
          </w:p>
        </w:tc>
        <w:tc>
          <w:tcPr>
            <w:tcW w:w="1825" w:type="dxa"/>
          </w:tcPr>
          <w:p w14:paraId="4FAF0C37">
            <w:pPr>
              <w:spacing w:line="360" w:lineRule="auto"/>
              <w:jc w:val="center"/>
              <w:rPr>
                <w:rFonts w:hint="eastAsia" w:ascii="宋体" w:hAnsi="宋体" w:cs="宋体"/>
                <w:color w:val="auto"/>
                <w:sz w:val="22"/>
                <w:highlight w:val="none"/>
              </w:rPr>
            </w:pPr>
          </w:p>
        </w:tc>
        <w:tc>
          <w:tcPr>
            <w:tcW w:w="1147" w:type="dxa"/>
            <w:vAlign w:val="center"/>
          </w:tcPr>
          <w:p w14:paraId="5C31BA94">
            <w:pPr>
              <w:spacing w:line="360" w:lineRule="auto"/>
              <w:jc w:val="center"/>
              <w:rPr>
                <w:rFonts w:hint="eastAsia" w:ascii="宋体" w:hAnsi="宋体" w:cs="宋体"/>
                <w:color w:val="auto"/>
                <w:sz w:val="22"/>
                <w:highlight w:val="none"/>
              </w:rPr>
            </w:pPr>
          </w:p>
        </w:tc>
      </w:tr>
      <w:tr w14:paraId="2F076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1C86C2">
            <w:pPr>
              <w:spacing w:line="360" w:lineRule="auto"/>
              <w:jc w:val="center"/>
              <w:rPr>
                <w:rFonts w:hint="eastAsia" w:ascii="宋体" w:hAnsi="宋体" w:cs="宋体"/>
                <w:color w:val="auto"/>
                <w:sz w:val="22"/>
                <w:highlight w:val="none"/>
              </w:rPr>
            </w:pPr>
          </w:p>
        </w:tc>
        <w:tc>
          <w:tcPr>
            <w:tcW w:w="958" w:type="dxa"/>
            <w:vAlign w:val="center"/>
          </w:tcPr>
          <w:p w14:paraId="69854F5E">
            <w:pPr>
              <w:spacing w:line="360" w:lineRule="auto"/>
              <w:jc w:val="center"/>
              <w:rPr>
                <w:rFonts w:hint="eastAsia" w:ascii="宋体" w:hAnsi="宋体" w:cs="宋体"/>
                <w:color w:val="auto"/>
                <w:sz w:val="22"/>
                <w:highlight w:val="none"/>
              </w:rPr>
            </w:pPr>
          </w:p>
        </w:tc>
        <w:tc>
          <w:tcPr>
            <w:tcW w:w="958" w:type="dxa"/>
            <w:vAlign w:val="center"/>
          </w:tcPr>
          <w:p w14:paraId="0CA97B03">
            <w:pPr>
              <w:spacing w:line="360" w:lineRule="auto"/>
              <w:jc w:val="center"/>
              <w:rPr>
                <w:rFonts w:hint="eastAsia" w:ascii="宋体" w:hAnsi="宋体" w:cs="宋体"/>
                <w:color w:val="auto"/>
                <w:sz w:val="22"/>
                <w:highlight w:val="none"/>
              </w:rPr>
            </w:pPr>
          </w:p>
        </w:tc>
        <w:tc>
          <w:tcPr>
            <w:tcW w:w="767" w:type="dxa"/>
            <w:vAlign w:val="center"/>
          </w:tcPr>
          <w:p w14:paraId="61A851DF">
            <w:pPr>
              <w:spacing w:line="360" w:lineRule="auto"/>
              <w:jc w:val="center"/>
              <w:rPr>
                <w:rFonts w:hint="eastAsia" w:ascii="宋体" w:hAnsi="宋体" w:cs="宋体"/>
                <w:color w:val="auto"/>
                <w:sz w:val="22"/>
                <w:highlight w:val="none"/>
              </w:rPr>
            </w:pPr>
          </w:p>
        </w:tc>
        <w:tc>
          <w:tcPr>
            <w:tcW w:w="767" w:type="dxa"/>
            <w:vAlign w:val="center"/>
          </w:tcPr>
          <w:p w14:paraId="5FB6E072">
            <w:pPr>
              <w:spacing w:line="360" w:lineRule="auto"/>
              <w:jc w:val="center"/>
              <w:rPr>
                <w:rFonts w:hint="eastAsia" w:ascii="宋体" w:hAnsi="宋体" w:cs="宋体"/>
                <w:color w:val="auto"/>
                <w:sz w:val="22"/>
                <w:highlight w:val="none"/>
              </w:rPr>
            </w:pPr>
          </w:p>
        </w:tc>
        <w:tc>
          <w:tcPr>
            <w:tcW w:w="1340" w:type="dxa"/>
            <w:vAlign w:val="center"/>
          </w:tcPr>
          <w:p w14:paraId="335E78E9">
            <w:pPr>
              <w:spacing w:line="360" w:lineRule="auto"/>
              <w:jc w:val="center"/>
              <w:rPr>
                <w:rFonts w:hint="eastAsia" w:ascii="宋体" w:hAnsi="宋体" w:cs="宋体"/>
                <w:color w:val="auto"/>
                <w:sz w:val="22"/>
                <w:highlight w:val="none"/>
              </w:rPr>
            </w:pPr>
          </w:p>
        </w:tc>
        <w:tc>
          <w:tcPr>
            <w:tcW w:w="1326" w:type="dxa"/>
            <w:vAlign w:val="center"/>
          </w:tcPr>
          <w:p w14:paraId="296FB370">
            <w:pPr>
              <w:spacing w:line="360" w:lineRule="auto"/>
              <w:jc w:val="center"/>
              <w:rPr>
                <w:rFonts w:hint="eastAsia" w:ascii="宋体" w:hAnsi="宋体" w:cs="宋体"/>
                <w:color w:val="auto"/>
                <w:sz w:val="22"/>
                <w:highlight w:val="none"/>
              </w:rPr>
            </w:pPr>
          </w:p>
        </w:tc>
        <w:tc>
          <w:tcPr>
            <w:tcW w:w="1825" w:type="dxa"/>
          </w:tcPr>
          <w:p w14:paraId="7348354B">
            <w:pPr>
              <w:spacing w:line="360" w:lineRule="auto"/>
              <w:jc w:val="center"/>
              <w:rPr>
                <w:rFonts w:hint="eastAsia" w:ascii="宋体" w:hAnsi="宋体" w:cs="宋体"/>
                <w:color w:val="auto"/>
                <w:sz w:val="22"/>
                <w:highlight w:val="none"/>
              </w:rPr>
            </w:pPr>
          </w:p>
        </w:tc>
        <w:tc>
          <w:tcPr>
            <w:tcW w:w="1147" w:type="dxa"/>
            <w:vAlign w:val="center"/>
          </w:tcPr>
          <w:p w14:paraId="0C881072">
            <w:pPr>
              <w:spacing w:line="360" w:lineRule="auto"/>
              <w:jc w:val="center"/>
              <w:rPr>
                <w:rFonts w:hint="eastAsia" w:ascii="宋体" w:hAnsi="宋体" w:cs="宋体"/>
                <w:color w:val="auto"/>
                <w:sz w:val="22"/>
                <w:highlight w:val="none"/>
              </w:rPr>
            </w:pPr>
          </w:p>
        </w:tc>
      </w:tr>
      <w:tr w14:paraId="1709C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A64E11D">
            <w:pPr>
              <w:spacing w:line="360" w:lineRule="auto"/>
              <w:jc w:val="center"/>
              <w:rPr>
                <w:rFonts w:hint="eastAsia" w:ascii="宋体" w:hAnsi="宋体" w:cs="宋体"/>
                <w:color w:val="auto"/>
                <w:sz w:val="22"/>
                <w:highlight w:val="none"/>
              </w:rPr>
            </w:pPr>
          </w:p>
        </w:tc>
        <w:tc>
          <w:tcPr>
            <w:tcW w:w="958" w:type="dxa"/>
            <w:vAlign w:val="center"/>
          </w:tcPr>
          <w:p w14:paraId="3E0C5D8F">
            <w:pPr>
              <w:spacing w:line="360" w:lineRule="auto"/>
              <w:jc w:val="center"/>
              <w:rPr>
                <w:rFonts w:hint="eastAsia" w:ascii="宋体" w:hAnsi="宋体" w:cs="宋体"/>
                <w:color w:val="auto"/>
                <w:sz w:val="22"/>
                <w:highlight w:val="none"/>
              </w:rPr>
            </w:pPr>
          </w:p>
        </w:tc>
        <w:tc>
          <w:tcPr>
            <w:tcW w:w="958" w:type="dxa"/>
            <w:vAlign w:val="center"/>
          </w:tcPr>
          <w:p w14:paraId="1C5FF270">
            <w:pPr>
              <w:spacing w:line="360" w:lineRule="auto"/>
              <w:jc w:val="center"/>
              <w:rPr>
                <w:rFonts w:hint="eastAsia" w:ascii="宋体" w:hAnsi="宋体" w:cs="宋体"/>
                <w:color w:val="auto"/>
                <w:sz w:val="22"/>
                <w:highlight w:val="none"/>
              </w:rPr>
            </w:pPr>
          </w:p>
        </w:tc>
        <w:tc>
          <w:tcPr>
            <w:tcW w:w="767" w:type="dxa"/>
            <w:vAlign w:val="center"/>
          </w:tcPr>
          <w:p w14:paraId="6BE47B57">
            <w:pPr>
              <w:spacing w:line="360" w:lineRule="auto"/>
              <w:jc w:val="center"/>
              <w:rPr>
                <w:rFonts w:hint="eastAsia" w:ascii="宋体" w:hAnsi="宋体" w:cs="宋体"/>
                <w:color w:val="auto"/>
                <w:sz w:val="22"/>
                <w:highlight w:val="none"/>
              </w:rPr>
            </w:pPr>
          </w:p>
        </w:tc>
        <w:tc>
          <w:tcPr>
            <w:tcW w:w="767" w:type="dxa"/>
            <w:vAlign w:val="center"/>
          </w:tcPr>
          <w:p w14:paraId="0E1E066D">
            <w:pPr>
              <w:spacing w:line="360" w:lineRule="auto"/>
              <w:jc w:val="center"/>
              <w:rPr>
                <w:rFonts w:hint="eastAsia" w:ascii="宋体" w:hAnsi="宋体" w:cs="宋体"/>
                <w:color w:val="auto"/>
                <w:sz w:val="22"/>
                <w:highlight w:val="none"/>
              </w:rPr>
            </w:pPr>
          </w:p>
        </w:tc>
        <w:tc>
          <w:tcPr>
            <w:tcW w:w="1340" w:type="dxa"/>
            <w:vAlign w:val="center"/>
          </w:tcPr>
          <w:p w14:paraId="53DB9910">
            <w:pPr>
              <w:spacing w:line="360" w:lineRule="auto"/>
              <w:jc w:val="center"/>
              <w:rPr>
                <w:rFonts w:hint="eastAsia" w:ascii="宋体" w:hAnsi="宋体" w:cs="宋体"/>
                <w:color w:val="auto"/>
                <w:sz w:val="22"/>
                <w:highlight w:val="none"/>
              </w:rPr>
            </w:pPr>
          </w:p>
        </w:tc>
        <w:tc>
          <w:tcPr>
            <w:tcW w:w="1326" w:type="dxa"/>
            <w:vAlign w:val="center"/>
          </w:tcPr>
          <w:p w14:paraId="7C9F4BA9">
            <w:pPr>
              <w:spacing w:line="360" w:lineRule="auto"/>
              <w:jc w:val="center"/>
              <w:rPr>
                <w:rFonts w:hint="eastAsia" w:ascii="宋体" w:hAnsi="宋体" w:cs="宋体"/>
                <w:color w:val="auto"/>
                <w:sz w:val="22"/>
                <w:highlight w:val="none"/>
              </w:rPr>
            </w:pPr>
          </w:p>
        </w:tc>
        <w:tc>
          <w:tcPr>
            <w:tcW w:w="1825" w:type="dxa"/>
          </w:tcPr>
          <w:p w14:paraId="4B979CB8">
            <w:pPr>
              <w:spacing w:line="360" w:lineRule="auto"/>
              <w:jc w:val="center"/>
              <w:rPr>
                <w:rFonts w:hint="eastAsia" w:ascii="宋体" w:hAnsi="宋体" w:cs="宋体"/>
                <w:color w:val="auto"/>
                <w:sz w:val="22"/>
                <w:highlight w:val="none"/>
              </w:rPr>
            </w:pPr>
          </w:p>
        </w:tc>
        <w:tc>
          <w:tcPr>
            <w:tcW w:w="1147" w:type="dxa"/>
            <w:vAlign w:val="center"/>
          </w:tcPr>
          <w:p w14:paraId="7D6274E2">
            <w:pPr>
              <w:spacing w:line="360" w:lineRule="auto"/>
              <w:jc w:val="center"/>
              <w:rPr>
                <w:rFonts w:hint="eastAsia" w:ascii="宋体" w:hAnsi="宋体" w:cs="宋体"/>
                <w:color w:val="auto"/>
                <w:sz w:val="22"/>
                <w:highlight w:val="none"/>
              </w:rPr>
            </w:pPr>
          </w:p>
        </w:tc>
      </w:tr>
      <w:tr w14:paraId="2349E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767B061">
            <w:pPr>
              <w:spacing w:line="360" w:lineRule="auto"/>
              <w:jc w:val="center"/>
              <w:rPr>
                <w:rFonts w:hint="eastAsia" w:ascii="宋体" w:hAnsi="宋体" w:cs="宋体"/>
                <w:color w:val="auto"/>
                <w:sz w:val="22"/>
                <w:highlight w:val="none"/>
              </w:rPr>
            </w:pPr>
          </w:p>
        </w:tc>
        <w:tc>
          <w:tcPr>
            <w:tcW w:w="958" w:type="dxa"/>
            <w:vAlign w:val="center"/>
          </w:tcPr>
          <w:p w14:paraId="72E13211">
            <w:pPr>
              <w:spacing w:line="360" w:lineRule="auto"/>
              <w:jc w:val="center"/>
              <w:rPr>
                <w:rFonts w:hint="eastAsia" w:ascii="宋体" w:hAnsi="宋体" w:cs="宋体"/>
                <w:color w:val="auto"/>
                <w:sz w:val="22"/>
                <w:highlight w:val="none"/>
              </w:rPr>
            </w:pPr>
          </w:p>
        </w:tc>
        <w:tc>
          <w:tcPr>
            <w:tcW w:w="958" w:type="dxa"/>
            <w:vAlign w:val="center"/>
          </w:tcPr>
          <w:p w14:paraId="3FE66865">
            <w:pPr>
              <w:spacing w:line="360" w:lineRule="auto"/>
              <w:jc w:val="center"/>
              <w:rPr>
                <w:rFonts w:hint="eastAsia" w:ascii="宋体" w:hAnsi="宋体" w:cs="宋体"/>
                <w:color w:val="auto"/>
                <w:sz w:val="22"/>
                <w:highlight w:val="none"/>
              </w:rPr>
            </w:pPr>
          </w:p>
        </w:tc>
        <w:tc>
          <w:tcPr>
            <w:tcW w:w="767" w:type="dxa"/>
            <w:vAlign w:val="center"/>
          </w:tcPr>
          <w:p w14:paraId="4C70F9FD">
            <w:pPr>
              <w:spacing w:line="360" w:lineRule="auto"/>
              <w:jc w:val="center"/>
              <w:rPr>
                <w:rFonts w:hint="eastAsia" w:ascii="宋体" w:hAnsi="宋体" w:cs="宋体"/>
                <w:color w:val="auto"/>
                <w:sz w:val="22"/>
                <w:highlight w:val="none"/>
              </w:rPr>
            </w:pPr>
          </w:p>
        </w:tc>
        <w:tc>
          <w:tcPr>
            <w:tcW w:w="767" w:type="dxa"/>
            <w:vAlign w:val="center"/>
          </w:tcPr>
          <w:p w14:paraId="1B4118F6">
            <w:pPr>
              <w:spacing w:line="360" w:lineRule="auto"/>
              <w:jc w:val="center"/>
              <w:rPr>
                <w:rFonts w:hint="eastAsia" w:ascii="宋体" w:hAnsi="宋体" w:cs="宋体"/>
                <w:color w:val="auto"/>
                <w:sz w:val="22"/>
                <w:highlight w:val="none"/>
              </w:rPr>
            </w:pPr>
          </w:p>
        </w:tc>
        <w:tc>
          <w:tcPr>
            <w:tcW w:w="1340" w:type="dxa"/>
            <w:vAlign w:val="center"/>
          </w:tcPr>
          <w:p w14:paraId="4C3C5D0B">
            <w:pPr>
              <w:spacing w:line="360" w:lineRule="auto"/>
              <w:jc w:val="center"/>
              <w:rPr>
                <w:rFonts w:hint="eastAsia" w:ascii="宋体" w:hAnsi="宋体" w:cs="宋体"/>
                <w:color w:val="auto"/>
                <w:sz w:val="22"/>
                <w:highlight w:val="none"/>
              </w:rPr>
            </w:pPr>
          </w:p>
        </w:tc>
        <w:tc>
          <w:tcPr>
            <w:tcW w:w="1326" w:type="dxa"/>
            <w:vAlign w:val="center"/>
          </w:tcPr>
          <w:p w14:paraId="52BF439D">
            <w:pPr>
              <w:spacing w:line="360" w:lineRule="auto"/>
              <w:jc w:val="center"/>
              <w:rPr>
                <w:rFonts w:hint="eastAsia" w:ascii="宋体" w:hAnsi="宋体" w:cs="宋体"/>
                <w:color w:val="auto"/>
                <w:sz w:val="22"/>
                <w:highlight w:val="none"/>
              </w:rPr>
            </w:pPr>
          </w:p>
        </w:tc>
        <w:tc>
          <w:tcPr>
            <w:tcW w:w="1825" w:type="dxa"/>
          </w:tcPr>
          <w:p w14:paraId="2D9E3A36">
            <w:pPr>
              <w:spacing w:line="360" w:lineRule="auto"/>
              <w:jc w:val="center"/>
              <w:rPr>
                <w:rFonts w:hint="eastAsia" w:ascii="宋体" w:hAnsi="宋体" w:cs="宋体"/>
                <w:color w:val="auto"/>
                <w:sz w:val="22"/>
                <w:highlight w:val="none"/>
              </w:rPr>
            </w:pPr>
          </w:p>
        </w:tc>
        <w:tc>
          <w:tcPr>
            <w:tcW w:w="1147" w:type="dxa"/>
            <w:vAlign w:val="center"/>
          </w:tcPr>
          <w:p w14:paraId="1896251A">
            <w:pPr>
              <w:spacing w:line="360" w:lineRule="auto"/>
              <w:jc w:val="center"/>
              <w:rPr>
                <w:rFonts w:hint="eastAsia" w:ascii="宋体" w:hAnsi="宋体" w:cs="宋体"/>
                <w:color w:val="auto"/>
                <w:sz w:val="22"/>
                <w:highlight w:val="none"/>
              </w:rPr>
            </w:pPr>
          </w:p>
        </w:tc>
      </w:tr>
    </w:tbl>
    <w:p w14:paraId="5B04DBFA">
      <w:pPr>
        <w:pStyle w:val="29"/>
        <w:spacing w:line="400" w:lineRule="atLeast"/>
        <w:ind w:left="660" w:hanging="660" w:hangingChars="300"/>
        <w:rPr>
          <w:rFonts w:hint="eastAsia" w:hAnsi="宋体" w:cs="宋体"/>
          <w:color w:val="auto"/>
          <w:sz w:val="22"/>
          <w:highlight w:val="none"/>
        </w:rPr>
      </w:pPr>
      <w:r>
        <w:rPr>
          <w:rFonts w:hint="eastAsia" w:hAnsi="宋体" w:cs="宋体"/>
          <w:color w:val="auto"/>
          <w:sz w:val="22"/>
          <w:highlight w:val="none"/>
        </w:rPr>
        <w:t>注：此表仅提供了表格形式，供应商可按此表格复制。</w:t>
      </w:r>
    </w:p>
    <w:p w14:paraId="23767CFB">
      <w:pPr>
        <w:spacing w:line="380" w:lineRule="exact"/>
        <w:ind w:firstLine="4400" w:firstLineChars="2000"/>
        <w:rPr>
          <w:rFonts w:hint="eastAsia" w:ascii="宋体" w:hAnsi="宋体" w:cs="宋体"/>
          <w:color w:val="auto"/>
          <w:sz w:val="22"/>
          <w:szCs w:val="22"/>
          <w:highlight w:val="none"/>
        </w:rPr>
      </w:pPr>
    </w:p>
    <w:p w14:paraId="71F28CCE">
      <w:pPr>
        <w:spacing w:line="380" w:lineRule="exact"/>
        <w:ind w:firstLine="4400" w:firstLineChars="2000"/>
        <w:rPr>
          <w:rFonts w:hint="eastAsia" w:ascii="宋体" w:hAnsi="宋体" w:cs="宋体"/>
          <w:color w:val="auto"/>
          <w:sz w:val="22"/>
          <w:szCs w:val="22"/>
          <w:highlight w:val="none"/>
        </w:rPr>
      </w:pPr>
    </w:p>
    <w:p w14:paraId="626AB1D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D89F2B7">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2FF12A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B581066">
      <w:pPr>
        <w:pStyle w:val="4"/>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附件四</w:t>
      </w:r>
    </w:p>
    <w:p w14:paraId="2D6FC305">
      <w:pPr>
        <w:pStyle w:val="29"/>
        <w:spacing w:line="400" w:lineRule="atLeast"/>
        <w:ind w:left="843" w:hanging="843" w:hangingChars="300"/>
        <w:jc w:val="center"/>
        <w:rPr>
          <w:rFonts w:hint="eastAsia" w:hAnsi="宋体" w:cs="宋体"/>
          <w:b/>
          <w:color w:val="auto"/>
          <w:sz w:val="28"/>
          <w:szCs w:val="28"/>
          <w:highlight w:val="none"/>
        </w:rPr>
      </w:pPr>
      <w:r>
        <w:rPr>
          <w:rFonts w:hint="eastAsia" w:hAnsi="宋体" w:cs="宋体"/>
          <w:b/>
          <w:color w:val="auto"/>
          <w:sz w:val="28"/>
          <w:szCs w:val="28"/>
          <w:highlight w:val="none"/>
        </w:rPr>
        <w:t>同类项目业绩</w:t>
      </w:r>
    </w:p>
    <w:p w14:paraId="75A84D34">
      <w:pPr>
        <w:spacing w:line="460" w:lineRule="exact"/>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t>项目名称：                                              项目编号：</w:t>
      </w:r>
    </w:p>
    <w:tbl>
      <w:tblPr>
        <w:tblStyle w:val="54"/>
        <w:tblW w:w="955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223"/>
        <w:gridCol w:w="2160"/>
        <w:gridCol w:w="1440"/>
        <w:gridCol w:w="1260"/>
        <w:gridCol w:w="1633"/>
      </w:tblGrid>
      <w:tr w14:paraId="4BD6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3821271">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223" w:type="dxa"/>
            <w:vAlign w:val="center"/>
          </w:tcPr>
          <w:p w14:paraId="1A366047">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项目内容</w:t>
            </w:r>
          </w:p>
        </w:tc>
        <w:tc>
          <w:tcPr>
            <w:tcW w:w="2160" w:type="dxa"/>
            <w:vAlign w:val="center"/>
          </w:tcPr>
          <w:p w14:paraId="60A3009A">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用户单位</w:t>
            </w:r>
          </w:p>
        </w:tc>
        <w:tc>
          <w:tcPr>
            <w:tcW w:w="1440" w:type="dxa"/>
            <w:vAlign w:val="center"/>
          </w:tcPr>
          <w:p w14:paraId="2841019C">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260" w:type="dxa"/>
            <w:vAlign w:val="center"/>
          </w:tcPr>
          <w:p w14:paraId="5D00956E">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合同日期</w:t>
            </w:r>
          </w:p>
        </w:tc>
        <w:tc>
          <w:tcPr>
            <w:tcW w:w="1633" w:type="dxa"/>
            <w:vAlign w:val="center"/>
          </w:tcPr>
          <w:p w14:paraId="1676F902">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r>
      <w:tr w14:paraId="4814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0274446E">
            <w:pPr>
              <w:spacing w:line="380" w:lineRule="exact"/>
              <w:jc w:val="center"/>
              <w:rPr>
                <w:rFonts w:hint="eastAsia" w:ascii="宋体" w:hAnsi="宋体" w:cs="宋体"/>
                <w:b/>
                <w:bCs/>
                <w:color w:val="auto"/>
                <w:sz w:val="22"/>
                <w:szCs w:val="22"/>
                <w:highlight w:val="none"/>
              </w:rPr>
            </w:pPr>
          </w:p>
        </w:tc>
        <w:tc>
          <w:tcPr>
            <w:tcW w:w="2223" w:type="dxa"/>
            <w:vAlign w:val="center"/>
          </w:tcPr>
          <w:p w14:paraId="2E509E75">
            <w:pPr>
              <w:spacing w:line="380" w:lineRule="exact"/>
              <w:jc w:val="center"/>
              <w:rPr>
                <w:rFonts w:hint="eastAsia" w:ascii="宋体" w:hAnsi="宋体" w:cs="宋体"/>
                <w:b/>
                <w:bCs/>
                <w:color w:val="auto"/>
                <w:sz w:val="22"/>
                <w:szCs w:val="22"/>
                <w:highlight w:val="none"/>
              </w:rPr>
            </w:pPr>
          </w:p>
        </w:tc>
        <w:tc>
          <w:tcPr>
            <w:tcW w:w="2160" w:type="dxa"/>
            <w:vAlign w:val="center"/>
          </w:tcPr>
          <w:p w14:paraId="380DE8C0">
            <w:pPr>
              <w:spacing w:line="380" w:lineRule="exact"/>
              <w:jc w:val="center"/>
              <w:rPr>
                <w:rFonts w:hint="eastAsia" w:ascii="宋体" w:hAnsi="宋体" w:cs="宋体"/>
                <w:b/>
                <w:bCs/>
                <w:color w:val="auto"/>
                <w:sz w:val="22"/>
                <w:szCs w:val="22"/>
                <w:highlight w:val="none"/>
              </w:rPr>
            </w:pPr>
          </w:p>
        </w:tc>
        <w:tc>
          <w:tcPr>
            <w:tcW w:w="1440" w:type="dxa"/>
            <w:vAlign w:val="center"/>
          </w:tcPr>
          <w:p w14:paraId="5D499EB8">
            <w:pPr>
              <w:spacing w:line="380" w:lineRule="exact"/>
              <w:jc w:val="center"/>
              <w:rPr>
                <w:rFonts w:hint="eastAsia" w:ascii="宋体" w:hAnsi="宋体" w:cs="宋体"/>
                <w:b/>
                <w:bCs/>
                <w:color w:val="auto"/>
                <w:sz w:val="22"/>
                <w:szCs w:val="22"/>
                <w:highlight w:val="none"/>
              </w:rPr>
            </w:pPr>
          </w:p>
        </w:tc>
        <w:tc>
          <w:tcPr>
            <w:tcW w:w="1260" w:type="dxa"/>
            <w:vAlign w:val="center"/>
          </w:tcPr>
          <w:p w14:paraId="3407E2CF">
            <w:pPr>
              <w:spacing w:line="380" w:lineRule="exact"/>
              <w:jc w:val="center"/>
              <w:rPr>
                <w:rFonts w:hint="eastAsia" w:ascii="宋体" w:hAnsi="宋体" w:cs="宋体"/>
                <w:b/>
                <w:bCs/>
                <w:color w:val="auto"/>
                <w:sz w:val="22"/>
                <w:szCs w:val="22"/>
                <w:highlight w:val="none"/>
              </w:rPr>
            </w:pPr>
          </w:p>
        </w:tc>
        <w:tc>
          <w:tcPr>
            <w:tcW w:w="1633" w:type="dxa"/>
            <w:vAlign w:val="center"/>
          </w:tcPr>
          <w:p w14:paraId="14CABB48">
            <w:pPr>
              <w:spacing w:line="380" w:lineRule="exact"/>
              <w:jc w:val="center"/>
              <w:rPr>
                <w:rFonts w:hint="eastAsia" w:ascii="宋体" w:hAnsi="宋体" w:cs="宋体"/>
                <w:b/>
                <w:bCs/>
                <w:color w:val="auto"/>
                <w:sz w:val="22"/>
                <w:szCs w:val="22"/>
                <w:highlight w:val="none"/>
              </w:rPr>
            </w:pPr>
          </w:p>
        </w:tc>
      </w:tr>
      <w:tr w14:paraId="1898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AD61575">
            <w:pPr>
              <w:spacing w:line="380" w:lineRule="exact"/>
              <w:jc w:val="center"/>
              <w:rPr>
                <w:rFonts w:hint="eastAsia" w:ascii="宋体" w:hAnsi="宋体" w:cs="宋体"/>
                <w:b/>
                <w:bCs/>
                <w:color w:val="auto"/>
                <w:sz w:val="22"/>
                <w:szCs w:val="22"/>
                <w:highlight w:val="none"/>
              </w:rPr>
            </w:pPr>
          </w:p>
        </w:tc>
        <w:tc>
          <w:tcPr>
            <w:tcW w:w="2223" w:type="dxa"/>
            <w:vAlign w:val="center"/>
          </w:tcPr>
          <w:p w14:paraId="272CFF08">
            <w:pPr>
              <w:spacing w:line="380" w:lineRule="exact"/>
              <w:jc w:val="center"/>
              <w:rPr>
                <w:rFonts w:hint="eastAsia" w:ascii="宋体" w:hAnsi="宋体" w:cs="宋体"/>
                <w:b/>
                <w:bCs/>
                <w:color w:val="auto"/>
                <w:sz w:val="22"/>
                <w:szCs w:val="22"/>
                <w:highlight w:val="none"/>
              </w:rPr>
            </w:pPr>
          </w:p>
        </w:tc>
        <w:tc>
          <w:tcPr>
            <w:tcW w:w="2160" w:type="dxa"/>
            <w:vAlign w:val="center"/>
          </w:tcPr>
          <w:p w14:paraId="0FE23271">
            <w:pPr>
              <w:spacing w:line="380" w:lineRule="exact"/>
              <w:jc w:val="center"/>
              <w:rPr>
                <w:rFonts w:hint="eastAsia" w:ascii="宋体" w:hAnsi="宋体" w:cs="宋体"/>
                <w:b/>
                <w:bCs/>
                <w:color w:val="auto"/>
                <w:sz w:val="22"/>
                <w:szCs w:val="22"/>
                <w:highlight w:val="none"/>
              </w:rPr>
            </w:pPr>
          </w:p>
        </w:tc>
        <w:tc>
          <w:tcPr>
            <w:tcW w:w="1440" w:type="dxa"/>
            <w:vAlign w:val="center"/>
          </w:tcPr>
          <w:p w14:paraId="7406A634">
            <w:pPr>
              <w:spacing w:line="380" w:lineRule="exact"/>
              <w:jc w:val="center"/>
              <w:rPr>
                <w:rFonts w:hint="eastAsia" w:ascii="宋体" w:hAnsi="宋体" w:cs="宋体"/>
                <w:b/>
                <w:bCs/>
                <w:color w:val="auto"/>
                <w:sz w:val="22"/>
                <w:szCs w:val="22"/>
                <w:highlight w:val="none"/>
              </w:rPr>
            </w:pPr>
          </w:p>
        </w:tc>
        <w:tc>
          <w:tcPr>
            <w:tcW w:w="1260" w:type="dxa"/>
            <w:vAlign w:val="center"/>
          </w:tcPr>
          <w:p w14:paraId="452F26BD">
            <w:pPr>
              <w:spacing w:line="380" w:lineRule="exact"/>
              <w:jc w:val="center"/>
              <w:rPr>
                <w:rFonts w:hint="eastAsia" w:ascii="宋体" w:hAnsi="宋体" w:cs="宋体"/>
                <w:b/>
                <w:bCs/>
                <w:color w:val="auto"/>
                <w:sz w:val="22"/>
                <w:szCs w:val="22"/>
                <w:highlight w:val="none"/>
              </w:rPr>
            </w:pPr>
          </w:p>
        </w:tc>
        <w:tc>
          <w:tcPr>
            <w:tcW w:w="1633" w:type="dxa"/>
            <w:vAlign w:val="center"/>
          </w:tcPr>
          <w:p w14:paraId="390D8815">
            <w:pPr>
              <w:spacing w:line="380" w:lineRule="exact"/>
              <w:jc w:val="center"/>
              <w:rPr>
                <w:rFonts w:hint="eastAsia" w:ascii="宋体" w:hAnsi="宋体" w:cs="宋体"/>
                <w:b/>
                <w:bCs/>
                <w:color w:val="auto"/>
                <w:sz w:val="22"/>
                <w:szCs w:val="22"/>
                <w:highlight w:val="none"/>
              </w:rPr>
            </w:pPr>
          </w:p>
        </w:tc>
      </w:tr>
      <w:tr w14:paraId="739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CAD4775">
            <w:pPr>
              <w:spacing w:line="380" w:lineRule="exact"/>
              <w:jc w:val="center"/>
              <w:rPr>
                <w:rFonts w:hint="eastAsia" w:ascii="宋体" w:hAnsi="宋体" w:cs="宋体"/>
                <w:b/>
                <w:bCs/>
                <w:color w:val="auto"/>
                <w:sz w:val="22"/>
                <w:szCs w:val="22"/>
                <w:highlight w:val="none"/>
              </w:rPr>
            </w:pPr>
          </w:p>
        </w:tc>
        <w:tc>
          <w:tcPr>
            <w:tcW w:w="2223" w:type="dxa"/>
            <w:vAlign w:val="center"/>
          </w:tcPr>
          <w:p w14:paraId="2A6A92A3">
            <w:pPr>
              <w:spacing w:line="380" w:lineRule="exact"/>
              <w:jc w:val="center"/>
              <w:rPr>
                <w:rFonts w:hint="eastAsia" w:ascii="宋体" w:hAnsi="宋体" w:cs="宋体"/>
                <w:b/>
                <w:bCs/>
                <w:color w:val="auto"/>
                <w:sz w:val="22"/>
                <w:szCs w:val="22"/>
                <w:highlight w:val="none"/>
              </w:rPr>
            </w:pPr>
          </w:p>
        </w:tc>
        <w:tc>
          <w:tcPr>
            <w:tcW w:w="2160" w:type="dxa"/>
            <w:vAlign w:val="center"/>
          </w:tcPr>
          <w:p w14:paraId="47EA3350">
            <w:pPr>
              <w:spacing w:line="380" w:lineRule="exact"/>
              <w:jc w:val="center"/>
              <w:rPr>
                <w:rFonts w:hint="eastAsia" w:ascii="宋体" w:hAnsi="宋体" w:cs="宋体"/>
                <w:b/>
                <w:bCs/>
                <w:color w:val="auto"/>
                <w:sz w:val="22"/>
                <w:szCs w:val="22"/>
                <w:highlight w:val="none"/>
              </w:rPr>
            </w:pPr>
          </w:p>
        </w:tc>
        <w:tc>
          <w:tcPr>
            <w:tcW w:w="1440" w:type="dxa"/>
            <w:vAlign w:val="center"/>
          </w:tcPr>
          <w:p w14:paraId="4F0B5854">
            <w:pPr>
              <w:spacing w:line="380" w:lineRule="exact"/>
              <w:jc w:val="center"/>
              <w:rPr>
                <w:rFonts w:hint="eastAsia" w:ascii="宋体" w:hAnsi="宋体" w:cs="宋体"/>
                <w:b/>
                <w:bCs/>
                <w:color w:val="auto"/>
                <w:sz w:val="22"/>
                <w:szCs w:val="22"/>
                <w:highlight w:val="none"/>
              </w:rPr>
            </w:pPr>
          </w:p>
        </w:tc>
        <w:tc>
          <w:tcPr>
            <w:tcW w:w="1260" w:type="dxa"/>
            <w:vAlign w:val="center"/>
          </w:tcPr>
          <w:p w14:paraId="3FDF62F7">
            <w:pPr>
              <w:spacing w:line="380" w:lineRule="exact"/>
              <w:jc w:val="center"/>
              <w:rPr>
                <w:rFonts w:hint="eastAsia" w:ascii="宋体" w:hAnsi="宋体" w:cs="宋体"/>
                <w:b/>
                <w:bCs/>
                <w:color w:val="auto"/>
                <w:sz w:val="22"/>
                <w:szCs w:val="22"/>
                <w:highlight w:val="none"/>
              </w:rPr>
            </w:pPr>
          </w:p>
        </w:tc>
        <w:tc>
          <w:tcPr>
            <w:tcW w:w="1633" w:type="dxa"/>
            <w:vAlign w:val="center"/>
          </w:tcPr>
          <w:p w14:paraId="26C6D42D">
            <w:pPr>
              <w:spacing w:line="380" w:lineRule="exact"/>
              <w:jc w:val="center"/>
              <w:rPr>
                <w:rFonts w:hint="eastAsia" w:ascii="宋体" w:hAnsi="宋体" w:cs="宋体"/>
                <w:b/>
                <w:bCs/>
                <w:color w:val="auto"/>
                <w:sz w:val="22"/>
                <w:szCs w:val="22"/>
                <w:highlight w:val="none"/>
              </w:rPr>
            </w:pPr>
          </w:p>
        </w:tc>
      </w:tr>
      <w:tr w14:paraId="5826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E816B2F">
            <w:pPr>
              <w:spacing w:line="380" w:lineRule="exact"/>
              <w:jc w:val="center"/>
              <w:rPr>
                <w:rFonts w:hint="eastAsia" w:ascii="宋体" w:hAnsi="宋体" w:cs="宋体"/>
                <w:b/>
                <w:bCs/>
                <w:color w:val="auto"/>
                <w:sz w:val="22"/>
                <w:szCs w:val="22"/>
                <w:highlight w:val="none"/>
              </w:rPr>
            </w:pPr>
          </w:p>
        </w:tc>
        <w:tc>
          <w:tcPr>
            <w:tcW w:w="2223" w:type="dxa"/>
            <w:vAlign w:val="center"/>
          </w:tcPr>
          <w:p w14:paraId="6FC45615">
            <w:pPr>
              <w:spacing w:line="380" w:lineRule="exact"/>
              <w:jc w:val="center"/>
              <w:rPr>
                <w:rFonts w:hint="eastAsia" w:ascii="宋体" w:hAnsi="宋体" w:cs="宋体"/>
                <w:b/>
                <w:bCs/>
                <w:color w:val="auto"/>
                <w:sz w:val="22"/>
                <w:szCs w:val="22"/>
                <w:highlight w:val="none"/>
              </w:rPr>
            </w:pPr>
          </w:p>
        </w:tc>
        <w:tc>
          <w:tcPr>
            <w:tcW w:w="2160" w:type="dxa"/>
            <w:vAlign w:val="center"/>
          </w:tcPr>
          <w:p w14:paraId="2FCBA7F0">
            <w:pPr>
              <w:spacing w:line="380" w:lineRule="exact"/>
              <w:jc w:val="center"/>
              <w:rPr>
                <w:rFonts w:hint="eastAsia" w:ascii="宋体" w:hAnsi="宋体" w:cs="宋体"/>
                <w:b/>
                <w:bCs/>
                <w:color w:val="auto"/>
                <w:sz w:val="22"/>
                <w:szCs w:val="22"/>
                <w:highlight w:val="none"/>
              </w:rPr>
            </w:pPr>
          </w:p>
        </w:tc>
        <w:tc>
          <w:tcPr>
            <w:tcW w:w="1440" w:type="dxa"/>
            <w:vAlign w:val="center"/>
          </w:tcPr>
          <w:p w14:paraId="56CD1F3F">
            <w:pPr>
              <w:spacing w:line="380" w:lineRule="exact"/>
              <w:jc w:val="center"/>
              <w:rPr>
                <w:rFonts w:hint="eastAsia" w:ascii="宋体" w:hAnsi="宋体" w:cs="宋体"/>
                <w:b/>
                <w:bCs/>
                <w:color w:val="auto"/>
                <w:sz w:val="22"/>
                <w:szCs w:val="22"/>
                <w:highlight w:val="none"/>
              </w:rPr>
            </w:pPr>
          </w:p>
        </w:tc>
        <w:tc>
          <w:tcPr>
            <w:tcW w:w="1260" w:type="dxa"/>
            <w:vAlign w:val="center"/>
          </w:tcPr>
          <w:p w14:paraId="563881CE">
            <w:pPr>
              <w:spacing w:line="380" w:lineRule="exact"/>
              <w:jc w:val="center"/>
              <w:rPr>
                <w:rFonts w:hint="eastAsia" w:ascii="宋体" w:hAnsi="宋体" w:cs="宋体"/>
                <w:b/>
                <w:bCs/>
                <w:color w:val="auto"/>
                <w:sz w:val="22"/>
                <w:szCs w:val="22"/>
                <w:highlight w:val="none"/>
              </w:rPr>
            </w:pPr>
          </w:p>
        </w:tc>
        <w:tc>
          <w:tcPr>
            <w:tcW w:w="1633" w:type="dxa"/>
            <w:vAlign w:val="center"/>
          </w:tcPr>
          <w:p w14:paraId="39B619CD">
            <w:pPr>
              <w:spacing w:line="380" w:lineRule="exact"/>
              <w:jc w:val="center"/>
              <w:rPr>
                <w:rFonts w:hint="eastAsia" w:ascii="宋体" w:hAnsi="宋体" w:cs="宋体"/>
                <w:b/>
                <w:bCs/>
                <w:color w:val="auto"/>
                <w:sz w:val="22"/>
                <w:szCs w:val="22"/>
                <w:highlight w:val="none"/>
              </w:rPr>
            </w:pPr>
          </w:p>
        </w:tc>
      </w:tr>
      <w:tr w14:paraId="5A6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850D0C0">
            <w:pPr>
              <w:spacing w:line="380" w:lineRule="exact"/>
              <w:jc w:val="center"/>
              <w:rPr>
                <w:rFonts w:hint="eastAsia" w:ascii="宋体" w:hAnsi="宋体" w:cs="宋体"/>
                <w:b/>
                <w:bCs/>
                <w:color w:val="auto"/>
                <w:sz w:val="22"/>
                <w:szCs w:val="22"/>
                <w:highlight w:val="none"/>
              </w:rPr>
            </w:pPr>
          </w:p>
        </w:tc>
        <w:tc>
          <w:tcPr>
            <w:tcW w:w="2223" w:type="dxa"/>
            <w:vAlign w:val="center"/>
          </w:tcPr>
          <w:p w14:paraId="6FDBDC11">
            <w:pPr>
              <w:spacing w:line="380" w:lineRule="exact"/>
              <w:jc w:val="center"/>
              <w:rPr>
                <w:rFonts w:hint="eastAsia" w:ascii="宋体" w:hAnsi="宋体" w:cs="宋体"/>
                <w:b/>
                <w:bCs/>
                <w:color w:val="auto"/>
                <w:sz w:val="22"/>
                <w:szCs w:val="22"/>
                <w:highlight w:val="none"/>
              </w:rPr>
            </w:pPr>
          </w:p>
        </w:tc>
        <w:tc>
          <w:tcPr>
            <w:tcW w:w="2160" w:type="dxa"/>
            <w:vAlign w:val="center"/>
          </w:tcPr>
          <w:p w14:paraId="24831FD8">
            <w:pPr>
              <w:spacing w:line="380" w:lineRule="exact"/>
              <w:jc w:val="center"/>
              <w:rPr>
                <w:rFonts w:hint="eastAsia" w:ascii="宋体" w:hAnsi="宋体" w:cs="宋体"/>
                <w:b/>
                <w:bCs/>
                <w:color w:val="auto"/>
                <w:sz w:val="22"/>
                <w:szCs w:val="22"/>
                <w:highlight w:val="none"/>
              </w:rPr>
            </w:pPr>
          </w:p>
        </w:tc>
        <w:tc>
          <w:tcPr>
            <w:tcW w:w="1440" w:type="dxa"/>
            <w:vAlign w:val="center"/>
          </w:tcPr>
          <w:p w14:paraId="2C666C31">
            <w:pPr>
              <w:spacing w:line="380" w:lineRule="exact"/>
              <w:jc w:val="center"/>
              <w:rPr>
                <w:rFonts w:hint="eastAsia" w:ascii="宋体" w:hAnsi="宋体" w:cs="宋体"/>
                <w:b/>
                <w:bCs/>
                <w:color w:val="auto"/>
                <w:sz w:val="22"/>
                <w:szCs w:val="22"/>
                <w:highlight w:val="none"/>
              </w:rPr>
            </w:pPr>
          </w:p>
        </w:tc>
        <w:tc>
          <w:tcPr>
            <w:tcW w:w="1260" w:type="dxa"/>
            <w:vAlign w:val="center"/>
          </w:tcPr>
          <w:p w14:paraId="47248ABE">
            <w:pPr>
              <w:spacing w:line="380" w:lineRule="exact"/>
              <w:jc w:val="center"/>
              <w:rPr>
                <w:rFonts w:hint="eastAsia" w:ascii="宋体" w:hAnsi="宋体" w:cs="宋体"/>
                <w:b/>
                <w:bCs/>
                <w:color w:val="auto"/>
                <w:sz w:val="22"/>
                <w:szCs w:val="22"/>
                <w:highlight w:val="none"/>
              </w:rPr>
            </w:pPr>
          </w:p>
        </w:tc>
        <w:tc>
          <w:tcPr>
            <w:tcW w:w="1633" w:type="dxa"/>
            <w:vAlign w:val="center"/>
          </w:tcPr>
          <w:p w14:paraId="4CAE9F75">
            <w:pPr>
              <w:spacing w:line="380" w:lineRule="exact"/>
              <w:jc w:val="center"/>
              <w:rPr>
                <w:rFonts w:hint="eastAsia" w:ascii="宋体" w:hAnsi="宋体" w:cs="宋体"/>
                <w:b/>
                <w:bCs/>
                <w:color w:val="auto"/>
                <w:sz w:val="22"/>
                <w:szCs w:val="22"/>
                <w:highlight w:val="none"/>
              </w:rPr>
            </w:pPr>
          </w:p>
        </w:tc>
      </w:tr>
      <w:tr w14:paraId="44C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49EC3AD">
            <w:pPr>
              <w:spacing w:line="380" w:lineRule="exact"/>
              <w:jc w:val="center"/>
              <w:rPr>
                <w:rFonts w:hint="eastAsia" w:ascii="宋体" w:hAnsi="宋体" w:cs="宋体"/>
                <w:b/>
                <w:bCs/>
                <w:color w:val="auto"/>
                <w:sz w:val="22"/>
                <w:szCs w:val="22"/>
                <w:highlight w:val="none"/>
              </w:rPr>
            </w:pPr>
          </w:p>
        </w:tc>
        <w:tc>
          <w:tcPr>
            <w:tcW w:w="2223" w:type="dxa"/>
            <w:vAlign w:val="center"/>
          </w:tcPr>
          <w:p w14:paraId="53392929">
            <w:pPr>
              <w:spacing w:line="380" w:lineRule="exact"/>
              <w:jc w:val="center"/>
              <w:rPr>
                <w:rFonts w:hint="eastAsia" w:ascii="宋体" w:hAnsi="宋体" w:cs="宋体"/>
                <w:b/>
                <w:bCs/>
                <w:color w:val="auto"/>
                <w:sz w:val="22"/>
                <w:szCs w:val="22"/>
                <w:highlight w:val="none"/>
              </w:rPr>
            </w:pPr>
          </w:p>
        </w:tc>
        <w:tc>
          <w:tcPr>
            <w:tcW w:w="2160" w:type="dxa"/>
            <w:vAlign w:val="center"/>
          </w:tcPr>
          <w:p w14:paraId="0468EC97">
            <w:pPr>
              <w:spacing w:line="380" w:lineRule="exact"/>
              <w:jc w:val="center"/>
              <w:rPr>
                <w:rFonts w:hint="eastAsia" w:ascii="宋体" w:hAnsi="宋体" w:cs="宋体"/>
                <w:b/>
                <w:bCs/>
                <w:color w:val="auto"/>
                <w:sz w:val="22"/>
                <w:szCs w:val="22"/>
                <w:highlight w:val="none"/>
              </w:rPr>
            </w:pPr>
          </w:p>
        </w:tc>
        <w:tc>
          <w:tcPr>
            <w:tcW w:w="1440" w:type="dxa"/>
            <w:vAlign w:val="center"/>
          </w:tcPr>
          <w:p w14:paraId="046AC8D9">
            <w:pPr>
              <w:spacing w:line="380" w:lineRule="exact"/>
              <w:jc w:val="center"/>
              <w:rPr>
                <w:rFonts w:hint="eastAsia" w:ascii="宋体" w:hAnsi="宋体" w:cs="宋体"/>
                <w:b/>
                <w:bCs/>
                <w:color w:val="auto"/>
                <w:sz w:val="22"/>
                <w:szCs w:val="22"/>
                <w:highlight w:val="none"/>
              </w:rPr>
            </w:pPr>
          </w:p>
        </w:tc>
        <w:tc>
          <w:tcPr>
            <w:tcW w:w="1260" w:type="dxa"/>
            <w:vAlign w:val="center"/>
          </w:tcPr>
          <w:p w14:paraId="2D578A4C">
            <w:pPr>
              <w:spacing w:line="380" w:lineRule="exact"/>
              <w:jc w:val="center"/>
              <w:rPr>
                <w:rFonts w:hint="eastAsia" w:ascii="宋体" w:hAnsi="宋体" w:cs="宋体"/>
                <w:b/>
                <w:bCs/>
                <w:color w:val="auto"/>
                <w:sz w:val="22"/>
                <w:szCs w:val="22"/>
                <w:highlight w:val="none"/>
              </w:rPr>
            </w:pPr>
          </w:p>
        </w:tc>
        <w:tc>
          <w:tcPr>
            <w:tcW w:w="1633" w:type="dxa"/>
            <w:vAlign w:val="center"/>
          </w:tcPr>
          <w:p w14:paraId="75E9094C">
            <w:pPr>
              <w:spacing w:line="380" w:lineRule="exact"/>
              <w:jc w:val="center"/>
              <w:rPr>
                <w:rFonts w:hint="eastAsia" w:ascii="宋体" w:hAnsi="宋体" w:cs="宋体"/>
                <w:b/>
                <w:bCs/>
                <w:color w:val="auto"/>
                <w:sz w:val="22"/>
                <w:szCs w:val="22"/>
                <w:highlight w:val="none"/>
              </w:rPr>
            </w:pPr>
          </w:p>
        </w:tc>
      </w:tr>
      <w:tr w14:paraId="503B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67C9268">
            <w:pPr>
              <w:spacing w:line="380" w:lineRule="exact"/>
              <w:jc w:val="center"/>
              <w:rPr>
                <w:rFonts w:hint="eastAsia" w:ascii="宋体" w:hAnsi="宋体" w:cs="宋体"/>
                <w:b/>
                <w:bCs/>
                <w:color w:val="auto"/>
                <w:sz w:val="22"/>
                <w:szCs w:val="22"/>
                <w:highlight w:val="none"/>
              </w:rPr>
            </w:pPr>
          </w:p>
        </w:tc>
        <w:tc>
          <w:tcPr>
            <w:tcW w:w="2223" w:type="dxa"/>
            <w:vAlign w:val="center"/>
          </w:tcPr>
          <w:p w14:paraId="417D755F">
            <w:pPr>
              <w:spacing w:line="380" w:lineRule="exact"/>
              <w:jc w:val="center"/>
              <w:rPr>
                <w:rFonts w:hint="eastAsia" w:ascii="宋体" w:hAnsi="宋体" w:cs="宋体"/>
                <w:b/>
                <w:bCs/>
                <w:color w:val="auto"/>
                <w:sz w:val="22"/>
                <w:szCs w:val="22"/>
                <w:highlight w:val="none"/>
              </w:rPr>
            </w:pPr>
          </w:p>
        </w:tc>
        <w:tc>
          <w:tcPr>
            <w:tcW w:w="2160" w:type="dxa"/>
            <w:vAlign w:val="center"/>
          </w:tcPr>
          <w:p w14:paraId="66FD45B3">
            <w:pPr>
              <w:spacing w:line="380" w:lineRule="exact"/>
              <w:jc w:val="center"/>
              <w:rPr>
                <w:rFonts w:hint="eastAsia" w:ascii="宋体" w:hAnsi="宋体" w:cs="宋体"/>
                <w:b/>
                <w:bCs/>
                <w:color w:val="auto"/>
                <w:sz w:val="22"/>
                <w:szCs w:val="22"/>
                <w:highlight w:val="none"/>
              </w:rPr>
            </w:pPr>
          </w:p>
        </w:tc>
        <w:tc>
          <w:tcPr>
            <w:tcW w:w="1440" w:type="dxa"/>
            <w:vAlign w:val="center"/>
          </w:tcPr>
          <w:p w14:paraId="699DE5B7">
            <w:pPr>
              <w:spacing w:line="380" w:lineRule="exact"/>
              <w:jc w:val="center"/>
              <w:rPr>
                <w:rFonts w:hint="eastAsia" w:ascii="宋体" w:hAnsi="宋体" w:cs="宋体"/>
                <w:b/>
                <w:bCs/>
                <w:color w:val="auto"/>
                <w:sz w:val="22"/>
                <w:szCs w:val="22"/>
                <w:highlight w:val="none"/>
              </w:rPr>
            </w:pPr>
          </w:p>
        </w:tc>
        <w:tc>
          <w:tcPr>
            <w:tcW w:w="1260" w:type="dxa"/>
            <w:vAlign w:val="center"/>
          </w:tcPr>
          <w:p w14:paraId="606B4E78">
            <w:pPr>
              <w:spacing w:line="380" w:lineRule="exact"/>
              <w:jc w:val="center"/>
              <w:rPr>
                <w:rFonts w:hint="eastAsia" w:ascii="宋体" w:hAnsi="宋体" w:cs="宋体"/>
                <w:b/>
                <w:bCs/>
                <w:color w:val="auto"/>
                <w:sz w:val="22"/>
                <w:szCs w:val="22"/>
                <w:highlight w:val="none"/>
              </w:rPr>
            </w:pPr>
          </w:p>
        </w:tc>
        <w:tc>
          <w:tcPr>
            <w:tcW w:w="1633" w:type="dxa"/>
            <w:vAlign w:val="center"/>
          </w:tcPr>
          <w:p w14:paraId="4B7D019D">
            <w:pPr>
              <w:spacing w:line="380" w:lineRule="exact"/>
              <w:jc w:val="center"/>
              <w:rPr>
                <w:rFonts w:hint="eastAsia" w:ascii="宋体" w:hAnsi="宋体" w:cs="宋体"/>
                <w:b/>
                <w:bCs/>
                <w:color w:val="auto"/>
                <w:sz w:val="22"/>
                <w:szCs w:val="22"/>
                <w:highlight w:val="none"/>
              </w:rPr>
            </w:pPr>
          </w:p>
        </w:tc>
      </w:tr>
      <w:tr w14:paraId="5935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E8280A2">
            <w:pPr>
              <w:spacing w:line="380" w:lineRule="exact"/>
              <w:jc w:val="center"/>
              <w:rPr>
                <w:rFonts w:hint="eastAsia" w:ascii="宋体" w:hAnsi="宋体" w:cs="宋体"/>
                <w:b/>
                <w:bCs/>
                <w:color w:val="auto"/>
                <w:sz w:val="22"/>
                <w:szCs w:val="22"/>
                <w:highlight w:val="none"/>
              </w:rPr>
            </w:pPr>
          </w:p>
        </w:tc>
        <w:tc>
          <w:tcPr>
            <w:tcW w:w="2223" w:type="dxa"/>
            <w:vAlign w:val="center"/>
          </w:tcPr>
          <w:p w14:paraId="2E0447FC">
            <w:pPr>
              <w:spacing w:line="380" w:lineRule="exact"/>
              <w:jc w:val="center"/>
              <w:rPr>
                <w:rFonts w:hint="eastAsia" w:ascii="宋体" w:hAnsi="宋体" w:cs="宋体"/>
                <w:b/>
                <w:bCs/>
                <w:color w:val="auto"/>
                <w:sz w:val="22"/>
                <w:szCs w:val="22"/>
                <w:highlight w:val="none"/>
              </w:rPr>
            </w:pPr>
          </w:p>
        </w:tc>
        <w:tc>
          <w:tcPr>
            <w:tcW w:w="2160" w:type="dxa"/>
            <w:vAlign w:val="center"/>
          </w:tcPr>
          <w:p w14:paraId="64796CC3">
            <w:pPr>
              <w:spacing w:line="380" w:lineRule="exact"/>
              <w:jc w:val="center"/>
              <w:rPr>
                <w:rFonts w:hint="eastAsia" w:ascii="宋体" w:hAnsi="宋体" w:cs="宋体"/>
                <w:b/>
                <w:bCs/>
                <w:color w:val="auto"/>
                <w:sz w:val="22"/>
                <w:szCs w:val="22"/>
                <w:highlight w:val="none"/>
              </w:rPr>
            </w:pPr>
          </w:p>
        </w:tc>
        <w:tc>
          <w:tcPr>
            <w:tcW w:w="1440" w:type="dxa"/>
            <w:vAlign w:val="center"/>
          </w:tcPr>
          <w:p w14:paraId="5A838951">
            <w:pPr>
              <w:spacing w:line="380" w:lineRule="exact"/>
              <w:jc w:val="center"/>
              <w:rPr>
                <w:rFonts w:hint="eastAsia" w:ascii="宋体" w:hAnsi="宋体" w:cs="宋体"/>
                <w:b/>
                <w:bCs/>
                <w:color w:val="auto"/>
                <w:sz w:val="22"/>
                <w:szCs w:val="22"/>
                <w:highlight w:val="none"/>
              </w:rPr>
            </w:pPr>
          </w:p>
        </w:tc>
        <w:tc>
          <w:tcPr>
            <w:tcW w:w="1260" w:type="dxa"/>
            <w:vAlign w:val="center"/>
          </w:tcPr>
          <w:p w14:paraId="2A452C3F">
            <w:pPr>
              <w:spacing w:line="380" w:lineRule="exact"/>
              <w:jc w:val="center"/>
              <w:rPr>
                <w:rFonts w:hint="eastAsia" w:ascii="宋体" w:hAnsi="宋体" w:cs="宋体"/>
                <w:b/>
                <w:bCs/>
                <w:color w:val="auto"/>
                <w:sz w:val="22"/>
                <w:szCs w:val="22"/>
                <w:highlight w:val="none"/>
              </w:rPr>
            </w:pPr>
          </w:p>
        </w:tc>
        <w:tc>
          <w:tcPr>
            <w:tcW w:w="1633" w:type="dxa"/>
            <w:vAlign w:val="center"/>
          </w:tcPr>
          <w:p w14:paraId="6820B586">
            <w:pPr>
              <w:spacing w:line="380" w:lineRule="exact"/>
              <w:jc w:val="center"/>
              <w:rPr>
                <w:rFonts w:hint="eastAsia" w:ascii="宋体" w:hAnsi="宋体" w:cs="宋体"/>
                <w:b/>
                <w:bCs/>
                <w:color w:val="auto"/>
                <w:sz w:val="22"/>
                <w:szCs w:val="22"/>
                <w:highlight w:val="none"/>
              </w:rPr>
            </w:pPr>
          </w:p>
        </w:tc>
      </w:tr>
      <w:tr w14:paraId="631A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277EF56">
            <w:pPr>
              <w:spacing w:line="380" w:lineRule="exact"/>
              <w:jc w:val="center"/>
              <w:rPr>
                <w:rFonts w:hint="eastAsia" w:ascii="宋体" w:hAnsi="宋体" w:cs="宋体"/>
                <w:b/>
                <w:bCs/>
                <w:color w:val="auto"/>
                <w:sz w:val="22"/>
                <w:szCs w:val="22"/>
                <w:highlight w:val="none"/>
              </w:rPr>
            </w:pPr>
          </w:p>
        </w:tc>
        <w:tc>
          <w:tcPr>
            <w:tcW w:w="2223" w:type="dxa"/>
            <w:vAlign w:val="center"/>
          </w:tcPr>
          <w:p w14:paraId="56660F14">
            <w:pPr>
              <w:spacing w:line="380" w:lineRule="exact"/>
              <w:jc w:val="center"/>
              <w:rPr>
                <w:rFonts w:hint="eastAsia" w:ascii="宋体" w:hAnsi="宋体" w:cs="宋体"/>
                <w:b/>
                <w:bCs/>
                <w:color w:val="auto"/>
                <w:sz w:val="22"/>
                <w:szCs w:val="22"/>
                <w:highlight w:val="none"/>
              </w:rPr>
            </w:pPr>
          </w:p>
        </w:tc>
        <w:tc>
          <w:tcPr>
            <w:tcW w:w="2160" w:type="dxa"/>
            <w:vAlign w:val="center"/>
          </w:tcPr>
          <w:p w14:paraId="6341E279">
            <w:pPr>
              <w:spacing w:line="380" w:lineRule="exact"/>
              <w:jc w:val="center"/>
              <w:rPr>
                <w:rFonts w:hint="eastAsia" w:ascii="宋体" w:hAnsi="宋体" w:cs="宋体"/>
                <w:b/>
                <w:bCs/>
                <w:color w:val="auto"/>
                <w:sz w:val="22"/>
                <w:szCs w:val="22"/>
                <w:highlight w:val="none"/>
              </w:rPr>
            </w:pPr>
          </w:p>
        </w:tc>
        <w:tc>
          <w:tcPr>
            <w:tcW w:w="1440" w:type="dxa"/>
            <w:vAlign w:val="center"/>
          </w:tcPr>
          <w:p w14:paraId="13B68C9E">
            <w:pPr>
              <w:spacing w:line="380" w:lineRule="exact"/>
              <w:jc w:val="center"/>
              <w:rPr>
                <w:rFonts w:hint="eastAsia" w:ascii="宋体" w:hAnsi="宋体" w:cs="宋体"/>
                <w:b/>
                <w:bCs/>
                <w:color w:val="auto"/>
                <w:sz w:val="22"/>
                <w:szCs w:val="22"/>
                <w:highlight w:val="none"/>
              </w:rPr>
            </w:pPr>
          </w:p>
        </w:tc>
        <w:tc>
          <w:tcPr>
            <w:tcW w:w="1260" w:type="dxa"/>
            <w:vAlign w:val="center"/>
          </w:tcPr>
          <w:p w14:paraId="4D3FDDD5">
            <w:pPr>
              <w:spacing w:line="380" w:lineRule="exact"/>
              <w:jc w:val="center"/>
              <w:rPr>
                <w:rFonts w:hint="eastAsia" w:ascii="宋体" w:hAnsi="宋体" w:cs="宋体"/>
                <w:b/>
                <w:bCs/>
                <w:color w:val="auto"/>
                <w:sz w:val="22"/>
                <w:szCs w:val="22"/>
                <w:highlight w:val="none"/>
              </w:rPr>
            </w:pPr>
          </w:p>
        </w:tc>
        <w:tc>
          <w:tcPr>
            <w:tcW w:w="1633" w:type="dxa"/>
            <w:vAlign w:val="center"/>
          </w:tcPr>
          <w:p w14:paraId="6332DF3B">
            <w:pPr>
              <w:spacing w:line="380" w:lineRule="exact"/>
              <w:jc w:val="center"/>
              <w:rPr>
                <w:rFonts w:hint="eastAsia" w:ascii="宋体" w:hAnsi="宋体" w:cs="宋体"/>
                <w:b/>
                <w:bCs/>
                <w:color w:val="auto"/>
                <w:sz w:val="22"/>
                <w:szCs w:val="22"/>
                <w:highlight w:val="none"/>
              </w:rPr>
            </w:pPr>
          </w:p>
        </w:tc>
      </w:tr>
      <w:tr w14:paraId="685D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659473D3">
            <w:pPr>
              <w:spacing w:line="380" w:lineRule="exact"/>
              <w:jc w:val="center"/>
              <w:rPr>
                <w:rFonts w:hint="eastAsia" w:ascii="宋体" w:hAnsi="宋体" w:cs="宋体"/>
                <w:b/>
                <w:bCs/>
                <w:color w:val="auto"/>
                <w:sz w:val="22"/>
                <w:szCs w:val="22"/>
                <w:highlight w:val="none"/>
              </w:rPr>
            </w:pPr>
          </w:p>
        </w:tc>
        <w:tc>
          <w:tcPr>
            <w:tcW w:w="2223" w:type="dxa"/>
            <w:vAlign w:val="center"/>
          </w:tcPr>
          <w:p w14:paraId="0BCA19AD">
            <w:pPr>
              <w:spacing w:line="380" w:lineRule="exact"/>
              <w:jc w:val="center"/>
              <w:rPr>
                <w:rFonts w:hint="eastAsia" w:ascii="宋体" w:hAnsi="宋体" w:cs="宋体"/>
                <w:b/>
                <w:bCs/>
                <w:color w:val="auto"/>
                <w:sz w:val="22"/>
                <w:szCs w:val="22"/>
                <w:highlight w:val="none"/>
              </w:rPr>
            </w:pPr>
          </w:p>
        </w:tc>
        <w:tc>
          <w:tcPr>
            <w:tcW w:w="2160" w:type="dxa"/>
            <w:vAlign w:val="center"/>
          </w:tcPr>
          <w:p w14:paraId="3AECAF39">
            <w:pPr>
              <w:spacing w:line="380" w:lineRule="exact"/>
              <w:jc w:val="center"/>
              <w:rPr>
                <w:rFonts w:hint="eastAsia" w:ascii="宋体" w:hAnsi="宋体" w:cs="宋体"/>
                <w:b/>
                <w:bCs/>
                <w:color w:val="auto"/>
                <w:sz w:val="22"/>
                <w:szCs w:val="22"/>
                <w:highlight w:val="none"/>
              </w:rPr>
            </w:pPr>
          </w:p>
        </w:tc>
        <w:tc>
          <w:tcPr>
            <w:tcW w:w="1440" w:type="dxa"/>
            <w:vAlign w:val="center"/>
          </w:tcPr>
          <w:p w14:paraId="1BBA6029">
            <w:pPr>
              <w:spacing w:line="380" w:lineRule="exact"/>
              <w:jc w:val="center"/>
              <w:rPr>
                <w:rFonts w:hint="eastAsia" w:ascii="宋体" w:hAnsi="宋体" w:cs="宋体"/>
                <w:b/>
                <w:bCs/>
                <w:color w:val="auto"/>
                <w:sz w:val="22"/>
                <w:szCs w:val="22"/>
                <w:highlight w:val="none"/>
              </w:rPr>
            </w:pPr>
          </w:p>
        </w:tc>
        <w:tc>
          <w:tcPr>
            <w:tcW w:w="1260" w:type="dxa"/>
            <w:vAlign w:val="center"/>
          </w:tcPr>
          <w:p w14:paraId="0F55B363">
            <w:pPr>
              <w:spacing w:line="380" w:lineRule="exact"/>
              <w:jc w:val="center"/>
              <w:rPr>
                <w:rFonts w:hint="eastAsia" w:ascii="宋体" w:hAnsi="宋体" w:cs="宋体"/>
                <w:b/>
                <w:bCs/>
                <w:color w:val="auto"/>
                <w:sz w:val="22"/>
                <w:szCs w:val="22"/>
                <w:highlight w:val="none"/>
              </w:rPr>
            </w:pPr>
          </w:p>
        </w:tc>
        <w:tc>
          <w:tcPr>
            <w:tcW w:w="1633" w:type="dxa"/>
            <w:vAlign w:val="center"/>
          </w:tcPr>
          <w:p w14:paraId="41D2CACD">
            <w:pPr>
              <w:spacing w:line="380" w:lineRule="exact"/>
              <w:jc w:val="center"/>
              <w:rPr>
                <w:rFonts w:hint="eastAsia" w:ascii="宋体" w:hAnsi="宋体" w:cs="宋体"/>
                <w:b/>
                <w:bCs/>
                <w:color w:val="auto"/>
                <w:sz w:val="22"/>
                <w:szCs w:val="22"/>
                <w:highlight w:val="none"/>
              </w:rPr>
            </w:pPr>
          </w:p>
        </w:tc>
      </w:tr>
      <w:tr w14:paraId="0646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A1F3189">
            <w:pPr>
              <w:spacing w:line="380" w:lineRule="exact"/>
              <w:jc w:val="center"/>
              <w:rPr>
                <w:rFonts w:hint="eastAsia" w:ascii="宋体" w:hAnsi="宋体" w:cs="宋体"/>
                <w:b/>
                <w:bCs/>
                <w:color w:val="auto"/>
                <w:sz w:val="22"/>
                <w:szCs w:val="22"/>
                <w:highlight w:val="none"/>
              </w:rPr>
            </w:pPr>
          </w:p>
        </w:tc>
        <w:tc>
          <w:tcPr>
            <w:tcW w:w="2223" w:type="dxa"/>
            <w:vAlign w:val="center"/>
          </w:tcPr>
          <w:p w14:paraId="1847CB99">
            <w:pPr>
              <w:spacing w:line="380" w:lineRule="exact"/>
              <w:jc w:val="center"/>
              <w:rPr>
                <w:rFonts w:hint="eastAsia" w:ascii="宋体" w:hAnsi="宋体" w:cs="宋体"/>
                <w:b/>
                <w:bCs/>
                <w:color w:val="auto"/>
                <w:sz w:val="22"/>
                <w:szCs w:val="22"/>
                <w:highlight w:val="none"/>
              </w:rPr>
            </w:pPr>
          </w:p>
        </w:tc>
        <w:tc>
          <w:tcPr>
            <w:tcW w:w="2160" w:type="dxa"/>
            <w:vAlign w:val="center"/>
          </w:tcPr>
          <w:p w14:paraId="3A5174FB">
            <w:pPr>
              <w:spacing w:line="380" w:lineRule="exact"/>
              <w:jc w:val="center"/>
              <w:rPr>
                <w:rFonts w:hint="eastAsia" w:ascii="宋体" w:hAnsi="宋体" w:cs="宋体"/>
                <w:b/>
                <w:bCs/>
                <w:color w:val="auto"/>
                <w:sz w:val="22"/>
                <w:szCs w:val="22"/>
                <w:highlight w:val="none"/>
              </w:rPr>
            </w:pPr>
          </w:p>
        </w:tc>
        <w:tc>
          <w:tcPr>
            <w:tcW w:w="1440" w:type="dxa"/>
            <w:vAlign w:val="center"/>
          </w:tcPr>
          <w:p w14:paraId="733D639B">
            <w:pPr>
              <w:spacing w:line="380" w:lineRule="exact"/>
              <w:jc w:val="center"/>
              <w:rPr>
                <w:rFonts w:hint="eastAsia" w:ascii="宋体" w:hAnsi="宋体" w:cs="宋体"/>
                <w:b/>
                <w:bCs/>
                <w:color w:val="auto"/>
                <w:sz w:val="22"/>
                <w:szCs w:val="22"/>
                <w:highlight w:val="none"/>
              </w:rPr>
            </w:pPr>
          </w:p>
        </w:tc>
        <w:tc>
          <w:tcPr>
            <w:tcW w:w="1260" w:type="dxa"/>
            <w:vAlign w:val="center"/>
          </w:tcPr>
          <w:p w14:paraId="3CD48913">
            <w:pPr>
              <w:spacing w:line="380" w:lineRule="exact"/>
              <w:jc w:val="center"/>
              <w:rPr>
                <w:rFonts w:hint="eastAsia" w:ascii="宋体" w:hAnsi="宋体" w:cs="宋体"/>
                <w:b/>
                <w:bCs/>
                <w:color w:val="auto"/>
                <w:sz w:val="22"/>
                <w:szCs w:val="22"/>
                <w:highlight w:val="none"/>
              </w:rPr>
            </w:pPr>
          </w:p>
        </w:tc>
        <w:tc>
          <w:tcPr>
            <w:tcW w:w="1633" w:type="dxa"/>
            <w:vAlign w:val="center"/>
          </w:tcPr>
          <w:p w14:paraId="3F7E778A">
            <w:pPr>
              <w:spacing w:line="380" w:lineRule="exact"/>
              <w:jc w:val="center"/>
              <w:rPr>
                <w:rFonts w:hint="eastAsia" w:ascii="宋体" w:hAnsi="宋体" w:cs="宋体"/>
                <w:b/>
                <w:bCs/>
                <w:color w:val="auto"/>
                <w:sz w:val="22"/>
                <w:szCs w:val="22"/>
                <w:highlight w:val="none"/>
              </w:rPr>
            </w:pPr>
          </w:p>
        </w:tc>
      </w:tr>
      <w:tr w14:paraId="03A1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B072A79">
            <w:pPr>
              <w:spacing w:line="380" w:lineRule="exact"/>
              <w:jc w:val="center"/>
              <w:rPr>
                <w:rFonts w:hint="eastAsia" w:ascii="宋体" w:hAnsi="宋体" w:cs="宋体"/>
                <w:b/>
                <w:bCs/>
                <w:color w:val="auto"/>
                <w:sz w:val="22"/>
                <w:szCs w:val="22"/>
                <w:highlight w:val="none"/>
              </w:rPr>
            </w:pPr>
          </w:p>
        </w:tc>
        <w:tc>
          <w:tcPr>
            <w:tcW w:w="2223" w:type="dxa"/>
            <w:vAlign w:val="center"/>
          </w:tcPr>
          <w:p w14:paraId="4A90FDCB">
            <w:pPr>
              <w:spacing w:line="380" w:lineRule="exact"/>
              <w:jc w:val="center"/>
              <w:rPr>
                <w:rFonts w:hint="eastAsia" w:ascii="宋体" w:hAnsi="宋体" w:cs="宋体"/>
                <w:b/>
                <w:bCs/>
                <w:color w:val="auto"/>
                <w:sz w:val="22"/>
                <w:szCs w:val="22"/>
                <w:highlight w:val="none"/>
              </w:rPr>
            </w:pPr>
          </w:p>
        </w:tc>
        <w:tc>
          <w:tcPr>
            <w:tcW w:w="2160" w:type="dxa"/>
            <w:vAlign w:val="center"/>
          </w:tcPr>
          <w:p w14:paraId="162F1892">
            <w:pPr>
              <w:spacing w:line="380" w:lineRule="exact"/>
              <w:jc w:val="center"/>
              <w:rPr>
                <w:rFonts w:hint="eastAsia" w:ascii="宋体" w:hAnsi="宋体" w:cs="宋体"/>
                <w:b/>
                <w:bCs/>
                <w:color w:val="auto"/>
                <w:sz w:val="22"/>
                <w:szCs w:val="22"/>
                <w:highlight w:val="none"/>
              </w:rPr>
            </w:pPr>
          </w:p>
        </w:tc>
        <w:tc>
          <w:tcPr>
            <w:tcW w:w="1440" w:type="dxa"/>
            <w:vAlign w:val="center"/>
          </w:tcPr>
          <w:p w14:paraId="4BAEBEAF">
            <w:pPr>
              <w:spacing w:line="380" w:lineRule="exact"/>
              <w:jc w:val="center"/>
              <w:rPr>
                <w:rFonts w:hint="eastAsia" w:ascii="宋体" w:hAnsi="宋体" w:cs="宋体"/>
                <w:b/>
                <w:bCs/>
                <w:color w:val="auto"/>
                <w:sz w:val="22"/>
                <w:szCs w:val="22"/>
                <w:highlight w:val="none"/>
              </w:rPr>
            </w:pPr>
          </w:p>
        </w:tc>
        <w:tc>
          <w:tcPr>
            <w:tcW w:w="1260" w:type="dxa"/>
            <w:vAlign w:val="center"/>
          </w:tcPr>
          <w:p w14:paraId="12F48573">
            <w:pPr>
              <w:spacing w:line="380" w:lineRule="exact"/>
              <w:jc w:val="center"/>
              <w:rPr>
                <w:rFonts w:hint="eastAsia" w:ascii="宋体" w:hAnsi="宋体" w:cs="宋体"/>
                <w:b/>
                <w:bCs/>
                <w:color w:val="auto"/>
                <w:sz w:val="22"/>
                <w:szCs w:val="22"/>
                <w:highlight w:val="none"/>
              </w:rPr>
            </w:pPr>
          </w:p>
        </w:tc>
        <w:tc>
          <w:tcPr>
            <w:tcW w:w="1633" w:type="dxa"/>
            <w:vAlign w:val="center"/>
          </w:tcPr>
          <w:p w14:paraId="663FA9D7">
            <w:pPr>
              <w:spacing w:line="380" w:lineRule="exact"/>
              <w:jc w:val="center"/>
              <w:rPr>
                <w:rFonts w:hint="eastAsia" w:ascii="宋体" w:hAnsi="宋体" w:cs="宋体"/>
                <w:b/>
                <w:bCs/>
                <w:color w:val="auto"/>
                <w:sz w:val="22"/>
                <w:szCs w:val="22"/>
                <w:highlight w:val="none"/>
              </w:rPr>
            </w:pPr>
          </w:p>
        </w:tc>
      </w:tr>
    </w:tbl>
    <w:p w14:paraId="51EC0DBE">
      <w:pPr>
        <w:spacing w:line="460" w:lineRule="exact"/>
        <w:ind w:left="755" w:hanging="754" w:hangingChars="343"/>
        <w:rPr>
          <w:rFonts w:hint="eastAsia" w:ascii="宋体" w:hAnsi="宋体" w:cs="宋体"/>
          <w:b/>
          <w:color w:val="auto"/>
          <w:sz w:val="22"/>
          <w:szCs w:val="22"/>
          <w:highlight w:val="none"/>
        </w:rPr>
      </w:pPr>
      <w:r>
        <w:rPr>
          <w:rFonts w:hint="eastAsia" w:ascii="宋体" w:hAnsi="宋体" w:cs="宋体"/>
          <w:bCs/>
          <w:color w:val="auto"/>
          <w:sz w:val="22"/>
          <w:szCs w:val="22"/>
          <w:highlight w:val="none"/>
        </w:rPr>
        <w:t>注：</w:t>
      </w:r>
    </w:p>
    <w:p w14:paraId="449321B9">
      <w:pPr>
        <w:spacing w:line="460" w:lineRule="exact"/>
        <w:ind w:left="753" w:leftChars="209" w:hanging="314" w:hangingChars="143"/>
        <w:rPr>
          <w:rFonts w:hint="eastAsia" w:ascii="宋体" w:hAnsi="宋体" w:cs="宋体"/>
          <w:b/>
          <w:color w:val="auto"/>
          <w:sz w:val="22"/>
          <w:szCs w:val="22"/>
          <w:highlight w:val="none"/>
        </w:rPr>
      </w:pPr>
      <w:r>
        <w:rPr>
          <w:rFonts w:hint="eastAsia" w:ascii="宋体" w:hAnsi="宋体" w:cs="宋体"/>
          <w:color w:val="auto"/>
          <w:sz w:val="22"/>
          <w:highlight w:val="none"/>
        </w:rPr>
        <w:t>1.本表可在不改变格式的情况下根据具体需要自行增减。</w:t>
      </w:r>
    </w:p>
    <w:p w14:paraId="76CD57C0">
      <w:pPr>
        <w:rPr>
          <w:rFonts w:hint="eastAsia" w:ascii="宋体" w:hAnsi="宋体" w:cs="宋体"/>
          <w:color w:val="auto"/>
          <w:highlight w:val="none"/>
        </w:rPr>
      </w:pPr>
    </w:p>
    <w:p w14:paraId="0AD83DD5">
      <w:pPr>
        <w:spacing w:line="380" w:lineRule="exact"/>
        <w:rPr>
          <w:rFonts w:hint="eastAsia" w:ascii="宋体" w:hAnsi="宋体" w:cs="宋体"/>
          <w:color w:val="auto"/>
          <w:sz w:val="22"/>
          <w:szCs w:val="22"/>
          <w:highlight w:val="none"/>
        </w:rPr>
      </w:pPr>
    </w:p>
    <w:p w14:paraId="2E50205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供应商全称（盖章）：</w:t>
      </w:r>
    </w:p>
    <w:p w14:paraId="11B8B1F0">
      <w:pPr>
        <w:spacing w:line="380" w:lineRule="exact"/>
        <w:ind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712909F">
      <w:pPr>
        <w:spacing w:line="380" w:lineRule="exact"/>
        <w:ind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07F6D68">
      <w:pPr>
        <w:tabs>
          <w:tab w:val="left" w:pos="5592"/>
        </w:tabs>
        <w:spacing w:line="380" w:lineRule="exact"/>
        <w:rPr>
          <w:rFonts w:hint="eastAsia" w:ascii="宋体" w:hAnsi="宋体" w:cs="宋体"/>
          <w:color w:val="auto"/>
          <w:sz w:val="22"/>
          <w:szCs w:val="22"/>
          <w:highlight w:val="none"/>
        </w:rPr>
      </w:pPr>
    </w:p>
    <w:p w14:paraId="75C81697">
      <w:pPr>
        <w:spacing w:line="380" w:lineRule="exact"/>
        <w:rPr>
          <w:rFonts w:hint="eastAsia" w:ascii="宋体" w:hAnsi="宋体" w:cs="宋体"/>
          <w:color w:val="auto"/>
          <w:sz w:val="22"/>
          <w:szCs w:val="22"/>
          <w:highlight w:val="none"/>
        </w:rPr>
      </w:pPr>
    </w:p>
    <w:p w14:paraId="64CC0F25">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0624C06A">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（报价标封面，供参考）</w:t>
      </w:r>
    </w:p>
    <w:p w14:paraId="06F0AF30">
      <w:pPr>
        <w:rPr>
          <w:rFonts w:hint="eastAsia" w:ascii="宋体" w:hAnsi="宋体" w:cs="宋体"/>
          <w:color w:val="auto"/>
          <w:highlight w:val="none"/>
        </w:rPr>
      </w:pPr>
    </w:p>
    <w:p w14:paraId="68587CAF">
      <w:pPr>
        <w:rPr>
          <w:rFonts w:hint="eastAsia" w:ascii="宋体" w:hAnsi="宋体" w:cs="宋体"/>
          <w:color w:val="auto"/>
          <w:highlight w:val="none"/>
        </w:rPr>
      </w:pPr>
    </w:p>
    <w:p w14:paraId="7DD414CF">
      <w:pPr>
        <w:rPr>
          <w:rFonts w:hint="eastAsia" w:ascii="宋体" w:hAnsi="宋体" w:cs="宋体"/>
          <w:color w:val="auto"/>
          <w:highlight w:val="none"/>
        </w:rPr>
      </w:pPr>
    </w:p>
    <w:p w14:paraId="7CC6112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5291049">
      <w:pPr>
        <w:rPr>
          <w:rFonts w:hint="eastAsia" w:ascii="宋体" w:hAnsi="宋体" w:cs="宋体"/>
          <w:color w:val="auto"/>
          <w:sz w:val="28"/>
          <w:szCs w:val="28"/>
          <w:highlight w:val="none"/>
        </w:rPr>
      </w:pPr>
    </w:p>
    <w:p w14:paraId="60805799">
      <w:pPr>
        <w:rPr>
          <w:rFonts w:hint="eastAsia" w:ascii="宋体" w:hAnsi="宋体" w:cs="宋体"/>
          <w:color w:val="auto"/>
          <w:sz w:val="28"/>
          <w:szCs w:val="28"/>
          <w:highlight w:val="none"/>
        </w:rPr>
      </w:pPr>
    </w:p>
    <w:p w14:paraId="3D4ECFD7">
      <w:pPr>
        <w:pStyle w:val="22"/>
        <w:ind w:firstLine="281"/>
        <w:rPr>
          <w:rFonts w:hint="eastAsia" w:ascii="宋体" w:hAnsi="宋体" w:cs="宋体"/>
          <w:color w:val="auto"/>
          <w:sz w:val="28"/>
          <w:szCs w:val="28"/>
          <w:highlight w:val="none"/>
        </w:rPr>
      </w:pPr>
    </w:p>
    <w:p w14:paraId="4C71E573">
      <w:pPr>
        <w:pStyle w:val="22"/>
        <w:ind w:firstLine="281"/>
        <w:rPr>
          <w:rFonts w:hint="eastAsia" w:ascii="宋体" w:hAnsi="宋体" w:cs="宋体"/>
          <w:color w:val="auto"/>
          <w:sz w:val="28"/>
          <w:szCs w:val="28"/>
          <w:highlight w:val="none"/>
        </w:rPr>
      </w:pPr>
    </w:p>
    <w:p w14:paraId="1A6B37B9">
      <w:pPr>
        <w:rPr>
          <w:rFonts w:hint="eastAsia" w:ascii="宋体" w:hAnsi="宋体" w:cs="宋体"/>
          <w:color w:val="auto"/>
          <w:sz w:val="28"/>
          <w:szCs w:val="28"/>
          <w:highlight w:val="none"/>
        </w:rPr>
      </w:pPr>
    </w:p>
    <w:p w14:paraId="6AB53FF0">
      <w:pPr>
        <w:rPr>
          <w:rFonts w:hint="eastAsia" w:ascii="宋体" w:hAnsi="宋体" w:cs="宋体"/>
          <w:color w:val="auto"/>
          <w:sz w:val="28"/>
          <w:szCs w:val="28"/>
          <w:highlight w:val="none"/>
        </w:rPr>
      </w:pPr>
    </w:p>
    <w:p w14:paraId="7FA59AC7">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报  价  标</w:t>
      </w:r>
    </w:p>
    <w:p w14:paraId="6775FA23">
      <w:pPr>
        <w:spacing w:line="360" w:lineRule="auto"/>
        <w:rPr>
          <w:rFonts w:hint="eastAsia" w:ascii="宋体" w:hAnsi="宋体" w:cs="宋体"/>
          <w:color w:val="auto"/>
          <w:szCs w:val="21"/>
          <w:highlight w:val="none"/>
        </w:rPr>
      </w:pPr>
    </w:p>
    <w:p w14:paraId="242EEDFE">
      <w:pPr>
        <w:spacing w:line="360" w:lineRule="auto"/>
        <w:rPr>
          <w:rFonts w:hint="eastAsia" w:ascii="宋体" w:hAnsi="宋体" w:cs="宋体"/>
          <w:color w:val="auto"/>
          <w:szCs w:val="21"/>
          <w:highlight w:val="none"/>
        </w:rPr>
      </w:pPr>
    </w:p>
    <w:p w14:paraId="17F83725">
      <w:pPr>
        <w:spacing w:line="360" w:lineRule="auto"/>
        <w:rPr>
          <w:rFonts w:hint="eastAsia" w:ascii="宋体" w:hAnsi="宋体" w:cs="宋体"/>
          <w:color w:val="auto"/>
          <w:szCs w:val="21"/>
          <w:highlight w:val="none"/>
        </w:rPr>
      </w:pPr>
    </w:p>
    <w:p w14:paraId="78645783">
      <w:pPr>
        <w:spacing w:line="360" w:lineRule="auto"/>
        <w:rPr>
          <w:rFonts w:hint="eastAsia" w:ascii="宋体" w:hAnsi="宋体" w:cs="宋体"/>
          <w:color w:val="auto"/>
          <w:szCs w:val="21"/>
          <w:highlight w:val="none"/>
        </w:rPr>
      </w:pPr>
    </w:p>
    <w:p w14:paraId="5D1D3C6A">
      <w:pPr>
        <w:spacing w:line="360" w:lineRule="auto"/>
        <w:rPr>
          <w:rFonts w:hint="eastAsia" w:ascii="宋体" w:hAnsi="宋体" w:cs="宋体"/>
          <w:color w:val="auto"/>
          <w:szCs w:val="21"/>
          <w:highlight w:val="none"/>
        </w:rPr>
      </w:pPr>
    </w:p>
    <w:p w14:paraId="7ECD04F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1273C52E">
      <w:pPr>
        <w:rPr>
          <w:rFonts w:hint="eastAsia" w:ascii="宋体" w:hAnsi="宋体" w:cs="宋体"/>
          <w:color w:val="auto"/>
          <w:sz w:val="28"/>
          <w:szCs w:val="28"/>
          <w:highlight w:val="none"/>
          <w:u w:val="single"/>
        </w:rPr>
      </w:pPr>
    </w:p>
    <w:p w14:paraId="65E7E1CE">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56B0B800">
      <w:pPr>
        <w:rPr>
          <w:rFonts w:hint="eastAsia" w:ascii="宋体" w:hAnsi="宋体" w:cs="宋体"/>
          <w:color w:val="auto"/>
          <w:sz w:val="28"/>
          <w:szCs w:val="28"/>
          <w:highlight w:val="none"/>
        </w:rPr>
      </w:pPr>
    </w:p>
    <w:p w14:paraId="7C93CD1B">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9E92416">
      <w:pPr>
        <w:overflowPunct w:val="0"/>
        <w:spacing w:line="38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14:paraId="2C7542E3">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p>
    <w:p w14:paraId="360D48A4">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开标一览表</w:t>
      </w:r>
    </w:p>
    <w:p w14:paraId="4BAD6B8D">
      <w:pPr>
        <w:spacing w:line="380" w:lineRule="exact"/>
        <w:ind w:right="349" w:rightChars="166" w:firstLine="330" w:firstLineChars="150"/>
        <w:rPr>
          <w:rFonts w:hint="eastAsia" w:ascii="宋体" w:hAnsi="宋体" w:cs="宋体"/>
          <w:b/>
          <w:color w:val="auto"/>
          <w:sz w:val="22"/>
          <w:highlight w:val="none"/>
        </w:rPr>
      </w:pPr>
      <w:r>
        <w:rPr>
          <w:rFonts w:hint="eastAsia" w:ascii="宋体" w:hAnsi="宋体" w:cs="宋体"/>
          <w:color w:val="auto"/>
          <w:sz w:val="22"/>
          <w:highlight w:val="none"/>
        </w:rPr>
        <w:t>项目名称：                                          项目编号：</w:t>
      </w:r>
    </w:p>
    <w:tbl>
      <w:tblPr>
        <w:tblStyle w:val="54"/>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11B14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14:paraId="3F8F7420">
            <w:pPr>
              <w:autoSpaceDE w:val="0"/>
              <w:autoSpaceDN w:val="0"/>
              <w:adjustRightInd w:val="0"/>
              <w:spacing w:line="380" w:lineRule="atLeast"/>
              <w:ind w:right="349" w:firstLine="331"/>
              <w:jc w:val="left"/>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投标总价（大写）：</w:t>
            </w:r>
          </w:p>
          <w:p w14:paraId="2A6915B5">
            <w:pPr>
              <w:autoSpaceDE w:val="0"/>
              <w:autoSpaceDN w:val="0"/>
              <w:adjustRightInd w:val="0"/>
              <w:spacing w:line="380" w:lineRule="atLeast"/>
              <w:ind w:right="349" w:firstLine="331"/>
              <w:jc w:val="left"/>
              <w:rPr>
                <w:rFonts w:hint="eastAsia" w:ascii="新宋体" w:hAnsi="新宋体" w:eastAsia="新宋体" w:cs="宋体"/>
                <w:b/>
                <w:bCs/>
                <w:color w:val="auto"/>
                <w:kern w:val="0"/>
                <w:sz w:val="22"/>
                <w:szCs w:val="22"/>
                <w:highlight w:val="none"/>
              </w:rPr>
            </w:pPr>
          </w:p>
          <w:p w14:paraId="341FA30B">
            <w:pPr>
              <w:autoSpaceDE w:val="0"/>
              <w:autoSpaceDN w:val="0"/>
              <w:adjustRightInd w:val="0"/>
              <w:spacing w:line="380" w:lineRule="atLeast"/>
              <w:ind w:right="349" w:firstLine="331"/>
              <w:jc w:val="left"/>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（小写）¥</w:t>
            </w:r>
          </w:p>
        </w:tc>
      </w:tr>
    </w:tbl>
    <w:p w14:paraId="1EAA1E26">
      <w:pPr>
        <w:spacing w:line="380" w:lineRule="exact"/>
        <w:ind w:left="1"/>
        <w:rPr>
          <w:rFonts w:hint="eastAsia" w:ascii="宋体" w:hAnsi="宋体" w:cs="宋体"/>
          <w:b/>
          <w:color w:val="auto"/>
          <w:sz w:val="22"/>
          <w:szCs w:val="22"/>
          <w:highlight w:val="none"/>
        </w:rPr>
      </w:pPr>
    </w:p>
    <w:p w14:paraId="0307C2BC">
      <w:pPr>
        <w:spacing w:line="380" w:lineRule="exact"/>
        <w:ind w:left="1"/>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568FA36C">
      <w:pPr>
        <w:spacing w:line="380" w:lineRule="exact"/>
        <w:ind w:left="1"/>
        <w:rPr>
          <w:rFonts w:hint="eastAsia" w:ascii="宋体" w:hAnsi="宋体" w:cs="宋体"/>
          <w:color w:val="auto"/>
          <w:sz w:val="22"/>
          <w:szCs w:val="22"/>
          <w:highlight w:val="none"/>
        </w:rPr>
      </w:pPr>
      <w:r>
        <w:rPr>
          <w:rFonts w:hint="eastAsia" w:ascii="宋体" w:hAnsi="宋体" w:cs="宋体"/>
          <w:b/>
          <w:color w:val="auto"/>
          <w:sz w:val="22"/>
          <w:szCs w:val="22"/>
          <w:highlight w:val="none"/>
        </w:rPr>
        <w:t>1.此栏内投标总价应与“投标分项报价表”中总计价相一致。</w:t>
      </w:r>
    </w:p>
    <w:p w14:paraId="51160FA0">
      <w:pPr>
        <w:autoSpaceDE w:val="0"/>
        <w:autoSpaceDN w:val="0"/>
        <w:adjustRightInd w:val="0"/>
        <w:spacing w:line="380" w:lineRule="atLeast"/>
        <w:rPr>
          <w:rFonts w:hint="eastAsia" w:ascii="新宋体" w:hAnsi="新宋体" w:eastAsia="新宋体"/>
          <w:b/>
          <w:bCs/>
          <w:color w:val="auto"/>
          <w:kern w:val="0"/>
          <w:sz w:val="22"/>
          <w:szCs w:val="22"/>
          <w:highlight w:val="none"/>
          <w:u w:val="wave"/>
          <w:lang w:val="zh-CN"/>
        </w:rPr>
      </w:pPr>
      <w:r>
        <w:rPr>
          <w:rFonts w:hint="eastAsia" w:ascii="新宋体" w:hAnsi="新宋体" w:eastAsia="新宋体"/>
          <w:b/>
          <w:bCs/>
          <w:color w:val="auto"/>
          <w:kern w:val="0"/>
          <w:sz w:val="22"/>
          <w:szCs w:val="22"/>
          <w:highlight w:val="none"/>
          <w:u w:val="single"/>
        </w:rPr>
        <w:t>2.</w:t>
      </w:r>
      <w:r>
        <w:rPr>
          <w:rFonts w:hint="eastAsia" w:ascii="新宋体" w:hAnsi="新宋体" w:eastAsia="新宋体"/>
          <w:b/>
          <w:bCs/>
          <w:color w:val="auto"/>
          <w:kern w:val="0"/>
          <w:sz w:val="22"/>
          <w:szCs w:val="22"/>
          <w:highlight w:val="none"/>
          <w:u w:val="single"/>
          <w:lang w:val="zh-CN"/>
        </w:rPr>
        <w:t>不提供此表格</w:t>
      </w:r>
      <w:r>
        <w:rPr>
          <w:rFonts w:hint="eastAsia" w:ascii="新宋体" w:hAnsi="新宋体" w:eastAsia="新宋体"/>
          <w:b/>
          <w:color w:val="auto"/>
          <w:sz w:val="22"/>
          <w:szCs w:val="22"/>
          <w:highlight w:val="none"/>
          <w:u w:val="single"/>
        </w:rPr>
        <w:t>的磋商响应文件将被视为未实质性响应竞争性磋商文件。其磋商响应文件将被否决。</w:t>
      </w:r>
    </w:p>
    <w:p w14:paraId="3821B8AF">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1EB8A483">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570742CB">
      <w:pPr>
        <w:autoSpaceDE w:val="0"/>
        <w:autoSpaceDN w:val="0"/>
        <w:adjustRightInd w:val="0"/>
        <w:spacing w:line="380" w:lineRule="atLeast"/>
        <w:rPr>
          <w:rFonts w:hint="eastAsia" w:ascii="宋体" w:hAnsi="宋体" w:cs="宋体"/>
          <w:color w:val="auto"/>
          <w:kern w:val="0"/>
          <w:sz w:val="22"/>
          <w:szCs w:val="22"/>
          <w:highlight w:val="none"/>
          <w:lang w:val="zh-CN"/>
        </w:rPr>
      </w:pPr>
    </w:p>
    <w:p w14:paraId="5985EA20">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22FD3C0E">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716ADC70">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供应商全称（盖章）：</w:t>
      </w:r>
    </w:p>
    <w:p w14:paraId="4CE1485A">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供应商代表（签名）：</w:t>
      </w:r>
    </w:p>
    <w:p w14:paraId="02D4937E">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日 期：  年  月  日 </w:t>
      </w:r>
    </w:p>
    <w:p w14:paraId="690D5A80">
      <w:pPr>
        <w:autoSpaceDE w:val="0"/>
        <w:autoSpaceDN w:val="0"/>
        <w:adjustRightInd w:val="0"/>
        <w:spacing w:line="380" w:lineRule="atLeast"/>
        <w:rPr>
          <w:rFonts w:hint="eastAsia" w:ascii="宋体" w:hAnsi="宋体" w:cs="宋体"/>
          <w:color w:val="auto"/>
          <w:kern w:val="0"/>
          <w:sz w:val="22"/>
          <w:szCs w:val="22"/>
          <w:highlight w:val="none"/>
          <w:lang w:val="zh-CN"/>
        </w:rPr>
      </w:pPr>
    </w:p>
    <w:p w14:paraId="317AC933">
      <w:pPr>
        <w:autoSpaceDE w:val="0"/>
        <w:autoSpaceDN w:val="0"/>
        <w:adjustRightInd w:val="0"/>
        <w:spacing w:line="38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1137137C">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分项报价表</w:t>
      </w:r>
    </w:p>
    <w:p w14:paraId="08E0118F">
      <w:pPr>
        <w:spacing w:line="380" w:lineRule="exact"/>
        <w:ind w:right="349" w:rightChars="166"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采购项目名称：                项目编号：                    单位：人民币元</w:t>
      </w:r>
    </w:p>
    <w:tbl>
      <w:tblPr>
        <w:tblStyle w:val="54"/>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3144"/>
        <w:gridCol w:w="2057"/>
        <w:gridCol w:w="1406"/>
      </w:tblGrid>
      <w:tr w14:paraId="49CC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vAlign w:val="center"/>
          </w:tcPr>
          <w:p w14:paraId="3A04C964">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5276" w:type="dxa"/>
            <w:gridSpan w:val="2"/>
            <w:vAlign w:val="center"/>
          </w:tcPr>
          <w:p w14:paraId="6B3479CB">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项 目 内 容</w:t>
            </w:r>
          </w:p>
        </w:tc>
        <w:tc>
          <w:tcPr>
            <w:tcW w:w="2057" w:type="dxa"/>
            <w:vAlign w:val="center"/>
          </w:tcPr>
          <w:p w14:paraId="67569BA7">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报价（人民币元）</w:t>
            </w:r>
          </w:p>
        </w:tc>
        <w:tc>
          <w:tcPr>
            <w:tcW w:w="1406" w:type="dxa"/>
            <w:vAlign w:val="center"/>
          </w:tcPr>
          <w:p w14:paraId="605C9760">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7B7D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vAlign w:val="center"/>
          </w:tcPr>
          <w:p w14:paraId="0BAC8C19">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p>
        </w:tc>
        <w:tc>
          <w:tcPr>
            <w:tcW w:w="5276" w:type="dxa"/>
            <w:gridSpan w:val="2"/>
            <w:vAlign w:val="center"/>
          </w:tcPr>
          <w:p w14:paraId="5C829C37">
            <w:pPr>
              <w:spacing w:line="420" w:lineRule="exact"/>
              <w:jc w:val="center"/>
              <w:rPr>
                <w:rFonts w:hint="eastAsia" w:ascii="新宋体" w:hAnsi="新宋体" w:eastAsia="新宋体" w:cs="新宋体"/>
                <w:color w:val="auto"/>
                <w:sz w:val="22"/>
                <w:highlight w:val="none"/>
              </w:rPr>
            </w:pPr>
          </w:p>
        </w:tc>
        <w:tc>
          <w:tcPr>
            <w:tcW w:w="2057" w:type="dxa"/>
            <w:vAlign w:val="center"/>
          </w:tcPr>
          <w:p w14:paraId="4209D73F">
            <w:pPr>
              <w:spacing w:line="420" w:lineRule="exact"/>
              <w:jc w:val="center"/>
              <w:rPr>
                <w:rFonts w:hint="eastAsia" w:ascii="新宋体" w:hAnsi="新宋体" w:eastAsia="新宋体" w:cs="新宋体"/>
                <w:color w:val="auto"/>
                <w:sz w:val="22"/>
                <w:highlight w:val="none"/>
              </w:rPr>
            </w:pPr>
          </w:p>
        </w:tc>
        <w:tc>
          <w:tcPr>
            <w:tcW w:w="1406" w:type="dxa"/>
            <w:vAlign w:val="center"/>
          </w:tcPr>
          <w:p w14:paraId="3533285F">
            <w:pPr>
              <w:spacing w:line="420" w:lineRule="exact"/>
              <w:jc w:val="center"/>
              <w:rPr>
                <w:rFonts w:hint="eastAsia" w:ascii="新宋体" w:hAnsi="新宋体" w:eastAsia="新宋体" w:cs="新宋体"/>
                <w:color w:val="auto"/>
                <w:sz w:val="22"/>
                <w:highlight w:val="none"/>
              </w:rPr>
            </w:pPr>
          </w:p>
        </w:tc>
      </w:tr>
      <w:tr w14:paraId="4187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vAlign w:val="center"/>
          </w:tcPr>
          <w:p w14:paraId="03C65CC0">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w:t>
            </w:r>
          </w:p>
        </w:tc>
        <w:tc>
          <w:tcPr>
            <w:tcW w:w="5276" w:type="dxa"/>
            <w:gridSpan w:val="2"/>
            <w:vAlign w:val="center"/>
          </w:tcPr>
          <w:p w14:paraId="6364AA3A">
            <w:pPr>
              <w:spacing w:line="420" w:lineRule="exact"/>
              <w:jc w:val="center"/>
              <w:rPr>
                <w:rFonts w:hint="eastAsia" w:ascii="新宋体" w:hAnsi="新宋体" w:eastAsia="新宋体" w:cs="新宋体"/>
                <w:color w:val="auto"/>
                <w:sz w:val="22"/>
                <w:highlight w:val="none"/>
              </w:rPr>
            </w:pPr>
          </w:p>
        </w:tc>
        <w:tc>
          <w:tcPr>
            <w:tcW w:w="2057" w:type="dxa"/>
            <w:vAlign w:val="center"/>
          </w:tcPr>
          <w:p w14:paraId="164FC3E1">
            <w:pPr>
              <w:spacing w:line="420" w:lineRule="exact"/>
              <w:jc w:val="center"/>
              <w:rPr>
                <w:rFonts w:hint="eastAsia" w:ascii="新宋体" w:hAnsi="新宋体" w:eastAsia="新宋体" w:cs="新宋体"/>
                <w:color w:val="auto"/>
                <w:sz w:val="22"/>
                <w:highlight w:val="none"/>
              </w:rPr>
            </w:pPr>
          </w:p>
        </w:tc>
        <w:tc>
          <w:tcPr>
            <w:tcW w:w="1406" w:type="dxa"/>
            <w:vAlign w:val="center"/>
          </w:tcPr>
          <w:p w14:paraId="6FB71B24">
            <w:pPr>
              <w:spacing w:line="420" w:lineRule="exact"/>
              <w:jc w:val="center"/>
              <w:rPr>
                <w:rFonts w:hint="eastAsia" w:ascii="新宋体" w:hAnsi="新宋体" w:eastAsia="新宋体" w:cs="新宋体"/>
                <w:color w:val="auto"/>
                <w:sz w:val="22"/>
                <w:highlight w:val="none"/>
              </w:rPr>
            </w:pPr>
          </w:p>
        </w:tc>
      </w:tr>
      <w:tr w14:paraId="02F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69" w:type="dxa"/>
            <w:vAlign w:val="center"/>
          </w:tcPr>
          <w:p w14:paraId="2C105FD0">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w:t>
            </w:r>
          </w:p>
        </w:tc>
        <w:tc>
          <w:tcPr>
            <w:tcW w:w="5276" w:type="dxa"/>
            <w:gridSpan w:val="2"/>
            <w:vAlign w:val="center"/>
          </w:tcPr>
          <w:p w14:paraId="2C0CA0EE">
            <w:pPr>
              <w:spacing w:line="420" w:lineRule="exact"/>
              <w:jc w:val="center"/>
              <w:rPr>
                <w:rFonts w:hint="eastAsia" w:ascii="新宋体" w:hAnsi="新宋体" w:eastAsia="新宋体" w:cs="新宋体"/>
                <w:color w:val="auto"/>
                <w:sz w:val="22"/>
                <w:highlight w:val="none"/>
              </w:rPr>
            </w:pPr>
          </w:p>
        </w:tc>
        <w:tc>
          <w:tcPr>
            <w:tcW w:w="2057" w:type="dxa"/>
            <w:vAlign w:val="center"/>
          </w:tcPr>
          <w:p w14:paraId="3B27083C">
            <w:pPr>
              <w:spacing w:line="420" w:lineRule="exact"/>
              <w:jc w:val="center"/>
              <w:rPr>
                <w:rFonts w:hint="eastAsia" w:ascii="新宋体" w:hAnsi="新宋体" w:eastAsia="新宋体" w:cs="新宋体"/>
                <w:color w:val="auto"/>
                <w:sz w:val="22"/>
                <w:highlight w:val="none"/>
              </w:rPr>
            </w:pPr>
          </w:p>
        </w:tc>
        <w:tc>
          <w:tcPr>
            <w:tcW w:w="1406" w:type="dxa"/>
            <w:vAlign w:val="center"/>
          </w:tcPr>
          <w:p w14:paraId="3DC7628F">
            <w:pPr>
              <w:spacing w:line="420" w:lineRule="exact"/>
              <w:jc w:val="center"/>
              <w:rPr>
                <w:rFonts w:hint="eastAsia" w:ascii="新宋体" w:hAnsi="新宋体" w:eastAsia="新宋体" w:cs="新宋体"/>
                <w:color w:val="auto"/>
                <w:sz w:val="22"/>
                <w:highlight w:val="none"/>
              </w:rPr>
            </w:pPr>
          </w:p>
        </w:tc>
      </w:tr>
      <w:tr w14:paraId="0042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69" w:type="dxa"/>
            <w:vAlign w:val="center"/>
          </w:tcPr>
          <w:p w14:paraId="2DEE3E01">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w:t>
            </w:r>
          </w:p>
        </w:tc>
        <w:tc>
          <w:tcPr>
            <w:tcW w:w="5276" w:type="dxa"/>
            <w:gridSpan w:val="2"/>
            <w:vAlign w:val="center"/>
          </w:tcPr>
          <w:p w14:paraId="27B3CC16">
            <w:pPr>
              <w:spacing w:line="420" w:lineRule="exact"/>
              <w:jc w:val="center"/>
              <w:rPr>
                <w:rFonts w:hint="eastAsia" w:ascii="新宋体" w:hAnsi="新宋体" w:eastAsia="新宋体" w:cs="新宋体"/>
                <w:color w:val="auto"/>
                <w:sz w:val="22"/>
                <w:highlight w:val="none"/>
              </w:rPr>
            </w:pPr>
          </w:p>
        </w:tc>
        <w:tc>
          <w:tcPr>
            <w:tcW w:w="2057" w:type="dxa"/>
            <w:vAlign w:val="center"/>
          </w:tcPr>
          <w:p w14:paraId="66CEF0C3">
            <w:pPr>
              <w:spacing w:line="420" w:lineRule="exact"/>
              <w:jc w:val="center"/>
              <w:rPr>
                <w:rFonts w:hint="eastAsia" w:ascii="新宋体" w:hAnsi="新宋体" w:eastAsia="新宋体" w:cs="新宋体"/>
                <w:color w:val="auto"/>
                <w:sz w:val="22"/>
                <w:highlight w:val="none"/>
              </w:rPr>
            </w:pPr>
          </w:p>
        </w:tc>
        <w:tc>
          <w:tcPr>
            <w:tcW w:w="1406" w:type="dxa"/>
            <w:vAlign w:val="center"/>
          </w:tcPr>
          <w:p w14:paraId="4E001846">
            <w:pPr>
              <w:spacing w:line="420" w:lineRule="exact"/>
              <w:jc w:val="center"/>
              <w:rPr>
                <w:rFonts w:hint="eastAsia" w:ascii="新宋体" w:hAnsi="新宋体" w:eastAsia="新宋体" w:cs="新宋体"/>
                <w:color w:val="auto"/>
                <w:sz w:val="22"/>
                <w:highlight w:val="none"/>
              </w:rPr>
            </w:pPr>
          </w:p>
        </w:tc>
      </w:tr>
      <w:tr w14:paraId="70E7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69" w:type="dxa"/>
            <w:vAlign w:val="center"/>
          </w:tcPr>
          <w:p w14:paraId="7B82E5F4">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w:t>
            </w:r>
          </w:p>
        </w:tc>
        <w:tc>
          <w:tcPr>
            <w:tcW w:w="5276" w:type="dxa"/>
            <w:gridSpan w:val="2"/>
            <w:vAlign w:val="center"/>
          </w:tcPr>
          <w:p w14:paraId="332BA4E6">
            <w:pPr>
              <w:spacing w:line="420" w:lineRule="exact"/>
              <w:jc w:val="center"/>
              <w:rPr>
                <w:rFonts w:hint="eastAsia" w:ascii="新宋体" w:hAnsi="新宋体" w:eastAsia="新宋体" w:cs="新宋体"/>
                <w:color w:val="auto"/>
                <w:sz w:val="22"/>
                <w:highlight w:val="none"/>
              </w:rPr>
            </w:pPr>
          </w:p>
        </w:tc>
        <w:tc>
          <w:tcPr>
            <w:tcW w:w="2057" w:type="dxa"/>
            <w:vAlign w:val="center"/>
          </w:tcPr>
          <w:p w14:paraId="41DC14A9">
            <w:pPr>
              <w:spacing w:line="420" w:lineRule="exact"/>
              <w:jc w:val="center"/>
              <w:rPr>
                <w:rFonts w:hint="eastAsia" w:ascii="新宋体" w:hAnsi="新宋体" w:eastAsia="新宋体" w:cs="新宋体"/>
                <w:color w:val="auto"/>
                <w:sz w:val="22"/>
                <w:highlight w:val="none"/>
              </w:rPr>
            </w:pPr>
          </w:p>
        </w:tc>
        <w:tc>
          <w:tcPr>
            <w:tcW w:w="1406" w:type="dxa"/>
            <w:vAlign w:val="center"/>
          </w:tcPr>
          <w:p w14:paraId="6847055D">
            <w:pPr>
              <w:spacing w:line="420" w:lineRule="exact"/>
              <w:jc w:val="center"/>
              <w:rPr>
                <w:rFonts w:hint="eastAsia" w:ascii="新宋体" w:hAnsi="新宋体" w:eastAsia="新宋体" w:cs="新宋体"/>
                <w:color w:val="auto"/>
                <w:sz w:val="22"/>
                <w:highlight w:val="none"/>
              </w:rPr>
            </w:pPr>
          </w:p>
        </w:tc>
      </w:tr>
      <w:tr w14:paraId="6E66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vAlign w:val="center"/>
          </w:tcPr>
          <w:p w14:paraId="37CB381D">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w:t>
            </w:r>
          </w:p>
        </w:tc>
        <w:tc>
          <w:tcPr>
            <w:tcW w:w="5276" w:type="dxa"/>
            <w:gridSpan w:val="2"/>
            <w:vAlign w:val="center"/>
          </w:tcPr>
          <w:p w14:paraId="7B9E714E">
            <w:pPr>
              <w:spacing w:line="420" w:lineRule="exact"/>
              <w:jc w:val="center"/>
              <w:rPr>
                <w:rFonts w:hint="eastAsia" w:ascii="新宋体" w:hAnsi="新宋体" w:eastAsia="新宋体" w:cs="新宋体"/>
                <w:color w:val="auto"/>
                <w:sz w:val="22"/>
                <w:highlight w:val="none"/>
              </w:rPr>
            </w:pPr>
          </w:p>
        </w:tc>
        <w:tc>
          <w:tcPr>
            <w:tcW w:w="2057" w:type="dxa"/>
            <w:vAlign w:val="center"/>
          </w:tcPr>
          <w:p w14:paraId="169F9585">
            <w:pPr>
              <w:spacing w:line="420" w:lineRule="exact"/>
              <w:jc w:val="center"/>
              <w:rPr>
                <w:rFonts w:hint="eastAsia" w:ascii="新宋体" w:hAnsi="新宋体" w:eastAsia="新宋体" w:cs="新宋体"/>
                <w:color w:val="auto"/>
                <w:sz w:val="22"/>
                <w:highlight w:val="none"/>
              </w:rPr>
            </w:pPr>
          </w:p>
        </w:tc>
        <w:tc>
          <w:tcPr>
            <w:tcW w:w="1406" w:type="dxa"/>
            <w:vAlign w:val="center"/>
          </w:tcPr>
          <w:p w14:paraId="7EDDC497">
            <w:pPr>
              <w:spacing w:line="420" w:lineRule="exact"/>
              <w:jc w:val="center"/>
              <w:rPr>
                <w:rFonts w:hint="eastAsia" w:ascii="新宋体" w:hAnsi="新宋体" w:eastAsia="新宋体" w:cs="新宋体"/>
                <w:color w:val="auto"/>
                <w:sz w:val="22"/>
                <w:highlight w:val="none"/>
              </w:rPr>
            </w:pPr>
          </w:p>
        </w:tc>
      </w:tr>
      <w:tr w14:paraId="1BBF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vAlign w:val="center"/>
          </w:tcPr>
          <w:p w14:paraId="6F846306">
            <w:pPr>
              <w:spacing w:line="42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合计价（人民币元）</w:t>
            </w:r>
          </w:p>
        </w:tc>
        <w:tc>
          <w:tcPr>
            <w:tcW w:w="6607" w:type="dxa"/>
            <w:gridSpan w:val="3"/>
            <w:vAlign w:val="center"/>
          </w:tcPr>
          <w:p w14:paraId="196B9440">
            <w:pPr>
              <w:spacing w:line="420" w:lineRule="exact"/>
              <w:jc w:val="center"/>
              <w:rPr>
                <w:rFonts w:hint="eastAsia" w:ascii="新宋体" w:hAnsi="新宋体" w:eastAsia="新宋体" w:cs="新宋体"/>
                <w:color w:val="auto"/>
                <w:sz w:val="22"/>
                <w:highlight w:val="none"/>
              </w:rPr>
            </w:pPr>
          </w:p>
        </w:tc>
      </w:tr>
    </w:tbl>
    <w:p w14:paraId="1AFC28ED">
      <w:pPr>
        <w:spacing w:line="380" w:lineRule="exac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说明：</w:t>
      </w:r>
    </w:p>
    <w:p w14:paraId="28EEE5B5">
      <w:pPr>
        <w:numPr>
          <w:ilvl w:val="0"/>
          <w:numId w:val="19"/>
        </w:numPr>
        <w:spacing w:line="380" w:lineRule="exac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投标分项报价表内总计价应与附件二中“开标一览表”投标总价相一致。</w:t>
      </w:r>
    </w:p>
    <w:p w14:paraId="4802913D">
      <w:pPr>
        <w:numPr>
          <w:ilvl w:val="0"/>
          <w:numId w:val="19"/>
        </w:numPr>
        <w:spacing w:line="380" w:lineRule="exact"/>
        <w:rPr>
          <w:color w:val="auto"/>
          <w:highlight w:val="none"/>
        </w:rPr>
      </w:pPr>
      <w:r>
        <w:rPr>
          <w:rFonts w:hint="eastAsia" w:ascii="新宋体" w:hAnsi="新宋体" w:eastAsia="新宋体" w:cs="宋体"/>
          <w:color w:val="auto"/>
          <w:sz w:val="22"/>
          <w:szCs w:val="22"/>
          <w:highlight w:val="none"/>
        </w:rPr>
        <w:t>不提供此表的报价，视为没有实质性响应采购文件要求。</w:t>
      </w:r>
    </w:p>
    <w:p w14:paraId="25B8E278">
      <w:pPr>
        <w:numPr>
          <w:ilvl w:val="0"/>
          <w:numId w:val="19"/>
        </w:numPr>
        <w:spacing w:line="380" w:lineRule="exact"/>
        <w:rPr>
          <w:color w:val="auto"/>
          <w:highlight w:val="none"/>
        </w:rPr>
      </w:pPr>
      <w:r>
        <w:rPr>
          <w:rFonts w:hint="eastAsia" w:ascii="新宋体" w:hAnsi="新宋体" w:eastAsia="新宋体" w:cs="新宋体"/>
          <w:color w:val="auto"/>
          <w:sz w:val="22"/>
          <w:szCs w:val="22"/>
          <w:highlight w:val="none"/>
        </w:rPr>
        <w:t>本表可在不改变格式的情况下根据具体需要自行增减</w:t>
      </w:r>
      <w:r>
        <w:rPr>
          <w:rFonts w:hint="eastAsia" w:ascii="新宋体" w:hAnsi="新宋体" w:eastAsia="新宋体" w:cs="宋体"/>
          <w:color w:val="auto"/>
          <w:sz w:val="22"/>
          <w:szCs w:val="22"/>
          <w:highlight w:val="none"/>
        </w:rPr>
        <w:t>。</w:t>
      </w:r>
    </w:p>
    <w:p w14:paraId="4F3D2D8F">
      <w:pPr>
        <w:spacing w:line="380" w:lineRule="exact"/>
        <w:ind w:firstLine="4400" w:firstLineChars="2000"/>
        <w:rPr>
          <w:rFonts w:hint="eastAsia" w:ascii="宋体" w:hAnsi="宋体" w:cs="宋体"/>
          <w:color w:val="auto"/>
          <w:sz w:val="22"/>
          <w:highlight w:val="none"/>
        </w:rPr>
      </w:pPr>
    </w:p>
    <w:p w14:paraId="29FB4BE3">
      <w:pPr>
        <w:spacing w:line="380" w:lineRule="exact"/>
        <w:ind w:firstLine="4400" w:firstLineChars="2000"/>
        <w:rPr>
          <w:rFonts w:hint="eastAsia" w:ascii="宋体" w:hAnsi="宋体" w:cs="宋体"/>
          <w:color w:val="auto"/>
          <w:sz w:val="22"/>
          <w:highlight w:val="none"/>
        </w:rPr>
      </w:pPr>
      <w:r>
        <w:rPr>
          <w:rFonts w:hint="eastAsia" w:ascii="宋体" w:hAnsi="宋体" w:cs="宋体"/>
          <w:color w:val="auto"/>
          <w:sz w:val="22"/>
          <w:highlight w:val="none"/>
        </w:rPr>
        <w:t>供应商全称（盖章）：</w:t>
      </w:r>
    </w:p>
    <w:p w14:paraId="5D42F8CA">
      <w:pPr>
        <w:spacing w:line="380" w:lineRule="exact"/>
        <w:ind w:firstLine="4400" w:firstLineChars="2000"/>
        <w:rPr>
          <w:rFonts w:hint="eastAsia" w:ascii="宋体" w:hAnsi="宋体" w:cs="宋体"/>
          <w:color w:val="auto"/>
          <w:sz w:val="22"/>
          <w:highlight w:val="none"/>
        </w:rPr>
      </w:pPr>
      <w:r>
        <w:rPr>
          <w:rFonts w:hint="eastAsia" w:ascii="宋体" w:hAnsi="宋体" w:cs="宋体"/>
          <w:color w:val="auto"/>
          <w:sz w:val="22"/>
          <w:highlight w:val="none"/>
        </w:rPr>
        <w:t>供应商代表（签名）：</w:t>
      </w:r>
    </w:p>
    <w:p w14:paraId="282EDB05">
      <w:pPr>
        <w:spacing w:line="380" w:lineRule="exact"/>
        <w:ind w:firstLine="4400" w:firstLineChars="2000"/>
        <w:rPr>
          <w:rFonts w:hint="eastAsia" w:ascii="宋体" w:hAnsi="宋体" w:cs="宋体"/>
          <w:color w:val="auto"/>
          <w:sz w:val="22"/>
          <w:highlight w:val="none"/>
        </w:rPr>
      </w:pPr>
      <w:r>
        <w:rPr>
          <w:rFonts w:hint="eastAsia" w:ascii="宋体" w:hAnsi="宋体" w:cs="宋体"/>
          <w:color w:val="auto"/>
          <w:sz w:val="22"/>
          <w:highlight w:val="none"/>
        </w:rPr>
        <w:t>日 期：  年  月  日</w:t>
      </w:r>
    </w:p>
    <w:p w14:paraId="6554EE59">
      <w:pPr>
        <w:pStyle w:val="3"/>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br w:type="page"/>
      </w:r>
      <w:bookmarkStart w:id="197" w:name="_Toc58832092"/>
      <w:r>
        <w:rPr>
          <w:rFonts w:hint="eastAsia" w:ascii="宋体" w:hAnsi="宋体" w:eastAsia="宋体" w:cs="宋体"/>
          <w:bCs w:val="0"/>
          <w:color w:val="auto"/>
          <w:sz w:val="36"/>
          <w:szCs w:val="36"/>
          <w:highlight w:val="none"/>
        </w:rPr>
        <w:t>第五部分   采购内容及要求</w:t>
      </w:r>
      <w:bookmarkEnd w:id="197"/>
    </w:p>
    <w:bookmarkEnd w:id="1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489A4961">
      <w:pPr>
        <w:spacing w:line="440" w:lineRule="exact"/>
        <w:ind w:firstLine="442" w:firstLineChars="200"/>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一、项目概况：</w:t>
      </w:r>
    </w:p>
    <w:p w14:paraId="482F1DD9">
      <w:pPr>
        <w:spacing w:line="44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国际眼健康科技创新与产业发展会议暨中国眼谷眼视光创新创业全球挑战赛是由温州眼视光国际创新中心（中国眼谷）联合多方单位共同举办的一项活动。作为世界青年科学家峰会重要分会之一，旨在融合科技、产业、人才和资本，邀请海内外眼健康领域的行业大咖、资深专家、知名投资人与眼健康企业代表齐聚一堂，共同学习交流并探讨新形势下的眼健康产业现状和未来。大赛将搭建中外交流桥梁，积极拓展眼健康领域的全球合作，助力构建政府学术产业投资全方位一体的医疗科技转化平台，努力创造全国乃至世界眼视光产业的重要增长及共同推进全民健康事业发展。</w:t>
      </w:r>
    </w:p>
    <w:p w14:paraId="02E7B02E">
      <w:pPr>
        <w:spacing w:line="44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本次会议规模约1000人，会场周期2天，需要中标单位统筹负责活动的整体执行和协调工作及费用包干，要有专业的执行团队与应急响应能力。服务内容包括项目策划设计、</w:t>
      </w:r>
      <w:r>
        <w:rPr>
          <w:rFonts w:hint="eastAsia" w:ascii="宋体" w:hAnsi="宋体" w:cs="宋体"/>
          <w:color w:val="auto"/>
          <w:sz w:val="22"/>
          <w:szCs w:val="22"/>
          <w:highlight w:val="none"/>
          <w:lang w:val="en-US" w:eastAsia="zh-CN"/>
        </w:rPr>
        <w:t>会议现场设计（含舞台效果及控台设备需求）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会议页面设计，</w:t>
      </w:r>
      <w:r>
        <w:rPr>
          <w:rFonts w:hint="eastAsia" w:ascii="宋体" w:hAnsi="宋体" w:cs="宋体"/>
          <w:color w:val="auto"/>
          <w:sz w:val="22"/>
          <w:szCs w:val="22"/>
          <w:highlight w:val="none"/>
          <w:lang w:val="en-US" w:eastAsia="zh-CN"/>
        </w:rPr>
        <w:t>物料设计，会刊设计与印刷，公众号长图及H5文件设计，</w:t>
      </w:r>
      <w:r>
        <w:rPr>
          <w:rFonts w:hint="eastAsia" w:ascii="宋体" w:hAnsi="宋体" w:cs="宋体"/>
          <w:color w:val="auto"/>
          <w:sz w:val="22"/>
          <w:szCs w:val="22"/>
          <w:highlight w:val="none"/>
        </w:rPr>
        <w:t>会议控场、</w:t>
      </w:r>
      <w:r>
        <w:rPr>
          <w:rFonts w:hint="eastAsia" w:ascii="宋体" w:hAnsi="宋体" w:cs="宋体"/>
          <w:color w:val="auto"/>
          <w:sz w:val="22"/>
          <w:szCs w:val="22"/>
          <w:highlight w:val="none"/>
          <w:lang w:val="en-US" w:eastAsia="zh-CN"/>
        </w:rPr>
        <w:t>议程道具制作，</w:t>
      </w:r>
      <w:r>
        <w:rPr>
          <w:rFonts w:hint="eastAsia" w:ascii="宋体" w:hAnsi="宋体" w:cs="宋体"/>
          <w:color w:val="auto"/>
          <w:sz w:val="22"/>
          <w:szCs w:val="22"/>
          <w:highlight w:val="none"/>
        </w:rPr>
        <w:t>参会人员的用餐、住宿、交通、</w:t>
      </w:r>
      <w:r>
        <w:rPr>
          <w:rFonts w:hint="eastAsia" w:ascii="宋体" w:hAnsi="宋体" w:cs="宋体"/>
          <w:color w:val="auto"/>
          <w:sz w:val="22"/>
          <w:szCs w:val="22"/>
          <w:highlight w:val="none"/>
          <w:lang w:val="en-US" w:eastAsia="zh-CN"/>
        </w:rPr>
        <w:t>演讲嘉宾的劳务费发放</w:t>
      </w:r>
      <w:r>
        <w:rPr>
          <w:rFonts w:hint="eastAsia" w:ascii="宋体" w:hAnsi="宋体" w:cs="宋体"/>
          <w:color w:val="auto"/>
          <w:sz w:val="22"/>
          <w:szCs w:val="22"/>
          <w:highlight w:val="none"/>
        </w:rPr>
        <w:t>及会议安全保障等</w:t>
      </w:r>
      <w:r>
        <w:rPr>
          <w:rFonts w:hint="eastAsia" w:ascii="宋体" w:hAnsi="宋体" w:cs="宋体"/>
          <w:color w:val="auto"/>
          <w:sz w:val="22"/>
          <w:szCs w:val="22"/>
          <w:highlight w:val="none"/>
          <w:lang w:val="en-US" w:eastAsia="zh-CN"/>
        </w:rPr>
        <w:t>相关</w:t>
      </w:r>
      <w:r>
        <w:rPr>
          <w:rFonts w:hint="eastAsia" w:ascii="宋体" w:hAnsi="宋体" w:cs="宋体"/>
          <w:color w:val="auto"/>
          <w:sz w:val="22"/>
          <w:szCs w:val="22"/>
          <w:highlight w:val="none"/>
        </w:rPr>
        <w:t>工作</w:t>
      </w:r>
      <w:r>
        <w:rPr>
          <w:rFonts w:hint="eastAsia" w:ascii="宋体" w:hAnsi="宋体" w:cs="宋体"/>
          <w:color w:val="auto"/>
          <w:sz w:val="22"/>
          <w:szCs w:val="22"/>
          <w:highlight w:val="none"/>
          <w:lang w:eastAsia="zh-CN"/>
        </w:rPr>
        <w:t>。</w:t>
      </w:r>
      <w:r>
        <w:rPr>
          <w:rFonts w:hint="eastAsia" w:ascii="宋体" w:hAnsi="宋体" w:cs="宋体"/>
          <w:b/>
          <w:bCs/>
          <w:color w:val="auto"/>
          <w:sz w:val="22"/>
          <w:szCs w:val="22"/>
          <w:highlight w:val="none"/>
          <w:lang w:val="en-US" w:eastAsia="zh-CN"/>
        </w:rPr>
        <w:t>其中</w:t>
      </w:r>
      <w:r>
        <w:rPr>
          <w:rFonts w:hint="eastAsia" w:ascii="宋体" w:hAnsi="宋体" w:cs="宋体"/>
          <w:b/>
          <w:bCs/>
          <w:color w:val="auto"/>
          <w:sz w:val="22"/>
          <w:szCs w:val="22"/>
          <w:highlight w:val="none"/>
        </w:rPr>
        <w:t>会议场地</w:t>
      </w:r>
      <w:r>
        <w:rPr>
          <w:rFonts w:hint="eastAsia" w:ascii="宋体" w:hAnsi="宋体" w:cs="宋体"/>
          <w:b/>
          <w:bCs/>
          <w:color w:val="auto"/>
          <w:sz w:val="22"/>
          <w:szCs w:val="22"/>
          <w:highlight w:val="none"/>
          <w:lang w:val="en-US" w:eastAsia="zh-CN"/>
        </w:rPr>
        <w:t>及控台设备</w:t>
      </w:r>
      <w:r>
        <w:rPr>
          <w:rFonts w:hint="eastAsia" w:ascii="宋体" w:hAnsi="宋体" w:cs="宋体"/>
          <w:b/>
          <w:bCs/>
          <w:color w:val="auto"/>
          <w:sz w:val="22"/>
          <w:szCs w:val="22"/>
          <w:highlight w:val="none"/>
        </w:rPr>
        <w:t>租赁、氛围布置、媒体造势宣传、直播摄影摄像、会议主持人聘请事项不在本次招标范围内</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本次</w:t>
      </w:r>
      <w:r>
        <w:rPr>
          <w:rFonts w:hint="eastAsia" w:ascii="宋体" w:hAnsi="宋体" w:cs="宋体"/>
          <w:color w:val="auto"/>
          <w:sz w:val="22"/>
          <w:szCs w:val="22"/>
          <w:highlight w:val="none"/>
        </w:rPr>
        <w:t>具体</w:t>
      </w:r>
      <w:r>
        <w:rPr>
          <w:rFonts w:hint="eastAsia" w:ascii="宋体" w:hAnsi="宋体" w:cs="宋体"/>
          <w:color w:val="auto"/>
          <w:sz w:val="22"/>
          <w:szCs w:val="22"/>
          <w:highlight w:val="none"/>
          <w:lang w:val="en-US" w:eastAsia="zh-CN"/>
        </w:rPr>
        <w:t>招标</w:t>
      </w:r>
      <w:r>
        <w:rPr>
          <w:rFonts w:hint="eastAsia" w:ascii="宋体" w:hAnsi="宋体" w:cs="宋体"/>
          <w:color w:val="auto"/>
          <w:sz w:val="22"/>
          <w:szCs w:val="22"/>
          <w:highlight w:val="none"/>
        </w:rPr>
        <w:t>需求如下：</w:t>
      </w:r>
    </w:p>
    <w:p w14:paraId="502D5E7F">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一、</w:t>
      </w:r>
      <w:r>
        <w:rPr>
          <w:rFonts w:hint="eastAsia" w:ascii="宋体" w:hAnsi="宋体" w:cs="宋体"/>
          <w:color w:val="auto"/>
          <w:sz w:val="22"/>
          <w:szCs w:val="22"/>
          <w:highlight w:val="none"/>
        </w:rPr>
        <w:t>负责整体项目的执行创意设计，设备控制，技术支持，人员服务，要求体现项目时代特性，符合项目要求，富含展现力。</w:t>
      </w:r>
    </w:p>
    <w:p w14:paraId="2D0CE0C5">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rPr>
        <w:t>负责会场各项工作的组织实施，会场使用预计如下：</w:t>
      </w:r>
    </w:p>
    <w:p w14:paraId="1D1E2A0F">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论坛主会场1个，场地面积不少于1200平米。</w:t>
      </w:r>
    </w:p>
    <w:p w14:paraId="668C570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分论坛会场1个，场地面积不少于700平米。</w:t>
      </w:r>
    </w:p>
    <w:p w14:paraId="664DE86F">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挑战赛项目会场1个，场地面积不少于700平米。</w:t>
      </w:r>
    </w:p>
    <w:p w14:paraId="2FCC450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研讨会等分会场3个，场地面积不少于300平米。</w:t>
      </w:r>
    </w:p>
    <w:p w14:paraId="4BB1F5EB">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设计制作技术要求：</w:t>
      </w:r>
    </w:p>
    <w:p w14:paraId="021FB69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麦克风套</w:t>
      </w:r>
      <w:r>
        <w:rPr>
          <w:rFonts w:hint="eastAsia" w:ascii="宋体" w:hAnsi="宋体" w:cs="宋体"/>
          <w:color w:val="auto"/>
          <w:sz w:val="22"/>
          <w:szCs w:val="22"/>
          <w:highlight w:val="none"/>
          <w:lang w:val="en-US" w:eastAsia="zh-CN"/>
        </w:rPr>
        <w:t>标</w:t>
      </w:r>
      <w:r>
        <w:rPr>
          <w:rFonts w:hint="eastAsia" w:ascii="宋体" w:hAnsi="宋体" w:cs="宋体"/>
          <w:color w:val="auto"/>
          <w:sz w:val="22"/>
          <w:szCs w:val="22"/>
          <w:highlight w:val="none"/>
        </w:rPr>
        <w:t>：10个，标准尺寸。</w:t>
      </w:r>
    </w:p>
    <w:p w14:paraId="239E31D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2）餐券800张。</w:t>
      </w:r>
    </w:p>
    <w:p w14:paraId="3BDE495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嘉宾接站牌：10个，KT板，双面印刷，30CM*60CM。</w:t>
      </w:r>
    </w:p>
    <w:p w14:paraId="3A619F47">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桌签台卡：</w:t>
      </w:r>
      <w:r>
        <w:rPr>
          <w:rFonts w:hint="eastAsia" w:ascii="宋体" w:hAnsi="宋体" w:cs="宋体"/>
          <w:color w:val="auto"/>
          <w:sz w:val="22"/>
          <w:szCs w:val="22"/>
          <w:highlight w:val="none"/>
          <w:lang w:val="en-US" w:eastAsia="zh-CN"/>
        </w:rPr>
        <w:t>350</w:t>
      </w:r>
      <w:r>
        <w:rPr>
          <w:rFonts w:hint="eastAsia" w:ascii="宋体" w:hAnsi="宋体" w:cs="宋体"/>
          <w:color w:val="auto"/>
          <w:sz w:val="22"/>
          <w:szCs w:val="22"/>
          <w:highlight w:val="none"/>
        </w:rPr>
        <w:t>个，10CM*20CM，157G铜版纸。</w:t>
      </w:r>
    </w:p>
    <w:p w14:paraId="38566B5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嘉宾胸卡及挂绳：</w:t>
      </w:r>
      <w:r>
        <w:rPr>
          <w:rFonts w:hint="eastAsia" w:ascii="宋体" w:hAnsi="宋体" w:cs="宋体"/>
          <w:color w:val="auto"/>
          <w:sz w:val="22"/>
          <w:szCs w:val="22"/>
          <w:highlight w:val="none"/>
          <w:lang w:val="en-US" w:eastAsia="zh-CN"/>
        </w:rPr>
        <w:t>195</w:t>
      </w:r>
      <w:r>
        <w:rPr>
          <w:rFonts w:hint="eastAsia" w:ascii="宋体" w:hAnsi="宋体" w:cs="宋体"/>
          <w:color w:val="auto"/>
          <w:sz w:val="22"/>
          <w:szCs w:val="22"/>
          <w:highlight w:val="none"/>
        </w:rPr>
        <w:t>套，9CM*13CM，PVC材质，双面印刷，挂绳印刷LOGO。</w:t>
      </w:r>
    </w:p>
    <w:p w14:paraId="632A4EA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帆布袋设计与制作：500个，标准尺寸。带LOGO印刷。</w:t>
      </w:r>
    </w:p>
    <w:p w14:paraId="360A540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参会文具设计与制作：500份，盒装，包含笔记本1本，签字笔1支。</w:t>
      </w:r>
    </w:p>
    <w:p w14:paraId="60CBEDF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会场鲜花：4组。</w:t>
      </w:r>
    </w:p>
    <w:p w14:paraId="004A2021">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论坛会刊设计与印刷：550本，80页，A4尺寸，157G铜版纸。</w:t>
      </w:r>
    </w:p>
    <w:p w14:paraId="6DB4F71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挑战赛项目手册设计与印刷：</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本，</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00页，A4尺寸，铜版纸封面，A4纸内页。</w:t>
      </w:r>
    </w:p>
    <w:p w14:paraId="1D051E8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流程单设计与印刷：1000份，双面四色打印，A4尺寸。</w:t>
      </w:r>
    </w:p>
    <w:p w14:paraId="6A65889A">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挑战赛决赛日程设计与印刷：120份，双面四色打印，A4尺寸。</w:t>
      </w:r>
    </w:p>
    <w:p w14:paraId="20D98F3C">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企业宣传单页：500份，双面四色打印，A4尺寸。</w:t>
      </w:r>
    </w:p>
    <w:p w14:paraId="6B36A9A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奖杯与证书：奖杯1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个；证书20个。</w:t>
      </w:r>
    </w:p>
    <w:p w14:paraId="2B010C8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嘉宾伴手礼：200份，不低于200元/份。</w:t>
      </w:r>
    </w:p>
    <w:p w14:paraId="32CFE63A">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四、</w:t>
      </w:r>
      <w:r>
        <w:rPr>
          <w:rFonts w:hint="eastAsia" w:ascii="宋体" w:hAnsi="宋体" w:cs="宋体"/>
          <w:color w:val="auto"/>
          <w:sz w:val="22"/>
          <w:szCs w:val="22"/>
          <w:highlight w:val="none"/>
        </w:rPr>
        <w:t>供应商负责挑战赛决赛、颁奖仪式、主论坛、分论坛以及临时性会议的人员服务，包括但不限于：</w:t>
      </w:r>
    </w:p>
    <w:p w14:paraId="42B7AB1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礼仪人员：女性6人，服务周期2天，含服化，要求形象甜美，有大型活动礼仪服务经验。</w:t>
      </w:r>
    </w:p>
    <w:p w14:paraId="7680D8FD">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挑战赛决赛计分并统计人员。</w:t>
      </w:r>
    </w:p>
    <w:p w14:paraId="4416F9A9">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活动现场执行工作人员不少于</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人/天，包含现场设备技术人员。</w:t>
      </w:r>
    </w:p>
    <w:p w14:paraId="56FD582A">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五、</w:t>
      </w:r>
      <w:r>
        <w:rPr>
          <w:rFonts w:hint="eastAsia" w:ascii="宋体" w:hAnsi="宋体" w:cs="宋体"/>
          <w:color w:val="auto"/>
          <w:sz w:val="22"/>
          <w:szCs w:val="22"/>
          <w:highlight w:val="none"/>
        </w:rPr>
        <w:t>供应商负责创意制作所有颁奖签约等仪式执行计划，包括但不限于仪式推荐、初筛、彩排、背景视频制作，物料设计与制作，以及备用方案。</w:t>
      </w:r>
    </w:p>
    <w:p w14:paraId="4C1D1B7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大型签约：2-3次（开幕式及挑战赛决赛现场）。</w:t>
      </w:r>
    </w:p>
    <w:p w14:paraId="0E52851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项目启动：1-2次，含备用仪式。</w:t>
      </w:r>
    </w:p>
    <w:p w14:paraId="7C74CE9C">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项目揭牌：1-2次，含铜牌制作。</w:t>
      </w:r>
    </w:p>
    <w:p w14:paraId="522E7DF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项目剪彩：1次。</w:t>
      </w:r>
    </w:p>
    <w:p w14:paraId="60A64A47">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暖场视频：1次，开幕式或颁奖仪式使用。</w:t>
      </w:r>
    </w:p>
    <w:p w14:paraId="46B83047">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cs="宋体"/>
          <w:color w:val="auto"/>
          <w:sz w:val="22"/>
          <w:szCs w:val="22"/>
          <w:highlight w:val="none"/>
        </w:rPr>
        <w:t>供应商负责会议H5设计与制作：2-3套，画面不少于20幅。</w:t>
      </w:r>
    </w:p>
    <w:p w14:paraId="23DD0E9A">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供应商负责参会嘉宾的邀请：</w:t>
      </w:r>
    </w:p>
    <w:p w14:paraId="52BEA68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供应商负责邀请院士、诺奖得主、海外眼科专家、世界500强眼科企业主要负责人参会，不少于20位。</w:t>
      </w:r>
    </w:p>
    <w:p w14:paraId="4E540B9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供应商邀请知名生命健康投资机构，不少于30家。</w:t>
      </w:r>
    </w:p>
    <w:p w14:paraId="2E3F4BC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供应商邀请国际知名眼科医院（世界排名前20，国内排名前10）主任级以上临床专家，不少于20位。</w:t>
      </w:r>
    </w:p>
    <w:p w14:paraId="1E3FD2B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供应商邀请行业投资人10位。</w:t>
      </w:r>
    </w:p>
    <w:p w14:paraId="5C290C3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供应商邀请挑战赛决赛评委12位。</w:t>
      </w:r>
    </w:p>
    <w:p w14:paraId="29CBD06F">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八、</w:t>
      </w:r>
      <w:r>
        <w:rPr>
          <w:rFonts w:hint="eastAsia" w:ascii="宋体" w:hAnsi="宋体" w:cs="宋体"/>
          <w:color w:val="auto"/>
          <w:sz w:val="22"/>
          <w:szCs w:val="22"/>
          <w:highlight w:val="none"/>
        </w:rPr>
        <w:t>供应商负责项目涉及嘉宾、参赛人员、评委的行程安排，保证服务质量，保证嘉宾的参会感受，包括但不限于：</w:t>
      </w:r>
    </w:p>
    <w:p w14:paraId="7B8AB2B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40人经济舱/二等座往返交通票务代订代购服务。</w:t>
      </w:r>
    </w:p>
    <w:p w14:paraId="4D1B689E">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220间晚五星级酒店住宿服务。</w:t>
      </w:r>
    </w:p>
    <w:p w14:paraId="7907B1A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20位参赛选手参赛补贴，根据参赛选手的出发地不同，按照欧美地区</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000元、亚洲地区</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000元，国内省外2000元，省内1000元（均为人民币）的标准给予参赛项目交通住宿补助。</w:t>
      </w:r>
    </w:p>
    <w:p w14:paraId="774FE186">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九、</w:t>
      </w:r>
      <w:r>
        <w:rPr>
          <w:rFonts w:hint="eastAsia" w:ascii="宋体" w:hAnsi="宋体" w:cs="宋体"/>
          <w:color w:val="auto"/>
          <w:sz w:val="22"/>
          <w:szCs w:val="22"/>
          <w:highlight w:val="none"/>
        </w:rPr>
        <w:t>供应商负责项目餐饮服务，对接酒店相关部门，保证客房数量及餐饮品质，符合项目要求：</w:t>
      </w:r>
    </w:p>
    <w:p w14:paraId="00F07172">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会议自助餐2天四餐，共计300份；每餐包含20位重点嘉宾接待包厢。（午餐180份，晚餐120份）</w:t>
      </w:r>
    </w:p>
    <w:p w14:paraId="1223F95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颁奖仪式晚宴</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桌；商务宴请10桌。（10-15人次/桌）</w:t>
      </w:r>
    </w:p>
    <w:p w14:paraId="24A8745D">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会议工作餐3天6餐，共计</w:t>
      </w:r>
      <w:r>
        <w:rPr>
          <w:rFonts w:hint="eastAsia" w:ascii="宋体" w:hAnsi="宋体" w:cs="宋体"/>
          <w:color w:val="auto"/>
          <w:sz w:val="22"/>
          <w:szCs w:val="22"/>
          <w:highlight w:val="none"/>
          <w:lang w:val="en-US" w:eastAsia="zh-CN"/>
        </w:rPr>
        <w:t>800</w:t>
      </w:r>
      <w:r>
        <w:rPr>
          <w:rFonts w:hint="eastAsia" w:ascii="宋体" w:hAnsi="宋体" w:cs="宋体"/>
          <w:color w:val="auto"/>
          <w:sz w:val="22"/>
          <w:szCs w:val="22"/>
          <w:highlight w:val="none"/>
        </w:rPr>
        <w:t>份。</w:t>
      </w:r>
    </w:p>
    <w:p w14:paraId="7A754718">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会议茶歇2天，共计6场，每场300人份。（水果、甜品、小食10款/场，饮品3款/场）</w:t>
      </w:r>
    </w:p>
    <w:p w14:paraId="74F1A93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挑战赛决赛茶歇1天，共计2场，每场300人份。（水果、甜品、小食10款/场，饮品3款/场）</w:t>
      </w:r>
    </w:p>
    <w:p w14:paraId="709CFBF1">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会议期间不间断无限量的饮品服务，品种不少于4款，含咖啡。</w:t>
      </w:r>
    </w:p>
    <w:p w14:paraId="330DCBB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特殊用餐安排；例如：民族餐，禁忌餐。</w:t>
      </w:r>
    </w:p>
    <w:p w14:paraId="6E30DCEF">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十、</w:t>
      </w:r>
      <w:r>
        <w:rPr>
          <w:rFonts w:hint="eastAsia" w:ascii="宋体" w:hAnsi="宋体" w:cs="宋体"/>
          <w:color w:val="auto"/>
          <w:sz w:val="22"/>
          <w:szCs w:val="22"/>
          <w:highlight w:val="none"/>
        </w:rPr>
        <w:t>参会嘉宾/评委劳务费的发放及个税代扣代缴；</w:t>
      </w:r>
    </w:p>
    <w:p w14:paraId="55505810">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挑战赛决赛评委（不少于12位），</w:t>
      </w:r>
    </w:p>
    <w:p w14:paraId="5A552D16">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各论坛报告嘉宾（</w:t>
      </w:r>
      <w:r>
        <w:rPr>
          <w:rFonts w:hint="eastAsia" w:ascii="宋体" w:hAnsi="宋体" w:cs="宋体"/>
          <w:color w:val="auto"/>
          <w:sz w:val="22"/>
          <w:szCs w:val="22"/>
          <w:highlight w:val="none"/>
          <w:lang w:val="en-US" w:eastAsia="zh-CN"/>
        </w:rPr>
        <w:t>累计</w:t>
      </w:r>
      <w:r>
        <w:rPr>
          <w:rFonts w:hint="eastAsia" w:ascii="宋体" w:hAnsi="宋体" w:cs="宋体"/>
          <w:color w:val="auto"/>
          <w:sz w:val="22"/>
          <w:szCs w:val="22"/>
          <w:highlight w:val="none"/>
        </w:rPr>
        <w:t>不少于</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0位）。</w:t>
      </w:r>
    </w:p>
    <w:p w14:paraId="3E601581">
      <w:pPr>
        <w:numPr>
          <w:ilvl w:val="-1"/>
          <w:numId w:val="0"/>
        </w:numPr>
        <w:spacing w:line="440" w:lineRule="exact"/>
        <w:ind w:left="424" w:leftChars="202"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十一、</w:t>
      </w:r>
      <w:r>
        <w:rPr>
          <w:rFonts w:hint="eastAsia" w:ascii="宋体" w:hAnsi="宋体" w:cs="宋体"/>
          <w:color w:val="auto"/>
          <w:sz w:val="22"/>
          <w:szCs w:val="22"/>
          <w:highlight w:val="none"/>
        </w:rPr>
        <w:t xml:space="preserve">供应商负责会议现场车辆服务，接送场站车辆服务，园区参观车辆服务： </w:t>
      </w:r>
    </w:p>
    <w:p w14:paraId="58127C14">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商务7座车，工作基础时间10小时/天，不含路桥费，含油费。</w:t>
      </w:r>
    </w:p>
    <w:p w14:paraId="482F0094">
      <w:pPr>
        <w:pStyle w:val="92"/>
        <w:spacing w:line="440" w:lineRule="exact"/>
        <w:ind w:left="92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用车数量：4天：共计12辆。</w:t>
      </w:r>
    </w:p>
    <w:p w14:paraId="5ADEDCA5">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47座大客车，每日往返2-3次，总里程小于200公里，不含路桥费，含油费。</w:t>
      </w:r>
    </w:p>
    <w:p w14:paraId="0F6A4D45">
      <w:pPr>
        <w:pStyle w:val="92"/>
        <w:spacing w:line="440" w:lineRule="exact"/>
        <w:ind w:left="92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用车数量：3天，共计7辆。</w:t>
      </w:r>
    </w:p>
    <w:p w14:paraId="50916703">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行驶路线的规划设计。</w:t>
      </w:r>
    </w:p>
    <w:p w14:paraId="273C243D">
      <w:pPr>
        <w:pStyle w:val="92"/>
        <w:numPr>
          <w:ilvl w:val="-1"/>
          <w:numId w:val="0"/>
        </w:numPr>
        <w:spacing w:line="440" w:lineRule="exact"/>
        <w:ind w:left="484"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重点嘉宾接送服务规范培训。</w:t>
      </w:r>
    </w:p>
    <w:p w14:paraId="00E736B3">
      <w:pPr>
        <w:spacing w:line="440" w:lineRule="exact"/>
        <w:ind w:left="484" w:firstLine="440" w:firstLineChars="200"/>
        <w:rPr>
          <w:rFonts w:hint="eastAsia" w:ascii="宋体" w:hAnsi="宋体" w:cs="宋体"/>
          <w:color w:val="auto"/>
          <w:sz w:val="22"/>
          <w:szCs w:val="22"/>
          <w:highlight w:val="none"/>
        </w:rPr>
      </w:pPr>
    </w:p>
    <w:p w14:paraId="3C06A642">
      <w:pPr>
        <w:spacing w:line="440" w:lineRule="exact"/>
        <w:ind w:firstLine="440" w:firstLineChars="200"/>
        <w:rPr>
          <w:rFonts w:hint="eastAsia" w:ascii="宋体" w:hAnsi="宋体" w:cs="宋体"/>
          <w:color w:val="auto"/>
          <w:sz w:val="22"/>
          <w:szCs w:val="22"/>
          <w:highlight w:val="none"/>
        </w:rPr>
        <w:sectPr>
          <w:headerReference r:id="rId10" w:type="first"/>
          <w:footerReference r:id="rId12" w:type="first"/>
          <w:headerReference r:id="rId9" w:type="default"/>
          <w:footerReference r:id="rId11" w:type="default"/>
          <w:type w:val="nextColumn"/>
          <w:pgSz w:w="11906" w:h="16838"/>
          <w:pgMar w:top="1134" w:right="1134" w:bottom="1134" w:left="1134" w:header="851" w:footer="851" w:gutter="0"/>
          <w:cols w:space="720" w:num="1"/>
          <w:titlePg/>
          <w:docGrid w:linePitch="312" w:charSpace="0"/>
        </w:sectPr>
      </w:pPr>
      <w:r>
        <w:rPr>
          <w:rFonts w:hint="eastAsia" w:ascii="宋体" w:hAnsi="宋体" w:cs="宋体"/>
          <w:color w:val="auto"/>
          <w:sz w:val="22"/>
          <w:szCs w:val="22"/>
          <w:highlight w:val="none"/>
        </w:rPr>
        <w:t>为确保活动的顺利进行和目标实现，若在合同执行期间，</w:t>
      </w: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需要对服务要求进行新增或调整，双方应基于公平、公正、合理的原则进行协商。在不增加如上服务内容的前提下，费用实行总包干，但若调减服务数量，结算金额应相应调减，故投标报价请明确单价或明细金额，便于后续结算。如乙方未完全履行合同或拒绝配合甲方的调整要求，导致合同部分或全部目标无法达成，甲方保留依据法律及合同规定追究其违约责任的权利。</w:t>
      </w:r>
    </w:p>
    <w:p w14:paraId="7674811E">
      <w:pPr>
        <w:pStyle w:val="3"/>
        <w:rPr>
          <w:rFonts w:hint="eastAsia" w:ascii="宋体" w:hAnsi="宋体" w:eastAsia="宋体" w:cs="宋体"/>
          <w:bCs w:val="0"/>
          <w:color w:val="auto"/>
          <w:sz w:val="36"/>
          <w:szCs w:val="36"/>
          <w:highlight w:val="none"/>
        </w:rPr>
      </w:pPr>
      <w:bookmarkStart w:id="198" w:name="_Toc58832093"/>
      <w:r>
        <w:rPr>
          <w:rFonts w:hint="eastAsia" w:ascii="宋体" w:hAnsi="宋体" w:eastAsia="宋体" w:cs="宋体"/>
          <w:bCs w:val="0"/>
          <w:color w:val="auto"/>
          <w:sz w:val="36"/>
          <w:szCs w:val="36"/>
          <w:highlight w:val="none"/>
        </w:rPr>
        <w:t>第六部分   磋商原则及方法</w:t>
      </w:r>
      <w:bookmarkEnd w:id="198"/>
    </w:p>
    <w:p w14:paraId="6023AC50">
      <w:pPr>
        <w:tabs>
          <w:tab w:val="left" w:pos="6358"/>
        </w:tabs>
        <w:snapToGrid w:val="0"/>
        <w:spacing w:line="400" w:lineRule="exact"/>
        <w:jc w:val="left"/>
        <w:rPr>
          <w:rFonts w:hint="eastAsia" w:ascii="宋体" w:hAnsi="宋体" w:cs="宋体"/>
          <w:b/>
          <w:bCs/>
          <w:color w:val="auto"/>
          <w:sz w:val="22"/>
          <w:szCs w:val="22"/>
          <w:highlight w:val="none"/>
        </w:rPr>
      </w:pPr>
      <w:bookmarkStart w:id="199" w:name="_Toc221356898"/>
      <w:bookmarkStart w:id="200" w:name="_Toc221356961"/>
      <w:r>
        <w:rPr>
          <w:rFonts w:hint="eastAsia" w:ascii="宋体" w:hAnsi="宋体" w:cs="宋体"/>
          <w:b/>
          <w:bCs/>
          <w:color w:val="auto"/>
          <w:sz w:val="22"/>
          <w:szCs w:val="22"/>
          <w:highlight w:val="none"/>
        </w:rPr>
        <w:t>一、总则</w:t>
      </w:r>
    </w:p>
    <w:p w14:paraId="4748C448">
      <w:pPr>
        <w:spacing w:line="420" w:lineRule="exact"/>
        <w:ind w:firstLine="440" w:firstLineChars="200"/>
        <w:rPr>
          <w:rFonts w:hint="eastAsia" w:ascii="宋体" w:hAnsi="宋体" w:cs="宋体"/>
          <w:color w:val="auto"/>
          <w:sz w:val="22"/>
          <w:szCs w:val="22"/>
          <w:highlight w:val="none"/>
        </w:rPr>
      </w:pPr>
      <w:bookmarkStart w:id="201" w:name="_Toc416695955"/>
      <w:bookmarkStart w:id="202" w:name="_Toc413771022"/>
      <w:r>
        <w:rPr>
          <w:rFonts w:hint="eastAsia" w:ascii="宋体" w:hAnsi="宋体" w:cs="宋体"/>
          <w:color w:val="auto"/>
          <w:sz w:val="22"/>
          <w:szCs w:val="22"/>
          <w:highlight w:val="none"/>
        </w:rPr>
        <w:t>评审工作遵循“公平、公正、科学、择优”原则和“诚实、信誉、效率”的服务原则。最大限度地保护采购人权益，严格按照磋商文件的要求，对磋商响应文件进行综合评审。磋商供应商不得以任何方式干扰采购工作的进行，一经发现其磋商响应文件将被拒绝。</w:t>
      </w:r>
    </w:p>
    <w:p w14:paraId="2047FFC4">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w:t>
      </w:r>
      <w:bookmarkEnd w:id="201"/>
      <w:bookmarkEnd w:id="202"/>
      <w:r>
        <w:rPr>
          <w:rFonts w:hint="eastAsia" w:ascii="宋体" w:hAnsi="宋体" w:cs="宋体"/>
          <w:b/>
          <w:bCs/>
          <w:color w:val="auto"/>
          <w:sz w:val="22"/>
          <w:szCs w:val="22"/>
          <w:highlight w:val="none"/>
        </w:rPr>
        <w:t>评审组织</w:t>
      </w:r>
    </w:p>
    <w:p w14:paraId="64641782">
      <w:pPr>
        <w:tabs>
          <w:tab w:val="left" w:pos="6358"/>
        </w:tabs>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评审及磋商工作由采购人依法组建的磋商小组负责，评审及磋商全过程由有关部门指导监督。</w:t>
      </w:r>
    </w:p>
    <w:p w14:paraId="43EF8CFF">
      <w:pPr>
        <w:tabs>
          <w:tab w:val="left" w:pos="6358"/>
        </w:tabs>
        <w:snapToGrid w:val="0"/>
        <w:spacing w:line="400" w:lineRule="exact"/>
        <w:ind w:left="773" w:hanging="773" w:hangingChars="350"/>
        <w:rPr>
          <w:rFonts w:hint="eastAsia" w:ascii="宋体" w:hAnsi="宋体" w:cs="宋体"/>
          <w:b/>
          <w:bCs/>
          <w:color w:val="auto"/>
          <w:sz w:val="22"/>
          <w:szCs w:val="22"/>
          <w:highlight w:val="none"/>
        </w:rPr>
      </w:pPr>
      <w:bookmarkStart w:id="203" w:name="_Toc413771024"/>
      <w:bookmarkStart w:id="204" w:name="_Toc416695957"/>
      <w:r>
        <w:rPr>
          <w:rFonts w:hint="eastAsia" w:ascii="宋体" w:hAnsi="宋体" w:cs="宋体"/>
          <w:b/>
          <w:bCs/>
          <w:color w:val="auto"/>
          <w:sz w:val="22"/>
          <w:szCs w:val="22"/>
          <w:highlight w:val="none"/>
        </w:rPr>
        <w:t>三、评审及磋商的程序</w:t>
      </w:r>
      <w:bookmarkEnd w:id="203"/>
      <w:bookmarkEnd w:id="204"/>
    </w:p>
    <w:p w14:paraId="63AE6E8B">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熟悉竞争性磋商文件和评审磋商办法；</w:t>
      </w:r>
    </w:p>
    <w:p w14:paraId="6D05409F">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开启磋商响应文件（第一次报价不公布）；</w:t>
      </w:r>
    </w:p>
    <w:p w14:paraId="40F3C34B">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资格审查；</w:t>
      </w:r>
    </w:p>
    <w:p w14:paraId="75261699">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磋商、询标（需要时）；</w:t>
      </w:r>
    </w:p>
    <w:p w14:paraId="21C25F7A">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磋商响应文件商务技术标评分；</w:t>
      </w:r>
    </w:p>
    <w:p w14:paraId="78C57690">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磋商二次报价或最终报价；</w:t>
      </w:r>
    </w:p>
    <w:p w14:paraId="3283DD2E">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磋商小组根据评审结果，提交评审报告。</w:t>
      </w:r>
    </w:p>
    <w:p w14:paraId="031DF621">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四、评审细则</w:t>
      </w:r>
    </w:p>
    <w:p w14:paraId="21862988">
      <w:pPr>
        <w:numPr>
          <w:ilvl w:val="0"/>
          <w:numId w:val="21"/>
        </w:numPr>
        <w:tabs>
          <w:tab w:val="left" w:pos="6358"/>
        </w:tabs>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磋商响应文件的商务技术评分（90分）</w:t>
      </w:r>
    </w:p>
    <w:p w14:paraId="45BB2862">
      <w:pPr>
        <w:numPr>
          <w:ilvl w:val="0"/>
          <w:numId w:val="0"/>
        </w:numPr>
        <w:tabs>
          <w:tab w:val="left" w:pos="6358"/>
        </w:tabs>
        <w:snapToGrid w:val="0"/>
        <w:spacing w:line="460" w:lineRule="exact"/>
        <w:ind w:left="40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4"/>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91"/>
        <w:gridCol w:w="1630"/>
        <w:gridCol w:w="6940"/>
        <w:gridCol w:w="655"/>
      </w:tblGrid>
      <w:tr w14:paraId="4704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gridSpan w:val="2"/>
            <w:tcBorders>
              <w:top w:val="single" w:color="auto" w:sz="4" w:space="0"/>
              <w:left w:val="single" w:color="auto" w:sz="4" w:space="0"/>
              <w:bottom w:val="single" w:color="auto" w:sz="4" w:space="0"/>
              <w:right w:val="single" w:color="auto" w:sz="4" w:space="0"/>
            </w:tcBorders>
            <w:vAlign w:val="center"/>
          </w:tcPr>
          <w:p w14:paraId="3985DC4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1630" w:type="dxa"/>
            <w:tcBorders>
              <w:top w:val="single" w:color="auto" w:sz="4" w:space="0"/>
              <w:left w:val="single" w:color="auto" w:sz="4" w:space="0"/>
              <w:bottom w:val="single" w:color="auto" w:sz="4" w:space="0"/>
              <w:right w:val="single" w:color="auto" w:sz="4" w:space="0"/>
            </w:tcBorders>
            <w:vAlign w:val="center"/>
          </w:tcPr>
          <w:p w14:paraId="53BF7839">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rPr>
              <w:t>评审项目</w:t>
            </w:r>
          </w:p>
        </w:tc>
        <w:tc>
          <w:tcPr>
            <w:tcW w:w="6940" w:type="dxa"/>
            <w:tcBorders>
              <w:top w:val="single" w:color="auto" w:sz="4" w:space="0"/>
              <w:left w:val="single" w:color="auto" w:sz="4" w:space="0"/>
              <w:bottom w:val="single" w:color="auto" w:sz="4" w:space="0"/>
              <w:right w:val="single" w:color="auto" w:sz="4" w:space="0"/>
            </w:tcBorders>
            <w:vAlign w:val="center"/>
          </w:tcPr>
          <w:p w14:paraId="201C86AF">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评       审       内       容</w:t>
            </w:r>
          </w:p>
        </w:tc>
        <w:tc>
          <w:tcPr>
            <w:tcW w:w="655" w:type="dxa"/>
            <w:tcBorders>
              <w:top w:val="single" w:color="auto" w:sz="4" w:space="0"/>
              <w:left w:val="single" w:color="auto" w:sz="4" w:space="0"/>
              <w:bottom w:val="single" w:color="auto" w:sz="4" w:space="0"/>
              <w:right w:val="single" w:color="auto" w:sz="4" w:space="0"/>
            </w:tcBorders>
            <w:vAlign w:val="center"/>
          </w:tcPr>
          <w:p w14:paraId="55C8F15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分值</w:t>
            </w:r>
          </w:p>
        </w:tc>
      </w:tr>
      <w:tr w14:paraId="4955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gridSpan w:val="2"/>
            <w:tcBorders>
              <w:top w:val="single" w:color="auto" w:sz="4" w:space="0"/>
              <w:left w:val="single" w:color="auto" w:sz="4" w:space="0"/>
              <w:bottom w:val="single" w:color="auto" w:sz="4" w:space="0"/>
              <w:right w:val="single" w:color="auto" w:sz="4" w:space="0"/>
            </w:tcBorders>
            <w:vAlign w:val="center"/>
          </w:tcPr>
          <w:p w14:paraId="24016F2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1630" w:type="dxa"/>
            <w:tcBorders>
              <w:top w:val="single" w:color="auto" w:sz="4" w:space="0"/>
              <w:left w:val="single" w:color="auto" w:sz="4" w:space="0"/>
              <w:bottom w:val="single" w:color="auto" w:sz="4" w:space="0"/>
              <w:right w:val="single" w:color="auto" w:sz="4" w:space="0"/>
            </w:tcBorders>
            <w:vAlign w:val="center"/>
          </w:tcPr>
          <w:p w14:paraId="3041C5FD">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投标人业绩</w:t>
            </w:r>
          </w:p>
        </w:tc>
        <w:tc>
          <w:tcPr>
            <w:tcW w:w="6940" w:type="dxa"/>
            <w:tcBorders>
              <w:top w:val="single" w:color="auto" w:sz="4" w:space="0"/>
              <w:left w:val="single" w:color="auto" w:sz="4" w:space="0"/>
              <w:bottom w:val="single" w:color="auto" w:sz="4" w:space="0"/>
              <w:right w:val="single" w:color="auto" w:sz="4" w:space="0"/>
            </w:tcBorders>
            <w:vAlign w:val="center"/>
          </w:tcPr>
          <w:p w14:paraId="337AAE80">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近三年（2021年1月1日至今）同类活动且参会规模500人次以上案例，3个及以上案例得1分，3个以下不得分，证明材料以合同文本为准，附一张活动主题照和一张全景照，并加盖投标单位公章，缺任一项证明材料不得分。</w:t>
            </w:r>
          </w:p>
        </w:tc>
        <w:tc>
          <w:tcPr>
            <w:tcW w:w="655" w:type="dxa"/>
            <w:tcBorders>
              <w:top w:val="single" w:color="auto" w:sz="4" w:space="0"/>
              <w:left w:val="single" w:color="auto" w:sz="4" w:space="0"/>
              <w:bottom w:val="single" w:color="auto" w:sz="4" w:space="0"/>
              <w:right w:val="single" w:color="auto" w:sz="4" w:space="0"/>
            </w:tcBorders>
            <w:vAlign w:val="center"/>
          </w:tcPr>
          <w:p w14:paraId="191FAD35">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r>
      <w:tr w14:paraId="1B82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gridSpan w:val="2"/>
            <w:tcBorders>
              <w:top w:val="single" w:color="auto" w:sz="4" w:space="0"/>
              <w:left w:val="single" w:color="auto" w:sz="4" w:space="0"/>
              <w:bottom w:val="single" w:color="auto" w:sz="4" w:space="0"/>
              <w:right w:val="single" w:color="auto" w:sz="4" w:space="0"/>
            </w:tcBorders>
            <w:vAlign w:val="center"/>
          </w:tcPr>
          <w:p w14:paraId="14B4DF2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630" w:type="dxa"/>
            <w:tcBorders>
              <w:top w:val="single" w:color="auto" w:sz="4" w:space="0"/>
              <w:left w:val="single" w:color="auto" w:sz="4" w:space="0"/>
              <w:bottom w:val="single" w:color="auto" w:sz="4" w:space="0"/>
              <w:right w:val="single" w:color="auto" w:sz="4" w:space="0"/>
            </w:tcBorders>
            <w:vAlign w:val="center"/>
          </w:tcPr>
          <w:p w14:paraId="7F0B5FE9">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项目团队情况</w:t>
            </w:r>
          </w:p>
        </w:tc>
        <w:tc>
          <w:tcPr>
            <w:tcW w:w="6940" w:type="dxa"/>
            <w:tcBorders>
              <w:top w:val="single" w:color="auto" w:sz="4" w:space="0"/>
              <w:left w:val="single" w:color="auto" w:sz="4" w:space="0"/>
              <w:bottom w:val="single" w:color="auto" w:sz="4" w:space="0"/>
              <w:right w:val="single" w:color="auto" w:sz="4" w:space="0"/>
            </w:tcBorders>
            <w:vAlign w:val="center"/>
          </w:tcPr>
          <w:p w14:paraId="4AC83A2D">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投标人根据项目需求组建的项目团队，根据项目负责人资质、专项活动项目统筹管理和领导经验、项目组人员专业配置及相关项目经验等方面</w:t>
            </w:r>
            <w:r>
              <w:rPr>
                <w:rFonts w:hint="eastAsia" w:ascii="新宋体" w:hAnsi="新宋体" w:eastAsia="新宋体" w:cs="仿宋"/>
                <w:color w:val="auto"/>
                <w:sz w:val="22"/>
                <w:szCs w:val="22"/>
                <w:highlight w:val="none"/>
              </w:rPr>
              <w:t>进行分档量化评分</w:t>
            </w:r>
            <w:r>
              <w:rPr>
                <w:rFonts w:hint="eastAsia" w:ascii="新宋体" w:hAnsi="新宋体" w:eastAsia="新宋体"/>
                <w:color w:val="auto"/>
                <w:sz w:val="22"/>
                <w:szCs w:val="22"/>
                <w:highlight w:val="none"/>
              </w:rPr>
              <w:t>（10，7，4，2，0）</w:t>
            </w:r>
            <w:r>
              <w:rPr>
                <w:rFonts w:hint="eastAsia" w:ascii="新宋体" w:hAnsi="新宋体" w:eastAsia="新宋体" w:cs="仿宋"/>
                <w:color w:val="auto"/>
                <w:sz w:val="22"/>
                <w:szCs w:val="22"/>
                <w:highlight w:val="none"/>
              </w:rPr>
              <w:t>未提供本项内容不得分。</w:t>
            </w:r>
          </w:p>
          <w:p w14:paraId="317AB642">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注：</w:t>
            </w:r>
            <w:r>
              <w:rPr>
                <w:rFonts w:hint="eastAsia" w:ascii="新宋体" w:hAnsi="新宋体" w:eastAsia="新宋体"/>
                <w:color w:val="auto"/>
                <w:sz w:val="22"/>
                <w:szCs w:val="22"/>
                <w:highlight w:val="none"/>
                <w:lang w:val="zh-CN"/>
              </w:rPr>
              <w:t>项目组人员（</w:t>
            </w:r>
            <w:r>
              <w:rPr>
                <w:rFonts w:hint="eastAsia" w:ascii="新宋体" w:hAnsi="新宋体" w:eastAsia="新宋体"/>
                <w:color w:val="auto"/>
                <w:sz w:val="22"/>
                <w:szCs w:val="22"/>
                <w:highlight w:val="none"/>
              </w:rPr>
              <w:t>含项目负责人</w:t>
            </w:r>
            <w:r>
              <w:rPr>
                <w:rFonts w:hint="eastAsia" w:ascii="新宋体" w:hAnsi="新宋体" w:eastAsia="新宋体"/>
                <w:color w:val="auto"/>
                <w:sz w:val="22"/>
                <w:szCs w:val="22"/>
                <w:highlight w:val="none"/>
                <w:lang w:val="zh-CN"/>
              </w:rPr>
              <w:t>）</w:t>
            </w:r>
            <w:r>
              <w:rPr>
                <w:rFonts w:hint="eastAsia" w:ascii="新宋体" w:hAnsi="新宋体" w:eastAsia="新宋体"/>
                <w:color w:val="auto"/>
                <w:sz w:val="22"/>
                <w:szCs w:val="22"/>
                <w:highlight w:val="none"/>
              </w:rPr>
              <w:t>需</w:t>
            </w:r>
            <w:r>
              <w:rPr>
                <w:rFonts w:hint="eastAsia" w:ascii="新宋体" w:hAnsi="新宋体" w:eastAsia="新宋体"/>
                <w:color w:val="auto"/>
                <w:sz w:val="22"/>
                <w:szCs w:val="22"/>
                <w:highlight w:val="none"/>
                <w:lang w:val="zh-CN"/>
              </w:rPr>
              <w:t>提供</w:t>
            </w:r>
            <w:r>
              <w:rPr>
                <w:rFonts w:hint="eastAsia" w:ascii="新宋体" w:hAnsi="新宋体" w:eastAsia="新宋体"/>
                <w:color w:val="auto"/>
                <w:sz w:val="22"/>
                <w:szCs w:val="22"/>
                <w:highlight w:val="none"/>
              </w:rPr>
              <w:t>本单位的近3个月任一个月的</w:t>
            </w:r>
            <w:r>
              <w:rPr>
                <w:rFonts w:hint="eastAsia" w:ascii="新宋体" w:hAnsi="新宋体" w:eastAsia="新宋体"/>
                <w:color w:val="auto"/>
                <w:sz w:val="22"/>
                <w:szCs w:val="22"/>
                <w:highlight w:val="none"/>
                <w:lang w:val="zh-CN"/>
              </w:rPr>
              <w:t>社保复印件加盖公章并提供项目组人员（</w:t>
            </w:r>
            <w:r>
              <w:rPr>
                <w:rFonts w:hint="eastAsia" w:ascii="新宋体" w:hAnsi="新宋体" w:eastAsia="新宋体"/>
                <w:color w:val="auto"/>
                <w:sz w:val="22"/>
                <w:szCs w:val="22"/>
                <w:highlight w:val="none"/>
              </w:rPr>
              <w:t>含项目负责人</w:t>
            </w:r>
            <w:r>
              <w:rPr>
                <w:rFonts w:hint="eastAsia" w:ascii="新宋体" w:hAnsi="新宋体" w:eastAsia="新宋体"/>
                <w:color w:val="auto"/>
                <w:sz w:val="22"/>
                <w:szCs w:val="22"/>
                <w:highlight w:val="none"/>
                <w:lang w:val="zh-CN"/>
              </w:rPr>
              <w:t>）的工作履历。</w:t>
            </w:r>
          </w:p>
        </w:tc>
        <w:tc>
          <w:tcPr>
            <w:tcW w:w="655" w:type="dxa"/>
            <w:tcBorders>
              <w:top w:val="single" w:color="auto" w:sz="4" w:space="0"/>
              <w:left w:val="single" w:color="auto" w:sz="4" w:space="0"/>
              <w:bottom w:val="single" w:color="auto" w:sz="4" w:space="0"/>
              <w:right w:val="single" w:color="auto" w:sz="4" w:space="0"/>
            </w:tcBorders>
            <w:vAlign w:val="center"/>
          </w:tcPr>
          <w:p w14:paraId="41CBE39E">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r>
      <w:tr w14:paraId="20AB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gridSpan w:val="2"/>
            <w:tcBorders>
              <w:top w:val="single" w:color="auto" w:sz="4" w:space="0"/>
              <w:left w:val="single" w:color="auto" w:sz="4" w:space="0"/>
              <w:bottom w:val="single" w:color="auto" w:sz="4" w:space="0"/>
              <w:right w:val="single" w:color="auto" w:sz="4" w:space="0"/>
            </w:tcBorders>
            <w:vAlign w:val="center"/>
          </w:tcPr>
          <w:p w14:paraId="4912E79A">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630" w:type="dxa"/>
            <w:tcBorders>
              <w:top w:val="single" w:color="auto" w:sz="4" w:space="0"/>
              <w:left w:val="single" w:color="auto" w:sz="4" w:space="0"/>
              <w:bottom w:val="single" w:color="auto" w:sz="4" w:space="0"/>
              <w:right w:val="single" w:color="auto" w:sz="4" w:space="0"/>
            </w:tcBorders>
            <w:vAlign w:val="center"/>
          </w:tcPr>
          <w:p w14:paraId="02D96A0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对整体项目的理解与分析</w:t>
            </w:r>
          </w:p>
        </w:tc>
        <w:tc>
          <w:tcPr>
            <w:tcW w:w="6940" w:type="dxa"/>
            <w:tcBorders>
              <w:top w:val="single" w:color="auto" w:sz="4" w:space="0"/>
              <w:left w:val="single" w:color="auto" w:sz="4" w:space="0"/>
              <w:bottom w:val="single" w:color="auto" w:sz="4" w:space="0"/>
              <w:right w:val="single" w:color="auto" w:sz="4" w:space="0"/>
            </w:tcBorders>
            <w:vAlign w:val="center"/>
          </w:tcPr>
          <w:p w14:paraId="2AC6AEC9">
            <w:pPr>
              <w:keepNext w:val="0"/>
              <w:keepLines w:val="0"/>
              <w:pageBreakBefore w:val="0"/>
              <w:kinsoku/>
              <w:wordWrap/>
              <w:overflowPunct/>
              <w:topLinePunct w:val="0"/>
              <w:autoSpaceDE/>
              <w:autoSpaceDN/>
              <w:bidi w:val="0"/>
              <w:adjustRightInd/>
              <w:snapToGrid/>
              <w:spacing w:line="312" w:lineRule="auto"/>
              <w:ind w:left="-50"/>
              <w:jc w:val="left"/>
              <w:textAlignment w:val="auto"/>
              <w:rPr>
                <w:rFonts w:hint="eastAsia" w:ascii="新宋体" w:hAnsi="新宋体" w:eastAsia="新宋体"/>
                <w:color w:val="auto"/>
                <w:sz w:val="22"/>
                <w:szCs w:val="22"/>
                <w:highlight w:val="none"/>
              </w:rPr>
            </w:pPr>
            <w:r>
              <w:rPr>
                <w:rFonts w:hint="eastAsia" w:ascii="宋体" w:hAnsi="宋体" w:cs="Arial"/>
                <w:color w:val="auto"/>
                <w:sz w:val="22"/>
                <w:szCs w:val="22"/>
                <w:highlight w:val="none"/>
              </w:rPr>
              <w:t>综合评审投标人对本次项目的重点难点的理解与分析</w:t>
            </w:r>
            <w:r>
              <w:rPr>
                <w:rFonts w:hint="eastAsia" w:ascii="新宋体" w:hAnsi="新宋体" w:eastAsia="新宋体" w:cs="仿宋"/>
                <w:color w:val="auto"/>
                <w:sz w:val="22"/>
                <w:szCs w:val="22"/>
                <w:highlight w:val="none"/>
              </w:rPr>
              <w:t>进行分档量化评分；（15，10，8，5，0）未提供本项内容不得分。</w:t>
            </w:r>
          </w:p>
        </w:tc>
        <w:tc>
          <w:tcPr>
            <w:tcW w:w="655" w:type="dxa"/>
            <w:tcBorders>
              <w:top w:val="single" w:color="auto" w:sz="4" w:space="0"/>
              <w:left w:val="single" w:color="auto" w:sz="4" w:space="0"/>
              <w:bottom w:val="single" w:color="auto" w:sz="4" w:space="0"/>
              <w:right w:val="single" w:color="auto" w:sz="4" w:space="0"/>
            </w:tcBorders>
            <w:vAlign w:val="center"/>
          </w:tcPr>
          <w:p w14:paraId="5A39104E">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15</w:t>
            </w:r>
          </w:p>
        </w:tc>
      </w:tr>
      <w:tr w14:paraId="5A65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gridSpan w:val="2"/>
            <w:tcBorders>
              <w:top w:val="single" w:color="auto" w:sz="4" w:space="0"/>
              <w:left w:val="single" w:color="auto" w:sz="4" w:space="0"/>
              <w:bottom w:val="single" w:color="auto" w:sz="4" w:space="0"/>
              <w:right w:val="single" w:color="auto" w:sz="4" w:space="0"/>
            </w:tcBorders>
            <w:vAlign w:val="center"/>
          </w:tcPr>
          <w:p w14:paraId="390EBABD">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630" w:type="dxa"/>
            <w:tcBorders>
              <w:top w:val="single" w:color="auto" w:sz="4" w:space="0"/>
              <w:left w:val="single" w:color="auto" w:sz="4" w:space="0"/>
              <w:bottom w:val="single" w:color="auto" w:sz="4" w:space="0"/>
              <w:right w:val="single" w:color="auto" w:sz="4" w:space="0"/>
            </w:tcBorders>
            <w:vAlign w:val="center"/>
          </w:tcPr>
          <w:p w14:paraId="5DEAFC6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视觉设计方案</w:t>
            </w:r>
          </w:p>
        </w:tc>
        <w:tc>
          <w:tcPr>
            <w:tcW w:w="6940" w:type="dxa"/>
            <w:tcBorders>
              <w:top w:val="single" w:color="auto" w:sz="4" w:space="0"/>
              <w:left w:val="single" w:color="auto" w:sz="4" w:space="0"/>
              <w:bottom w:val="single" w:color="auto" w:sz="4" w:space="0"/>
              <w:right w:val="single" w:color="auto" w:sz="4" w:space="0"/>
            </w:tcBorders>
          </w:tcPr>
          <w:p w14:paraId="0D108EB2">
            <w:pPr>
              <w:pStyle w:val="92"/>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根据项目需求，提供</w:t>
            </w:r>
            <w:r>
              <w:rPr>
                <w:rFonts w:hint="eastAsia" w:ascii="新宋体" w:hAnsi="新宋体" w:eastAsia="新宋体"/>
                <w:color w:val="auto"/>
                <w:sz w:val="22"/>
                <w:szCs w:val="22"/>
                <w:highlight w:val="none"/>
                <w:lang w:val="en-US" w:eastAsia="zh-CN"/>
              </w:rPr>
              <w:t>主视觉及</w:t>
            </w:r>
            <w:r>
              <w:rPr>
                <w:rFonts w:hint="eastAsia" w:ascii="新宋体" w:hAnsi="新宋体" w:eastAsia="新宋体"/>
                <w:color w:val="auto"/>
                <w:sz w:val="22"/>
                <w:szCs w:val="22"/>
                <w:highlight w:val="none"/>
              </w:rPr>
              <w:t>主会场舞台设计效果，以及各类衍生用品的设计创意等方面</w:t>
            </w:r>
            <w:r>
              <w:rPr>
                <w:rFonts w:hint="eastAsia" w:ascii="新宋体" w:hAnsi="新宋体" w:eastAsia="新宋体" w:cs="仿宋"/>
                <w:color w:val="auto"/>
                <w:sz w:val="22"/>
                <w:szCs w:val="22"/>
                <w:highlight w:val="none"/>
              </w:rPr>
              <w:t>进行分档量化评分（15，10，8，5，0）未提供本项内容不得分。</w:t>
            </w:r>
          </w:p>
        </w:tc>
        <w:tc>
          <w:tcPr>
            <w:tcW w:w="655" w:type="dxa"/>
            <w:tcBorders>
              <w:top w:val="single" w:color="auto" w:sz="4" w:space="0"/>
              <w:left w:val="single" w:color="auto" w:sz="4" w:space="0"/>
              <w:bottom w:val="single" w:color="auto" w:sz="4" w:space="0"/>
              <w:right w:val="single" w:color="auto" w:sz="4" w:space="0"/>
            </w:tcBorders>
            <w:vAlign w:val="center"/>
          </w:tcPr>
          <w:p w14:paraId="46BDCC2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ascii="新宋体" w:hAnsi="新宋体" w:eastAsia="新宋体"/>
                <w:color w:val="auto"/>
                <w:sz w:val="22"/>
                <w:szCs w:val="22"/>
                <w:highlight w:val="none"/>
              </w:rPr>
              <w:t>15</w:t>
            </w:r>
          </w:p>
        </w:tc>
      </w:tr>
      <w:tr w14:paraId="7170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 w:type="dxa"/>
            <w:tcBorders>
              <w:top w:val="single" w:color="auto" w:sz="4" w:space="0"/>
              <w:left w:val="single" w:color="auto" w:sz="4" w:space="0"/>
              <w:bottom w:val="single" w:color="auto" w:sz="4" w:space="0"/>
              <w:right w:val="single" w:color="auto" w:sz="4" w:space="0"/>
            </w:tcBorders>
            <w:vAlign w:val="center"/>
          </w:tcPr>
          <w:p w14:paraId="4AF3120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51D8A70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630" w:type="dxa"/>
            <w:tcBorders>
              <w:top w:val="single" w:color="auto" w:sz="4" w:space="0"/>
              <w:left w:val="single" w:color="auto" w:sz="4" w:space="0"/>
              <w:bottom w:val="single" w:color="auto" w:sz="4" w:space="0"/>
              <w:right w:val="single" w:color="auto" w:sz="4" w:space="0"/>
            </w:tcBorders>
            <w:vAlign w:val="center"/>
          </w:tcPr>
          <w:p w14:paraId="7ADE6567">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项目规划方案</w:t>
            </w:r>
          </w:p>
        </w:tc>
        <w:tc>
          <w:tcPr>
            <w:tcW w:w="6940" w:type="dxa"/>
            <w:tcBorders>
              <w:top w:val="single" w:color="auto" w:sz="4" w:space="0"/>
              <w:left w:val="single" w:color="auto" w:sz="4" w:space="0"/>
              <w:bottom w:val="single" w:color="auto" w:sz="4" w:space="0"/>
              <w:right w:val="single" w:color="auto" w:sz="4" w:space="0"/>
            </w:tcBorders>
          </w:tcPr>
          <w:p w14:paraId="421F35D4">
            <w:pPr>
              <w:pStyle w:val="92"/>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针对整个活动全流程的策划、环节创新、项目要求理解透彻，设计合理，信息输出节奏流畅等方面</w:t>
            </w:r>
            <w:r>
              <w:rPr>
                <w:rFonts w:hint="eastAsia" w:ascii="新宋体" w:hAnsi="新宋体" w:eastAsia="新宋体" w:cs="仿宋"/>
                <w:color w:val="auto"/>
                <w:sz w:val="22"/>
                <w:szCs w:val="22"/>
                <w:highlight w:val="none"/>
              </w:rPr>
              <w:t>进行分档量化评分（15，10，8，5，0）未提供本项内容不得分。</w:t>
            </w:r>
          </w:p>
        </w:tc>
        <w:tc>
          <w:tcPr>
            <w:tcW w:w="655" w:type="dxa"/>
            <w:tcBorders>
              <w:top w:val="single" w:color="auto" w:sz="4" w:space="0"/>
              <w:left w:val="single" w:color="auto" w:sz="4" w:space="0"/>
              <w:bottom w:val="single" w:color="auto" w:sz="4" w:space="0"/>
              <w:right w:val="single" w:color="auto" w:sz="4" w:space="0"/>
            </w:tcBorders>
            <w:vAlign w:val="center"/>
          </w:tcPr>
          <w:p w14:paraId="47C4797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ascii="新宋体" w:hAnsi="新宋体" w:eastAsia="新宋体"/>
                <w:color w:val="auto"/>
                <w:sz w:val="22"/>
                <w:szCs w:val="22"/>
                <w:highlight w:val="none"/>
              </w:rPr>
              <w:t>15</w:t>
            </w:r>
          </w:p>
        </w:tc>
      </w:tr>
      <w:tr w14:paraId="13C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 w:type="dxa"/>
            <w:tcBorders>
              <w:top w:val="single" w:color="auto" w:sz="4" w:space="0"/>
              <w:left w:val="single" w:color="auto" w:sz="4" w:space="0"/>
              <w:bottom w:val="single" w:color="auto" w:sz="4" w:space="0"/>
              <w:right w:val="single" w:color="auto" w:sz="4" w:space="0"/>
            </w:tcBorders>
            <w:vAlign w:val="center"/>
          </w:tcPr>
          <w:p w14:paraId="4C34E03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7B222E2D">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630" w:type="dxa"/>
            <w:tcBorders>
              <w:top w:val="single" w:color="auto" w:sz="4" w:space="0"/>
              <w:left w:val="single" w:color="auto" w:sz="4" w:space="0"/>
              <w:bottom w:val="single" w:color="auto" w:sz="4" w:space="0"/>
              <w:right w:val="single" w:color="auto" w:sz="4" w:space="0"/>
            </w:tcBorders>
            <w:vAlign w:val="center"/>
          </w:tcPr>
          <w:p w14:paraId="5531102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服务执行方案</w:t>
            </w:r>
          </w:p>
        </w:tc>
        <w:tc>
          <w:tcPr>
            <w:tcW w:w="6940" w:type="dxa"/>
            <w:tcBorders>
              <w:top w:val="single" w:color="auto" w:sz="4" w:space="0"/>
              <w:left w:val="single" w:color="auto" w:sz="4" w:space="0"/>
              <w:bottom w:val="single" w:color="auto" w:sz="4" w:space="0"/>
              <w:right w:val="single" w:color="auto" w:sz="4" w:space="0"/>
            </w:tcBorders>
          </w:tcPr>
          <w:p w14:paraId="6BB1C5C8">
            <w:pPr>
              <w:pStyle w:val="92"/>
              <w:keepNext w:val="0"/>
              <w:keepLines w:val="0"/>
              <w:pageBreakBefore w:val="0"/>
              <w:kinsoku/>
              <w:wordWrap/>
              <w:overflowPunct/>
              <w:topLinePunct w:val="0"/>
              <w:autoSpaceDE/>
              <w:autoSpaceDN/>
              <w:bidi w:val="0"/>
              <w:adjustRightInd/>
              <w:snapToGrid/>
              <w:spacing w:line="312" w:lineRule="auto"/>
              <w:ind w:firstLine="0" w:firstLineChars="0"/>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针对本项目服务执行，嘉宾接待、酒店预定，车辆规划、用餐服务涵盖全面，有创新性等方面</w:t>
            </w:r>
            <w:r>
              <w:rPr>
                <w:rFonts w:hint="eastAsia" w:ascii="新宋体" w:hAnsi="新宋体" w:eastAsia="新宋体" w:cs="仿宋"/>
                <w:color w:val="auto"/>
                <w:sz w:val="22"/>
                <w:szCs w:val="22"/>
                <w:highlight w:val="none"/>
              </w:rPr>
              <w:t>进行分档量化评分（15，10，8，5，0）未提供本项内容不得分。</w:t>
            </w:r>
          </w:p>
        </w:tc>
        <w:tc>
          <w:tcPr>
            <w:tcW w:w="655" w:type="dxa"/>
            <w:tcBorders>
              <w:top w:val="single" w:color="auto" w:sz="4" w:space="0"/>
              <w:left w:val="single" w:color="auto" w:sz="4" w:space="0"/>
              <w:bottom w:val="single" w:color="auto" w:sz="4" w:space="0"/>
              <w:right w:val="single" w:color="auto" w:sz="4" w:space="0"/>
            </w:tcBorders>
            <w:vAlign w:val="center"/>
          </w:tcPr>
          <w:p w14:paraId="24434B50">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5</w:t>
            </w:r>
          </w:p>
        </w:tc>
      </w:tr>
      <w:tr w14:paraId="73AA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 w:type="dxa"/>
            <w:tcBorders>
              <w:top w:val="single" w:color="auto" w:sz="4" w:space="0"/>
              <w:left w:val="single" w:color="auto" w:sz="4" w:space="0"/>
              <w:bottom w:val="single" w:color="auto" w:sz="4" w:space="0"/>
              <w:right w:val="single" w:color="auto" w:sz="4" w:space="0"/>
            </w:tcBorders>
            <w:vAlign w:val="center"/>
          </w:tcPr>
          <w:p w14:paraId="4A8C36BD">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3E6E8CC8">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1630" w:type="dxa"/>
            <w:tcBorders>
              <w:top w:val="single" w:color="auto" w:sz="4" w:space="0"/>
              <w:left w:val="single" w:color="auto" w:sz="4" w:space="0"/>
              <w:bottom w:val="single" w:color="auto" w:sz="4" w:space="0"/>
              <w:right w:val="single" w:color="auto" w:sz="4" w:space="0"/>
            </w:tcBorders>
            <w:vAlign w:val="center"/>
          </w:tcPr>
          <w:p w14:paraId="4A085FEF">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安全与应急保障方案</w:t>
            </w:r>
          </w:p>
        </w:tc>
        <w:tc>
          <w:tcPr>
            <w:tcW w:w="6940" w:type="dxa"/>
            <w:tcBorders>
              <w:top w:val="single" w:color="auto" w:sz="4" w:space="0"/>
              <w:left w:val="single" w:color="auto" w:sz="4" w:space="0"/>
              <w:bottom w:val="single" w:color="auto" w:sz="4" w:space="0"/>
              <w:right w:val="single" w:color="auto" w:sz="4" w:space="0"/>
            </w:tcBorders>
            <w:vAlign w:val="center"/>
          </w:tcPr>
          <w:p w14:paraId="6B92B49C">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安全意识较强，针对突发状况有完善的应对措施方案，能够提出对重大问题的应急响应，迅速、合理且详细等方面</w:t>
            </w:r>
            <w:r>
              <w:rPr>
                <w:rFonts w:hint="eastAsia" w:ascii="新宋体" w:hAnsi="新宋体" w:eastAsia="新宋体" w:cs="仿宋"/>
                <w:color w:val="auto"/>
                <w:sz w:val="22"/>
                <w:szCs w:val="22"/>
                <w:highlight w:val="none"/>
              </w:rPr>
              <w:t>进行分档量化评分</w:t>
            </w:r>
            <w:r>
              <w:rPr>
                <w:rFonts w:hint="eastAsia" w:ascii="新宋体" w:hAnsi="新宋体" w:eastAsia="新宋体"/>
                <w:color w:val="auto"/>
                <w:sz w:val="22"/>
                <w:szCs w:val="22"/>
                <w:highlight w:val="none"/>
              </w:rPr>
              <w:t>（10，7，4，2，0）</w:t>
            </w:r>
            <w:r>
              <w:rPr>
                <w:rFonts w:hint="eastAsia" w:ascii="新宋体" w:hAnsi="新宋体" w:eastAsia="新宋体" w:cs="仿宋"/>
                <w:color w:val="auto"/>
                <w:sz w:val="22"/>
                <w:szCs w:val="22"/>
                <w:highlight w:val="none"/>
              </w:rPr>
              <w:t>未提供本项内容不得分。</w:t>
            </w:r>
          </w:p>
        </w:tc>
        <w:tc>
          <w:tcPr>
            <w:tcW w:w="655" w:type="dxa"/>
            <w:tcBorders>
              <w:top w:val="single" w:color="auto" w:sz="4" w:space="0"/>
              <w:left w:val="single" w:color="auto" w:sz="4" w:space="0"/>
              <w:bottom w:val="single" w:color="auto" w:sz="4" w:space="0"/>
              <w:right w:val="single" w:color="auto" w:sz="4" w:space="0"/>
            </w:tcBorders>
            <w:vAlign w:val="center"/>
          </w:tcPr>
          <w:p w14:paraId="7729DAF9">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w:t>
            </w:r>
          </w:p>
        </w:tc>
      </w:tr>
      <w:tr w14:paraId="5339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 w:type="dxa"/>
            <w:tcBorders>
              <w:top w:val="single" w:color="auto" w:sz="4" w:space="0"/>
              <w:left w:val="single" w:color="auto" w:sz="4" w:space="0"/>
              <w:bottom w:val="single" w:color="auto" w:sz="4" w:space="0"/>
              <w:right w:val="single" w:color="auto" w:sz="4" w:space="0"/>
            </w:tcBorders>
            <w:vAlign w:val="center"/>
          </w:tcPr>
          <w:p w14:paraId="004CB3D1">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highlight w:val="none"/>
              </w:rPr>
            </w:pPr>
          </w:p>
        </w:tc>
        <w:tc>
          <w:tcPr>
            <w:tcW w:w="691" w:type="dxa"/>
            <w:tcBorders>
              <w:top w:val="single" w:color="auto" w:sz="4" w:space="0"/>
              <w:left w:val="single" w:color="auto" w:sz="4" w:space="0"/>
              <w:bottom w:val="single" w:color="auto" w:sz="4" w:space="0"/>
              <w:right w:val="single" w:color="auto" w:sz="4" w:space="0"/>
            </w:tcBorders>
            <w:vAlign w:val="center"/>
          </w:tcPr>
          <w:p w14:paraId="60480020">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1630" w:type="dxa"/>
            <w:tcBorders>
              <w:top w:val="single" w:color="auto" w:sz="4" w:space="0"/>
              <w:left w:val="single" w:color="auto" w:sz="4" w:space="0"/>
              <w:bottom w:val="single" w:color="auto" w:sz="4" w:space="0"/>
              <w:right w:val="single" w:color="auto" w:sz="4" w:space="0"/>
            </w:tcBorders>
            <w:vAlign w:val="center"/>
          </w:tcPr>
          <w:p w14:paraId="1C60BD4F">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服务响应措施</w:t>
            </w:r>
          </w:p>
        </w:tc>
        <w:tc>
          <w:tcPr>
            <w:tcW w:w="6940" w:type="dxa"/>
            <w:tcBorders>
              <w:top w:val="single" w:color="auto" w:sz="4" w:space="0"/>
              <w:left w:val="single" w:color="auto" w:sz="4" w:space="0"/>
              <w:bottom w:val="single" w:color="auto" w:sz="4" w:space="0"/>
              <w:right w:val="single" w:color="auto" w:sz="4" w:space="0"/>
            </w:tcBorders>
          </w:tcPr>
          <w:p w14:paraId="56B7452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服务响应，是否有专人与采购人沟通项目情况，并及时汇报项目进度，有完整的工作安排，详尽合理等方面</w:t>
            </w:r>
            <w:r>
              <w:rPr>
                <w:rFonts w:hint="eastAsia" w:ascii="新宋体" w:hAnsi="新宋体" w:eastAsia="新宋体" w:cs="仿宋"/>
                <w:color w:val="auto"/>
                <w:sz w:val="22"/>
                <w:szCs w:val="22"/>
                <w:highlight w:val="none"/>
              </w:rPr>
              <w:t>进行分档量化评分</w:t>
            </w:r>
            <w:r>
              <w:rPr>
                <w:rFonts w:hint="eastAsia" w:ascii="新宋体" w:hAnsi="新宋体" w:eastAsia="新宋体"/>
                <w:color w:val="auto"/>
                <w:sz w:val="22"/>
                <w:szCs w:val="22"/>
                <w:highlight w:val="none"/>
              </w:rPr>
              <w:t>（9，6，4，2，0）</w:t>
            </w:r>
            <w:r>
              <w:rPr>
                <w:rFonts w:hint="eastAsia" w:ascii="新宋体" w:hAnsi="新宋体" w:eastAsia="新宋体" w:cs="仿宋"/>
                <w:color w:val="auto"/>
                <w:sz w:val="22"/>
                <w:szCs w:val="22"/>
                <w:highlight w:val="none"/>
              </w:rPr>
              <w:t>未提供本项内容不得分。</w:t>
            </w:r>
          </w:p>
        </w:tc>
        <w:tc>
          <w:tcPr>
            <w:tcW w:w="655" w:type="dxa"/>
            <w:tcBorders>
              <w:top w:val="single" w:color="auto" w:sz="4" w:space="0"/>
              <w:left w:val="single" w:color="auto" w:sz="4" w:space="0"/>
              <w:bottom w:val="single" w:color="auto" w:sz="4" w:space="0"/>
              <w:right w:val="single" w:color="auto" w:sz="4" w:space="0"/>
            </w:tcBorders>
            <w:vAlign w:val="center"/>
          </w:tcPr>
          <w:p w14:paraId="44696533">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w:t>
            </w:r>
          </w:p>
        </w:tc>
      </w:tr>
    </w:tbl>
    <w:p w14:paraId="34A36331">
      <w:pPr>
        <w:numPr>
          <w:ilvl w:val="0"/>
          <w:numId w:val="21"/>
        </w:numPr>
        <w:tabs>
          <w:tab w:val="left" w:pos="6358"/>
        </w:tabs>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报价评分（10分）：</w:t>
      </w:r>
    </w:p>
    <w:p w14:paraId="57118A7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满足竞争性磋商文件要求且最终报价的最低价作为评标基准价</w:t>
      </w:r>
    </w:p>
    <w:p w14:paraId="5E2125BB">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1）有效供应商的最终报价等于评标基准价时，其最终报价评分值为满分10分；</w:t>
      </w:r>
    </w:p>
    <w:p w14:paraId="208E3E7E">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=（评标基准价/供应商最终报价）×10</w:t>
      </w:r>
      <w:r>
        <w:rPr>
          <w:rFonts w:hint="eastAsia" w:ascii="宋体" w:hAnsi="宋体" w:cs="宋体"/>
          <w:color w:val="auto"/>
          <w:sz w:val="22"/>
          <w:szCs w:val="22"/>
          <w:highlight w:val="none"/>
        </w:rPr>
        <w:t>（四舍五入，保留小数点后2位）；</w:t>
      </w:r>
    </w:p>
    <w:p w14:paraId="46C61986">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3）如供应商报价超过项目采购预算金额或最高限价的，其磋商响应文件作无效标处理；</w:t>
      </w:r>
    </w:p>
    <w:p w14:paraId="09221438">
      <w:pPr>
        <w:topLinePunct/>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4）所有供应商投标报价均超过项目采购预算金额或最高限价的，项目按流（废）标处理，重新组织采购程序。</w:t>
      </w:r>
    </w:p>
    <w:p w14:paraId="239A70E2">
      <w:pPr>
        <w:numPr>
          <w:ilvl w:val="0"/>
          <w:numId w:val="21"/>
        </w:numPr>
        <w:tabs>
          <w:tab w:val="left" w:pos="6358"/>
        </w:tabs>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政府采购政策说明</w:t>
      </w:r>
    </w:p>
    <w:bookmarkEnd w:id="199"/>
    <w:bookmarkEnd w:id="200"/>
    <w:p w14:paraId="5DB68477">
      <w:pPr>
        <w:numPr>
          <w:ilvl w:val="0"/>
          <w:numId w:val="0"/>
        </w:numPr>
        <w:tabs>
          <w:tab w:val="left" w:pos="6358"/>
        </w:tabs>
        <w:snapToGrid w:val="0"/>
        <w:spacing w:line="440" w:lineRule="exact"/>
        <w:ind w:left="400" w:lef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①本项目为专门面向中小企业/小微企业采购的项目，不再执行价格评审优惠的扶持政策。</w:t>
      </w:r>
    </w:p>
    <w:p w14:paraId="515BC1A4">
      <w:pPr>
        <w:numPr>
          <w:ilvl w:val="0"/>
          <w:numId w:val="0"/>
        </w:numPr>
        <w:tabs>
          <w:tab w:val="left" w:pos="6358"/>
        </w:tabs>
        <w:snapToGrid w:val="0"/>
        <w:spacing w:line="440" w:lineRule="exact"/>
        <w:ind w:left="400" w:left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②投标如缺少须提供的一种功能或配置或服务，评标价将在其投标价的基础上加上其他供应商相应分项价格的最高价。如若中标，该缺漏项费用将由中标人自行承担。</w:t>
      </w:r>
    </w:p>
    <w:p w14:paraId="323B7405">
      <w:pPr>
        <w:numPr>
          <w:ilvl w:val="0"/>
          <w:numId w:val="21"/>
        </w:numPr>
        <w:tabs>
          <w:tab w:val="left" w:pos="6358"/>
        </w:tabs>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本项目采购预算金额为96万元。</w:t>
      </w:r>
    </w:p>
    <w:p w14:paraId="028BA64E">
      <w:pPr>
        <w:topLinePunct/>
        <w:spacing w:line="44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（1）有效供应商的综合得分为商务技术分和报价分的总和；</w:t>
      </w:r>
    </w:p>
    <w:p w14:paraId="579FE022">
      <w:pPr>
        <w:topLinePunct/>
        <w:spacing w:line="440" w:lineRule="exact"/>
        <w:ind w:firstLine="330" w:firstLineChars="150"/>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（2）磋商小组按综合得分高低顺序排列，综合得分前两名供应商依次作为成交候选供应商和成交备选供应商向采购人推荐，并提交评审报告。得分相同的，按投标报价由低到高顺序排列</w:t>
      </w:r>
      <w:r>
        <w:rPr>
          <w:rFonts w:hint="eastAsia" w:ascii="宋体" w:hAnsi="宋体" w:cs="宋体"/>
          <w:color w:val="auto"/>
          <w:sz w:val="22"/>
          <w:szCs w:val="22"/>
          <w:highlight w:val="none"/>
        </w:rPr>
        <w:t>。</w:t>
      </w:r>
    </w:p>
    <w:bookmarkEnd w:id="205"/>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Arial"/>
    <w:panose1 w:val="00000000000000000000"/>
    <w:charset w:val="00"/>
    <w:family w:val="auto"/>
    <w:pitch w:val="default"/>
    <w:sig w:usb0="00000000" w:usb1="00000000" w:usb2="00000010" w:usb3="00000000" w:csb0="00000001" w:csb1="00000000"/>
  </w:font>
  <w:font w:name="ZapfDingbatsNr2EFOP-Regular">
    <w:altName w:val="微软雅黑"/>
    <w:panose1 w:val="00000000000000000000"/>
    <w:charset w:val="00"/>
    <w:family w:val="auto"/>
    <w:pitch w:val="default"/>
    <w:sig w:usb0="00000000" w:usb1="00000000" w:usb2="00000010" w:usb3="00000000" w:csb0="00040001" w:csb1="0000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Linotype Univers 330 Light">
    <w:altName w:val="微软雅黑"/>
    <w:panose1 w:val="00000000000000000000"/>
    <w:charset w:val="00"/>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47 Cn Lt">
    <w:altName w:val="微软雅黑"/>
    <w:panose1 w:val="00000000000000000000"/>
    <w:charset w:val="00"/>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76AD">
    <w:pPr>
      <w:pStyle w:val="35"/>
      <w:ind w:right="359" w:rightChars="171"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94A8">
    <w:pPr>
      <w:pStyle w:val="35"/>
      <w:framePr w:wrap="around" w:vAnchor="text" w:hAnchor="margin" w:xAlign="center" w:y="1"/>
      <w:rPr>
        <w:rStyle w:val="58"/>
      </w:rPr>
    </w:pPr>
    <w:r>
      <w:fldChar w:fldCharType="begin"/>
    </w:r>
    <w:r>
      <w:rPr>
        <w:rStyle w:val="58"/>
      </w:rPr>
      <w:instrText xml:space="preserve">PAGE  </w:instrText>
    </w:r>
    <w:r>
      <w:fldChar w:fldCharType="end"/>
    </w:r>
  </w:p>
  <w:p w14:paraId="10D8FB47">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8012">
    <w:pPr>
      <w:pStyle w:val="35"/>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1C1E">
    <w:pPr>
      <w:pStyle w:val="35"/>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0340" cy="132080"/>
              <wp:effectExtent l="0" t="0" r="0" b="0"/>
              <wp:wrapNone/>
              <wp:docPr id="4097" name="文本框 6"/>
              <wp:cNvGraphicFramePr/>
              <a:graphic xmlns:a="http://schemas.openxmlformats.org/drawingml/2006/main">
                <a:graphicData uri="http://schemas.microsoft.com/office/word/2010/wordprocessingShape">
                  <wps:wsp>
                    <wps:cNvSpPr/>
                    <wps:spPr>
                      <a:xfrm>
                        <a:off x="0" y="0"/>
                        <a:ext cx="180340" cy="132080"/>
                      </a:xfrm>
                      <a:prstGeom prst="rect">
                        <a:avLst/>
                      </a:prstGeom>
                      <a:ln>
                        <a:noFill/>
                      </a:ln>
                    </wps:spPr>
                    <wps:txbx>
                      <w:txbxContent>
                        <w:p w14:paraId="73A7DE00">
                          <w:pPr>
                            <w:pStyle w:val="35"/>
                            <w:rPr>
                              <w:rStyle w:val="58"/>
                              <w:rFonts w:hint="eastAsia" w:hAnsi="黑体"/>
                              <w:b/>
                            </w:rPr>
                          </w:pPr>
                          <w:r>
                            <w:rPr>
                              <w:rFonts w:ascii="黑体" w:hAnsi="黑体" w:eastAsia="黑体"/>
                              <w:b/>
                            </w:rPr>
                            <w:fldChar w:fldCharType="begin"/>
                          </w:r>
                          <w:r>
                            <w:rPr>
                              <w:rStyle w:val="58"/>
                              <w:rFonts w:hAnsi="黑体"/>
                              <w:b/>
                            </w:rPr>
                            <w:instrText xml:space="preserve">PAGE  </w:instrText>
                          </w:r>
                          <w:r>
                            <w:rPr>
                              <w:rFonts w:ascii="黑体" w:hAnsi="黑体" w:eastAsia="黑体"/>
                              <w:b/>
                            </w:rPr>
                            <w:fldChar w:fldCharType="separate"/>
                          </w:r>
                          <w:r>
                            <w:rPr>
                              <w:rStyle w:val="58"/>
                              <w:rFonts w:hAnsi="黑体"/>
                              <w:b/>
                            </w:rPr>
                            <w:t>61</w:t>
                          </w:r>
                          <w:r>
                            <w:rPr>
                              <w:rFonts w:ascii="黑体" w:hAnsi="黑体" w:eastAsia="黑体"/>
                              <w:b/>
                            </w:rPr>
                            <w:fldChar w:fldCharType="end"/>
                          </w:r>
                        </w:p>
                      </w:txbxContent>
                    </wps:txbx>
                    <wps:bodyPr wrap="square" lIns="0" tIns="0" rIns="0" bIns="0" upright="1"/>
                  </wps:wsp>
                </a:graphicData>
              </a:graphic>
            </wp:anchor>
          </w:drawing>
        </mc:Choice>
        <mc:Fallback>
          <w:pict>
            <v:rect id="文本框 6" o:spid="_x0000_s1026" o:spt="1" style="position:absolute;left:0pt;margin-top:0pt;height:10.4pt;width:14.2pt;mso-position-horizontal:center;mso-position-horizontal-relative:margin;z-index:251659264;mso-width-relative:page;mso-height-relative:page;" filled="f" stroked="f" coordsize="21600,21600" o:gfxdata="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QEql1QAAAAMBAAAPAAAAAAAAAAEAIAAAACIAAABkcnMvZG93bnJldi54bWxQSwEC&#10;FAAUAAAACACHTuJAZ7X6JL4BAABtAwAADgAAAAAAAAABACAAAAAkAQAAZHJzL2Uyb0RvYy54bWxQ&#10;SwUGAAAAAAYABgBZAQAAVAUAAAAA&#10;">
              <v:fill on="f" focussize="0,0"/>
              <v:stroke on="f"/>
              <v:imagedata o:title=""/>
              <o:lock v:ext="edit" aspectratio="f"/>
              <v:textbox inset="0mm,0mm,0mm,0mm">
                <w:txbxContent>
                  <w:p w14:paraId="73A7DE00">
                    <w:pPr>
                      <w:pStyle w:val="35"/>
                      <w:rPr>
                        <w:rStyle w:val="58"/>
                        <w:rFonts w:hint="eastAsia" w:hAnsi="黑体"/>
                        <w:b/>
                      </w:rPr>
                    </w:pPr>
                    <w:r>
                      <w:rPr>
                        <w:rFonts w:ascii="黑体" w:hAnsi="黑体" w:eastAsia="黑体"/>
                        <w:b/>
                      </w:rPr>
                      <w:fldChar w:fldCharType="begin"/>
                    </w:r>
                    <w:r>
                      <w:rPr>
                        <w:rStyle w:val="58"/>
                        <w:rFonts w:hAnsi="黑体"/>
                        <w:b/>
                      </w:rPr>
                      <w:instrText xml:space="preserve">PAGE  </w:instrText>
                    </w:r>
                    <w:r>
                      <w:rPr>
                        <w:rFonts w:ascii="黑体" w:hAnsi="黑体" w:eastAsia="黑体"/>
                        <w:b/>
                      </w:rPr>
                      <w:fldChar w:fldCharType="separate"/>
                    </w:r>
                    <w:r>
                      <w:rPr>
                        <w:rStyle w:val="58"/>
                        <w:rFonts w:hAnsi="黑体"/>
                        <w:b/>
                      </w:rPr>
                      <w:t>61</w:t>
                    </w:r>
                    <w:r>
                      <w:rPr>
                        <w:rFonts w:ascii="黑体" w:hAnsi="黑体" w:eastAsia="黑体"/>
                        <w:b/>
                      </w:rPr>
                      <w:fldChar w:fldCharType="end"/>
                    </w:r>
                  </w:p>
                </w:txbxContent>
              </v:textbox>
            </v:rect>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F38B">
    <w:pPr>
      <w:pStyle w:val="3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C5zG5zHAQAAhQMAAA4AAAAAAAAAAQAgAAAAHwEAAGRycy9lMm9Eb2Mu&#10;eG1sUEsFBgAAAAAGAAYAWQEAAFgFAAAAAA==&#10;">
              <v:fill on="f" focussize="0,0"/>
              <v:stroke on="f"/>
              <v:imagedata o:title=""/>
              <o:lock v:ext="edit" aspectratio="f"/>
              <v:textbox inset="0mm,0mm,0mm,0mm" style="mso-fit-shape-to-text:t;">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C3A19CE">
                          <w:pPr>
                            <w:snapToGrid w:val="0"/>
                            <w:rPr>
                              <w:sz w:val="18"/>
                            </w:rPr>
                          </w:pPr>
                        </w:p>
                      </w:txbxContent>
                    </wps:txbx>
                    <wps:bodyPr wrap="none" lIns="0" tIns="0" rIns="0" bIns="0" upright="1">
                      <a:spAutoFit/>
                    </wps:bodyPr>
                  </wps:wsp>
                </a:graphicData>
              </a:graphic>
            </wp:anchor>
          </w:drawing>
        </mc:Choice>
        <mc:Fallback>
          <w:pict>
            <v:rect id="文本框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Kq8nYzHAQAAhAMAAA4AAAAAAAAAAQAgAAAAHwEAAGRycy9lMm9Eb2Mu&#10;eG1sUEsFBgAAAAAGAAYAWQEAAFgFAAAAAA==&#10;">
              <v:fill on="f" focussize="0,0"/>
              <v:stroke on="f"/>
              <v:imagedata o:title=""/>
              <o:lock v:ext="edit" aspectratio="f"/>
              <v:textbox inset="0mm,0mm,0mm,0mm" style="mso-fit-shape-to-text:t;">
                <w:txbxContent>
                  <w:p w14:paraId="4C3A19CE">
                    <w:pPr>
                      <w:snapToGrid w:val="0"/>
                      <w:rPr>
                        <w:sz w:val="18"/>
                      </w:rPr>
                    </w:pP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7FD4">
    <w:pPr>
      <w:pStyle w:val="36"/>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84D6">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D0C6">
    <w:pPr>
      <w:pStyle w:val="3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6ECD">
    <w:pPr>
      <w:pStyle w:val="36"/>
      <w:jc w:val="both"/>
    </w:pPr>
    <w:r>
      <w:rPr>
        <w:rFonts w:hint="eastAsia" w:eastAsia="新宋体"/>
      </w:rPr>
      <w:t>温州市政府分散采购竞争性磋商文件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B8BC">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A93CE"/>
    <w:multiLevelType w:val="singleLevel"/>
    <w:tmpl w:val="F8FA93CE"/>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5">
    <w:nsid w:val="00000005"/>
    <w:multiLevelType w:val="multilevel"/>
    <w:tmpl w:val="00000005"/>
    <w:lvl w:ilvl="0" w:tentative="0">
      <w:start w:val="1"/>
      <w:numFmt w:val="decimal"/>
      <w:pStyle w:val="16"/>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5"/>
      <w:numFmt w:val="decimal"/>
      <w:pStyle w:val="261"/>
      <w:lvlText w:val="%1."/>
      <w:lvlJc w:val="left"/>
      <w:pPr>
        <w:tabs>
          <w:tab w:val="left" w:pos="360"/>
        </w:tabs>
        <w:ind w:left="360" w:hanging="360"/>
      </w:pPr>
      <w:rPr>
        <w:rFonts w:hint="default"/>
      </w:rPr>
    </w:lvl>
    <w:lvl w:ilvl="1" w:tentative="0">
      <w:start w:val="0"/>
      <w:numFmt w:val="none"/>
      <w:pStyle w:val="255"/>
      <w:lvlText w:val=""/>
      <w:lvlJc w:val="left"/>
      <w:pPr>
        <w:tabs>
          <w:tab w:val="left" w:pos="360"/>
        </w:tabs>
      </w:pPr>
    </w:lvl>
    <w:lvl w:ilvl="2" w:tentative="0">
      <w:start w:val="0"/>
      <w:numFmt w:val="none"/>
      <w:pStyle w:val="318"/>
      <w:lvlText w:val=""/>
      <w:lvlJc w:val="left"/>
      <w:pPr>
        <w:tabs>
          <w:tab w:val="left" w:pos="360"/>
        </w:tabs>
      </w:pPr>
    </w:lvl>
    <w:lvl w:ilvl="3" w:tentative="0">
      <w:start w:val="0"/>
      <w:numFmt w:val="none"/>
      <w:pStyle w:val="317"/>
      <w:lvlText w:val=""/>
      <w:lvlJc w:val="left"/>
      <w:pPr>
        <w:tabs>
          <w:tab w:val="left" w:pos="360"/>
        </w:tabs>
      </w:pPr>
    </w:lvl>
    <w:lvl w:ilvl="4" w:tentative="0">
      <w:start w:val="0"/>
      <w:numFmt w:val="none"/>
      <w:pStyle w:val="316"/>
      <w:lvlText w:val=""/>
      <w:lvlJc w:val="left"/>
      <w:pPr>
        <w:tabs>
          <w:tab w:val="left" w:pos="360"/>
        </w:tabs>
      </w:pPr>
    </w:lvl>
    <w:lvl w:ilvl="5" w:tentative="0">
      <w:start w:val="0"/>
      <w:numFmt w:val="none"/>
      <w:pStyle w:val="320"/>
      <w:lvlText w:val=""/>
      <w:lvlJc w:val="left"/>
      <w:pPr>
        <w:tabs>
          <w:tab w:val="left" w:pos="360"/>
        </w:tabs>
      </w:pPr>
    </w:lvl>
    <w:lvl w:ilvl="6" w:tentative="0">
      <w:start w:val="0"/>
      <w:numFmt w:val="none"/>
      <w:pStyle w:val="322"/>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07"/>
    <w:multiLevelType w:val="multilevel"/>
    <w:tmpl w:val="00000007"/>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pStyle w:val="292"/>
      <w:lvlText w:val="%1、"/>
      <w:lvlJc w:val="left"/>
      <w:pPr>
        <w:ind w:left="987" w:hanging="420"/>
      </w:pPr>
      <w:rPr>
        <w:rFonts w:hint="eastAsia"/>
        <w:b/>
        <w:bCs w:val="0"/>
        <w:i w:val="0"/>
        <w:iCs w:val="0"/>
        <w:caps w:val="0"/>
        <w:smallCaps w:val="0"/>
        <w:color w:val="000000"/>
        <w:spacing w:val="0"/>
        <w:position w:val="0"/>
        <w:u w:val="none"/>
      </w:rPr>
    </w:lvl>
    <w:lvl w:ilvl="1" w:tentative="0">
      <w:start w:val="1"/>
      <w:numFmt w:val="decimal"/>
      <w:pStyle w:val="345"/>
      <w:isLgl/>
      <w:lvlText w:val="%1.%2."/>
      <w:lvlJc w:val="left"/>
      <w:pPr>
        <w:tabs>
          <w:tab w:val="left" w:pos="431"/>
        </w:tabs>
        <w:ind w:left="0" w:firstLine="0"/>
      </w:pPr>
      <w:rPr>
        <w:rFonts w:hint="eastAsia"/>
        <w:b/>
        <w:i w:val="0"/>
        <w:sz w:val="28"/>
        <w:szCs w:val="28"/>
      </w:rPr>
    </w:lvl>
    <w:lvl w:ilvl="2" w:tentative="0">
      <w:start w:val="1"/>
      <w:numFmt w:val="decimal"/>
      <w:pStyle w:val="276"/>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09"/>
    <w:multiLevelType w:val="multilevel"/>
    <w:tmpl w:val="0000000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2">
    <w:nsid w:val="0000000C"/>
    <w:multiLevelType w:val="multilevel"/>
    <w:tmpl w:val="0000000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4">
    <w:nsid w:val="0000000E"/>
    <w:multiLevelType w:val="singleLevel"/>
    <w:tmpl w:val="0000000E"/>
    <w:lvl w:ilvl="0" w:tentative="0">
      <w:start w:val="1"/>
      <w:numFmt w:val="chineseCounting"/>
      <w:suff w:val="nothing"/>
      <w:lvlText w:val="%1、"/>
      <w:lvlJc w:val="left"/>
      <w:pPr>
        <w:ind w:left="0" w:firstLine="0"/>
      </w:pPr>
    </w:lvl>
  </w:abstractNum>
  <w:abstractNum w:abstractNumId="15">
    <w:nsid w:val="0000000F"/>
    <w:multiLevelType w:val="singleLevel"/>
    <w:tmpl w:val="0000000F"/>
    <w:lvl w:ilvl="0" w:tentative="0">
      <w:start w:val="3"/>
      <w:numFmt w:val="chineseCounting"/>
      <w:suff w:val="nothing"/>
      <w:lvlText w:val="%1、"/>
      <w:lvlJc w:val="left"/>
      <w:pPr>
        <w:ind w:left="0" w:firstLine="0"/>
      </w:pPr>
    </w:lvl>
  </w:abstractNum>
  <w:abstractNum w:abstractNumId="16">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2"/>
    <w:multiLevelType w:val="singleLevel"/>
    <w:tmpl w:val="00000012"/>
    <w:lvl w:ilvl="0" w:tentative="0">
      <w:start w:val="1"/>
      <w:numFmt w:val="decimalEnclosedCircleChinese"/>
      <w:suff w:val="nothing"/>
      <w:lvlText w:val="%1　"/>
      <w:lvlJc w:val="left"/>
      <w:pPr>
        <w:ind w:left="0" w:firstLine="400"/>
      </w:pPr>
      <w:rPr>
        <w:rFonts w:hint="eastAsia"/>
      </w:rPr>
    </w:lvl>
  </w:abstractNum>
  <w:abstractNum w:abstractNumId="18">
    <w:nsid w:val="0053208E"/>
    <w:multiLevelType w:val="singleLevel"/>
    <w:tmpl w:val="0053208E"/>
    <w:lvl w:ilvl="0" w:tentative="0">
      <w:start w:val="1"/>
      <w:numFmt w:val="decimal"/>
      <w:suff w:val="nothing"/>
      <w:lvlText w:val="%1）"/>
      <w:lvlJc w:val="left"/>
    </w:lvl>
  </w:abstractNum>
  <w:abstractNum w:abstractNumId="19">
    <w:nsid w:val="338A0A47"/>
    <w:multiLevelType w:val="singleLevel"/>
    <w:tmpl w:val="338A0A47"/>
    <w:lvl w:ilvl="0" w:tentative="0">
      <w:start w:val="1"/>
      <w:numFmt w:val="decimal"/>
      <w:lvlText w:val="%1."/>
      <w:lvlJc w:val="left"/>
      <w:pPr>
        <w:ind w:left="425" w:hanging="425"/>
      </w:pPr>
      <w:rPr>
        <w:rFonts w:hint="default"/>
      </w:rPr>
    </w:lvl>
  </w:abstractNum>
  <w:abstractNum w:abstractNumId="20">
    <w:nsid w:val="34990487"/>
    <w:multiLevelType w:val="singleLevel"/>
    <w:tmpl w:val="34990487"/>
    <w:lvl w:ilvl="0" w:tentative="0">
      <w:start w:val="1"/>
      <w:numFmt w:val="decimal"/>
      <w:suff w:val="space"/>
      <w:lvlText w:val="(%1)"/>
      <w:lvlJc w:val="left"/>
      <w:pPr>
        <w:ind w:left="425" w:hanging="425"/>
      </w:pPr>
      <w:rPr>
        <w:rFonts w:hint="default"/>
      </w:rPr>
    </w:lvl>
  </w:abstractNum>
  <w:num w:numId="1">
    <w:abstractNumId w:val="5"/>
  </w:num>
  <w:num w:numId="2">
    <w:abstractNumId w:val="6"/>
  </w:num>
  <w:num w:numId="3">
    <w:abstractNumId w:val="8"/>
  </w:num>
  <w:num w:numId="4">
    <w:abstractNumId w:val="17"/>
  </w:num>
  <w:num w:numId="5">
    <w:abstractNumId w:val="1"/>
  </w:num>
  <w:num w:numId="6">
    <w:abstractNumId w:val="3"/>
  </w:num>
  <w:num w:numId="7">
    <w:abstractNumId w:val="18"/>
  </w:num>
  <w:num w:numId="8">
    <w:abstractNumId w:val="2"/>
  </w:num>
  <w:num w:numId="9">
    <w:abstractNumId w:val="7"/>
  </w:num>
  <w:num w:numId="10">
    <w:abstractNumId w:val="10"/>
  </w:num>
  <w:num w:numId="11">
    <w:abstractNumId w:val="14"/>
    <w:lvlOverride w:ilvl="0">
      <w:startOverride w:val="1"/>
    </w:lvlOverride>
  </w:num>
  <w:num w:numId="12">
    <w:abstractNumId w:val="15"/>
    <w:lvlOverride w:ilvl="0">
      <w:startOverride w:val="3"/>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9"/>
  </w:num>
  <w:num w:numId="17">
    <w:abstractNumId w:val="9"/>
  </w:num>
  <w:num w:numId="18">
    <w:abstractNumId w:val="12"/>
  </w:num>
  <w:num w:numId="19">
    <w:abstractNumId w:val="13"/>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642B"/>
    <w:rsid w:val="00064940"/>
    <w:rsid w:val="000719CB"/>
    <w:rsid w:val="0010113A"/>
    <w:rsid w:val="001C1471"/>
    <w:rsid w:val="00470694"/>
    <w:rsid w:val="004F39CC"/>
    <w:rsid w:val="0056642B"/>
    <w:rsid w:val="00670380"/>
    <w:rsid w:val="00785DAA"/>
    <w:rsid w:val="00C03B62"/>
    <w:rsid w:val="00C13AE0"/>
    <w:rsid w:val="00DB2031"/>
    <w:rsid w:val="011E6B67"/>
    <w:rsid w:val="01272D27"/>
    <w:rsid w:val="01440858"/>
    <w:rsid w:val="016D173D"/>
    <w:rsid w:val="01B23C56"/>
    <w:rsid w:val="01F77735"/>
    <w:rsid w:val="02051AE6"/>
    <w:rsid w:val="035048F8"/>
    <w:rsid w:val="03FA049A"/>
    <w:rsid w:val="04455AD9"/>
    <w:rsid w:val="05577002"/>
    <w:rsid w:val="058658C8"/>
    <w:rsid w:val="05BB6DF1"/>
    <w:rsid w:val="05F45A09"/>
    <w:rsid w:val="060A38EF"/>
    <w:rsid w:val="06191E33"/>
    <w:rsid w:val="06211A99"/>
    <w:rsid w:val="07837045"/>
    <w:rsid w:val="078E54A0"/>
    <w:rsid w:val="07920105"/>
    <w:rsid w:val="094263C4"/>
    <w:rsid w:val="0B1A16BD"/>
    <w:rsid w:val="0B771EF6"/>
    <w:rsid w:val="0BAD43A5"/>
    <w:rsid w:val="0C6201A0"/>
    <w:rsid w:val="0C8B0207"/>
    <w:rsid w:val="0C923A83"/>
    <w:rsid w:val="0CE96302"/>
    <w:rsid w:val="0CEF2A86"/>
    <w:rsid w:val="0D5217AE"/>
    <w:rsid w:val="0DD8138D"/>
    <w:rsid w:val="0E5A30E7"/>
    <w:rsid w:val="0F5A68DD"/>
    <w:rsid w:val="0F69076D"/>
    <w:rsid w:val="0F915079"/>
    <w:rsid w:val="0FA721F7"/>
    <w:rsid w:val="0FB83603"/>
    <w:rsid w:val="105552F6"/>
    <w:rsid w:val="108044EB"/>
    <w:rsid w:val="10C47695"/>
    <w:rsid w:val="10F00EC4"/>
    <w:rsid w:val="115A0E16"/>
    <w:rsid w:val="12083382"/>
    <w:rsid w:val="1246198D"/>
    <w:rsid w:val="12BE6BF9"/>
    <w:rsid w:val="13270ED1"/>
    <w:rsid w:val="133840DC"/>
    <w:rsid w:val="14EE3B8E"/>
    <w:rsid w:val="150D2643"/>
    <w:rsid w:val="15AF3ADC"/>
    <w:rsid w:val="16253698"/>
    <w:rsid w:val="16D451C7"/>
    <w:rsid w:val="16F13FCB"/>
    <w:rsid w:val="17082C65"/>
    <w:rsid w:val="17667DE9"/>
    <w:rsid w:val="18536F2E"/>
    <w:rsid w:val="1887565C"/>
    <w:rsid w:val="18E67433"/>
    <w:rsid w:val="192872E0"/>
    <w:rsid w:val="1A6F50AD"/>
    <w:rsid w:val="1AA9696A"/>
    <w:rsid w:val="1AFE16DD"/>
    <w:rsid w:val="1B1E72B7"/>
    <w:rsid w:val="1B7D4FB1"/>
    <w:rsid w:val="1C2C0F99"/>
    <w:rsid w:val="1CAF74D1"/>
    <w:rsid w:val="1D044D3A"/>
    <w:rsid w:val="1D160D9A"/>
    <w:rsid w:val="1DDE4B7D"/>
    <w:rsid w:val="1E2048FF"/>
    <w:rsid w:val="1E673D11"/>
    <w:rsid w:val="1EC37922"/>
    <w:rsid w:val="1EF931AE"/>
    <w:rsid w:val="1F7A2683"/>
    <w:rsid w:val="204809D3"/>
    <w:rsid w:val="213A656E"/>
    <w:rsid w:val="2143492B"/>
    <w:rsid w:val="219739C1"/>
    <w:rsid w:val="224061E4"/>
    <w:rsid w:val="22F470F8"/>
    <w:rsid w:val="23063016"/>
    <w:rsid w:val="23C806DF"/>
    <w:rsid w:val="240B63D4"/>
    <w:rsid w:val="246A53A7"/>
    <w:rsid w:val="26D40B47"/>
    <w:rsid w:val="27277595"/>
    <w:rsid w:val="278D29E9"/>
    <w:rsid w:val="2790513A"/>
    <w:rsid w:val="27B23302"/>
    <w:rsid w:val="27ED736F"/>
    <w:rsid w:val="294F517A"/>
    <w:rsid w:val="2974421D"/>
    <w:rsid w:val="2A37595F"/>
    <w:rsid w:val="2AD55F6E"/>
    <w:rsid w:val="2B642979"/>
    <w:rsid w:val="2B8F26B7"/>
    <w:rsid w:val="2C300C99"/>
    <w:rsid w:val="2C4233FE"/>
    <w:rsid w:val="2CEE51A8"/>
    <w:rsid w:val="2D3A6A65"/>
    <w:rsid w:val="2DED6716"/>
    <w:rsid w:val="2E7C6A9A"/>
    <w:rsid w:val="2F2B2ABE"/>
    <w:rsid w:val="2F522CD5"/>
    <w:rsid w:val="2FCE6D86"/>
    <w:rsid w:val="2FF90A5D"/>
    <w:rsid w:val="30420F9B"/>
    <w:rsid w:val="313C59EB"/>
    <w:rsid w:val="31A76EFE"/>
    <w:rsid w:val="326F6CC3"/>
    <w:rsid w:val="32C9448A"/>
    <w:rsid w:val="33163F6E"/>
    <w:rsid w:val="3331496C"/>
    <w:rsid w:val="33B73BA0"/>
    <w:rsid w:val="33C1039F"/>
    <w:rsid w:val="349B0C91"/>
    <w:rsid w:val="3502519D"/>
    <w:rsid w:val="351877FA"/>
    <w:rsid w:val="352C4B9B"/>
    <w:rsid w:val="35EE3EC5"/>
    <w:rsid w:val="361E5AAD"/>
    <w:rsid w:val="36AB471D"/>
    <w:rsid w:val="36EA36A5"/>
    <w:rsid w:val="37062A3C"/>
    <w:rsid w:val="371D006C"/>
    <w:rsid w:val="3784633D"/>
    <w:rsid w:val="37DF13F6"/>
    <w:rsid w:val="38237904"/>
    <w:rsid w:val="383545A7"/>
    <w:rsid w:val="384D018F"/>
    <w:rsid w:val="387A1542"/>
    <w:rsid w:val="387C36DF"/>
    <w:rsid w:val="3907358F"/>
    <w:rsid w:val="39535FC7"/>
    <w:rsid w:val="399030A9"/>
    <w:rsid w:val="39F50E2C"/>
    <w:rsid w:val="3A296D28"/>
    <w:rsid w:val="3B651FE2"/>
    <w:rsid w:val="3B74179A"/>
    <w:rsid w:val="3C170E8A"/>
    <w:rsid w:val="3C4E57BC"/>
    <w:rsid w:val="3D2B540D"/>
    <w:rsid w:val="3D400421"/>
    <w:rsid w:val="3D5B369C"/>
    <w:rsid w:val="3E286730"/>
    <w:rsid w:val="3E6C4766"/>
    <w:rsid w:val="3ECB0F1C"/>
    <w:rsid w:val="3F406FEE"/>
    <w:rsid w:val="3F4940F4"/>
    <w:rsid w:val="3FD15E98"/>
    <w:rsid w:val="40C357E1"/>
    <w:rsid w:val="41A96B45"/>
    <w:rsid w:val="41F90F57"/>
    <w:rsid w:val="427B35F8"/>
    <w:rsid w:val="42984A4B"/>
    <w:rsid w:val="444463F5"/>
    <w:rsid w:val="44827761"/>
    <w:rsid w:val="44A9297F"/>
    <w:rsid w:val="44B9344A"/>
    <w:rsid w:val="454B3FF6"/>
    <w:rsid w:val="457F1EF2"/>
    <w:rsid w:val="466F2A4E"/>
    <w:rsid w:val="48403BBB"/>
    <w:rsid w:val="489F58D9"/>
    <w:rsid w:val="490E37E5"/>
    <w:rsid w:val="49F6744C"/>
    <w:rsid w:val="4A275494"/>
    <w:rsid w:val="4A893CF2"/>
    <w:rsid w:val="4BBC5C4E"/>
    <w:rsid w:val="4D72273F"/>
    <w:rsid w:val="4DA7509D"/>
    <w:rsid w:val="4DAE0654"/>
    <w:rsid w:val="4DE137A4"/>
    <w:rsid w:val="4E805783"/>
    <w:rsid w:val="4E8B28EE"/>
    <w:rsid w:val="4EBD41B7"/>
    <w:rsid w:val="4FF534DD"/>
    <w:rsid w:val="50A90CBB"/>
    <w:rsid w:val="51CA76C8"/>
    <w:rsid w:val="51CB489B"/>
    <w:rsid w:val="51DA038A"/>
    <w:rsid w:val="52FC1044"/>
    <w:rsid w:val="53424CE4"/>
    <w:rsid w:val="53D02297"/>
    <w:rsid w:val="53D31755"/>
    <w:rsid w:val="54C16457"/>
    <w:rsid w:val="55081F04"/>
    <w:rsid w:val="55711857"/>
    <w:rsid w:val="56E62B1E"/>
    <w:rsid w:val="57D32A2C"/>
    <w:rsid w:val="5827444F"/>
    <w:rsid w:val="585F6FDE"/>
    <w:rsid w:val="5A01540E"/>
    <w:rsid w:val="5A4E2167"/>
    <w:rsid w:val="5A6D7945"/>
    <w:rsid w:val="5ABB6DD6"/>
    <w:rsid w:val="5C101CDB"/>
    <w:rsid w:val="5C5239AC"/>
    <w:rsid w:val="5D211DB5"/>
    <w:rsid w:val="5E68756F"/>
    <w:rsid w:val="6058575B"/>
    <w:rsid w:val="605C7F1B"/>
    <w:rsid w:val="61BF50C8"/>
    <w:rsid w:val="62802F21"/>
    <w:rsid w:val="62F50F9E"/>
    <w:rsid w:val="63364E15"/>
    <w:rsid w:val="633B34A5"/>
    <w:rsid w:val="64520C49"/>
    <w:rsid w:val="64BA6A91"/>
    <w:rsid w:val="654B3E73"/>
    <w:rsid w:val="655401E3"/>
    <w:rsid w:val="65BB4876"/>
    <w:rsid w:val="66455FAA"/>
    <w:rsid w:val="667C1E0A"/>
    <w:rsid w:val="679078F8"/>
    <w:rsid w:val="67C74CAA"/>
    <w:rsid w:val="68300004"/>
    <w:rsid w:val="68700973"/>
    <w:rsid w:val="69D21C12"/>
    <w:rsid w:val="6A353F99"/>
    <w:rsid w:val="6AB654FF"/>
    <w:rsid w:val="6AB778B5"/>
    <w:rsid w:val="6B7F21CC"/>
    <w:rsid w:val="6BB77FE6"/>
    <w:rsid w:val="6C3A254B"/>
    <w:rsid w:val="6CF917A4"/>
    <w:rsid w:val="6D9E18C4"/>
    <w:rsid w:val="6DC96001"/>
    <w:rsid w:val="6DCA0838"/>
    <w:rsid w:val="6DFB50B2"/>
    <w:rsid w:val="6EE646FA"/>
    <w:rsid w:val="6F8E72E2"/>
    <w:rsid w:val="70893AA1"/>
    <w:rsid w:val="70AD3C34"/>
    <w:rsid w:val="70BD1051"/>
    <w:rsid w:val="710A5599"/>
    <w:rsid w:val="7124781C"/>
    <w:rsid w:val="71D614EF"/>
    <w:rsid w:val="727823D3"/>
    <w:rsid w:val="72D95976"/>
    <w:rsid w:val="73322AD7"/>
    <w:rsid w:val="74A244BB"/>
    <w:rsid w:val="74E67714"/>
    <w:rsid w:val="753B2256"/>
    <w:rsid w:val="75FC0F44"/>
    <w:rsid w:val="7735228D"/>
    <w:rsid w:val="77A71100"/>
    <w:rsid w:val="77D116A8"/>
    <w:rsid w:val="781400F4"/>
    <w:rsid w:val="79653335"/>
    <w:rsid w:val="79B36599"/>
    <w:rsid w:val="7A756E44"/>
    <w:rsid w:val="7A85352B"/>
    <w:rsid w:val="7AD22B15"/>
    <w:rsid w:val="7B8C2698"/>
    <w:rsid w:val="7B9301C2"/>
    <w:rsid w:val="7BDA3A57"/>
    <w:rsid w:val="7C5A4544"/>
    <w:rsid w:val="7C9B263E"/>
    <w:rsid w:val="7D1C3353"/>
    <w:rsid w:val="7D3B4993"/>
    <w:rsid w:val="7D805D4D"/>
    <w:rsid w:val="7D904D44"/>
    <w:rsid w:val="7DD76104"/>
    <w:rsid w:val="7E2579D9"/>
    <w:rsid w:val="7EBB576E"/>
    <w:rsid w:val="7EED2948"/>
    <w:rsid w:val="7F3D00AE"/>
    <w:rsid w:val="7F7F692F"/>
    <w:rsid w:val="7FD11835"/>
    <w:rsid w:val="7FE02FB2"/>
    <w:rsid w:val="7FE409ED"/>
    <w:rsid w:val="EE7BC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3"/>
    <w:qFormat/>
    <w:uiPriority w:val="0"/>
    <w:pPr>
      <w:keepNext/>
      <w:jc w:val="center"/>
      <w:outlineLvl w:val="0"/>
    </w:pPr>
    <w:rPr>
      <w:rFonts w:ascii="楷体_GB2312" w:hAnsi="Tahoma" w:eastAsia="楷体_GB2312"/>
      <w:b/>
      <w:bCs/>
    </w:rPr>
  </w:style>
  <w:style w:type="paragraph" w:styleId="4">
    <w:name w:val="heading 2"/>
    <w:basedOn w:val="1"/>
    <w:next w:val="1"/>
    <w:link w:val="19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0"/>
    <w:qFormat/>
    <w:uiPriority w:val="0"/>
    <w:pPr>
      <w:keepNext/>
      <w:keepLines/>
      <w:spacing w:before="260" w:after="260" w:line="415" w:lineRule="auto"/>
      <w:outlineLvl w:val="2"/>
    </w:pPr>
    <w:rPr>
      <w:b/>
      <w:bCs/>
      <w:sz w:val="32"/>
      <w:szCs w:val="32"/>
    </w:rPr>
  </w:style>
  <w:style w:type="paragraph" w:styleId="6">
    <w:name w:val="heading 4"/>
    <w:basedOn w:val="1"/>
    <w:next w:val="1"/>
    <w:link w:val="188"/>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195"/>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187"/>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186"/>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205"/>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200"/>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6">
    <w:name w:val="Default Paragraph Font"/>
    <w:unhideWhenUsed/>
    <w:qFormat/>
    <w:uiPriority w:val="1"/>
  </w:style>
  <w:style w:type="table" w:default="1" w:styleId="54">
    <w:name w:val="Normal Table"/>
    <w:unhideWhenUsed/>
    <w:qFormat/>
    <w:uiPriority w:val="99"/>
    <w:tblPr>
      <w:tblCellMar>
        <w:top w:w="0" w:type="dxa"/>
        <w:left w:w="108" w:type="dxa"/>
        <w:bottom w:w="0" w:type="dxa"/>
        <w:right w:w="108" w:type="dxa"/>
      </w:tblCellMar>
    </w:tblPr>
  </w:style>
  <w:style w:type="paragraph" w:styleId="2">
    <w:name w:val="macro"/>
    <w:link w:val="194"/>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next w:val="1"/>
    <w:link w:val="184"/>
    <w:qFormat/>
    <w:uiPriority w:val="0"/>
    <w:pPr>
      <w:adjustRightInd w:val="0"/>
      <w:spacing w:line="312" w:lineRule="atLeast"/>
      <w:ind w:firstLine="420"/>
      <w:textAlignment w:val="baseline"/>
    </w:pPr>
    <w:rPr>
      <w:kern w:val="0"/>
      <w:szCs w:val="20"/>
    </w:r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numPr>
        <w:ilvl w:val="0"/>
        <w:numId w:val="1"/>
      </w:numPr>
      <w:tabs>
        <w:tab w:val="clear" w:pos="1080"/>
      </w:tabs>
    </w:pPr>
    <w:rPr>
      <w:szCs w:val="22"/>
    </w:rPr>
  </w:style>
  <w:style w:type="paragraph" w:styleId="17">
    <w:name w:val="Document Map"/>
    <w:basedOn w:val="1"/>
    <w:link w:val="182"/>
    <w:qFormat/>
    <w:uiPriority w:val="0"/>
    <w:pPr>
      <w:shd w:val="clear" w:color="auto" w:fill="000080"/>
    </w:pPr>
  </w:style>
  <w:style w:type="paragraph" w:styleId="18">
    <w:name w:val="annotation text"/>
    <w:basedOn w:val="1"/>
    <w:link w:val="181"/>
    <w:qFormat/>
    <w:uiPriority w:val="0"/>
    <w:pPr>
      <w:jc w:val="left"/>
    </w:pPr>
  </w:style>
  <w:style w:type="paragraph" w:styleId="19">
    <w:name w:val="Salutation"/>
    <w:basedOn w:val="1"/>
    <w:next w:val="1"/>
    <w:link w:val="242"/>
    <w:qFormat/>
    <w:uiPriority w:val="0"/>
    <w:pPr>
      <w:tabs>
        <w:tab w:val="left" w:pos="840"/>
      </w:tabs>
      <w:autoSpaceDE w:val="0"/>
      <w:autoSpaceDN w:val="0"/>
      <w:adjustRightInd w:val="0"/>
      <w:jc w:val="left"/>
    </w:pPr>
    <w:rPr>
      <w:kern w:val="0"/>
      <w:sz w:val="24"/>
      <w:szCs w:val="20"/>
    </w:rPr>
  </w:style>
  <w:style w:type="paragraph" w:styleId="20">
    <w:name w:val="Body Text 3"/>
    <w:basedOn w:val="1"/>
    <w:link w:val="180"/>
    <w:qFormat/>
    <w:uiPriority w:val="0"/>
    <w:pPr>
      <w:autoSpaceDE w:val="0"/>
      <w:autoSpaceDN w:val="0"/>
      <w:adjustRightInd w:val="0"/>
      <w:jc w:val="center"/>
    </w:pPr>
    <w:rPr>
      <w:kern w:val="0"/>
      <w:sz w:val="20"/>
      <w:szCs w:val="20"/>
    </w:rPr>
  </w:style>
  <w:style w:type="paragraph" w:styleId="21">
    <w:name w:val="Body Text"/>
    <w:basedOn w:val="1"/>
    <w:next w:val="22"/>
    <w:link w:val="203"/>
    <w:qFormat/>
    <w:uiPriority w:val="0"/>
    <w:pPr>
      <w:spacing w:after="120"/>
    </w:pPr>
    <w:rPr>
      <w:rFonts w:ascii="Tahoma" w:hAnsi="Tahoma"/>
    </w:rPr>
  </w:style>
  <w:style w:type="paragraph" w:styleId="22">
    <w:name w:val="Body Text First Indent"/>
    <w:basedOn w:val="21"/>
    <w:next w:val="1"/>
    <w:link w:val="179"/>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3">
    <w:name w:val="Body Text Indent"/>
    <w:basedOn w:val="1"/>
    <w:link w:val="178"/>
    <w:qFormat/>
    <w:uiPriority w:val="0"/>
    <w:pPr>
      <w:adjustRightInd w:val="0"/>
      <w:spacing w:line="360" w:lineRule="auto"/>
      <w:ind w:firstLine="490"/>
      <w:jc w:val="left"/>
    </w:pPr>
    <w:rPr>
      <w:rFonts w:ascii="宋体" w:hAnsi="宋体"/>
      <w:sz w:val="24"/>
      <w:szCs w:val="20"/>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39"/>
    <w:pPr>
      <w:autoSpaceDE w:val="0"/>
      <w:autoSpaceDN w:val="0"/>
      <w:adjustRightInd w:val="0"/>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1"/>
    <w:link w:val="177"/>
    <w:qFormat/>
    <w:uiPriority w:val="0"/>
    <w:rPr>
      <w:rFonts w:ascii="宋体" w:hAnsi="Courier New"/>
      <w:szCs w:val="20"/>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39"/>
    <w:pPr>
      <w:autoSpaceDE w:val="0"/>
      <w:autoSpaceDN w:val="0"/>
      <w:adjustRightInd w:val="0"/>
      <w:ind w:left="2940" w:leftChars="1400"/>
      <w:jc w:val="left"/>
    </w:pPr>
    <w:rPr>
      <w:kern w:val="0"/>
      <w:sz w:val="20"/>
      <w:szCs w:val="20"/>
    </w:rPr>
  </w:style>
  <w:style w:type="paragraph" w:styleId="32">
    <w:name w:val="Date"/>
    <w:basedOn w:val="1"/>
    <w:next w:val="1"/>
    <w:link w:val="201"/>
    <w:qFormat/>
    <w:uiPriority w:val="0"/>
    <w:pPr>
      <w:spacing w:line="440" w:lineRule="exact"/>
    </w:pPr>
    <w:rPr>
      <w:spacing w:val="12"/>
      <w:sz w:val="24"/>
      <w:szCs w:val="20"/>
    </w:rPr>
  </w:style>
  <w:style w:type="paragraph" w:styleId="33">
    <w:name w:val="Body Text Indent 2"/>
    <w:basedOn w:val="1"/>
    <w:link w:val="176"/>
    <w:qFormat/>
    <w:uiPriority w:val="0"/>
    <w:pPr>
      <w:spacing w:after="120" w:line="480" w:lineRule="auto"/>
      <w:ind w:left="420" w:leftChars="200"/>
    </w:pPr>
  </w:style>
  <w:style w:type="paragraph" w:styleId="34">
    <w:name w:val="Balloon Text"/>
    <w:basedOn w:val="1"/>
    <w:link w:val="175"/>
    <w:qFormat/>
    <w:uiPriority w:val="0"/>
    <w:rPr>
      <w:sz w:val="18"/>
      <w:szCs w:val="18"/>
    </w:rPr>
  </w:style>
  <w:style w:type="paragraph" w:styleId="35">
    <w:name w:val="footer"/>
    <w:basedOn w:val="1"/>
    <w:link w:val="174"/>
    <w:qFormat/>
    <w:uiPriority w:val="0"/>
    <w:pPr>
      <w:tabs>
        <w:tab w:val="center" w:pos="4153"/>
        <w:tab w:val="right" w:pos="8306"/>
      </w:tabs>
      <w:snapToGrid w:val="0"/>
      <w:jc w:val="left"/>
    </w:pPr>
    <w:rPr>
      <w:sz w:val="18"/>
      <w:szCs w:val="18"/>
    </w:rPr>
  </w:style>
  <w:style w:type="paragraph" w:styleId="36">
    <w:name w:val="header"/>
    <w:basedOn w:val="1"/>
    <w:link w:val="173"/>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72"/>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8">
    <w:name w:val="toc 1"/>
    <w:basedOn w:val="1"/>
    <w:next w:val="1"/>
    <w:qFormat/>
    <w:uiPriority w:val="39"/>
    <w:pPr>
      <w:spacing w:line="360" w:lineRule="exact"/>
      <w:ind w:left="718" w:hanging="718" w:hangingChars="342"/>
    </w:pPr>
    <w:rPr>
      <w:rFonts w:ascii="Arial" w:hAnsi="Arial" w:eastAsia="楷体_GB2312" w:cs="Arial"/>
    </w:rPr>
  </w:style>
  <w:style w:type="paragraph" w:styleId="39">
    <w:name w:val="toc 4"/>
    <w:basedOn w:val="1"/>
    <w:next w:val="1"/>
    <w:qFormat/>
    <w:uiPriority w:val="39"/>
    <w:pPr>
      <w:autoSpaceDE w:val="0"/>
      <w:autoSpaceDN w:val="0"/>
      <w:adjustRightInd w:val="0"/>
      <w:ind w:left="1260" w:leftChars="600"/>
      <w:jc w:val="left"/>
    </w:pPr>
    <w:rPr>
      <w:kern w:val="0"/>
      <w:sz w:val="20"/>
      <w:szCs w:val="20"/>
    </w:rPr>
  </w:style>
  <w:style w:type="paragraph" w:styleId="40">
    <w:name w:val="Subtitle"/>
    <w:basedOn w:val="1"/>
    <w:next w:val="1"/>
    <w:link w:val="171"/>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rPr>
      <w:sz w:val="28"/>
    </w:rPr>
  </w:style>
  <w:style w:type="paragraph" w:styleId="43">
    <w:name w:val="toc 6"/>
    <w:basedOn w:val="1"/>
    <w:next w:val="1"/>
    <w:qFormat/>
    <w:uiPriority w:val="39"/>
    <w:pPr>
      <w:autoSpaceDE w:val="0"/>
      <w:autoSpaceDN w:val="0"/>
      <w:adjustRightInd w:val="0"/>
      <w:ind w:left="2100" w:leftChars="1000"/>
      <w:jc w:val="left"/>
    </w:pPr>
    <w:rPr>
      <w:kern w:val="0"/>
      <w:sz w:val="20"/>
      <w:szCs w:val="20"/>
    </w:rPr>
  </w:style>
  <w:style w:type="paragraph" w:styleId="44">
    <w:name w:val="Body Text Indent 3"/>
    <w:basedOn w:val="1"/>
    <w:link w:val="170"/>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39"/>
    <w:pPr>
      <w:autoSpaceDE w:val="0"/>
      <w:autoSpaceDN w:val="0"/>
      <w:adjustRightInd w:val="0"/>
      <w:ind w:left="3360" w:leftChars="1600"/>
      <w:jc w:val="left"/>
    </w:pPr>
    <w:rPr>
      <w:kern w:val="0"/>
      <w:sz w:val="20"/>
      <w:szCs w:val="20"/>
    </w:rPr>
  </w:style>
  <w:style w:type="paragraph" w:styleId="47">
    <w:name w:val="Body Text 2"/>
    <w:basedOn w:val="1"/>
    <w:link w:val="244"/>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next w:val="1"/>
    <w:link w:val="169"/>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18"/>
    <w:next w:val="18"/>
    <w:link w:val="168"/>
    <w:qFormat/>
    <w:uiPriority w:val="0"/>
    <w:rPr>
      <w:b/>
      <w:bCs/>
    </w:rPr>
  </w:style>
  <w:style w:type="paragraph" w:styleId="53">
    <w:name w:val="Body Text First Indent 2"/>
    <w:basedOn w:val="23"/>
    <w:unhideWhenUsed/>
    <w:qFormat/>
    <w:uiPriority w:val="99"/>
    <w:pPr>
      <w:ind w:firstLine="420" w:firstLineChars="200"/>
    </w:p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0"/>
    <w:rPr>
      <w:rFonts w:ascii="仿宋_GB2312" w:eastAsia="仿宋_GB2312"/>
      <w:bCs/>
      <w:sz w:val="32"/>
      <w:szCs w:val="32"/>
    </w:rPr>
  </w:style>
  <w:style w:type="character" w:styleId="58">
    <w:name w:val="page number"/>
    <w:qFormat/>
    <w:uiPriority w:val="0"/>
  </w:style>
  <w:style w:type="character" w:styleId="59">
    <w:name w:val="FollowedHyperlink"/>
    <w:qFormat/>
    <w:uiPriority w:val="0"/>
    <w:rPr>
      <w:rFonts w:ascii="仿宋_GB2312" w:eastAsia="仿宋_GB2312"/>
      <w:b/>
      <w:color w:val="800080"/>
      <w:sz w:val="32"/>
      <w:szCs w:val="32"/>
      <w:u w:val="single"/>
    </w:rPr>
  </w:style>
  <w:style w:type="character" w:styleId="60">
    <w:name w:val="Emphasis"/>
    <w:qFormat/>
    <w:uiPriority w:val="0"/>
    <w:rPr>
      <w:i/>
      <w:iCs/>
    </w:rPr>
  </w:style>
  <w:style w:type="character" w:styleId="61">
    <w:name w:val="line number"/>
    <w:qFormat/>
    <w:uiPriority w:val="0"/>
    <w:rPr>
      <w:rFonts w:ascii="仿宋_GB2312" w:hAnsi="Tahoma" w:eastAsia="仿宋_GB2312"/>
      <w:b/>
      <w:sz w:val="32"/>
      <w:szCs w:val="32"/>
    </w:rPr>
  </w:style>
  <w:style w:type="character" w:styleId="62">
    <w:name w:val="HTML Definition"/>
    <w:qFormat/>
    <w:uiPriority w:val="99"/>
    <w:rPr>
      <w:szCs w:val="20"/>
    </w:rPr>
  </w:style>
  <w:style w:type="character" w:styleId="63">
    <w:name w:val="HTML Acronym"/>
    <w:qFormat/>
    <w:uiPriority w:val="99"/>
  </w:style>
  <w:style w:type="character" w:styleId="64">
    <w:name w:val="HTML Variable"/>
    <w:qFormat/>
    <w:uiPriority w:val="99"/>
    <w:rPr>
      <w:szCs w:val="20"/>
    </w:rPr>
  </w:style>
  <w:style w:type="character" w:styleId="65">
    <w:name w:val="Hyperlink"/>
    <w:qFormat/>
    <w:uiPriority w:val="99"/>
    <w:rPr>
      <w:rFonts w:ascii="仿宋_GB2312" w:eastAsia="仿宋_GB2312"/>
      <w:color w:val="000000"/>
      <w:sz w:val="20"/>
      <w:szCs w:val="20"/>
      <w:u w:val="none"/>
    </w:rPr>
  </w:style>
  <w:style w:type="character" w:styleId="66">
    <w:name w:val="HTML Code"/>
    <w:qFormat/>
    <w:uiPriority w:val="99"/>
    <w:rPr>
      <w:rFonts w:hint="eastAsia" w:ascii="微软雅黑" w:hAnsi="微软雅黑" w:eastAsia="微软雅黑" w:cs="微软雅黑"/>
      <w:sz w:val="20"/>
      <w:szCs w:val="20"/>
    </w:rPr>
  </w:style>
  <w:style w:type="character" w:styleId="67">
    <w:name w:val="annotation reference"/>
    <w:qFormat/>
    <w:uiPriority w:val="99"/>
    <w:rPr>
      <w:sz w:val="21"/>
      <w:szCs w:val="21"/>
    </w:rPr>
  </w:style>
  <w:style w:type="character" w:styleId="68">
    <w:name w:val="HTML Cite"/>
    <w:qFormat/>
    <w:uiPriority w:val="0"/>
    <w:rPr>
      <w:color w:val="008000"/>
    </w:rPr>
  </w:style>
  <w:style w:type="character" w:styleId="69">
    <w:name w:val="footnote reference"/>
    <w:qFormat/>
    <w:uiPriority w:val="0"/>
    <w:rPr>
      <w:vertAlign w:val="superscript"/>
    </w:rPr>
  </w:style>
  <w:style w:type="character" w:styleId="70">
    <w:name w:val="HTML Keyboard"/>
    <w:qFormat/>
    <w:uiPriority w:val="99"/>
    <w:rPr>
      <w:rFonts w:hint="eastAsia" w:ascii="微软雅黑" w:hAnsi="微软雅黑" w:eastAsia="微软雅黑" w:cs="微软雅黑"/>
      <w:sz w:val="20"/>
      <w:szCs w:val="20"/>
    </w:rPr>
  </w:style>
  <w:style w:type="character" w:styleId="71">
    <w:name w:val="HTML Sample"/>
    <w:qFormat/>
    <w:uiPriority w:val="99"/>
    <w:rPr>
      <w:rFonts w:hint="eastAsia" w:ascii="微软雅黑" w:hAnsi="微软雅黑" w:eastAsia="微软雅黑" w:cs="微软雅黑"/>
      <w:szCs w:val="20"/>
    </w:rPr>
  </w:style>
  <w:style w:type="character" w:customStyle="1" w:styleId="72">
    <w:name w:val="标题 1 Char"/>
    <w:qFormat/>
    <w:uiPriority w:val="0"/>
    <w:rPr>
      <w:rFonts w:eastAsia="宋体"/>
      <w:b/>
      <w:bCs/>
      <w:kern w:val="44"/>
      <w:sz w:val="44"/>
      <w:szCs w:val="44"/>
      <w:lang w:val="en-US" w:eastAsia="zh-CN" w:bidi="ar-SA"/>
    </w:rPr>
  </w:style>
  <w:style w:type="character" w:customStyle="1" w:styleId="73">
    <w:name w:val="heading 2 Char"/>
    <w:qFormat/>
    <w:uiPriority w:val="0"/>
    <w:rPr>
      <w:rFonts w:ascii="Arial" w:hAnsi="Arial" w:eastAsia="黑体" w:cs="Times New Roman"/>
      <w:b/>
      <w:sz w:val="30"/>
      <w:szCs w:val="24"/>
    </w:rPr>
  </w:style>
  <w:style w:type="character" w:customStyle="1" w:styleId="74">
    <w:name w:val="PI Char2"/>
    <w:qFormat/>
    <w:uiPriority w:val="0"/>
    <w:rPr>
      <w:rFonts w:ascii="仿宋_GB2312" w:eastAsia="仿宋_GB2312"/>
      <w:b/>
      <w:kern w:val="2"/>
      <w:sz w:val="24"/>
      <w:szCs w:val="24"/>
    </w:rPr>
  </w:style>
  <w:style w:type="character" w:customStyle="1" w:styleId="75">
    <w:name w:val="style111"/>
    <w:qFormat/>
    <w:uiPriority w:val="0"/>
    <w:rPr>
      <w:sz w:val="27"/>
      <w:szCs w:val="27"/>
    </w:rPr>
  </w:style>
  <w:style w:type="character" w:customStyle="1" w:styleId="76">
    <w:name w:val="标题 Char1"/>
    <w:qFormat/>
    <w:uiPriority w:val="10"/>
    <w:rPr>
      <w:rFonts w:ascii="Cambria" w:hAnsi="Cambria" w:cs="Times New Roman"/>
      <w:b/>
      <w:bCs/>
      <w:kern w:val="2"/>
      <w:sz w:val="32"/>
      <w:szCs w:val="32"/>
    </w:rPr>
  </w:style>
  <w:style w:type="character" w:customStyle="1" w:styleId="77">
    <w:name w:val="font01"/>
    <w:qFormat/>
    <w:uiPriority w:val="0"/>
    <w:rPr>
      <w:rFonts w:hint="eastAsia" w:ascii="宋体" w:hAnsi="宋体" w:eastAsia="宋体" w:cs="宋体"/>
      <w:color w:val="000000"/>
      <w:sz w:val="22"/>
      <w:szCs w:val="22"/>
      <w:u w:val="none"/>
    </w:rPr>
  </w:style>
  <w:style w:type="character" w:customStyle="1" w:styleId="78">
    <w:name w:val="heading 4 Char2"/>
    <w:qFormat/>
    <w:uiPriority w:val="0"/>
    <w:rPr>
      <w:rFonts w:ascii="Cambria" w:hAnsi="Cambria" w:eastAsia="仿宋_GB2312"/>
      <w:b/>
      <w:bCs/>
      <w:kern w:val="2"/>
      <w:sz w:val="28"/>
      <w:szCs w:val="28"/>
    </w:rPr>
  </w:style>
  <w:style w:type="character" w:customStyle="1" w:styleId="79">
    <w:name w:val="不明显参考1"/>
    <w:qFormat/>
    <w:uiPriority w:val="0"/>
    <w:rPr>
      <w:smallCaps/>
      <w:color w:val="C0504D"/>
      <w:u w:val="single"/>
    </w:rPr>
  </w:style>
  <w:style w:type="character" w:customStyle="1" w:styleId="80">
    <w:name w:val="书籍标题1"/>
    <w:qFormat/>
    <w:uiPriority w:val="0"/>
    <w:rPr>
      <w:b/>
      <w:bCs/>
      <w:smallCaps/>
      <w:spacing w:val="5"/>
    </w:rPr>
  </w:style>
  <w:style w:type="character" w:customStyle="1" w:styleId="81">
    <w:name w:val="引用 Char1"/>
    <w:qFormat/>
    <w:uiPriority w:val="99"/>
    <w:rPr>
      <w:rFonts w:ascii="Tahoma" w:hAnsi="Tahoma"/>
      <w:i/>
      <w:iCs/>
      <w:color w:val="000000"/>
      <w:kern w:val="2"/>
      <w:sz w:val="21"/>
      <w:szCs w:val="24"/>
    </w:rPr>
  </w:style>
  <w:style w:type="character" w:customStyle="1" w:styleId="82">
    <w:name w:val="样式 标题 3 + 黑体 小四 Char Char"/>
    <w:link w:val="83"/>
    <w:qFormat/>
    <w:uiPriority w:val="0"/>
    <w:rPr>
      <w:rFonts w:ascii="黑体" w:hAnsi="Arial" w:eastAsia="黑体"/>
      <w:bCs/>
      <w:sz w:val="24"/>
      <w:szCs w:val="24"/>
    </w:rPr>
  </w:style>
  <w:style w:type="paragraph" w:customStyle="1" w:styleId="83">
    <w:name w:val="样式 标题 3 + 黑体 小四"/>
    <w:basedOn w:val="5"/>
    <w:link w:val="82"/>
    <w:qFormat/>
    <w:uiPriority w:val="0"/>
    <w:pPr>
      <w:spacing w:line="413" w:lineRule="auto"/>
    </w:pPr>
    <w:rPr>
      <w:rFonts w:ascii="黑体" w:hAnsi="Arial" w:eastAsia="黑体"/>
      <w:b w:val="0"/>
      <w:kern w:val="0"/>
      <w:sz w:val="24"/>
      <w:szCs w:val="24"/>
    </w:rPr>
  </w:style>
  <w:style w:type="character" w:customStyle="1" w:styleId="84">
    <w:name w:val="Style3"/>
    <w:qFormat/>
    <w:uiPriority w:val="0"/>
    <w:rPr>
      <w:rFonts w:ascii="Calibri" w:hAnsi="宋体" w:eastAsia="宋体" w:cs="Times New Roman"/>
      <w:szCs w:val="22"/>
      <w:lang w:eastAsia="zh-CN"/>
    </w:rPr>
  </w:style>
  <w:style w:type="character" w:customStyle="1" w:styleId="85">
    <w:name w:val="明显引用 字符"/>
    <w:link w:val="86"/>
    <w:qFormat/>
    <w:uiPriority w:val="0"/>
    <w:rPr>
      <w:rFonts w:ascii="Calibri" w:hAnsi="Calibri"/>
      <w:b/>
      <w:bCs/>
      <w:i/>
      <w:iCs/>
      <w:color w:val="4F81BD"/>
      <w:sz w:val="32"/>
      <w:szCs w:val="32"/>
    </w:rPr>
  </w:style>
  <w:style w:type="paragraph" w:customStyle="1" w:styleId="86">
    <w:name w:val="Intense Quote"/>
    <w:basedOn w:val="1"/>
    <w:next w:val="1"/>
    <w:link w:val="85"/>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87">
    <w:name w:val="heading 1 Char2"/>
    <w:qFormat/>
    <w:uiPriority w:val="0"/>
    <w:rPr>
      <w:rFonts w:ascii="仿宋_GB2312" w:eastAsia="仿宋_GB2312"/>
      <w:b/>
      <w:bCs/>
      <w:kern w:val="44"/>
      <w:sz w:val="44"/>
      <w:szCs w:val="44"/>
    </w:rPr>
  </w:style>
  <w:style w:type="character" w:customStyle="1" w:styleId="88">
    <w:name w:val="doc"/>
    <w:qFormat/>
    <w:uiPriority w:val="0"/>
  </w:style>
  <w:style w:type="character" w:customStyle="1" w:styleId="89">
    <w:name w:val="Footer-Even Char2"/>
    <w:qFormat/>
    <w:uiPriority w:val="0"/>
    <w:rPr>
      <w:rFonts w:ascii="仿宋_GB2312" w:eastAsia="仿宋_GB2312"/>
      <w:b/>
      <w:kern w:val="2"/>
      <w:sz w:val="18"/>
      <w:szCs w:val="18"/>
    </w:rPr>
  </w:style>
  <w:style w:type="character" w:customStyle="1" w:styleId="90">
    <w:name w:val="hui"/>
    <w:qFormat/>
    <w:uiPriority w:val="0"/>
    <w:rPr>
      <w:rFonts w:ascii="仿宋_GB2312" w:hAnsi="Tahoma" w:eastAsia="仿宋_GB2312"/>
      <w:b/>
      <w:sz w:val="32"/>
      <w:szCs w:val="32"/>
    </w:rPr>
  </w:style>
  <w:style w:type="character" w:customStyle="1" w:styleId="91">
    <w:name w:val="列表段落 字符"/>
    <w:link w:val="92"/>
    <w:qFormat/>
    <w:uiPriority w:val="34"/>
    <w:rPr>
      <w:rFonts w:ascii="Calibri" w:hAnsi="Calibri"/>
      <w:kern w:val="2"/>
      <w:sz w:val="21"/>
      <w:szCs w:val="24"/>
    </w:rPr>
  </w:style>
  <w:style w:type="paragraph" w:customStyle="1" w:styleId="92">
    <w:name w:val="List Paragraph"/>
    <w:basedOn w:val="1"/>
    <w:link w:val="91"/>
    <w:qFormat/>
    <w:uiPriority w:val="34"/>
    <w:pPr>
      <w:ind w:firstLine="420" w:firstLineChars="200"/>
    </w:pPr>
    <w:rPr>
      <w:rFonts w:ascii="Calibri" w:hAnsi="Calibri"/>
    </w:rPr>
  </w:style>
  <w:style w:type="character" w:customStyle="1" w:styleId="93">
    <w:name w:val="heading 7 Char1"/>
    <w:qFormat/>
    <w:uiPriority w:val="0"/>
    <w:rPr>
      <w:rFonts w:ascii="Arial" w:hAnsi="Arial" w:eastAsia="黑体"/>
      <w:b/>
      <w:sz w:val="21"/>
      <w:szCs w:val="21"/>
      <w:lang w:val="en-US" w:eastAsia="zh-CN" w:bidi="ar-SA"/>
    </w:rPr>
  </w:style>
  <w:style w:type="character" w:customStyle="1" w:styleId="94">
    <w:name w:val="Char Char21"/>
    <w:qFormat/>
    <w:uiPriority w:val="0"/>
    <w:rPr>
      <w:rFonts w:ascii="Times New Roman" w:hAnsi="Times New Roman" w:eastAsia="宋体" w:cs="Times New Roman"/>
      <w:b/>
      <w:bCs/>
      <w:kern w:val="44"/>
      <w:sz w:val="44"/>
      <w:szCs w:val="44"/>
    </w:rPr>
  </w:style>
  <w:style w:type="character" w:customStyle="1" w:styleId="95">
    <w:name w:val="表正文 Char2"/>
    <w:qFormat/>
    <w:uiPriority w:val="0"/>
    <w:rPr>
      <w:rFonts w:ascii="Times New Roman" w:hAnsi="Times New Roman" w:eastAsia="宋体" w:cs="Times New Roman"/>
      <w:szCs w:val="24"/>
    </w:rPr>
  </w:style>
  <w:style w:type="character" w:customStyle="1" w:styleId="96">
    <w:name w:val="正文文本缩进 2 Char"/>
    <w:qFormat/>
    <w:uiPriority w:val="0"/>
    <w:rPr>
      <w:kern w:val="2"/>
      <w:sz w:val="21"/>
      <w:szCs w:val="24"/>
    </w:rPr>
  </w:style>
  <w:style w:type="character" w:customStyle="1" w:styleId="97">
    <w:name w:val="宏文本 Char1"/>
    <w:qFormat/>
    <w:uiPriority w:val="99"/>
    <w:rPr>
      <w:rFonts w:ascii="Courier New" w:hAnsi="Courier New" w:cs="Courier New"/>
      <w:kern w:val="2"/>
      <w:sz w:val="24"/>
      <w:szCs w:val="24"/>
    </w:rPr>
  </w:style>
  <w:style w:type="character" w:customStyle="1" w:styleId="98">
    <w:name w:val="Texte Char Char"/>
    <w:qFormat/>
    <w:uiPriority w:val="0"/>
    <w:rPr>
      <w:rFonts w:ascii="宋体" w:hAnsi="Courier New" w:eastAsia="宋体"/>
      <w:b/>
      <w:sz w:val="21"/>
      <w:szCs w:val="21"/>
      <w:lang w:val="en-US" w:eastAsia="zh-CN" w:bidi="ar-SA"/>
    </w:rPr>
  </w:style>
  <w:style w:type="character" w:customStyle="1" w:styleId="99">
    <w:name w:val="fr"/>
    <w:qFormat/>
    <w:uiPriority w:val="0"/>
  </w:style>
  <w:style w:type="character" w:customStyle="1" w:styleId="100">
    <w:name w:val="style41"/>
    <w:qFormat/>
    <w:uiPriority w:val="0"/>
    <w:rPr>
      <w:rFonts w:ascii="仿宋_GB2312" w:eastAsia="仿宋_GB2312"/>
      <w:b/>
      <w:color w:val="auto"/>
      <w:sz w:val="32"/>
      <w:szCs w:val="32"/>
    </w:rPr>
  </w:style>
  <w:style w:type="character" w:customStyle="1" w:styleId="101">
    <w:name w:val="red"/>
    <w:qFormat/>
    <w:uiPriority w:val="0"/>
    <w:rPr>
      <w:color w:val="FF0000"/>
      <w:szCs w:val="20"/>
    </w:rPr>
  </w:style>
  <w:style w:type="character" w:customStyle="1" w:styleId="102">
    <w:name w:val="正文首行缩进 Char1"/>
    <w:qFormat/>
    <w:uiPriority w:val="0"/>
    <w:rPr>
      <w:rFonts w:ascii="Tahoma" w:hAnsi="Tahoma"/>
      <w:kern w:val="2"/>
      <w:sz w:val="21"/>
      <w:szCs w:val="24"/>
    </w:rPr>
  </w:style>
  <w:style w:type="character" w:customStyle="1" w:styleId="103">
    <w:name w:val="doc1"/>
    <w:qFormat/>
    <w:uiPriority w:val="0"/>
  </w:style>
  <w:style w:type="character" w:customStyle="1" w:styleId="104">
    <w:name w:val="Char Char Char Char Char Char Char Char Char"/>
    <w:qFormat/>
    <w:uiPriority w:val="0"/>
    <w:rPr>
      <w:rFonts w:ascii="宋体" w:hAnsi="Courier New" w:eastAsia="宋体"/>
      <w:b/>
      <w:sz w:val="21"/>
      <w:szCs w:val="21"/>
      <w:lang w:val="en-US" w:eastAsia="zh-CN" w:bidi="ar-SA"/>
    </w:rPr>
  </w:style>
  <w:style w:type="character" w:customStyle="1" w:styleId="105">
    <w:name w:val="gray6"/>
    <w:qFormat/>
    <w:uiPriority w:val="0"/>
    <w:rPr>
      <w:rFonts w:ascii="仿宋_GB2312" w:hAnsi="Tahoma" w:eastAsia="仿宋_GB2312"/>
      <w:b/>
      <w:sz w:val="32"/>
      <w:szCs w:val="32"/>
    </w:rPr>
  </w:style>
  <w:style w:type="character" w:customStyle="1" w:styleId="106">
    <w:name w:val="标题 2 Char"/>
    <w:qFormat/>
    <w:uiPriority w:val="0"/>
    <w:rPr>
      <w:rFonts w:ascii="Arial" w:hAnsi="Arial" w:eastAsia="黑体"/>
      <w:b/>
      <w:bCs/>
      <w:kern w:val="2"/>
      <w:sz w:val="32"/>
      <w:szCs w:val="32"/>
      <w:lang w:val="en-US" w:eastAsia="zh-CN" w:bidi="ar-SA"/>
    </w:rPr>
  </w:style>
  <w:style w:type="character" w:customStyle="1" w:styleId="107">
    <w:name w:val="页眉 Char"/>
    <w:qFormat/>
    <w:uiPriority w:val="99"/>
    <w:rPr>
      <w:rFonts w:eastAsia="仿宋_GB2312"/>
      <w:kern w:val="2"/>
      <w:sz w:val="18"/>
      <w:szCs w:val="18"/>
      <w:lang w:val="en-US" w:eastAsia="zh-CN" w:bidi="ar-SA"/>
    </w:rPr>
  </w:style>
  <w:style w:type="character" w:customStyle="1" w:styleId="108">
    <w:name w:val="Style2"/>
    <w:qFormat/>
    <w:uiPriority w:val="0"/>
    <w:rPr>
      <w:rFonts w:ascii="Calibri" w:hAnsi="宋体" w:eastAsia="宋体" w:cs="Times New Roman"/>
      <w:sz w:val="22"/>
      <w:szCs w:val="22"/>
      <w:lang w:eastAsia="zh-CN"/>
    </w:rPr>
  </w:style>
  <w:style w:type="character" w:customStyle="1" w:styleId="109">
    <w:name w:val="heading 5 Char2"/>
    <w:qFormat/>
    <w:uiPriority w:val="0"/>
    <w:rPr>
      <w:rFonts w:ascii="仿宋_GB2312" w:eastAsia="仿宋_GB2312"/>
      <w:b/>
      <w:bCs/>
      <w:kern w:val="2"/>
      <w:sz w:val="28"/>
      <w:szCs w:val="28"/>
    </w:rPr>
  </w:style>
  <w:style w:type="character" w:customStyle="1" w:styleId="110">
    <w:name w:val="样式 正文文本 Char Char"/>
    <w:link w:val="111"/>
    <w:qFormat/>
    <w:uiPriority w:val="0"/>
    <w:rPr>
      <w:rFonts w:ascii="Arial" w:hAnsi="Arial" w:cs="宋体"/>
      <w:color w:val="000000"/>
      <w:kern w:val="2"/>
      <w:sz w:val="21"/>
    </w:rPr>
  </w:style>
  <w:style w:type="paragraph" w:customStyle="1" w:styleId="111">
    <w:name w:val="样式 正文文本"/>
    <w:basedOn w:val="1"/>
    <w:link w:val="110"/>
    <w:qFormat/>
    <w:uiPriority w:val="0"/>
    <w:pPr>
      <w:adjustRightInd w:val="0"/>
      <w:snapToGrid w:val="0"/>
      <w:spacing w:line="400" w:lineRule="exact"/>
      <w:ind w:firstLine="200" w:firstLineChars="200"/>
    </w:pPr>
    <w:rPr>
      <w:rFonts w:ascii="Arial" w:hAnsi="Arial"/>
      <w:color w:val="000000"/>
      <w:szCs w:val="20"/>
    </w:rPr>
  </w:style>
  <w:style w:type="character" w:customStyle="1" w:styleId="112">
    <w:name w:val="num"/>
    <w:qFormat/>
    <w:uiPriority w:val="0"/>
    <w:rPr>
      <w:b/>
      <w:color w:val="FF7800"/>
      <w:szCs w:val="20"/>
    </w:rPr>
  </w:style>
  <w:style w:type="character" w:customStyle="1" w:styleId="113">
    <w:name w:val="heading 4 Char1"/>
    <w:qFormat/>
    <w:uiPriority w:val="0"/>
    <w:rPr>
      <w:rFonts w:ascii="Cambria" w:hAnsi="Cambria" w:eastAsia="宋体"/>
      <w:b/>
      <w:bCs/>
      <w:kern w:val="2"/>
      <w:sz w:val="28"/>
      <w:szCs w:val="28"/>
      <w:lang w:val="en-US" w:eastAsia="zh-CN" w:bidi="ar-SA"/>
    </w:rPr>
  </w:style>
  <w:style w:type="character" w:customStyle="1" w:styleId="114">
    <w:name w:val="标书标题 3 Char Char Char"/>
    <w:link w:val="115"/>
    <w:qFormat/>
    <w:uiPriority w:val="0"/>
    <w:rPr>
      <w:rFonts w:ascii="Arial" w:hAnsi="Arial" w:eastAsia="仿宋_GB2312"/>
      <w:b/>
      <w:kern w:val="2"/>
      <w:sz w:val="24"/>
      <w:szCs w:val="32"/>
    </w:rPr>
  </w:style>
  <w:style w:type="paragraph" w:customStyle="1" w:styleId="115">
    <w:name w:val="标书标题 3 Char"/>
    <w:basedOn w:val="1"/>
    <w:link w:val="114"/>
    <w:qFormat/>
    <w:uiPriority w:val="0"/>
    <w:pPr>
      <w:tabs>
        <w:tab w:val="left" w:pos="720"/>
      </w:tabs>
      <w:spacing w:line="360" w:lineRule="auto"/>
      <w:outlineLvl w:val="2"/>
    </w:pPr>
    <w:rPr>
      <w:rFonts w:ascii="Arial" w:hAnsi="Arial" w:eastAsia="仿宋_GB2312"/>
      <w:b/>
      <w:sz w:val="24"/>
      <w:szCs w:val="32"/>
    </w:rPr>
  </w:style>
  <w:style w:type="character" w:customStyle="1" w:styleId="116">
    <w:name w:val="blue1"/>
    <w:qFormat/>
    <w:uiPriority w:val="0"/>
    <w:rPr>
      <w:rFonts w:ascii="仿宋_GB2312" w:hAnsi="Tahoma" w:eastAsia="仿宋_GB2312"/>
      <w:b/>
      <w:sz w:val="32"/>
      <w:szCs w:val="32"/>
    </w:rPr>
  </w:style>
  <w:style w:type="character" w:customStyle="1" w:styleId="117">
    <w:name w:val="heading 1 Char1"/>
    <w:qFormat/>
    <w:uiPriority w:val="0"/>
    <w:rPr>
      <w:rFonts w:ascii="仿宋_GB2312" w:eastAsia="宋体"/>
      <w:b/>
      <w:bCs/>
      <w:kern w:val="44"/>
      <w:sz w:val="44"/>
      <w:szCs w:val="44"/>
      <w:lang w:val="en-US" w:eastAsia="zh-CN" w:bidi="ar-SA"/>
    </w:rPr>
  </w:style>
  <w:style w:type="character" w:customStyle="1" w:styleId="118">
    <w:name w:val="Ò³Ã¼ Char Char1"/>
    <w:qFormat/>
    <w:uiPriority w:val="0"/>
    <w:rPr>
      <w:rFonts w:ascii="仿宋_GB2312" w:eastAsia="宋体"/>
      <w:b/>
      <w:kern w:val="2"/>
      <w:sz w:val="18"/>
      <w:szCs w:val="18"/>
      <w:lang w:val="en-US" w:eastAsia="zh-CN" w:bidi="ar-SA"/>
    </w:rPr>
  </w:style>
  <w:style w:type="character" w:customStyle="1" w:styleId="119">
    <w:name w:val="heading 3 Char"/>
    <w:qFormat/>
    <w:uiPriority w:val="0"/>
    <w:rPr>
      <w:rFonts w:ascii="Arial" w:hAnsi="Arial" w:eastAsia="黑体"/>
      <w:b/>
      <w:sz w:val="28"/>
      <w:szCs w:val="24"/>
    </w:rPr>
  </w:style>
  <w:style w:type="character" w:customStyle="1" w:styleId="120">
    <w:name w:val="批注文字 Char"/>
    <w:qFormat/>
    <w:uiPriority w:val="99"/>
    <w:rPr>
      <w:rFonts w:eastAsia="宋体"/>
      <w:kern w:val="2"/>
      <w:sz w:val="21"/>
      <w:szCs w:val="24"/>
      <w:lang w:val="en-US" w:eastAsia="zh-CN" w:bidi="ar-SA"/>
    </w:rPr>
  </w:style>
  <w:style w:type="character" w:customStyle="1" w:styleId="121">
    <w:name w:val="dandyren_title1"/>
    <w:qFormat/>
    <w:uiPriority w:val="0"/>
    <w:rPr>
      <w:rFonts w:ascii="仿宋_GB2312" w:eastAsia="仿宋_GB2312"/>
      <w:b/>
      <w:bCs/>
      <w:color w:val="FF6633"/>
      <w:sz w:val="18"/>
      <w:szCs w:val="18"/>
    </w:rPr>
  </w:style>
  <w:style w:type="character" w:customStyle="1" w:styleId="122">
    <w:name w:val="Char Char2"/>
    <w:qFormat/>
    <w:uiPriority w:val="0"/>
    <w:rPr>
      <w:rFonts w:ascii="Arial" w:hAnsi="Arial" w:eastAsia="黑体"/>
      <w:b/>
      <w:bCs/>
      <w:kern w:val="44"/>
      <w:sz w:val="30"/>
      <w:szCs w:val="44"/>
      <w:lang w:val="en-US" w:eastAsia="zh-CN" w:bidi="ar-SA"/>
    </w:rPr>
  </w:style>
  <w:style w:type="character" w:customStyle="1" w:styleId="123">
    <w:name w:val="heading 6 Char1"/>
    <w:qFormat/>
    <w:uiPriority w:val="0"/>
    <w:rPr>
      <w:rFonts w:ascii="Arial" w:hAnsi="Arial" w:eastAsia="黑体"/>
      <w:b/>
      <w:kern w:val="2"/>
      <w:sz w:val="24"/>
      <w:szCs w:val="24"/>
      <w:lang w:val="en-US" w:eastAsia="zh-CN" w:bidi="ar-SA"/>
    </w:rPr>
  </w:style>
  <w:style w:type="character" w:customStyle="1" w:styleId="124">
    <w:name w:val="不明显强调1"/>
    <w:qFormat/>
    <w:uiPriority w:val="0"/>
    <w:rPr>
      <w:i/>
      <w:iCs/>
      <w:color w:val="808080"/>
    </w:rPr>
  </w:style>
  <w:style w:type="character" w:customStyle="1" w:styleId="125">
    <w:name w:val="Char Char17"/>
    <w:qFormat/>
    <w:uiPriority w:val="0"/>
    <w:rPr>
      <w:rFonts w:ascii="Cambria" w:hAnsi="Cambria" w:eastAsia="仿宋_GB2312"/>
      <w:b/>
      <w:bCs/>
      <w:kern w:val="2"/>
      <w:sz w:val="28"/>
      <w:szCs w:val="28"/>
    </w:rPr>
  </w:style>
  <w:style w:type="character" w:customStyle="1" w:styleId="126">
    <w:name w:val="font21"/>
    <w:qFormat/>
    <w:uiPriority w:val="0"/>
    <w:rPr>
      <w:rFonts w:hint="default" w:ascii="Times New Roman" w:hAnsi="Times New Roman" w:cs="Times New Roman"/>
      <w:color w:val="000000"/>
      <w:sz w:val="20"/>
      <w:szCs w:val="20"/>
      <w:u w:val="none"/>
    </w:rPr>
  </w:style>
  <w:style w:type="character" w:customStyle="1" w:styleId="127">
    <w:name w:val="Char Char211"/>
    <w:qFormat/>
    <w:uiPriority w:val="0"/>
    <w:rPr>
      <w:rFonts w:ascii="Times New Roman" w:hAnsi="Times New Roman" w:eastAsia="宋体" w:cs="Times New Roman"/>
      <w:b/>
      <w:bCs/>
      <w:kern w:val="44"/>
      <w:sz w:val="44"/>
      <w:szCs w:val="44"/>
    </w:rPr>
  </w:style>
  <w:style w:type="character" w:customStyle="1" w:styleId="128">
    <w:name w:val="Char Char15"/>
    <w:qFormat/>
    <w:uiPriority w:val="0"/>
    <w:rPr>
      <w:rFonts w:ascii="Arial" w:hAnsi="Arial" w:eastAsia="黑体"/>
      <w:b/>
      <w:sz w:val="24"/>
      <w:szCs w:val="24"/>
    </w:rPr>
  </w:style>
  <w:style w:type="character" w:customStyle="1" w:styleId="129">
    <w:name w:val="upload"/>
    <w:qFormat/>
    <w:uiPriority w:val="0"/>
  </w:style>
  <w:style w:type="character" w:customStyle="1" w:styleId="130">
    <w:name w:val="Char1"/>
    <w:qFormat/>
    <w:uiPriority w:val="0"/>
    <w:rPr>
      <w:rFonts w:ascii="宋体" w:hAnsi="宋体" w:eastAsia="宋体"/>
      <w:b/>
      <w:kern w:val="2"/>
      <w:sz w:val="24"/>
      <w:szCs w:val="24"/>
      <w:lang w:val="en-US" w:eastAsia="zh-CN" w:bidi="ar-SA"/>
    </w:rPr>
  </w:style>
  <w:style w:type="character" w:customStyle="1" w:styleId="131">
    <w:name w:val="Char Char"/>
    <w:qFormat/>
    <w:uiPriority w:val="0"/>
    <w:rPr>
      <w:rFonts w:ascii="宋体" w:hAnsi="Courier New" w:eastAsia="宋体"/>
      <w:kern w:val="2"/>
      <w:sz w:val="21"/>
      <w:lang w:val="en-US" w:eastAsia="zh-CN" w:bidi="ar-SA"/>
    </w:rPr>
  </w:style>
  <w:style w:type="character" w:customStyle="1" w:styleId="132">
    <w:name w:val="legend"/>
    <w:qFormat/>
    <w:uiPriority w:val="0"/>
    <w:rPr>
      <w:rFonts w:ascii="Arial" w:hAnsi="Arial" w:cs="Arial"/>
      <w:b/>
      <w:color w:val="73B304"/>
      <w:sz w:val="16"/>
      <w:szCs w:val="16"/>
      <w:shd w:val="clear" w:color="auto" w:fill="FFFFFF"/>
    </w:rPr>
  </w:style>
  <w:style w:type="character" w:customStyle="1" w:styleId="133">
    <w:name w:val="password"/>
    <w:qFormat/>
    <w:uiPriority w:val="0"/>
  </w:style>
  <w:style w:type="character" w:customStyle="1" w:styleId="134">
    <w:name w:val="red1"/>
    <w:qFormat/>
    <w:uiPriority w:val="0"/>
    <w:rPr>
      <w:color w:val="FF0000"/>
      <w:szCs w:val="20"/>
    </w:rPr>
  </w:style>
  <w:style w:type="character" w:customStyle="1" w:styleId="135">
    <w:name w:val="PI Char1"/>
    <w:qFormat/>
    <w:uiPriority w:val="0"/>
    <w:rPr>
      <w:rFonts w:ascii="仿宋_GB2312" w:eastAsia="宋体"/>
      <w:b/>
      <w:kern w:val="2"/>
      <w:sz w:val="24"/>
      <w:szCs w:val="24"/>
      <w:lang w:val="en-US" w:eastAsia="zh-CN" w:bidi="ar-SA"/>
    </w:rPr>
  </w:style>
  <w:style w:type="character" w:customStyle="1" w:styleId="136">
    <w:name w:val="Char Char11"/>
    <w:qFormat/>
    <w:uiPriority w:val="0"/>
    <w:rPr>
      <w:rFonts w:ascii="Times New Roman" w:hAnsi="Times New Roman" w:eastAsia="宋体" w:cs="Times New Roman"/>
      <w:sz w:val="18"/>
      <w:szCs w:val="18"/>
    </w:rPr>
  </w:style>
  <w:style w:type="character" w:customStyle="1" w:styleId="137">
    <w:name w:val="表格 Char Char"/>
    <w:link w:val="138"/>
    <w:qFormat/>
    <w:uiPriority w:val="0"/>
    <w:rPr>
      <w:rFonts w:ascii="宋体" w:hAnsi="宋体"/>
      <w:b/>
      <w:sz w:val="32"/>
      <w:szCs w:val="32"/>
    </w:rPr>
  </w:style>
  <w:style w:type="paragraph" w:customStyle="1" w:styleId="138">
    <w:name w:val="表格"/>
    <w:basedOn w:val="1"/>
    <w:link w:val="137"/>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39">
    <w:name w:val="Style4"/>
    <w:qFormat/>
    <w:uiPriority w:val="0"/>
    <w:rPr>
      <w:rFonts w:ascii="Calibri" w:hAnsi="宋体" w:eastAsia="宋体" w:cs="Times New Roman"/>
      <w:szCs w:val="22"/>
      <w:lang w:eastAsia="zh-CN"/>
    </w:rPr>
  </w:style>
  <w:style w:type="character" w:customStyle="1" w:styleId="140">
    <w:name w:val="hover30"/>
    <w:qFormat/>
    <w:uiPriority w:val="0"/>
  </w:style>
  <w:style w:type="character" w:customStyle="1" w:styleId="141">
    <w:name w:val="标题 4 Char"/>
    <w:qFormat/>
    <w:uiPriority w:val="0"/>
    <w:rPr>
      <w:rFonts w:ascii="Arial" w:hAnsi="Arial" w:eastAsia="黑体"/>
      <w:b/>
      <w:bCs/>
      <w:kern w:val="2"/>
      <w:sz w:val="28"/>
      <w:szCs w:val="28"/>
      <w:lang w:val="en-US" w:eastAsia="zh-CN" w:bidi="ar-SA"/>
    </w:rPr>
  </w:style>
  <w:style w:type="character" w:customStyle="1" w:styleId="142">
    <w:name w:val="PI Char"/>
    <w:qFormat/>
    <w:uiPriority w:val="0"/>
    <w:rPr>
      <w:rFonts w:ascii="宋体" w:hAnsi="宋体" w:eastAsia="仿宋_GB2312"/>
      <w:b/>
      <w:sz w:val="24"/>
      <w:szCs w:val="32"/>
    </w:rPr>
  </w:style>
  <w:style w:type="character" w:customStyle="1" w:styleId="143">
    <w:name w:val="update"/>
    <w:qFormat/>
    <w:uiPriority w:val="0"/>
  </w:style>
  <w:style w:type="character" w:customStyle="1" w:styleId="144">
    <w:name w:val="heading 5 Char1"/>
    <w:qFormat/>
    <w:uiPriority w:val="0"/>
    <w:rPr>
      <w:rFonts w:ascii="仿宋_GB2312" w:eastAsia="宋体"/>
      <w:b/>
      <w:bCs/>
      <w:kern w:val="2"/>
      <w:sz w:val="28"/>
      <w:szCs w:val="28"/>
      <w:lang w:val="en-US" w:eastAsia="zh-CN" w:bidi="ar-SA"/>
    </w:rPr>
  </w:style>
  <w:style w:type="character" w:customStyle="1" w:styleId="145">
    <w:name w:val="heading 5 Char"/>
    <w:qFormat/>
    <w:uiPriority w:val="0"/>
    <w:rPr>
      <w:rFonts w:ascii="Arial" w:hAnsi="Arial" w:eastAsia="黑体"/>
      <w:b/>
      <w:sz w:val="21"/>
      <w:szCs w:val="21"/>
    </w:rPr>
  </w:style>
  <w:style w:type="character" w:customStyle="1" w:styleId="146">
    <w:name w:val="Heading 2 Hidden Char1 Char"/>
    <w:qFormat/>
    <w:uiPriority w:val="0"/>
    <w:rPr>
      <w:rFonts w:ascii="宋体" w:hAnsi="Times New Roman" w:eastAsia="宋体" w:cs="Times New Roman"/>
      <w:kern w:val="0"/>
      <w:sz w:val="24"/>
      <w:szCs w:val="24"/>
    </w:rPr>
  </w:style>
  <w:style w:type="character" w:customStyle="1" w:styleId="147">
    <w:name w:val="Char Char20"/>
    <w:qFormat/>
    <w:uiPriority w:val="0"/>
    <w:rPr>
      <w:rFonts w:ascii="仿宋_GB2312" w:eastAsia="仿宋_GB2312"/>
      <w:b/>
      <w:bCs/>
      <w:kern w:val="44"/>
      <w:sz w:val="44"/>
      <w:szCs w:val="44"/>
    </w:rPr>
  </w:style>
  <w:style w:type="character" w:customStyle="1" w:styleId="148">
    <w:name w:val="正文文本 Char"/>
    <w:qFormat/>
    <w:uiPriority w:val="0"/>
    <w:rPr>
      <w:rFonts w:ascii="仿宋_GB2312" w:eastAsia="宋体"/>
      <w:b/>
      <w:kern w:val="2"/>
      <w:sz w:val="21"/>
      <w:szCs w:val="24"/>
      <w:lang w:val="en-US" w:eastAsia="zh-CN" w:bidi="ar-SA"/>
    </w:rPr>
  </w:style>
  <w:style w:type="character" w:customStyle="1" w:styleId="149">
    <w:name w:val="页脚 Char"/>
    <w:qFormat/>
    <w:uiPriority w:val="99"/>
    <w:rPr>
      <w:rFonts w:eastAsia="仿宋_GB2312"/>
      <w:kern w:val="2"/>
      <w:sz w:val="18"/>
      <w:szCs w:val="18"/>
      <w:lang w:val="en-US" w:eastAsia="zh-CN" w:bidi="ar-SA"/>
    </w:rPr>
  </w:style>
  <w:style w:type="character" w:customStyle="1" w:styleId="150">
    <w:name w:val="明显强调1"/>
    <w:qFormat/>
    <w:uiPriority w:val="0"/>
    <w:rPr>
      <w:b/>
      <w:bCs/>
      <w:i/>
      <w:iCs/>
      <w:color w:val="4F81BD"/>
    </w:rPr>
  </w:style>
  <w:style w:type="character" w:customStyle="1" w:styleId="151">
    <w:name w:val="heading 4 Char"/>
    <w:qFormat/>
    <w:uiPriority w:val="0"/>
    <w:rPr>
      <w:rFonts w:ascii="Arial" w:hAnsi="Arial" w:eastAsia="黑体" w:cs="Times New Roman"/>
      <w:b/>
      <w:sz w:val="21"/>
      <w:szCs w:val="21"/>
    </w:rPr>
  </w:style>
  <w:style w:type="character" w:customStyle="1" w:styleId="152">
    <w:name w:val="op-map-singlepoint-info-right1"/>
    <w:qFormat/>
    <w:uiPriority w:val="0"/>
  </w:style>
  <w:style w:type="character" w:customStyle="1" w:styleId="153">
    <w:name w:val="Style1"/>
    <w:qFormat/>
    <w:uiPriority w:val="0"/>
    <w:rPr>
      <w:rFonts w:ascii="Calibri" w:hAnsi="宋体" w:eastAsia="宋体" w:cs="Times New Roman"/>
      <w:sz w:val="22"/>
      <w:szCs w:val="22"/>
      <w:lang w:eastAsia="zh-CN"/>
    </w:rPr>
  </w:style>
  <w:style w:type="character" w:customStyle="1" w:styleId="154">
    <w:name w:val="Char Char18"/>
    <w:qFormat/>
    <w:uiPriority w:val="0"/>
    <w:rPr>
      <w:rFonts w:ascii="仿宋_GB2312" w:eastAsia="仿宋_GB2312"/>
      <w:b/>
      <w:bCs/>
      <w:kern w:val="2"/>
      <w:sz w:val="32"/>
      <w:szCs w:val="32"/>
    </w:rPr>
  </w:style>
  <w:style w:type="character" w:customStyle="1" w:styleId="155">
    <w:name w:val="明显参考1"/>
    <w:qFormat/>
    <w:uiPriority w:val="0"/>
    <w:rPr>
      <w:b/>
      <w:bCs/>
      <w:smallCaps/>
      <w:color w:val="C0504D"/>
      <w:spacing w:val="5"/>
      <w:u w:val="single"/>
    </w:rPr>
  </w:style>
  <w:style w:type="character" w:customStyle="1" w:styleId="156">
    <w:name w:val="heading 1 Char"/>
    <w:qFormat/>
    <w:uiPriority w:val="0"/>
    <w:rPr>
      <w:rFonts w:ascii="Arial" w:hAnsi="Arial" w:eastAsia="黑体"/>
      <w:b/>
      <w:sz w:val="36"/>
      <w:szCs w:val="36"/>
    </w:rPr>
  </w:style>
  <w:style w:type="character" w:customStyle="1" w:styleId="157">
    <w:name w:val="Char Char201"/>
    <w:qFormat/>
    <w:uiPriority w:val="0"/>
    <w:rPr>
      <w:rFonts w:ascii="Cambria" w:hAnsi="Cambria" w:eastAsia="宋体" w:cs="Times New Roman"/>
      <w:b/>
      <w:bCs/>
      <w:sz w:val="32"/>
      <w:szCs w:val="32"/>
    </w:rPr>
  </w:style>
  <w:style w:type="character" w:customStyle="1" w:styleId="158">
    <w:name w:val="heading 8 Char1"/>
    <w:qFormat/>
    <w:uiPriority w:val="0"/>
    <w:rPr>
      <w:rFonts w:ascii="Arial" w:hAnsi="Arial" w:eastAsia="黑体"/>
      <w:b/>
      <w:sz w:val="24"/>
      <w:szCs w:val="32"/>
      <w:lang w:val="en-US" w:eastAsia="zh-CN" w:bidi="ar-SA"/>
    </w:rPr>
  </w:style>
  <w:style w:type="character" w:customStyle="1" w:styleId="159">
    <w:name w:val="heading 9 Char1"/>
    <w:qFormat/>
    <w:uiPriority w:val="0"/>
    <w:rPr>
      <w:rFonts w:ascii="Arial" w:hAnsi="Arial" w:eastAsia="黑体"/>
      <w:b/>
      <w:sz w:val="21"/>
      <w:szCs w:val="32"/>
      <w:lang w:val="en-US" w:eastAsia="zh-CN" w:bidi="ar-SA"/>
    </w:rPr>
  </w:style>
  <w:style w:type="character" w:customStyle="1" w:styleId="160">
    <w:name w:val="font161"/>
    <w:qFormat/>
    <w:uiPriority w:val="0"/>
    <w:rPr>
      <w:b/>
      <w:bCs/>
      <w:sz w:val="32"/>
      <w:szCs w:val="32"/>
    </w:rPr>
  </w:style>
  <w:style w:type="character" w:customStyle="1" w:styleId="161">
    <w:name w:val="Char Char22"/>
    <w:qFormat/>
    <w:uiPriority w:val="0"/>
    <w:rPr>
      <w:rFonts w:ascii="Arial" w:hAnsi="Arial" w:eastAsia="黑体"/>
      <w:b/>
      <w:bCs/>
      <w:kern w:val="44"/>
      <w:sz w:val="30"/>
      <w:szCs w:val="44"/>
      <w:lang w:val="en-US" w:eastAsia="zh-CN" w:bidi="ar-SA"/>
    </w:rPr>
  </w:style>
  <w:style w:type="character" w:customStyle="1" w:styleId="162">
    <w:name w:val="font31"/>
    <w:qFormat/>
    <w:uiPriority w:val="0"/>
    <w:rPr>
      <w:rFonts w:hint="eastAsia" w:ascii="宋体" w:hAnsi="宋体" w:eastAsia="宋体" w:cs="宋体"/>
      <w:color w:val="000000"/>
      <w:sz w:val="20"/>
      <w:szCs w:val="20"/>
      <w:u w:val="none"/>
    </w:rPr>
  </w:style>
  <w:style w:type="character" w:customStyle="1" w:styleId="163">
    <w:name w:val="authcode"/>
    <w:qFormat/>
    <w:uiPriority w:val="0"/>
  </w:style>
  <w:style w:type="character" w:customStyle="1" w:styleId="164">
    <w:name w:val="heading 3 Char2"/>
    <w:qFormat/>
    <w:uiPriority w:val="0"/>
    <w:rPr>
      <w:rFonts w:ascii="仿宋_GB2312" w:eastAsia="仿宋_GB2312"/>
      <w:b/>
      <w:bCs/>
      <w:kern w:val="2"/>
      <w:sz w:val="32"/>
      <w:szCs w:val="32"/>
    </w:rPr>
  </w:style>
  <w:style w:type="character" w:customStyle="1" w:styleId="165">
    <w:name w:val="样式 宋体"/>
    <w:qFormat/>
    <w:uiPriority w:val="0"/>
    <w:rPr>
      <w:rFonts w:ascii="宋体" w:hAnsi="宋体" w:eastAsia="宋体"/>
      <w:b/>
      <w:sz w:val="24"/>
      <w:szCs w:val="24"/>
    </w:rPr>
  </w:style>
  <w:style w:type="character" w:customStyle="1" w:styleId="166">
    <w:name w:val="标题 3 Char"/>
    <w:qFormat/>
    <w:uiPriority w:val="0"/>
    <w:rPr>
      <w:rFonts w:ascii="黑体" w:hAnsi="宋体" w:eastAsia="黑体"/>
      <w:bCs/>
      <w:kern w:val="2"/>
      <w:sz w:val="28"/>
      <w:szCs w:val="28"/>
      <w:lang w:val="en-US" w:eastAsia="zh-CN" w:bidi="ar-SA"/>
    </w:rPr>
  </w:style>
  <w:style w:type="character" w:customStyle="1" w:styleId="167">
    <w:name w:val="heading 2 Char2"/>
    <w:qFormat/>
    <w:uiPriority w:val="0"/>
    <w:rPr>
      <w:rFonts w:ascii="Cambria" w:hAnsi="Cambria" w:eastAsia="仿宋_GB2312"/>
      <w:b/>
      <w:bCs/>
      <w:kern w:val="2"/>
      <w:sz w:val="32"/>
      <w:szCs w:val="32"/>
    </w:rPr>
  </w:style>
  <w:style w:type="character" w:customStyle="1" w:styleId="168">
    <w:name w:val="批注主题 字符"/>
    <w:link w:val="52"/>
    <w:qFormat/>
    <w:uiPriority w:val="0"/>
    <w:rPr>
      <w:b/>
      <w:bCs/>
      <w:kern w:val="2"/>
      <w:sz w:val="21"/>
      <w:szCs w:val="24"/>
    </w:rPr>
  </w:style>
  <w:style w:type="character" w:customStyle="1" w:styleId="169">
    <w:name w:val="标题 字符"/>
    <w:link w:val="51"/>
    <w:qFormat/>
    <w:uiPriority w:val="0"/>
    <w:rPr>
      <w:rFonts w:ascii="Cambria" w:hAnsi="Cambria"/>
      <w:b/>
      <w:bCs/>
      <w:sz w:val="32"/>
      <w:szCs w:val="32"/>
    </w:rPr>
  </w:style>
  <w:style w:type="character" w:customStyle="1" w:styleId="170">
    <w:name w:val="正文文本缩进 3 字符"/>
    <w:link w:val="44"/>
    <w:qFormat/>
    <w:uiPriority w:val="0"/>
    <w:rPr>
      <w:kern w:val="2"/>
      <w:sz w:val="16"/>
      <w:szCs w:val="16"/>
    </w:rPr>
  </w:style>
  <w:style w:type="character" w:customStyle="1" w:styleId="171">
    <w:name w:val="副标题 字符"/>
    <w:link w:val="40"/>
    <w:qFormat/>
    <w:uiPriority w:val="0"/>
    <w:rPr>
      <w:rFonts w:ascii="Cambria" w:hAnsi="Cambria"/>
      <w:b/>
      <w:bCs/>
      <w:kern w:val="28"/>
      <w:sz w:val="32"/>
      <w:szCs w:val="32"/>
    </w:rPr>
  </w:style>
  <w:style w:type="character" w:customStyle="1" w:styleId="172">
    <w:name w:val="签名 字符"/>
    <w:link w:val="37"/>
    <w:qFormat/>
    <w:uiPriority w:val="0"/>
    <w:rPr>
      <w:rFonts w:ascii="Tahoma" w:hAnsi="Tahoma" w:eastAsia="仿宋_GB2312"/>
      <w:sz w:val="24"/>
      <w:szCs w:val="20"/>
    </w:rPr>
  </w:style>
  <w:style w:type="character" w:customStyle="1" w:styleId="173">
    <w:name w:val="页眉 字符"/>
    <w:link w:val="36"/>
    <w:qFormat/>
    <w:uiPriority w:val="0"/>
    <w:rPr>
      <w:kern w:val="2"/>
      <w:sz w:val="18"/>
      <w:szCs w:val="18"/>
    </w:rPr>
  </w:style>
  <w:style w:type="character" w:customStyle="1" w:styleId="174">
    <w:name w:val="页脚 字符"/>
    <w:link w:val="35"/>
    <w:qFormat/>
    <w:uiPriority w:val="0"/>
    <w:rPr>
      <w:kern w:val="2"/>
      <w:sz w:val="18"/>
      <w:szCs w:val="18"/>
    </w:rPr>
  </w:style>
  <w:style w:type="character" w:customStyle="1" w:styleId="175">
    <w:name w:val="批注框文本 字符"/>
    <w:link w:val="34"/>
    <w:qFormat/>
    <w:uiPriority w:val="0"/>
    <w:rPr>
      <w:kern w:val="2"/>
      <w:sz w:val="18"/>
      <w:szCs w:val="18"/>
    </w:rPr>
  </w:style>
  <w:style w:type="character" w:customStyle="1" w:styleId="176">
    <w:name w:val="正文文本缩进 2 字符"/>
    <w:link w:val="33"/>
    <w:qFormat/>
    <w:uiPriority w:val="0"/>
    <w:rPr>
      <w:kern w:val="2"/>
      <w:sz w:val="21"/>
      <w:szCs w:val="24"/>
    </w:rPr>
  </w:style>
  <w:style w:type="character" w:customStyle="1" w:styleId="177">
    <w:name w:val="纯文本 字符"/>
    <w:link w:val="29"/>
    <w:qFormat/>
    <w:uiPriority w:val="0"/>
    <w:rPr>
      <w:rFonts w:ascii="宋体" w:hAnsi="Courier New" w:eastAsia="宋体"/>
      <w:kern w:val="2"/>
      <w:sz w:val="21"/>
      <w:lang w:val="en-US" w:eastAsia="zh-CN" w:bidi="ar-SA"/>
    </w:rPr>
  </w:style>
  <w:style w:type="character" w:customStyle="1" w:styleId="178">
    <w:name w:val="正文文本缩进 字符"/>
    <w:link w:val="23"/>
    <w:qFormat/>
    <w:uiPriority w:val="0"/>
    <w:rPr>
      <w:rFonts w:ascii="宋体" w:hAnsi="宋体"/>
      <w:kern w:val="2"/>
      <w:sz w:val="24"/>
    </w:rPr>
  </w:style>
  <w:style w:type="character" w:customStyle="1" w:styleId="179">
    <w:name w:val="正文文本首行缩进 字符"/>
    <w:link w:val="22"/>
    <w:qFormat/>
    <w:uiPriority w:val="0"/>
    <w:rPr>
      <w:rFonts w:ascii="仿宋_GB2312"/>
      <w:b/>
      <w:sz w:val="32"/>
      <w:szCs w:val="32"/>
    </w:rPr>
  </w:style>
  <w:style w:type="character" w:customStyle="1" w:styleId="180">
    <w:name w:val="正文文本 3 字符"/>
    <w:link w:val="20"/>
    <w:qFormat/>
    <w:uiPriority w:val="0"/>
  </w:style>
  <w:style w:type="character" w:customStyle="1" w:styleId="181">
    <w:name w:val="批注文字 字符"/>
    <w:link w:val="18"/>
    <w:qFormat/>
    <w:uiPriority w:val="0"/>
    <w:rPr>
      <w:kern w:val="2"/>
      <w:sz w:val="21"/>
      <w:szCs w:val="24"/>
    </w:rPr>
  </w:style>
  <w:style w:type="character" w:customStyle="1" w:styleId="182">
    <w:name w:val="文档结构图 字符"/>
    <w:link w:val="17"/>
    <w:qFormat/>
    <w:uiPriority w:val="0"/>
    <w:rPr>
      <w:kern w:val="2"/>
      <w:sz w:val="21"/>
      <w:szCs w:val="24"/>
      <w:shd w:val="clear" w:color="auto" w:fill="000080"/>
    </w:rPr>
  </w:style>
  <w:style w:type="character" w:customStyle="1" w:styleId="183">
    <w:name w:val="hover15"/>
    <w:qFormat/>
    <w:uiPriority w:val="0"/>
    <w:rPr>
      <w:szCs w:val="20"/>
      <w:u w:val="single"/>
    </w:rPr>
  </w:style>
  <w:style w:type="character" w:customStyle="1" w:styleId="184">
    <w:name w:val="正文缩进 字符"/>
    <w:link w:val="14"/>
    <w:qFormat/>
    <w:uiPriority w:val="0"/>
    <w:rPr>
      <w:rFonts w:eastAsia="宋体"/>
      <w:sz w:val="21"/>
      <w:lang w:val="en-US" w:eastAsia="zh-CN" w:bidi="ar-SA"/>
    </w:rPr>
  </w:style>
  <w:style w:type="character" w:customStyle="1" w:styleId="185">
    <w:name w:val="批注主题 Char"/>
    <w:qFormat/>
    <w:uiPriority w:val="0"/>
    <w:rPr>
      <w:rFonts w:eastAsia="宋体"/>
      <w:b/>
      <w:bCs/>
      <w:kern w:val="2"/>
      <w:sz w:val="21"/>
      <w:szCs w:val="24"/>
      <w:lang w:val="en-US" w:eastAsia="zh-CN" w:bidi="ar-SA"/>
    </w:rPr>
  </w:style>
  <w:style w:type="character" w:customStyle="1" w:styleId="186">
    <w:name w:val="标题 7 字符"/>
    <w:link w:val="9"/>
    <w:qFormat/>
    <w:uiPriority w:val="0"/>
    <w:rPr>
      <w:rFonts w:ascii="Arial" w:hAnsi="Arial" w:eastAsia="黑体"/>
      <w:b/>
      <w:sz w:val="21"/>
      <w:szCs w:val="21"/>
    </w:rPr>
  </w:style>
  <w:style w:type="character" w:customStyle="1" w:styleId="187">
    <w:name w:val="标题 6 字符"/>
    <w:link w:val="8"/>
    <w:qFormat/>
    <w:uiPriority w:val="0"/>
    <w:rPr>
      <w:rFonts w:ascii="Arial" w:hAnsi="Arial" w:eastAsia="黑体"/>
      <w:b/>
      <w:bCs/>
      <w:kern w:val="2"/>
      <w:sz w:val="24"/>
      <w:szCs w:val="24"/>
    </w:rPr>
  </w:style>
  <w:style w:type="character" w:customStyle="1" w:styleId="188">
    <w:name w:val="标题 4 字符"/>
    <w:link w:val="6"/>
    <w:qFormat/>
    <w:uiPriority w:val="0"/>
    <w:rPr>
      <w:rFonts w:ascii="Cambria" w:hAnsi="Cambria"/>
      <w:b/>
      <w:bCs/>
      <w:kern w:val="2"/>
      <w:sz w:val="28"/>
      <w:szCs w:val="28"/>
    </w:rPr>
  </w:style>
  <w:style w:type="character" w:customStyle="1" w:styleId="189">
    <w:name w:val="smalltxt1"/>
    <w:qFormat/>
    <w:uiPriority w:val="0"/>
    <w:rPr>
      <w:rFonts w:hint="default" w:ascii="ˎ̥" w:hAnsi="ˎ̥" w:eastAsia="仿宋_GB2312"/>
      <w:b/>
      <w:sz w:val="24"/>
      <w:szCs w:val="24"/>
    </w:rPr>
  </w:style>
  <w:style w:type="character" w:customStyle="1" w:styleId="190">
    <w:name w:val="标题 3 字符"/>
    <w:link w:val="5"/>
    <w:qFormat/>
    <w:uiPriority w:val="0"/>
    <w:rPr>
      <w:b/>
      <w:bCs/>
      <w:kern w:val="2"/>
      <w:sz w:val="32"/>
      <w:szCs w:val="32"/>
    </w:rPr>
  </w:style>
  <w:style w:type="character" w:customStyle="1" w:styleId="191">
    <w:name w:val="标题 2 字符"/>
    <w:link w:val="4"/>
    <w:qFormat/>
    <w:uiPriority w:val="0"/>
    <w:rPr>
      <w:rFonts w:ascii="Arial" w:hAnsi="Arial" w:eastAsia="黑体"/>
      <w:b/>
      <w:bCs/>
      <w:kern w:val="2"/>
      <w:sz w:val="32"/>
      <w:szCs w:val="32"/>
    </w:rPr>
  </w:style>
  <w:style w:type="character" w:customStyle="1" w:styleId="192">
    <w:name w:val="文档结构图 Char"/>
    <w:qFormat/>
    <w:uiPriority w:val="0"/>
    <w:rPr>
      <w:rFonts w:eastAsia="宋体"/>
      <w:kern w:val="2"/>
      <w:sz w:val="21"/>
      <w:szCs w:val="24"/>
      <w:lang w:val="en-US" w:eastAsia="zh-CN" w:bidi="ar-SA"/>
    </w:rPr>
  </w:style>
  <w:style w:type="character" w:customStyle="1" w:styleId="193">
    <w:name w:val="标题 1 字符"/>
    <w:link w:val="3"/>
    <w:qFormat/>
    <w:uiPriority w:val="0"/>
    <w:rPr>
      <w:rFonts w:ascii="楷体_GB2312" w:hAnsi="Tahoma" w:eastAsia="楷体_GB2312"/>
      <w:b/>
      <w:bCs/>
      <w:kern w:val="2"/>
      <w:sz w:val="21"/>
      <w:szCs w:val="24"/>
    </w:rPr>
  </w:style>
  <w:style w:type="character" w:customStyle="1" w:styleId="194">
    <w:name w:val="宏文本 字符"/>
    <w:link w:val="2"/>
    <w:qFormat/>
    <w:uiPriority w:val="99"/>
    <w:rPr>
      <w:rFonts w:ascii="Courier New" w:hAnsi="Courier New"/>
      <w:kern w:val="2"/>
      <w:sz w:val="24"/>
      <w:szCs w:val="24"/>
      <w:lang w:val="en-US" w:eastAsia="zh-CN" w:bidi="ar-SA"/>
    </w:rPr>
  </w:style>
  <w:style w:type="character" w:customStyle="1" w:styleId="195">
    <w:name w:val="标题 5 字符"/>
    <w:link w:val="7"/>
    <w:qFormat/>
    <w:uiPriority w:val="0"/>
    <w:rPr>
      <w:rFonts w:ascii="仿宋_GB2312" w:hAnsi="Tahoma"/>
      <w:b/>
      <w:bCs/>
      <w:kern w:val="2"/>
      <w:sz w:val="28"/>
      <w:szCs w:val="28"/>
    </w:rPr>
  </w:style>
  <w:style w:type="character" w:customStyle="1" w:styleId="196">
    <w:name w:val="pt141"/>
    <w:qFormat/>
    <w:uiPriority w:val="0"/>
    <w:rPr>
      <w:rFonts w:ascii="仿宋_GB2312" w:eastAsia="仿宋_GB2312"/>
      <w:b/>
      <w:color w:val="330066"/>
      <w:spacing w:val="450"/>
      <w:sz w:val="22"/>
      <w:szCs w:val="22"/>
    </w:rPr>
  </w:style>
  <w:style w:type="character" w:customStyle="1" w:styleId="197">
    <w:name w:val="pages"/>
    <w:qFormat/>
    <w:uiPriority w:val="0"/>
    <w:rPr>
      <w:color w:val="999999"/>
      <w:szCs w:val="20"/>
    </w:rPr>
  </w:style>
  <w:style w:type="character" w:customStyle="1" w:styleId="198">
    <w:name w:val="Ò³Ã¼ Char Char2"/>
    <w:qFormat/>
    <w:uiPriority w:val="0"/>
    <w:rPr>
      <w:rFonts w:ascii="仿宋_GB2312" w:eastAsia="仿宋_GB2312"/>
      <w:b/>
      <w:kern w:val="2"/>
      <w:sz w:val="18"/>
      <w:szCs w:val="18"/>
    </w:rPr>
  </w:style>
  <w:style w:type="character" w:customStyle="1" w:styleId="199">
    <w:name w:val="A6"/>
    <w:qFormat/>
    <w:uiPriority w:val="0"/>
    <w:rPr>
      <w:rFonts w:cs="Helvetica Neue"/>
      <w:color w:val="3E667A"/>
      <w:sz w:val="14"/>
      <w:szCs w:val="14"/>
    </w:rPr>
  </w:style>
  <w:style w:type="character" w:customStyle="1" w:styleId="200">
    <w:name w:val="标题 9 字符"/>
    <w:link w:val="11"/>
    <w:qFormat/>
    <w:uiPriority w:val="0"/>
    <w:rPr>
      <w:rFonts w:ascii="Arial" w:hAnsi="Arial" w:eastAsia="黑体"/>
      <w:b/>
      <w:sz w:val="21"/>
      <w:szCs w:val="32"/>
    </w:rPr>
  </w:style>
  <w:style w:type="character" w:customStyle="1" w:styleId="201">
    <w:name w:val="日期 字符1"/>
    <w:link w:val="32"/>
    <w:qFormat/>
    <w:uiPriority w:val="0"/>
    <w:rPr>
      <w:spacing w:val="12"/>
      <w:kern w:val="2"/>
      <w:sz w:val="24"/>
    </w:rPr>
  </w:style>
  <w:style w:type="character" w:customStyle="1" w:styleId="202">
    <w:name w:val="ändrad Char"/>
    <w:qFormat/>
    <w:uiPriority w:val="0"/>
    <w:rPr>
      <w:rFonts w:ascii="仿宋_GB2312" w:eastAsia="宋体"/>
      <w:b/>
      <w:kern w:val="2"/>
      <w:sz w:val="21"/>
      <w:szCs w:val="24"/>
      <w:lang w:val="en-US" w:eastAsia="zh-CN" w:bidi="ar-SA"/>
    </w:rPr>
  </w:style>
  <w:style w:type="character" w:customStyle="1" w:styleId="203">
    <w:name w:val="正文文本 字符"/>
    <w:link w:val="21"/>
    <w:qFormat/>
    <w:uiPriority w:val="0"/>
    <w:rPr>
      <w:rFonts w:ascii="Tahoma" w:hAnsi="Tahoma"/>
      <w:kern w:val="2"/>
      <w:sz w:val="21"/>
      <w:szCs w:val="24"/>
    </w:rPr>
  </w:style>
  <w:style w:type="character" w:customStyle="1" w:styleId="204">
    <w:name w:val="正文首行缩进 Char"/>
    <w:qFormat/>
    <w:uiPriority w:val="0"/>
    <w:rPr>
      <w:rFonts w:ascii="仿宋_GB2312" w:eastAsia="宋体"/>
      <w:kern w:val="2"/>
      <w:sz w:val="21"/>
      <w:szCs w:val="24"/>
      <w:lang w:val="en-US" w:eastAsia="zh-CN" w:bidi="ar-SA"/>
    </w:rPr>
  </w:style>
  <w:style w:type="character" w:customStyle="1" w:styleId="205">
    <w:name w:val="标题 8 字符"/>
    <w:link w:val="10"/>
    <w:qFormat/>
    <w:uiPriority w:val="0"/>
    <w:rPr>
      <w:rFonts w:ascii="Arial" w:hAnsi="Arial" w:eastAsia="黑体"/>
      <w:b/>
      <w:sz w:val="24"/>
      <w:szCs w:val="32"/>
    </w:rPr>
  </w:style>
  <w:style w:type="character" w:customStyle="1" w:styleId="206">
    <w:name w:val="无间隔 字符"/>
    <w:link w:val="207"/>
    <w:qFormat/>
    <w:uiPriority w:val="0"/>
    <w:rPr>
      <w:sz w:val="22"/>
      <w:szCs w:val="22"/>
      <w:lang w:val="en-US" w:eastAsia="zh-CN" w:bidi="ar-SA"/>
    </w:rPr>
  </w:style>
  <w:style w:type="paragraph" w:customStyle="1" w:styleId="207">
    <w:name w:val="No Spacing"/>
    <w:link w:val="206"/>
    <w:qFormat/>
    <w:uiPriority w:val="0"/>
    <w:rPr>
      <w:rFonts w:ascii="Times New Roman" w:hAnsi="Times New Roman" w:eastAsia="宋体" w:cs="Times New Roman"/>
      <w:sz w:val="22"/>
      <w:szCs w:val="22"/>
      <w:lang w:val="en-US" w:eastAsia="zh-CN" w:bidi="ar-SA"/>
    </w:rPr>
  </w:style>
  <w:style w:type="character" w:customStyle="1" w:styleId="208">
    <w:name w:val="release-day"/>
    <w:qFormat/>
    <w:uiPriority w:val="0"/>
    <w:rPr>
      <w:szCs w:val="20"/>
      <w:bdr w:val="single" w:color="BDEBB0" w:sz="4" w:space="0"/>
      <w:shd w:val="clear" w:color="auto" w:fill="F5FFF1"/>
    </w:rPr>
  </w:style>
  <w:style w:type="character" w:customStyle="1" w:styleId="209">
    <w:name w:val="zbggmain style9"/>
    <w:qFormat/>
    <w:uiPriority w:val="0"/>
  </w:style>
  <w:style w:type="character" w:customStyle="1" w:styleId="210">
    <w:name w:val="正文缩进 Char1 Char"/>
    <w:qFormat/>
    <w:uiPriority w:val="0"/>
    <w:rPr>
      <w:rFonts w:ascii="仿宋_GB2312" w:eastAsia="宋体"/>
      <w:b/>
      <w:sz w:val="21"/>
      <w:szCs w:val="32"/>
      <w:lang w:val="en-US" w:eastAsia="zh-CN" w:bidi="ar-SA"/>
    </w:rPr>
  </w:style>
  <w:style w:type="character" w:customStyle="1" w:styleId="211">
    <w:name w:val="Table Text Char Char"/>
    <w:link w:val="212"/>
    <w:qFormat/>
    <w:uiPriority w:val="0"/>
    <w:rPr>
      <w:sz w:val="24"/>
    </w:rPr>
  </w:style>
  <w:style w:type="paragraph" w:customStyle="1" w:styleId="212">
    <w:name w:val="Table Text"/>
    <w:basedOn w:val="1"/>
    <w:link w:val="211"/>
    <w:qFormat/>
    <w:uiPriority w:val="0"/>
    <w:pPr>
      <w:widowControl/>
      <w:autoSpaceDE w:val="0"/>
      <w:autoSpaceDN w:val="0"/>
      <w:adjustRightInd w:val="0"/>
      <w:spacing w:before="60" w:after="60"/>
      <w:jc w:val="left"/>
    </w:pPr>
    <w:rPr>
      <w:kern w:val="0"/>
      <w:sz w:val="24"/>
      <w:szCs w:val="20"/>
    </w:rPr>
  </w:style>
  <w:style w:type="character" w:customStyle="1" w:styleId="213">
    <w:name w:val="样式 正文文本 Char Char Char"/>
    <w:qFormat/>
    <w:uiPriority w:val="0"/>
    <w:rPr>
      <w:rFonts w:ascii="Arial" w:hAnsi="Arial" w:eastAsia="宋体"/>
      <w:color w:val="000000"/>
      <w:kern w:val="2"/>
      <w:sz w:val="21"/>
      <w:lang w:val="en-US" w:eastAsia="zh-CN" w:bidi="ar-SA"/>
    </w:rPr>
  </w:style>
  <w:style w:type="character" w:customStyle="1" w:styleId="214">
    <w:name w:val="Footer-Even Char1"/>
    <w:qFormat/>
    <w:uiPriority w:val="0"/>
    <w:rPr>
      <w:rFonts w:ascii="仿宋_GB2312" w:eastAsia="宋体"/>
      <w:b/>
      <w:kern w:val="2"/>
      <w:sz w:val="18"/>
      <w:szCs w:val="18"/>
      <w:lang w:val="en-US" w:eastAsia="zh-CN" w:bidi="ar-SA"/>
    </w:rPr>
  </w:style>
  <w:style w:type="character" w:customStyle="1" w:styleId="215">
    <w:name w:val="font11"/>
    <w:qFormat/>
    <w:uiPriority w:val="0"/>
    <w:rPr>
      <w:rFonts w:hint="eastAsia" w:ascii="宋体" w:hAnsi="宋体" w:eastAsia="宋体" w:cs="宋体"/>
      <w:color w:val="000000"/>
      <w:sz w:val="20"/>
      <w:szCs w:val="20"/>
      <w:u w:val="none"/>
      <w:vertAlign w:val="superscript"/>
    </w:rPr>
  </w:style>
  <w:style w:type="character" w:customStyle="1" w:styleId="216">
    <w:name w:val="A3"/>
    <w:qFormat/>
    <w:uiPriority w:val="0"/>
    <w:rPr>
      <w:rFonts w:ascii="ZapfDingbatsNr2EFOP-Regular" w:eastAsia="ZapfDingbatsNr2EFOP-Regular" w:cs="ZapfDingbatsNr2EFOP-Regular"/>
      <w:color w:val="211D1E"/>
      <w:sz w:val="14"/>
      <w:szCs w:val="14"/>
    </w:rPr>
  </w:style>
  <w:style w:type="character" w:customStyle="1" w:styleId="217">
    <w:name w:val="普通文字1 Char"/>
    <w:qFormat/>
    <w:uiPriority w:val="0"/>
    <w:rPr>
      <w:rFonts w:ascii="宋体" w:hAnsi="Courier New" w:eastAsia="宋体" w:cs="Courier New"/>
      <w:kern w:val="2"/>
      <w:sz w:val="21"/>
      <w:szCs w:val="21"/>
      <w:lang w:val="en-US" w:eastAsia="zh-CN" w:bidi="ar-SA"/>
    </w:rPr>
  </w:style>
  <w:style w:type="character" w:customStyle="1" w:styleId="218">
    <w:name w:val="Char Char6"/>
    <w:qFormat/>
    <w:uiPriority w:val="0"/>
    <w:rPr>
      <w:rFonts w:ascii="Times New Roman" w:hAnsi="Times New Roman" w:eastAsia="宋体" w:cs="Times New Roman"/>
      <w:szCs w:val="24"/>
    </w:rPr>
  </w:style>
  <w:style w:type="character" w:customStyle="1" w:styleId="219">
    <w:name w:val="Footer-Even Char"/>
    <w:qFormat/>
    <w:uiPriority w:val="0"/>
    <w:rPr>
      <w:rFonts w:ascii="仿宋_GB2312" w:eastAsia="仿宋_GB2312"/>
      <w:b/>
      <w:sz w:val="18"/>
      <w:szCs w:val="18"/>
    </w:rPr>
  </w:style>
  <w:style w:type="character" w:customStyle="1" w:styleId="220">
    <w:name w:val="Char Char16"/>
    <w:qFormat/>
    <w:uiPriority w:val="0"/>
    <w:rPr>
      <w:rFonts w:ascii="仿宋_GB2312" w:eastAsia="仿宋_GB2312"/>
      <w:b/>
      <w:bCs/>
      <w:kern w:val="2"/>
      <w:sz w:val="28"/>
      <w:szCs w:val="28"/>
    </w:rPr>
  </w:style>
  <w:style w:type="character" w:customStyle="1" w:styleId="221">
    <w:name w:val="Char Char1"/>
    <w:qFormat/>
    <w:uiPriority w:val="0"/>
    <w:rPr>
      <w:rFonts w:ascii="宋体" w:hAnsi="Courier New" w:eastAsia="宋体"/>
      <w:kern w:val="2"/>
      <w:sz w:val="21"/>
      <w:lang w:val="en-US" w:eastAsia="zh-CN" w:bidi="ar-SA"/>
    </w:rPr>
  </w:style>
  <w:style w:type="character" w:customStyle="1" w:styleId="222">
    <w:name w:val="Char Char61"/>
    <w:qFormat/>
    <w:uiPriority w:val="0"/>
    <w:rPr>
      <w:rFonts w:ascii="Times New Roman" w:hAnsi="Times New Roman" w:eastAsia="宋体" w:cs="Times New Roman"/>
      <w:szCs w:val="24"/>
    </w:rPr>
  </w:style>
  <w:style w:type="character" w:customStyle="1" w:styleId="223">
    <w:name w:val="Ò³Ã¼ Char Char"/>
    <w:qFormat/>
    <w:uiPriority w:val="0"/>
    <w:rPr>
      <w:rFonts w:ascii="仿宋_GB2312" w:eastAsia="仿宋_GB2312"/>
      <w:b/>
      <w:sz w:val="18"/>
      <w:szCs w:val="18"/>
    </w:rPr>
  </w:style>
  <w:style w:type="character" w:customStyle="1" w:styleId="224">
    <w:name w:val="Char Char111"/>
    <w:qFormat/>
    <w:uiPriority w:val="0"/>
    <w:rPr>
      <w:rFonts w:ascii="Times New Roman" w:hAnsi="Times New Roman" w:eastAsia="宋体" w:cs="Times New Roman"/>
      <w:sz w:val="18"/>
      <w:szCs w:val="18"/>
    </w:rPr>
  </w:style>
  <w:style w:type="character" w:customStyle="1" w:styleId="225">
    <w:name w:val="副标题 Char1"/>
    <w:qFormat/>
    <w:uiPriority w:val="11"/>
    <w:rPr>
      <w:rFonts w:ascii="Cambria" w:hAnsi="Cambria" w:cs="Times New Roman"/>
      <w:b/>
      <w:bCs/>
      <w:kern w:val="28"/>
      <w:sz w:val="32"/>
      <w:szCs w:val="32"/>
    </w:rPr>
  </w:style>
  <w:style w:type="character" w:customStyle="1" w:styleId="226">
    <w:name w:val="明显引用 Char1"/>
    <w:qFormat/>
    <w:uiPriority w:val="99"/>
    <w:rPr>
      <w:rFonts w:ascii="Tahoma" w:hAnsi="Tahoma"/>
      <w:b/>
      <w:bCs/>
      <w:i/>
      <w:iCs/>
      <w:color w:val="4F81BD"/>
      <w:kern w:val="2"/>
      <w:sz w:val="21"/>
      <w:szCs w:val="24"/>
    </w:rPr>
  </w:style>
  <w:style w:type="character" w:customStyle="1" w:styleId="227">
    <w:name w:val="Style5"/>
    <w:qFormat/>
    <w:uiPriority w:val="0"/>
    <w:rPr>
      <w:rFonts w:ascii="Calibri" w:hAnsi="宋体" w:eastAsia="宋体" w:cs="Times New Roman"/>
      <w:sz w:val="22"/>
      <w:szCs w:val="22"/>
      <w:lang w:eastAsia="zh-CN"/>
    </w:rPr>
  </w:style>
  <w:style w:type="character" w:customStyle="1" w:styleId="228">
    <w:name w:val="Plain Text Char"/>
    <w:qFormat/>
    <w:uiPriority w:val="0"/>
    <w:rPr>
      <w:rFonts w:ascii="宋体" w:hAnsi="Courier New" w:eastAsia="宋体" w:cs="Times New Roman"/>
      <w:sz w:val="21"/>
      <w:szCs w:val="21"/>
    </w:rPr>
  </w:style>
  <w:style w:type="character" w:customStyle="1" w:styleId="229">
    <w:name w:val="heading 2 Char1"/>
    <w:qFormat/>
    <w:uiPriority w:val="0"/>
    <w:rPr>
      <w:rFonts w:ascii="Cambria" w:hAnsi="Cambria" w:eastAsia="宋体"/>
      <w:b/>
      <w:bCs/>
      <w:kern w:val="2"/>
      <w:sz w:val="32"/>
      <w:szCs w:val="32"/>
      <w:lang w:val="en-US" w:eastAsia="zh-CN" w:bidi="ar-SA"/>
    </w:rPr>
  </w:style>
  <w:style w:type="character" w:customStyle="1" w:styleId="230">
    <w:name w:val="正文缩进 Char"/>
    <w:qFormat/>
    <w:uiPriority w:val="0"/>
    <w:rPr>
      <w:rFonts w:eastAsia="仿宋_GB2312"/>
      <w:sz w:val="21"/>
      <w:lang w:val="en-US" w:eastAsia="zh-CN" w:bidi="ar-SA"/>
    </w:rPr>
  </w:style>
  <w:style w:type="character" w:customStyle="1" w:styleId="231">
    <w:name w:val="正文1 Char Char"/>
    <w:link w:val="232"/>
    <w:qFormat/>
    <w:uiPriority w:val="0"/>
    <w:rPr>
      <w:rFonts w:ascii="宋体" w:hAnsi="宋体" w:cs="宋体"/>
      <w:b/>
      <w:sz w:val="21"/>
      <w:szCs w:val="32"/>
    </w:rPr>
  </w:style>
  <w:style w:type="paragraph" w:customStyle="1" w:styleId="232">
    <w:name w:val="正文1"/>
    <w:basedOn w:val="1"/>
    <w:link w:val="231"/>
    <w:qFormat/>
    <w:uiPriority w:val="0"/>
    <w:pPr>
      <w:widowControl/>
      <w:spacing w:line="360" w:lineRule="auto"/>
      <w:ind w:left="360" w:firstLine="420"/>
      <w:jc w:val="left"/>
    </w:pPr>
    <w:rPr>
      <w:rFonts w:ascii="宋体" w:hAnsi="宋体"/>
      <w:b/>
      <w:kern w:val="0"/>
      <w:szCs w:val="32"/>
    </w:rPr>
  </w:style>
  <w:style w:type="character" w:customStyle="1" w:styleId="233">
    <w:name w:val="引用 字符"/>
    <w:link w:val="234"/>
    <w:qFormat/>
    <w:uiPriority w:val="0"/>
    <w:rPr>
      <w:rFonts w:ascii="Calibri" w:hAnsi="Calibri"/>
      <w:b/>
      <w:i/>
      <w:iCs/>
      <w:color w:val="000000"/>
      <w:sz w:val="32"/>
      <w:szCs w:val="32"/>
    </w:rPr>
  </w:style>
  <w:style w:type="paragraph" w:customStyle="1" w:styleId="234">
    <w:name w:val="Quote"/>
    <w:basedOn w:val="1"/>
    <w:next w:val="1"/>
    <w:link w:val="233"/>
    <w:qFormat/>
    <w:uiPriority w:val="0"/>
    <w:rPr>
      <w:rFonts w:ascii="Calibri" w:hAnsi="Calibri"/>
      <w:b/>
      <w:i/>
      <w:iCs/>
      <w:color w:val="000000"/>
      <w:kern w:val="0"/>
      <w:sz w:val="32"/>
      <w:szCs w:val="32"/>
    </w:rPr>
  </w:style>
  <w:style w:type="character" w:customStyle="1" w:styleId="235">
    <w:name w:val="param_td1"/>
    <w:qFormat/>
    <w:uiPriority w:val="0"/>
    <w:rPr>
      <w:rFonts w:ascii="仿宋_GB2312" w:hAnsi="Tahoma" w:eastAsia="仿宋_GB2312"/>
      <w:b/>
      <w:sz w:val="32"/>
      <w:szCs w:val="32"/>
    </w:rPr>
  </w:style>
  <w:style w:type="character" w:customStyle="1" w:styleId="236">
    <w:name w:val="日期 字符"/>
    <w:qFormat/>
    <w:uiPriority w:val="0"/>
    <w:rPr>
      <w:kern w:val="2"/>
      <w:sz w:val="21"/>
      <w:szCs w:val="24"/>
    </w:rPr>
  </w:style>
  <w:style w:type="character" w:customStyle="1" w:styleId="237">
    <w:name w:val="样式2 Char Char"/>
    <w:link w:val="238"/>
    <w:qFormat/>
    <w:uiPriority w:val="0"/>
    <w:rPr>
      <w:rFonts w:ascii="宋体" w:hAnsi="宋体"/>
      <w:b/>
      <w:bCs/>
      <w:kern w:val="2"/>
      <w:sz w:val="28"/>
      <w:szCs w:val="28"/>
    </w:rPr>
  </w:style>
  <w:style w:type="paragraph" w:customStyle="1" w:styleId="238">
    <w:name w:val="样式2"/>
    <w:basedOn w:val="4"/>
    <w:link w:val="237"/>
    <w:qFormat/>
    <w:uiPriority w:val="0"/>
    <w:pPr>
      <w:snapToGrid w:val="0"/>
      <w:spacing w:afterLines="50" w:line="480" w:lineRule="exact"/>
      <w:ind w:firstLine="556"/>
    </w:pPr>
    <w:rPr>
      <w:rFonts w:ascii="宋体" w:hAnsi="宋体" w:eastAsia="宋体"/>
      <w:sz w:val="28"/>
      <w:szCs w:val="28"/>
    </w:rPr>
  </w:style>
  <w:style w:type="character" w:customStyle="1" w:styleId="239">
    <w:name w:val="Char Char19"/>
    <w:qFormat/>
    <w:uiPriority w:val="0"/>
    <w:rPr>
      <w:rFonts w:ascii="Cambria" w:hAnsi="Cambria" w:eastAsia="仿宋_GB2312"/>
      <w:b/>
      <w:bCs/>
      <w:kern w:val="2"/>
      <w:sz w:val="32"/>
      <w:szCs w:val="32"/>
    </w:rPr>
  </w:style>
  <w:style w:type="character" w:customStyle="1" w:styleId="240">
    <w:name w:val="input"/>
    <w:qFormat/>
    <w:uiPriority w:val="0"/>
  </w:style>
  <w:style w:type="character" w:customStyle="1" w:styleId="241">
    <w:name w:val="Char Char Char1"/>
    <w:qFormat/>
    <w:uiPriority w:val="0"/>
    <w:rPr>
      <w:rFonts w:ascii="宋体" w:hAnsi="Courier New" w:eastAsia="仿宋_GB2312"/>
      <w:b/>
      <w:sz w:val="21"/>
      <w:szCs w:val="21"/>
    </w:rPr>
  </w:style>
  <w:style w:type="character" w:customStyle="1" w:styleId="242">
    <w:name w:val="称呼 字符"/>
    <w:link w:val="19"/>
    <w:qFormat/>
    <w:uiPriority w:val="0"/>
  </w:style>
  <w:style w:type="character" w:customStyle="1" w:styleId="243">
    <w:name w:val="style21"/>
    <w:qFormat/>
    <w:uiPriority w:val="0"/>
    <w:rPr>
      <w:rFonts w:ascii="仿宋_GB2312" w:eastAsia="仿宋_GB2312"/>
      <w:b/>
      <w:sz w:val="15"/>
      <w:szCs w:val="15"/>
    </w:rPr>
  </w:style>
  <w:style w:type="character" w:customStyle="1" w:styleId="244">
    <w:name w:val="正文文本 2 字符"/>
    <w:link w:val="47"/>
    <w:qFormat/>
    <w:uiPriority w:val="0"/>
  </w:style>
  <w:style w:type="character" w:customStyle="1" w:styleId="245">
    <w:name w:val="heading 3 Char1"/>
    <w:qFormat/>
    <w:uiPriority w:val="0"/>
    <w:rPr>
      <w:rFonts w:ascii="仿宋_GB2312" w:eastAsia="宋体"/>
      <w:b/>
      <w:bCs/>
      <w:kern w:val="2"/>
      <w:sz w:val="32"/>
      <w:szCs w:val="32"/>
      <w:lang w:val="en-US" w:eastAsia="zh-CN" w:bidi="ar-SA"/>
    </w:rPr>
  </w:style>
  <w:style w:type="character" w:customStyle="1" w:styleId="246">
    <w:name w:val="me04"/>
    <w:qFormat/>
    <w:uiPriority w:val="0"/>
    <w:rPr>
      <w:rFonts w:ascii="仿宋_GB2312" w:hAnsi="Tahoma" w:eastAsia="仿宋_GB2312"/>
      <w:b/>
      <w:sz w:val="32"/>
      <w:szCs w:val="32"/>
    </w:rPr>
  </w:style>
  <w:style w:type="character" w:customStyle="1" w:styleId="247">
    <w:name w:val="纯文本 Char"/>
    <w:qFormat/>
    <w:uiPriority w:val="0"/>
    <w:rPr>
      <w:rFonts w:ascii="仿宋_GB2312" w:hAnsi="Wingdings" w:eastAsia="仿宋_GB2312"/>
      <w:sz w:val="21"/>
      <w:szCs w:val="21"/>
      <w:lang w:val="en-US" w:eastAsia="zh-CN" w:bidi="ar-SA"/>
    </w:rPr>
  </w:style>
  <w:style w:type="paragraph" w:customStyle="1" w:styleId="248">
    <w:name w:val="单位"/>
    <w:basedOn w:val="1"/>
    <w:qFormat/>
    <w:uiPriority w:val="0"/>
    <w:pPr>
      <w:adjustRightInd w:val="0"/>
      <w:jc w:val="center"/>
      <w:textAlignment w:val="baseline"/>
    </w:pPr>
    <w:rPr>
      <w:rFonts w:ascii="宋体"/>
      <w:b/>
      <w:kern w:val="0"/>
      <w:sz w:val="32"/>
      <w:szCs w:val="20"/>
    </w:rPr>
  </w:style>
  <w:style w:type="paragraph" w:customStyle="1" w:styleId="249">
    <w:name w:val="目录"/>
    <w:basedOn w:val="38"/>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250">
    <w:name w:val="_Style 248"/>
    <w:qFormat/>
    <w:uiPriority w:val="99"/>
    <w:rPr>
      <w:rFonts w:ascii="Times New Roman" w:hAnsi="Times New Roman" w:eastAsia="宋体" w:cs="Times New Roman"/>
      <w:kern w:val="2"/>
      <w:sz w:val="21"/>
      <w:szCs w:val="24"/>
      <w:lang w:val="en-US" w:eastAsia="zh-CN" w:bidi="ar-SA"/>
    </w:rPr>
  </w:style>
  <w:style w:type="paragraph" w:customStyle="1" w:styleId="251">
    <w:name w:val="正文首行缩进1"/>
    <w:basedOn w:val="21"/>
    <w:qFormat/>
    <w:uiPriority w:val="0"/>
    <w:pPr>
      <w:autoSpaceDE w:val="0"/>
      <w:autoSpaceDN w:val="0"/>
      <w:adjustRightInd w:val="0"/>
      <w:spacing w:before="100" w:beforeAutospacing="1"/>
      <w:ind w:firstLine="420" w:firstLineChars="100"/>
      <w:jc w:val="left"/>
    </w:pPr>
    <w:rPr>
      <w:rFonts w:ascii="仿宋_GB2312" w:hAnsi="Calibri"/>
      <w:b/>
      <w:kern w:val="0"/>
      <w:sz w:val="32"/>
      <w:szCs w:val="32"/>
    </w:rPr>
  </w:style>
  <w:style w:type="paragraph" w:customStyle="1" w:styleId="252">
    <w:name w:val="Char Char Char Char Char Char Char Char Char Char Char Char Char1"/>
    <w:basedOn w:val="1"/>
    <w:qFormat/>
    <w:uiPriority w:val="0"/>
  </w:style>
  <w:style w:type="paragraph" w:customStyle="1" w:styleId="253">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4">
    <w:name w:val="正文 首行缩进:  2 字符 Char"/>
    <w:basedOn w:val="1"/>
    <w:qFormat/>
    <w:uiPriority w:val="0"/>
    <w:pPr>
      <w:spacing w:line="360" w:lineRule="auto"/>
      <w:ind w:firstLine="480"/>
    </w:pPr>
    <w:rPr>
      <w:rFonts w:cs="宋体"/>
      <w:sz w:val="24"/>
      <w:szCs w:val="20"/>
    </w:rPr>
  </w:style>
  <w:style w:type="paragraph" w:customStyle="1" w:styleId="255">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6">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57">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58">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59">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60">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26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63">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4">
    <w:name w:val="文档正文"/>
    <w:basedOn w:val="1"/>
    <w:qFormat/>
    <w:uiPriority w:val="0"/>
    <w:pPr>
      <w:adjustRightInd w:val="0"/>
      <w:spacing w:line="300" w:lineRule="auto"/>
      <w:ind w:firstLine="567"/>
      <w:textAlignment w:val="baseline"/>
    </w:pPr>
    <w:rPr>
      <w:kern w:val="0"/>
      <w:sz w:val="24"/>
      <w:szCs w:val="20"/>
    </w:rPr>
  </w:style>
  <w:style w:type="paragraph" w:customStyle="1" w:styleId="2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6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67">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68">
    <w:name w:val="Table Paragraph"/>
    <w:basedOn w:val="1"/>
    <w:qFormat/>
    <w:uiPriority w:val="1"/>
    <w:pPr>
      <w:autoSpaceDE w:val="0"/>
      <w:autoSpaceDN w:val="0"/>
      <w:adjustRightInd w:val="0"/>
      <w:jc w:val="left"/>
    </w:pPr>
    <w:rPr>
      <w:kern w:val="0"/>
      <w:sz w:val="24"/>
    </w:rPr>
  </w:style>
  <w:style w:type="paragraph" w:customStyle="1" w:styleId="269">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70">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71">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72">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273">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74">
    <w:name w:val="正文段"/>
    <w:basedOn w:val="1"/>
    <w:qFormat/>
    <w:uiPriority w:val="0"/>
    <w:pPr>
      <w:widowControl/>
      <w:snapToGrid w:val="0"/>
      <w:spacing w:afterLines="50"/>
      <w:ind w:firstLine="200" w:firstLineChars="200"/>
    </w:pPr>
    <w:rPr>
      <w:kern w:val="0"/>
      <w:sz w:val="24"/>
      <w:szCs w:val="20"/>
    </w:rPr>
  </w:style>
  <w:style w:type="paragraph" w:customStyle="1" w:styleId="275">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76">
    <w:name w:val="怡3"/>
    <w:basedOn w:val="5"/>
    <w:qFormat/>
    <w:uiPriority w:val="0"/>
    <w:pPr>
      <w:numPr>
        <w:ilvl w:val="2"/>
        <w:numId w:val="3"/>
      </w:numPr>
      <w:tabs>
        <w:tab w:val="left" w:pos="857"/>
      </w:tabs>
      <w:spacing w:before="240" w:after="240" w:line="480" w:lineRule="auto"/>
      <w:jc w:val="left"/>
    </w:pPr>
    <w:rPr>
      <w:rFonts w:ascii="宋体" w:hAnsi="宋体"/>
    </w:rPr>
  </w:style>
  <w:style w:type="paragraph" w:customStyle="1" w:styleId="2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8">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79">
    <w:name w:val="正文（首行缩进）"/>
    <w:basedOn w:val="23"/>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3">
    <w:name w:val="Char1 Char Char Char"/>
    <w:basedOn w:val="1"/>
    <w:qFormat/>
    <w:uiPriority w:val="0"/>
    <w:rPr>
      <w:szCs w:val="20"/>
    </w:rPr>
  </w:style>
  <w:style w:type="paragraph" w:customStyle="1" w:styleId="2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5">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286">
    <w:name w:val="Char Char Char Char Char Char Char Char Char Char Char Char Char"/>
    <w:basedOn w:val="1"/>
    <w:qFormat/>
    <w:uiPriority w:val="0"/>
    <w:rPr>
      <w:rFonts w:ascii="Tahoma" w:hAnsi="Tahoma"/>
      <w:sz w:val="24"/>
      <w:szCs w:val="20"/>
    </w:rPr>
  </w:style>
  <w:style w:type="paragraph" w:customStyle="1" w:styleId="287">
    <w:name w:val="Char Char3"/>
    <w:basedOn w:val="1"/>
    <w:qFormat/>
    <w:uiPriority w:val="0"/>
    <w:rPr>
      <w:rFonts w:ascii="仿宋_GB2312" w:eastAsia="仿宋_GB2312"/>
      <w:b/>
      <w:sz w:val="32"/>
      <w:szCs w:val="32"/>
    </w:rPr>
  </w:style>
  <w:style w:type="paragraph" w:customStyle="1" w:styleId="288">
    <w:name w:val="样式 标题 3 + 黑色 段前: 5 磅 段后: 5 磅 行距: 1.5 倍行距"/>
    <w:basedOn w:val="1"/>
    <w:qFormat/>
    <w:uiPriority w:val="0"/>
    <w:pPr>
      <w:ind w:left="855" w:hanging="855"/>
    </w:pPr>
    <w:rPr>
      <w:sz w:val="24"/>
      <w:szCs w:val="20"/>
    </w:rPr>
  </w:style>
  <w:style w:type="paragraph" w:customStyle="1" w:styleId="2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0">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2">
    <w:name w:val="怡1"/>
    <w:basedOn w:val="3"/>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293">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94">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295">
    <w:name w:val="招标文件－标准正文"/>
    <w:basedOn w:val="29"/>
    <w:qFormat/>
    <w:uiPriority w:val="0"/>
    <w:pPr>
      <w:spacing w:line="360" w:lineRule="auto"/>
    </w:pPr>
    <w:rPr>
      <w:rFonts w:ascii="Times New Roman" w:hAnsi="Times New Roman" w:cs="宋体"/>
      <w:color w:val="000000"/>
      <w:sz w:val="24"/>
    </w:rPr>
  </w:style>
  <w:style w:type="paragraph" w:customStyle="1" w:styleId="2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7">
    <w:name w:val="样式 四号 首行缩进:  1 厘米"/>
    <w:basedOn w:val="1"/>
    <w:qFormat/>
    <w:uiPriority w:val="0"/>
    <w:pPr>
      <w:spacing w:line="440" w:lineRule="exact"/>
      <w:ind w:firstLine="567"/>
    </w:pPr>
    <w:rPr>
      <w:rFonts w:cs="宋体"/>
      <w:sz w:val="28"/>
      <w:szCs w:val="20"/>
    </w:rPr>
  </w:style>
  <w:style w:type="paragraph" w:customStyle="1" w:styleId="298">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9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300">
    <w:name w:val="Char Char Char Char Char Char Char Char Char Char Char Char Char Char"/>
    <w:basedOn w:val="1"/>
    <w:qFormat/>
    <w:uiPriority w:val="0"/>
    <w:pPr>
      <w:widowControl/>
      <w:spacing w:after="160" w:line="240" w:lineRule="exact"/>
      <w:jc w:val="left"/>
    </w:pPr>
    <w:rPr>
      <w:bCs/>
    </w:rPr>
  </w:style>
  <w:style w:type="paragraph" w:customStyle="1" w:styleId="3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2">
    <w:name w:val="Char Char Char"/>
    <w:basedOn w:val="1"/>
    <w:next w:val="1"/>
    <w:qFormat/>
    <w:uiPriority w:val="0"/>
    <w:pPr>
      <w:shd w:val="clear" w:color="auto" w:fill="000080"/>
    </w:pPr>
    <w:rPr>
      <w:rFonts w:ascii="Tahoma" w:hAnsi="Tahoma"/>
      <w:sz w:val="24"/>
    </w:rPr>
  </w:style>
  <w:style w:type="paragraph" w:customStyle="1" w:styleId="303">
    <w:name w:val="1Text"/>
    <w:basedOn w:val="1"/>
    <w:qFormat/>
    <w:uiPriority w:val="0"/>
    <w:pPr>
      <w:spacing w:beforeLines="50" w:afterLines="50" w:line="360" w:lineRule="auto"/>
      <w:ind w:firstLine="480" w:firstLineChars="200"/>
      <w:jc w:val="left"/>
    </w:pPr>
    <w:rPr>
      <w:kern w:val="0"/>
      <w:sz w:val="24"/>
    </w:rPr>
  </w:style>
  <w:style w:type="paragraph" w:customStyle="1" w:styleId="304">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6">
    <w:name w:val="修订1"/>
    <w:qFormat/>
    <w:uiPriority w:val="0"/>
    <w:rPr>
      <w:rFonts w:ascii="Times New Roman" w:hAnsi="Times New Roman" w:eastAsia="宋体" w:cs="Times New Roman"/>
      <w:kern w:val="2"/>
      <w:sz w:val="21"/>
      <w:szCs w:val="24"/>
      <w:lang w:val="en-US" w:eastAsia="zh-CN" w:bidi="ar-SA"/>
    </w:rPr>
  </w:style>
  <w:style w:type="paragraph" w:customStyle="1" w:styleId="30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8">
    <w:name w:val="正文缩进1"/>
    <w:basedOn w:val="1"/>
    <w:next w:val="23"/>
    <w:qFormat/>
    <w:uiPriority w:val="0"/>
    <w:pPr>
      <w:ind w:firstLine="420"/>
    </w:pPr>
    <w:rPr>
      <w:szCs w:val="20"/>
    </w:rPr>
  </w:style>
  <w:style w:type="paragraph" w:customStyle="1" w:styleId="309">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0">
    <w:name w:val="文字"/>
    <w:basedOn w:val="1"/>
    <w:qFormat/>
    <w:uiPriority w:val="0"/>
    <w:pPr>
      <w:tabs>
        <w:tab w:val="left" w:pos="8520"/>
      </w:tabs>
      <w:spacing w:line="312" w:lineRule="auto"/>
      <w:ind w:right="-210" w:firstLine="556"/>
    </w:pPr>
    <w:rPr>
      <w:rFonts w:ascii="宋体"/>
      <w:sz w:val="28"/>
      <w:szCs w:val="20"/>
    </w:rPr>
  </w:style>
  <w:style w:type="paragraph" w:customStyle="1" w:styleId="311">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312">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313">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14">
    <w:name w:val="Blockquote"/>
    <w:basedOn w:val="1"/>
    <w:qFormat/>
    <w:uiPriority w:val="0"/>
    <w:pPr>
      <w:autoSpaceDE w:val="0"/>
      <w:autoSpaceDN w:val="0"/>
      <w:spacing w:before="100" w:after="100"/>
      <w:ind w:left="360" w:right="360"/>
      <w:jc w:val="left"/>
    </w:pPr>
    <w:rPr>
      <w:szCs w:val="20"/>
    </w:rPr>
  </w:style>
  <w:style w:type="paragraph" w:customStyle="1" w:styleId="31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6">
    <w:name w:val="三级条标题"/>
    <w:basedOn w:val="317"/>
    <w:next w:val="1"/>
    <w:qFormat/>
    <w:uiPriority w:val="0"/>
    <w:pPr>
      <w:numPr>
        <w:ilvl w:val="4"/>
      </w:numPr>
      <w:tabs>
        <w:tab w:val="left" w:pos="360"/>
      </w:tabs>
      <w:outlineLvl w:val="4"/>
    </w:pPr>
  </w:style>
  <w:style w:type="paragraph" w:customStyle="1" w:styleId="317">
    <w:name w:val="二级条标题"/>
    <w:basedOn w:val="318"/>
    <w:next w:val="1"/>
    <w:qFormat/>
    <w:uiPriority w:val="0"/>
    <w:pPr>
      <w:numPr>
        <w:ilvl w:val="3"/>
      </w:numPr>
      <w:tabs>
        <w:tab w:val="left" w:pos="360"/>
      </w:tabs>
      <w:outlineLvl w:val="3"/>
    </w:pPr>
  </w:style>
  <w:style w:type="paragraph" w:customStyle="1" w:styleId="318">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四级条标题"/>
    <w:basedOn w:val="316"/>
    <w:next w:val="1"/>
    <w:qFormat/>
    <w:uiPriority w:val="0"/>
    <w:pPr>
      <w:numPr>
        <w:ilvl w:val="5"/>
      </w:numPr>
      <w:outlineLvl w:val="5"/>
    </w:pPr>
  </w:style>
  <w:style w:type="paragraph" w:customStyle="1" w:styleId="321">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2">
    <w:name w:val="五级条标题"/>
    <w:basedOn w:val="320"/>
    <w:next w:val="1"/>
    <w:qFormat/>
    <w:uiPriority w:val="0"/>
    <w:pPr>
      <w:numPr>
        <w:ilvl w:val="6"/>
      </w:numPr>
      <w:outlineLvl w:val="6"/>
    </w:pPr>
  </w:style>
  <w:style w:type="paragraph" w:customStyle="1" w:styleId="32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2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25">
    <w:name w:val="列出段落3"/>
    <w:basedOn w:val="1"/>
    <w:qFormat/>
    <w:uiPriority w:val="99"/>
    <w:pPr>
      <w:widowControl/>
      <w:ind w:firstLine="420" w:firstLineChars="200"/>
      <w:jc w:val="left"/>
    </w:pPr>
    <w:rPr>
      <w:rFonts w:ascii="宋体" w:hAnsi="宋体" w:cs="宋体"/>
      <w:kern w:val="0"/>
      <w:sz w:val="24"/>
    </w:rPr>
  </w:style>
  <w:style w:type="paragraph" w:customStyle="1" w:styleId="326">
    <w:name w:val="列出段落2"/>
    <w:basedOn w:val="1"/>
    <w:qFormat/>
    <w:uiPriority w:val="0"/>
    <w:pPr>
      <w:ind w:firstLine="420" w:firstLineChars="200"/>
    </w:pPr>
  </w:style>
  <w:style w:type="paragraph" w:customStyle="1" w:styleId="327">
    <w:name w:val="Char Char Char Char1"/>
    <w:basedOn w:val="1"/>
    <w:qFormat/>
    <w:uiPriority w:val="0"/>
    <w:rPr>
      <w:rFonts w:ascii="Tahoma" w:hAnsi="Tahoma"/>
      <w:sz w:val="24"/>
      <w:szCs w:val="20"/>
    </w:rPr>
  </w:style>
  <w:style w:type="paragraph" w:customStyle="1" w:styleId="32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2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30">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331">
    <w:name w:val="Char Char Char Char11"/>
    <w:basedOn w:val="1"/>
    <w:qFormat/>
    <w:uiPriority w:val="0"/>
    <w:rPr>
      <w:szCs w:val="20"/>
    </w:rPr>
  </w:style>
  <w:style w:type="paragraph" w:customStyle="1" w:styleId="3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3">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334">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35">
    <w:name w:val="样式5"/>
    <w:basedOn w:val="14"/>
    <w:qFormat/>
    <w:uiPriority w:val="0"/>
    <w:pPr>
      <w:adjustRightInd/>
      <w:spacing w:line="360" w:lineRule="auto"/>
      <w:ind w:firstLine="200" w:firstLineChars="200"/>
      <w:textAlignment w:val="auto"/>
    </w:pPr>
    <w:rPr>
      <w:rFonts w:ascii="仿宋_GB2312"/>
      <w:b/>
      <w:kern w:val="2"/>
      <w:sz w:val="28"/>
      <w:szCs w:val="21"/>
    </w:rPr>
  </w:style>
  <w:style w:type="paragraph" w:customStyle="1" w:styleId="3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37">
    <w:name w:val="内文正文"/>
    <w:basedOn w:val="29"/>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38">
    <w:name w:val="修订11"/>
    <w:qFormat/>
    <w:uiPriority w:val="0"/>
    <w:rPr>
      <w:rFonts w:ascii="Times New Roman" w:hAnsi="Times New Roman" w:eastAsia="宋体" w:cs="Times New Roman"/>
      <w:kern w:val="2"/>
      <w:sz w:val="21"/>
      <w:szCs w:val="24"/>
      <w:lang w:val="en-US" w:eastAsia="zh-CN" w:bidi="ar-SA"/>
    </w:rPr>
  </w:style>
  <w:style w:type="paragraph" w:customStyle="1" w:styleId="339">
    <w:name w:val="表格文字"/>
    <w:basedOn w:val="29"/>
    <w:next w:val="21"/>
    <w:qFormat/>
    <w:uiPriority w:val="0"/>
    <w:pPr>
      <w:spacing w:line="420" w:lineRule="atLeast"/>
      <w:jc w:val="left"/>
    </w:p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_Style 33"/>
    <w:basedOn w:val="1"/>
    <w:qFormat/>
    <w:uiPriority w:val="0"/>
  </w:style>
  <w:style w:type="paragraph" w:customStyle="1" w:styleId="342">
    <w:name w:val="正文字缩2字"/>
    <w:basedOn w:val="1"/>
    <w:qFormat/>
    <w:uiPriority w:val="0"/>
    <w:pPr>
      <w:spacing w:before="60" w:after="60" w:line="360" w:lineRule="auto"/>
      <w:ind w:left="200" w:leftChars="200" w:firstLine="200" w:firstLineChars="200"/>
    </w:pPr>
    <w:rPr>
      <w:sz w:val="24"/>
    </w:rPr>
  </w:style>
  <w:style w:type="paragraph" w:customStyle="1" w:styleId="34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4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5">
    <w:name w:val="怡2"/>
    <w:basedOn w:val="4"/>
    <w:next w:val="5"/>
    <w:qFormat/>
    <w:uiPriority w:val="0"/>
    <w:pPr>
      <w:numPr>
        <w:ilvl w:val="1"/>
        <w:numId w:val="3"/>
      </w:numPr>
      <w:spacing w:before="360" w:after="360" w:line="480" w:lineRule="auto"/>
      <w:jc w:val="left"/>
    </w:pPr>
    <w:rPr>
      <w:rFonts w:ascii="Cambria" w:hAnsi="Cambria" w:eastAsia="宋体"/>
      <w:kern w:val="0"/>
      <w:sz w:val="36"/>
    </w:rPr>
  </w:style>
  <w:style w:type="paragraph" w:customStyle="1" w:styleId="346">
    <w:name w:val="List Paragraph1"/>
    <w:basedOn w:val="1"/>
    <w:qFormat/>
    <w:uiPriority w:val="34"/>
    <w:pPr>
      <w:ind w:firstLine="420" w:firstLineChars="200"/>
    </w:pPr>
    <w:rPr>
      <w:rFonts w:ascii="等线" w:hAnsi="等线"/>
    </w:rPr>
  </w:style>
  <w:style w:type="paragraph" w:customStyle="1" w:styleId="34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5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51">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352">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53">
    <w:name w:val="Char1 Char Char Char Char1"/>
    <w:basedOn w:val="17"/>
    <w:qFormat/>
    <w:uiPriority w:val="0"/>
    <w:rPr>
      <w:rFonts w:ascii="Tahoma" w:hAnsi="Tahoma" w:cs="Tahoma"/>
      <w:kern w:val="0"/>
      <w:sz w:val="18"/>
    </w:rPr>
  </w:style>
  <w:style w:type="paragraph" w:customStyle="1" w:styleId="35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55">
    <w:name w:val="列出段落1"/>
    <w:basedOn w:val="1"/>
    <w:qFormat/>
    <w:uiPriority w:val="99"/>
    <w:pPr>
      <w:ind w:firstLine="420" w:firstLineChars="200"/>
    </w:pPr>
    <w:rPr>
      <w:szCs w:val="20"/>
    </w:rPr>
  </w:style>
  <w:style w:type="paragraph" w:customStyle="1" w:styleId="356">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5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Char Char Char Char Char Char Char Char Char1 Char"/>
    <w:basedOn w:val="1"/>
    <w:qFormat/>
    <w:uiPriority w:val="0"/>
  </w:style>
  <w:style w:type="paragraph" w:customStyle="1" w:styleId="361">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6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63">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364">
    <w:name w:val="简单回函地址"/>
    <w:basedOn w:val="1"/>
    <w:qFormat/>
    <w:uiPriority w:val="0"/>
  </w:style>
  <w:style w:type="paragraph" w:customStyle="1" w:styleId="365">
    <w:name w:val="正文缩进1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366">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67">
    <w:name w:val="Char3"/>
    <w:basedOn w:val="1"/>
    <w:qFormat/>
    <w:uiPriority w:val="0"/>
    <w:rPr>
      <w:rFonts w:ascii="Tahoma" w:hAnsi="Tahoma"/>
      <w:sz w:val="24"/>
      <w:szCs w:val="20"/>
    </w:rPr>
  </w:style>
  <w:style w:type="paragraph" w:customStyle="1" w:styleId="368">
    <w:name w:val="TOC 标题1"/>
    <w:basedOn w:val="3"/>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369">
    <w:name w:val="Char Char Char Char Char Char Char1"/>
    <w:basedOn w:val="1"/>
    <w:qFormat/>
    <w:uiPriority w:val="0"/>
    <w:pPr>
      <w:widowControl/>
      <w:spacing w:after="160" w:line="240" w:lineRule="exact"/>
      <w:jc w:val="left"/>
    </w:pPr>
    <w:rPr>
      <w:szCs w:val="20"/>
    </w:rPr>
  </w:style>
  <w:style w:type="paragraph" w:customStyle="1" w:styleId="370">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1">
    <w:name w:val="样式1"/>
    <w:basedOn w:val="1"/>
    <w:next w:val="6"/>
    <w:qFormat/>
    <w:uiPriority w:val="0"/>
    <w:pPr>
      <w:spacing w:line="360" w:lineRule="auto"/>
      <w:ind w:firstLine="420" w:firstLineChars="200"/>
    </w:pPr>
    <w:rPr>
      <w:rFonts w:ascii="宋体" w:hAnsi="宋体"/>
      <w:szCs w:val="21"/>
    </w:rPr>
  </w:style>
  <w:style w:type="paragraph" w:customStyle="1" w:styleId="37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7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74">
    <w:name w:val="普通 (Web)"/>
    <w:basedOn w:val="1"/>
    <w:qFormat/>
    <w:uiPriority w:val="0"/>
    <w:pPr>
      <w:widowControl/>
      <w:spacing w:before="100" w:after="100"/>
      <w:jc w:val="left"/>
    </w:pPr>
    <w:rPr>
      <w:rFonts w:ascii="宋体" w:hAnsi="宋体"/>
      <w:kern w:val="0"/>
      <w:sz w:val="24"/>
    </w:rPr>
  </w:style>
  <w:style w:type="paragraph" w:customStyle="1" w:styleId="37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7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78">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79">
    <w:name w:val="1"/>
    <w:basedOn w:val="1"/>
    <w:qFormat/>
    <w:uiPriority w:val="0"/>
  </w:style>
  <w:style w:type="paragraph" w:customStyle="1" w:styleId="380">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8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8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8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4">
    <w:name w:val="纯文本2"/>
    <w:basedOn w:val="383"/>
    <w:qFormat/>
    <w:uiPriority w:val="0"/>
    <w:pPr>
      <w:adjustRightInd w:val="0"/>
      <w:snapToGrid w:val="0"/>
      <w:spacing w:line="288" w:lineRule="auto"/>
      <w:ind w:firstLine="200" w:firstLineChars="200"/>
    </w:pPr>
    <w:rPr>
      <w:rFonts w:ascii="宋体" w:hAnsi="Courier New"/>
    </w:rPr>
  </w:style>
  <w:style w:type="paragraph" w:customStyle="1" w:styleId="385">
    <w:name w:val="Pa5"/>
    <w:basedOn w:val="332"/>
    <w:next w:val="332"/>
    <w:qFormat/>
    <w:uiPriority w:val="0"/>
    <w:pPr>
      <w:spacing w:after="60" w:line="161" w:lineRule="atLeast"/>
    </w:pPr>
    <w:rPr>
      <w:rFonts w:ascii="Univers LT Std 57 Cn" w:hAnsi="Univers LT Std 57 Cn" w:cs="Times New Roman"/>
      <w:color w:val="auto"/>
    </w:rPr>
  </w:style>
  <w:style w:type="paragraph" w:customStyle="1" w:styleId="3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7">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9">
    <w:name w:val="Char Char Char Char Char Char"/>
    <w:basedOn w:val="1"/>
    <w:qFormat/>
    <w:uiPriority w:val="0"/>
    <w:rPr>
      <w:rFonts w:ascii="Tahoma" w:hAnsi="Tahoma"/>
      <w:sz w:val="24"/>
      <w:szCs w:val="20"/>
    </w:rPr>
  </w:style>
  <w:style w:type="paragraph" w:customStyle="1" w:styleId="390">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9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9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9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9">
    <w:name w:val="_Style 25"/>
    <w:basedOn w:val="1"/>
    <w:qFormat/>
    <w:uiPriority w:val="0"/>
  </w:style>
  <w:style w:type="paragraph" w:customStyle="1" w:styleId="400">
    <w:name w:val="正文－恩普"/>
    <w:basedOn w:val="14"/>
    <w:qFormat/>
    <w:uiPriority w:val="0"/>
    <w:pPr>
      <w:adjustRightInd/>
      <w:spacing w:line="360" w:lineRule="auto"/>
      <w:ind w:firstLine="200" w:firstLineChars="200"/>
      <w:textAlignment w:val="auto"/>
    </w:pPr>
    <w:rPr>
      <w:rFonts w:ascii="仿宋_GB2312"/>
      <w:b/>
      <w:kern w:val="2"/>
      <w:sz w:val="24"/>
      <w:szCs w:val="24"/>
    </w:rPr>
  </w:style>
  <w:style w:type="paragraph" w:customStyle="1" w:styleId="40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402">
    <w:name w:val="1 Char"/>
    <w:basedOn w:val="14"/>
    <w:qFormat/>
    <w:uiPriority w:val="0"/>
    <w:pPr>
      <w:adjustRightInd/>
      <w:spacing w:line="360" w:lineRule="auto"/>
      <w:ind w:firstLine="200" w:firstLineChars="200"/>
      <w:textAlignment w:val="auto"/>
    </w:pPr>
    <w:rPr>
      <w:rFonts w:ascii="仿宋_GB2312"/>
      <w:b/>
      <w:kern w:val="2"/>
      <w:szCs w:val="32"/>
    </w:rPr>
  </w:style>
  <w:style w:type="paragraph" w:customStyle="1" w:styleId="40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04">
    <w:name w:val="CM106"/>
    <w:basedOn w:val="332"/>
    <w:next w:val="332"/>
    <w:qFormat/>
    <w:uiPriority w:val="0"/>
    <w:rPr>
      <w:rFonts w:cs="Times New Roman"/>
      <w:color w:val="auto"/>
    </w:rPr>
  </w:style>
  <w:style w:type="paragraph" w:customStyle="1" w:styleId="40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06">
    <w:name w:val="保留正文"/>
    <w:basedOn w:val="21"/>
    <w:qFormat/>
    <w:uiPriority w:val="0"/>
    <w:pPr>
      <w:keepNext/>
      <w:spacing w:after="160"/>
    </w:pPr>
    <w:rPr>
      <w:rFonts w:ascii="仿宋_GB2312"/>
      <w:b/>
    </w:rPr>
  </w:style>
  <w:style w:type="paragraph" w:customStyle="1" w:styleId="4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0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09">
    <w:name w:val="Char1 Char Char Char Char"/>
    <w:basedOn w:val="17"/>
    <w:qFormat/>
    <w:uiPriority w:val="0"/>
    <w:rPr>
      <w:rFonts w:ascii="Tahoma" w:hAnsi="Tahoma" w:cs="Tahoma"/>
      <w:kern w:val="0"/>
      <w:sz w:val="18"/>
    </w:rPr>
  </w:style>
  <w:style w:type="paragraph" w:customStyle="1" w:styleId="410">
    <w:name w:val="Char"/>
    <w:basedOn w:val="1"/>
    <w:qFormat/>
    <w:uiPriority w:val="0"/>
    <w:pPr>
      <w:widowControl/>
      <w:spacing w:line="400" w:lineRule="exact"/>
      <w:jc w:val="center"/>
    </w:pPr>
    <w:rPr>
      <w:rFonts w:ascii="Verdana" w:hAnsi="Verdana"/>
      <w:kern w:val="0"/>
      <w:szCs w:val="20"/>
      <w:lang w:eastAsia="en-US"/>
    </w:rPr>
  </w:style>
  <w:style w:type="paragraph" w:customStyle="1" w:styleId="411">
    <w:name w:val="blockquote"/>
    <w:basedOn w:val="1"/>
    <w:qFormat/>
    <w:uiPriority w:val="0"/>
    <w:pPr>
      <w:widowControl/>
      <w:spacing w:before="100" w:beforeAutospacing="1" w:after="100" w:afterAutospacing="1"/>
      <w:jc w:val="left"/>
    </w:pPr>
    <w:rPr>
      <w:rFonts w:ascii="宋体" w:hAnsi="宋体"/>
    </w:rPr>
  </w:style>
  <w:style w:type="paragraph" w:customStyle="1" w:styleId="412">
    <w:name w:val="_Style 4"/>
    <w:basedOn w:val="1"/>
    <w:qFormat/>
    <w:uiPriority w:val="0"/>
    <w:pPr>
      <w:ind w:firstLine="420" w:firstLineChars="200"/>
    </w:pPr>
    <w:rPr>
      <w:szCs w:val="20"/>
    </w:rPr>
  </w:style>
  <w:style w:type="character" w:customStyle="1" w:styleId="413">
    <w:name w:val="NormalCharacter"/>
    <w:qFormat/>
    <w:uiPriority w:val="0"/>
  </w:style>
  <w:style w:type="paragraph" w:customStyle="1" w:styleId="414">
    <w:name w:val="text-tag"/>
    <w:basedOn w:val="1"/>
    <w:semiHidden/>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19025</Words>
  <Characters>19961</Characters>
  <Lines>295</Lines>
  <Paragraphs>83</Paragraphs>
  <TotalTime>16</TotalTime>
  <ScaleCrop>false</ScaleCrop>
  <LinksUpToDate>false</LinksUpToDate>
  <CharactersWithSpaces>20635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2020-12-19T04:52:00Z</dcterms:created>
  <dc:creator>can</dc:creator>
  <cp:lastModifiedBy>w®</cp:lastModifiedBy>
  <cp:lastPrinted>2024-07-26T10:49:00Z</cp:lastPrinted>
  <dcterms:modified xsi:type="dcterms:W3CDTF">2024-10-23T02:59:25Z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1D5CE598B6644787BABFA3EF12067637_13</vt:lpwstr>
  </property>
  <property fmtid="{D5CDD505-2E9C-101B-9397-08002B2CF9AE}" pid="4" name="woTemplateTypoMode">
    <vt:lpwstr>web</vt:lpwstr>
  </property>
  <property fmtid="{D5CDD505-2E9C-101B-9397-08002B2CF9AE}" pid="5" name="woTemplate">
    <vt:r8>1</vt:r8>
  </property>
</Properties>
</file>