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77C17">
      <w:pPr>
        <w:spacing w:line="360" w:lineRule="auto"/>
        <w:rPr>
          <w:rFonts w:hint="eastAsia" w:ascii="宋体" w:hAnsi="宋体" w:eastAsia="宋体" w:cs="宋体"/>
          <w:b/>
          <w:color w:val="auto"/>
          <w:sz w:val="84"/>
          <w:szCs w:val="84"/>
          <w:highlight w:val="none"/>
        </w:rPr>
      </w:pPr>
    </w:p>
    <w:p w14:paraId="12B01A7D">
      <w:pPr>
        <w:spacing w:line="360" w:lineRule="auto"/>
        <w:rPr>
          <w:rFonts w:hint="eastAsia" w:ascii="宋体" w:hAnsi="宋体" w:eastAsia="宋体" w:cs="宋体"/>
          <w:b/>
          <w:color w:val="auto"/>
          <w:spacing w:val="26"/>
          <w:sz w:val="84"/>
          <w:szCs w:val="84"/>
          <w:highlight w:val="none"/>
        </w:rPr>
      </w:pPr>
      <w:r>
        <w:rPr>
          <w:rFonts w:hint="eastAsia" w:ascii="宋体" w:hAnsi="宋体" w:eastAsia="宋体" w:cs="宋体"/>
          <w:b/>
          <w:color w:val="auto"/>
          <w:sz w:val="84"/>
          <w:szCs w:val="84"/>
          <w:highlight w:val="none"/>
        </w:rPr>
        <w:t>文成县政府(分散)采购</w:t>
      </w:r>
    </w:p>
    <w:p w14:paraId="17EE2BD4">
      <w:pPr>
        <w:spacing w:line="400" w:lineRule="exact"/>
        <w:ind w:firstLine="1885" w:firstLineChars="235"/>
        <w:rPr>
          <w:rFonts w:hint="eastAsia" w:ascii="宋体" w:hAnsi="宋体" w:eastAsia="宋体" w:cs="宋体"/>
          <w:b/>
          <w:color w:val="auto"/>
          <w:spacing w:val="140"/>
          <w:sz w:val="52"/>
          <w:szCs w:val="52"/>
          <w:highlight w:val="none"/>
        </w:rPr>
      </w:pPr>
    </w:p>
    <w:p w14:paraId="5C0C50D7">
      <w:pPr>
        <w:spacing w:line="400" w:lineRule="exact"/>
        <w:ind w:firstLine="1885" w:firstLineChars="235"/>
        <w:rPr>
          <w:rFonts w:hint="eastAsia" w:ascii="宋体" w:hAnsi="宋体" w:eastAsia="宋体" w:cs="宋体"/>
          <w:b/>
          <w:color w:val="auto"/>
          <w:spacing w:val="140"/>
          <w:sz w:val="52"/>
          <w:szCs w:val="52"/>
          <w:highlight w:val="none"/>
        </w:rPr>
      </w:pPr>
    </w:p>
    <w:p w14:paraId="09798CEA">
      <w:pPr>
        <w:spacing w:line="400" w:lineRule="exact"/>
        <w:ind w:firstLine="1885" w:firstLineChars="235"/>
        <w:rPr>
          <w:rFonts w:hint="eastAsia" w:ascii="宋体" w:hAnsi="宋体" w:eastAsia="宋体" w:cs="宋体"/>
          <w:b/>
          <w:color w:val="auto"/>
          <w:spacing w:val="140"/>
          <w:sz w:val="52"/>
          <w:szCs w:val="52"/>
          <w:highlight w:val="none"/>
        </w:rPr>
      </w:pPr>
    </w:p>
    <w:p w14:paraId="4C9CB399">
      <w:pPr>
        <w:spacing w:line="400" w:lineRule="exact"/>
        <w:ind w:firstLine="1885" w:firstLineChars="235"/>
        <w:rPr>
          <w:rFonts w:hint="eastAsia" w:ascii="宋体" w:hAnsi="宋体" w:eastAsia="宋体" w:cs="宋体"/>
          <w:b/>
          <w:color w:val="auto"/>
          <w:spacing w:val="140"/>
          <w:sz w:val="52"/>
          <w:szCs w:val="52"/>
          <w:highlight w:val="none"/>
        </w:rPr>
      </w:pPr>
    </w:p>
    <w:p w14:paraId="1F2E0756">
      <w:pPr>
        <w:spacing w:line="360" w:lineRule="auto"/>
        <w:jc w:val="center"/>
        <w:rPr>
          <w:rFonts w:hint="eastAsia" w:ascii="宋体" w:hAnsi="宋体" w:eastAsia="宋体" w:cs="宋体"/>
          <w:b/>
          <w:color w:val="auto"/>
          <w:spacing w:val="140"/>
          <w:sz w:val="52"/>
          <w:szCs w:val="52"/>
          <w:highlight w:val="none"/>
        </w:rPr>
      </w:pPr>
      <w:r>
        <w:rPr>
          <w:rFonts w:hint="eastAsia" w:ascii="宋体" w:hAnsi="宋体" w:eastAsia="宋体" w:cs="宋体"/>
          <w:b/>
          <w:color w:val="auto"/>
          <w:spacing w:val="140"/>
          <w:sz w:val="52"/>
          <w:szCs w:val="52"/>
          <w:highlight w:val="none"/>
        </w:rPr>
        <w:t>招标文件</w:t>
      </w:r>
    </w:p>
    <w:p w14:paraId="67A4A127">
      <w:pPr>
        <w:widowControl/>
        <w:spacing w:line="360" w:lineRule="auto"/>
        <w:ind w:righ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14:paraId="2F52E586">
      <w:pPr>
        <w:spacing w:line="400" w:lineRule="exact"/>
        <w:rPr>
          <w:rFonts w:hint="eastAsia" w:ascii="宋体" w:hAnsi="宋体" w:eastAsia="宋体" w:cs="宋体"/>
          <w:b/>
          <w:color w:val="auto"/>
          <w:sz w:val="24"/>
          <w:highlight w:val="none"/>
        </w:rPr>
      </w:pPr>
    </w:p>
    <w:p w14:paraId="5ED8DC62">
      <w:pPr>
        <w:spacing w:line="400" w:lineRule="exact"/>
        <w:rPr>
          <w:rFonts w:hint="eastAsia" w:ascii="宋体" w:hAnsi="宋体" w:eastAsia="宋体" w:cs="宋体"/>
          <w:b/>
          <w:color w:val="auto"/>
          <w:sz w:val="24"/>
          <w:highlight w:val="none"/>
        </w:rPr>
      </w:pPr>
    </w:p>
    <w:p w14:paraId="30898263">
      <w:pPr>
        <w:spacing w:line="360" w:lineRule="auto"/>
        <w:ind w:firstLine="2100" w:firstLineChars="700"/>
        <w:jc w:val="left"/>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项目编号：</w:t>
      </w:r>
      <w:r>
        <w:rPr>
          <w:rFonts w:hint="eastAsia" w:ascii="宋体" w:hAnsi="宋体" w:cs="宋体"/>
          <w:color w:val="auto"/>
          <w:sz w:val="30"/>
          <w:highlight w:val="none"/>
          <w:lang w:eastAsia="zh-CN"/>
        </w:rPr>
        <w:t>ZJYC2024234(GK)</w:t>
      </w:r>
    </w:p>
    <w:p w14:paraId="6EBB0593">
      <w:pPr>
        <w:spacing w:line="360" w:lineRule="auto"/>
        <w:ind w:left="3587" w:leftChars="994" w:hanging="1500" w:hangingChars="500"/>
        <w:jc w:val="left"/>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招标项目：</w:t>
      </w:r>
      <w:r>
        <w:rPr>
          <w:rFonts w:hint="eastAsia" w:ascii="宋体" w:hAnsi="宋体" w:cs="宋体"/>
          <w:color w:val="auto"/>
          <w:sz w:val="30"/>
          <w:highlight w:val="none"/>
          <w:lang w:eastAsia="zh-CN"/>
        </w:rPr>
        <w:t>文成县医疗卫生设施及服务能力提升项目-临床检验设备采购</w:t>
      </w:r>
    </w:p>
    <w:p w14:paraId="01F90995">
      <w:pPr>
        <w:spacing w:line="360" w:lineRule="auto"/>
        <w:ind w:firstLine="2100" w:firstLineChars="700"/>
        <w:jc w:val="left"/>
        <w:rPr>
          <w:rFonts w:hint="eastAsia" w:ascii="宋体" w:hAnsi="宋体" w:eastAsia="宋体" w:cs="宋体"/>
          <w:color w:val="auto"/>
          <w:sz w:val="22"/>
          <w:highlight w:val="none"/>
        </w:rPr>
      </w:pPr>
      <w:r>
        <w:rPr>
          <w:rFonts w:hint="eastAsia" w:ascii="宋体" w:hAnsi="宋体" w:eastAsia="宋体" w:cs="宋体"/>
          <w:color w:val="auto"/>
          <w:sz w:val="30"/>
          <w:highlight w:val="none"/>
        </w:rPr>
        <w:t>招标方式：公 开 招 标</w:t>
      </w:r>
    </w:p>
    <w:p w14:paraId="1D841B87">
      <w:pPr>
        <w:spacing w:line="360" w:lineRule="auto"/>
        <w:ind w:firstLine="1080" w:firstLineChars="300"/>
        <w:jc w:val="center"/>
        <w:rPr>
          <w:rFonts w:hint="eastAsia" w:ascii="宋体" w:hAnsi="宋体" w:eastAsia="宋体" w:cs="宋体"/>
          <w:color w:val="auto"/>
          <w:spacing w:val="40"/>
          <w:sz w:val="28"/>
          <w:szCs w:val="28"/>
          <w:highlight w:val="none"/>
        </w:rPr>
      </w:pPr>
    </w:p>
    <w:p w14:paraId="3DA0967E">
      <w:pPr>
        <w:pStyle w:val="10"/>
        <w:ind w:left="720" w:hanging="720"/>
        <w:rPr>
          <w:rFonts w:hint="eastAsia" w:ascii="宋体" w:hAnsi="宋体" w:eastAsia="宋体" w:cs="宋体"/>
          <w:color w:val="auto"/>
          <w:spacing w:val="40"/>
          <w:sz w:val="28"/>
          <w:szCs w:val="28"/>
          <w:highlight w:val="none"/>
        </w:rPr>
      </w:pPr>
    </w:p>
    <w:p w14:paraId="47D13B57">
      <w:pPr>
        <w:pStyle w:val="31"/>
        <w:ind w:hanging="480"/>
        <w:rPr>
          <w:rFonts w:hint="eastAsia" w:ascii="宋体" w:hAnsi="宋体" w:eastAsia="宋体" w:cs="宋体"/>
          <w:color w:val="auto"/>
          <w:highlight w:val="none"/>
        </w:rPr>
      </w:pPr>
    </w:p>
    <w:p w14:paraId="3D62B30C">
      <w:pPr>
        <w:spacing w:line="360" w:lineRule="auto"/>
        <w:jc w:val="center"/>
        <w:rPr>
          <w:rFonts w:hint="eastAsia" w:ascii="宋体" w:hAnsi="宋体" w:eastAsia="宋体" w:cs="宋体"/>
          <w:color w:val="auto"/>
          <w:kern w:val="0"/>
          <w:sz w:val="30"/>
          <w:highlight w:val="none"/>
        </w:rPr>
      </w:pPr>
      <w:r>
        <w:rPr>
          <w:rFonts w:hint="eastAsia" w:ascii="宋体" w:hAnsi="宋体" w:eastAsia="宋体" w:cs="宋体"/>
          <w:color w:val="auto"/>
          <w:kern w:val="0"/>
          <w:sz w:val="30"/>
          <w:highlight w:val="none"/>
        </w:rPr>
        <w:t>采购人：文成县卫生健康局</w:t>
      </w:r>
    </w:p>
    <w:p w14:paraId="21737195">
      <w:pPr>
        <w:spacing w:line="360" w:lineRule="auto"/>
        <w:jc w:val="center"/>
        <w:rPr>
          <w:rFonts w:hint="eastAsia" w:ascii="宋体" w:hAnsi="宋体" w:eastAsia="宋体" w:cs="宋体"/>
          <w:color w:val="auto"/>
          <w:spacing w:val="40"/>
          <w:sz w:val="24"/>
          <w:szCs w:val="24"/>
          <w:highlight w:val="none"/>
        </w:rPr>
      </w:pPr>
      <w:r>
        <w:rPr>
          <w:rFonts w:hint="eastAsia" w:ascii="宋体" w:hAnsi="宋体" w:eastAsia="宋体" w:cs="宋体"/>
          <w:color w:val="auto"/>
          <w:kern w:val="0"/>
          <w:sz w:val="30"/>
          <w:highlight w:val="none"/>
        </w:rPr>
        <w:t>采购代理机构：浙江乐诚工程咨询有限公司</w:t>
      </w:r>
    </w:p>
    <w:p w14:paraId="2E79298F">
      <w:pPr>
        <w:spacing w:line="360" w:lineRule="auto"/>
        <w:jc w:val="center"/>
        <w:rPr>
          <w:rFonts w:hint="eastAsia" w:ascii="宋体" w:hAnsi="宋体" w:eastAsia="宋体" w:cs="宋体"/>
          <w:color w:val="auto"/>
          <w:spacing w:val="40"/>
          <w:sz w:val="28"/>
          <w:highlight w:val="none"/>
        </w:rPr>
      </w:pPr>
    </w:p>
    <w:p w14:paraId="602CCC80">
      <w:pPr>
        <w:spacing w:line="360" w:lineRule="auto"/>
        <w:jc w:val="center"/>
        <w:rPr>
          <w:rFonts w:hint="eastAsia" w:ascii="宋体" w:hAnsi="宋体" w:eastAsia="宋体" w:cs="宋体"/>
          <w:color w:val="auto"/>
          <w:spacing w:val="40"/>
          <w:sz w:val="28"/>
          <w:highlight w:val="none"/>
        </w:rPr>
      </w:pPr>
    </w:p>
    <w:p w14:paraId="5D425E12">
      <w:pPr>
        <w:spacing w:line="360" w:lineRule="auto"/>
        <w:jc w:val="center"/>
        <w:rPr>
          <w:rFonts w:hint="eastAsia" w:ascii="宋体" w:hAnsi="宋体" w:eastAsia="宋体" w:cs="宋体"/>
          <w:color w:val="auto"/>
          <w:spacing w:val="40"/>
          <w:sz w:val="28"/>
          <w:highlight w:val="none"/>
        </w:rPr>
      </w:pPr>
      <w:r>
        <w:rPr>
          <w:rFonts w:hint="eastAsia" w:ascii="宋体" w:hAnsi="宋体" w:eastAsia="宋体" w:cs="宋体"/>
          <w:color w:val="auto"/>
          <w:spacing w:val="40"/>
          <w:sz w:val="28"/>
          <w:highlight w:val="none"/>
        </w:rPr>
        <w:t>二0二四年</w:t>
      </w:r>
    </w:p>
    <w:p w14:paraId="3761CE4C">
      <w:pPr>
        <w:rPr>
          <w:rFonts w:hint="eastAsia" w:ascii="宋体" w:hAnsi="宋体" w:eastAsia="宋体" w:cs="宋体"/>
          <w:color w:val="auto"/>
          <w:spacing w:val="40"/>
          <w:sz w:val="28"/>
          <w:highlight w:val="none"/>
        </w:rPr>
      </w:pPr>
      <w:r>
        <w:rPr>
          <w:rFonts w:hint="eastAsia" w:ascii="宋体" w:hAnsi="宋体" w:eastAsia="宋体" w:cs="宋体"/>
          <w:color w:val="auto"/>
          <w:spacing w:val="40"/>
          <w:sz w:val="28"/>
          <w:highlight w:val="none"/>
        </w:rPr>
        <w:br w:type="page"/>
      </w:r>
    </w:p>
    <w:sdt>
      <w:sdtPr>
        <w:rPr>
          <w:rFonts w:hint="eastAsia" w:ascii="宋体" w:hAnsi="宋体" w:eastAsia="宋体" w:cs="宋体"/>
          <w:b/>
          <w:bCs/>
          <w:color w:val="auto"/>
          <w:sz w:val="36"/>
          <w:szCs w:val="36"/>
          <w:highlight w:val="none"/>
        </w:rPr>
        <w:id w:val="147464123"/>
        <w:docPartObj>
          <w:docPartGallery w:val="Table of Contents"/>
          <w:docPartUnique/>
        </w:docPartObj>
      </w:sdtPr>
      <w:sdtEndPr>
        <w:rPr>
          <w:rFonts w:hint="eastAsia" w:ascii="宋体" w:hAnsi="宋体" w:eastAsia="宋体" w:cs="宋体"/>
          <w:b/>
          <w:bCs/>
          <w:color w:val="auto"/>
          <w:sz w:val="36"/>
          <w:szCs w:val="36"/>
          <w:highlight w:val="none"/>
        </w:rPr>
      </w:sdtEndPr>
      <w:sdtContent>
        <w:p w14:paraId="0FD2B83A">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7E27C0F6">
          <w:pPr>
            <w:pStyle w:val="21"/>
            <w:tabs>
              <w:tab w:val="right" w:leader="hyphen" w:pos="9355"/>
            </w:tabs>
            <w:spacing w:line="360" w:lineRule="auto"/>
            <w:rPr>
              <w:rFonts w:hint="eastAsia" w:ascii="宋体" w:hAnsi="宋体" w:eastAsia="宋体" w:cs="宋体"/>
              <w:color w:val="auto"/>
              <w:highlight w:val="none"/>
            </w:rPr>
          </w:pPr>
        </w:p>
        <w:p w14:paraId="3B97C1A0">
          <w:pPr>
            <w:pStyle w:val="21"/>
            <w:tabs>
              <w:tab w:val="right" w:leader="hyphen" w:pos="9355"/>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"_Toc29559"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第一部分 公开招标公告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_Toc29559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97C51F9">
          <w:pPr>
            <w:pStyle w:val="21"/>
            <w:tabs>
              <w:tab w:val="right" w:leader="hyphen" w:pos="9355"/>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"_Toc32709"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第二部分 投标人须知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_Toc32709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EFE37E6">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"_Toc13225"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投标人须知前附表</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_Toc13225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6</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5BB32CD">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"_Toc11781"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一、说明</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_Toc11781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10</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1C5A8F7C">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"_Toc23434"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二、招标文件</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_Toc23434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13</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8DFFD74">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"_Toc8480"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三、投标文件的编制</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_Toc8480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14</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86CCA5D">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"_Toc14873"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四、投标文件的递交</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_Toc14873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17</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4BF23F2">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"_Toc30063"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五、开标和评标</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_Toc30063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17</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70B43B6">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"_Toc9818"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六、授予合</w:t>
          </w:r>
          <w:bookmarkStart w:id="138" w:name="_GoBack"/>
          <w:bookmarkEnd w:id="138"/>
          <w:r>
            <w:rPr>
              <w:rFonts w:hint="eastAsia" w:ascii="宋体" w:hAnsi="宋体" w:eastAsia="宋体" w:cs="宋体"/>
              <w:bCs/>
              <w:color w:val="auto"/>
              <w:szCs w:val="24"/>
              <w:highlight w:val="none"/>
            </w:rPr>
            <w:t>同</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_Toc9818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F6E31CB">
          <w:pPr>
            <w:pStyle w:val="14"/>
            <w:tabs>
              <w:tab w:val="right" w:leader="hyphen" w:pos="9355"/>
              <w:tab w:val="clear" w:pos="8302"/>
            </w:tabs>
            <w:spacing w:line="360" w:lineRule="auto"/>
            <w:ind w:left="420"/>
            <w:rPr>
              <w:rFonts w:hint="eastAsia" w:ascii="宋体" w:hAnsi="宋体" w:eastAsia="宋体" w:cs="宋体"/>
              <w:bCs/>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"_Toc18888"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七、可中止电子交易活动的情形</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_Toc18888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88B806E">
          <w:pPr>
            <w:pStyle w:val="21"/>
            <w:tabs>
              <w:tab w:val="right" w:leader="hyphen" w:pos="9355"/>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"_Toc24607"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第三部分 拟签订的合同文本</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_Toc24607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EBEAE41">
          <w:pPr>
            <w:pStyle w:val="21"/>
            <w:tabs>
              <w:tab w:val="right" w:leader="hyphen" w:pos="9355"/>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"_Toc11430"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第四部分 附件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_Toc11430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A55C8DC">
          <w:pPr>
            <w:pStyle w:val="21"/>
            <w:tabs>
              <w:tab w:val="right" w:leader="hyphen" w:pos="9355"/>
            </w:tabs>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"_Toc11523"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第五部分 采购需求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_Toc11523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BBC40C5">
          <w:pPr>
            <w:pStyle w:val="21"/>
            <w:tabs>
              <w:tab w:val="right" w:leader="hyphen" w:pos="935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"_Toc18366"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第六部分 评标原则及方法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_Toc18366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3167803">
          <w:pPr>
            <w:pStyle w:val="14"/>
            <w:tabs>
              <w:tab w:val="right" w:leader="hyphen" w:pos="9355"/>
              <w:tab w:val="clear" w:pos="8302"/>
            </w:tabs>
            <w:spacing w:line="360" w:lineRule="auto"/>
            <w:ind w:left="420"/>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一、总  则</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_Toc26401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68</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26E35AD">
          <w:pPr>
            <w:pStyle w:val="14"/>
            <w:tabs>
              <w:tab w:val="right" w:leader="hyphen" w:pos="9355"/>
              <w:tab w:val="clear" w:pos="8302"/>
            </w:tabs>
            <w:spacing w:line="360" w:lineRule="auto"/>
            <w:ind w:left="420"/>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二、评标组织</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_Toc11704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68</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6F9CA85">
          <w:pPr>
            <w:pStyle w:val="14"/>
            <w:tabs>
              <w:tab w:val="right" w:leader="hyphen" w:pos="9355"/>
              <w:tab w:val="clear" w:pos="8302"/>
            </w:tabs>
            <w:spacing w:line="360" w:lineRule="auto"/>
            <w:ind w:left="420"/>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"_Toc22884"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三、评标程序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_Toc22884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68</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473A6165">
          <w:pPr>
            <w:pStyle w:val="14"/>
            <w:tabs>
              <w:tab w:val="right" w:leader="hyphen" w:pos="9355"/>
              <w:tab w:val="clear" w:pos="8302"/>
            </w:tabs>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"_Toc20219"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四、评标办法</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_Toc20219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68</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215C5F59">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3B1E30B1">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7D3F8F7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40E18BF">
      <w:pPr>
        <w:spacing w:line="400" w:lineRule="exact"/>
        <w:jc w:val="center"/>
        <w:outlineLvl w:val="0"/>
        <w:rPr>
          <w:rFonts w:hint="eastAsia" w:ascii="宋体" w:hAnsi="宋体" w:eastAsia="宋体" w:cs="宋体"/>
          <w:b/>
          <w:color w:val="auto"/>
          <w:sz w:val="32"/>
          <w:highlight w:val="none"/>
        </w:rPr>
      </w:pPr>
      <w:bookmarkStart w:id="0" w:name="_Toc29559"/>
      <w:r>
        <w:rPr>
          <w:rFonts w:hint="eastAsia" w:ascii="宋体" w:hAnsi="宋体" w:eastAsia="宋体" w:cs="宋体"/>
          <w:b/>
          <w:color w:val="auto"/>
          <w:sz w:val="32"/>
          <w:highlight w:val="none"/>
        </w:rPr>
        <w:t xml:space="preserve">第一部分 </w:t>
      </w:r>
      <w:bookmarkStart w:id="1" w:name="OLE_LINK2"/>
      <w:r>
        <w:rPr>
          <w:rFonts w:hint="eastAsia" w:ascii="宋体" w:hAnsi="宋体" w:eastAsia="宋体" w:cs="宋体"/>
          <w:b/>
          <w:color w:val="auto"/>
          <w:sz w:val="32"/>
          <w:highlight w:val="none"/>
        </w:rPr>
        <w:t>公开招标公告</w:t>
      </w:r>
      <w:bookmarkEnd w:id="0"/>
    </w:p>
    <w:p w14:paraId="52B48FD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2"/>
          <w:szCs w:val="22"/>
          <w:highlight w:val="none"/>
        </w:rPr>
      </w:pPr>
      <w:r>
        <w:rPr>
          <w:rFonts w:hint="eastAsia" w:ascii="宋体" w:hAnsi="宋体" w:eastAsia="宋体" w:cs="宋体"/>
          <w:b/>
          <w:bCs/>
          <w:i w:val="0"/>
          <w:iCs w:val="0"/>
          <w:caps w:val="0"/>
          <w:color w:val="auto"/>
          <w:spacing w:val="0"/>
          <w:sz w:val="22"/>
          <w:szCs w:val="22"/>
          <w:highlight w:val="none"/>
        </w:rPr>
        <w:t>项目概况</w:t>
      </w:r>
      <w:r>
        <w:rPr>
          <w:rFonts w:hint="eastAsia" w:ascii="宋体" w:hAnsi="宋体" w:eastAsia="宋体" w:cs="宋体"/>
          <w:i w:val="0"/>
          <w:iCs w:val="0"/>
          <w:caps w:val="0"/>
          <w:color w:val="auto"/>
          <w:spacing w:val="0"/>
          <w:sz w:val="22"/>
          <w:szCs w:val="22"/>
          <w:highlight w:val="none"/>
        </w:rPr>
        <w:t>      </w:t>
      </w:r>
    </w:p>
    <w:p w14:paraId="2DE98BE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cs="宋体"/>
          <w:i w:val="0"/>
          <w:iCs w:val="0"/>
          <w:caps w:val="0"/>
          <w:color w:val="auto"/>
          <w:spacing w:val="0"/>
          <w:sz w:val="22"/>
          <w:szCs w:val="22"/>
          <w:highlight w:val="none"/>
          <w:lang w:eastAsia="zh-CN"/>
        </w:rPr>
        <w:t>文成县医疗卫生设施及服务能力提升项目-临床检验设备采购</w:t>
      </w:r>
      <w:r>
        <w:rPr>
          <w:rFonts w:hint="eastAsia" w:ascii="宋体" w:hAnsi="宋体" w:eastAsia="宋体" w:cs="宋体"/>
          <w:i w:val="0"/>
          <w:iCs w:val="0"/>
          <w:caps w:val="0"/>
          <w:color w:val="auto"/>
          <w:spacing w:val="0"/>
          <w:sz w:val="22"/>
          <w:szCs w:val="22"/>
          <w:highlight w:val="none"/>
        </w:rPr>
        <w:t>招标项目的潜在投标人应在政采云平台线上获取获取（下载）招标文件，并于</w:t>
      </w:r>
      <w:r>
        <w:rPr>
          <w:rFonts w:hint="eastAsia" w:cs="宋体"/>
          <w:i w:val="0"/>
          <w:iCs w:val="0"/>
          <w:caps w:val="0"/>
          <w:color w:val="auto"/>
          <w:spacing w:val="0"/>
          <w:sz w:val="22"/>
          <w:szCs w:val="22"/>
          <w:highlight w:val="none"/>
          <w:lang w:eastAsia="zh-CN"/>
        </w:rPr>
        <w:t>2024年12月25日 09:30</w:t>
      </w:r>
      <w:r>
        <w:rPr>
          <w:rFonts w:hint="eastAsia" w:ascii="宋体" w:hAnsi="宋体" w:eastAsia="宋体" w:cs="宋体"/>
          <w:i w:val="0"/>
          <w:iCs w:val="0"/>
          <w:caps w:val="0"/>
          <w:color w:val="auto"/>
          <w:spacing w:val="0"/>
          <w:sz w:val="22"/>
          <w:szCs w:val="22"/>
          <w:highlight w:val="none"/>
        </w:rPr>
        <w:t>（北京时间）前递交（上传）投标文件。        </w:t>
      </w:r>
    </w:p>
    <w:p w14:paraId="68FA292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一、项目基本情况</w:t>
      </w:r>
    </w:p>
    <w:p w14:paraId="4EBE967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项目编号：</w:t>
      </w:r>
      <w:r>
        <w:rPr>
          <w:rFonts w:hint="eastAsia" w:cs="宋体"/>
          <w:i w:val="0"/>
          <w:iCs w:val="0"/>
          <w:caps w:val="0"/>
          <w:color w:val="auto"/>
          <w:spacing w:val="0"/>
          <w:sz w:val="22"/>
          <w:szCs w:val="22"/>
          <w:highlight w:val="none"/>
          <w:lang w:eastAsia="zh-CN"/>
        </w:rPr>
        <w:t>ZJYC2024234(GK)</w:t>
      </w:r>
      <w:r>
        <w:rPr>
          <w:rFonts w:hint="eastAsia" w:ascii="宋体" w:hAnsi="宋体" w:eastAsia="宋体" w:cs="宋体"/>
          <w:i w:val="0"/>
          <w:iCs w:val="0"/>
          <w:caps w:val="0"/>
          <w:color w:val="auto"/>
          <w:spacing w:val="0"/>
          <w:sz w:val="22"/>
          <w:szCs w:val="22"/>
          <w:highlight w:val="none"/>
        </w:rPr>
        <w:t>          </w:t>
      </w:r>
    </w:p>
    <w:p w14:paraId="6D77E04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default"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项目名称：</w:t>
      </w:r>
      <w:r>
        <w:rPr>
          <w:rFonts w:hint="eastAsia" w:cs="宋体"/>
          <w:i w:val="0"/>
          <w:iCs w:val="0"/>
          <w:caps w:val="0"/>
          <w:color w:val="auto"/>
          <w:spacing w:val="0"/>
          <w:sz w:val="22"/>
          <w:szCs w:val="22"/>
          <w:highlight w:val="none"/>
          <w:lang w:val="en-US" w:eastAsia="zh-CN"/>
        </w:rPr>
        <w:t>文成县医疗卫生设施及服务能力提升项目-临床检验设备采购</w:t>
      </w:r>
    </w:p>
    <w:p w14:paraId="2CE89E4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预算金额（元）：</w:t>
      </w:r>
      <w:r>
        <w:rPr>
          <w:rFonts w:hint="eastAsia" w:cs="宋体"/>
          <w:i w:val="0"/>
          <w:iCs w:val="0"/>
          <w:caps w:val="0"/>
          <w:color w:val="auto"/>
          <w:spacing w:val="0"/>
          <w:sz w:val="22"/>
          <w:szCs w:val="22"/>
          <w:highlight w:val="none"/>
          <w:lang w:val="en-US" w:eastAsia="zh-CN"/>
        </w:rPr>
        <w:t>420000</w:t>
      </w:r>
      <w:r>
        <w:rPr>
          <w:rFonts w:hint="eastAsia" w:ascii="宋体" w:hAnsi="宋体" w:eastAsia="宋体" w:cs="宋体"/>
          <w:i w:val="0"/>
          <w:iCs w:val="0"/>
          <w:caps w:val="0"/>
          <w:color w:val="auto"/>
          <w:spacing w:val="0"/>
          <w:sz w:val="22"/>
          <w:szCs w:val="22"/>
          <w:highlight w:val="none"/>
        </w:rPr>
        <w:t>          </w:t>
      </w:r>
    </w:p>
    <w:p w14:paraId="53F8C98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最高限价（元）：/          </w:t>
      </w:r>
    </w:p>
    <w:p w14:paraId="5FF02F7E">
      <w:pPr>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采购需求：            </w:t>
      </w:r>
    </w:p>
    <w:p w14:paraId="77F5D72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p>
    <w:p w14:paraId="7AEE9BD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标项名称：</w:t>
      </w:r>
      <w:r>
        <w:rPr>
          <w:rFonts w:hint="eastAsia" w:cs="宋体"/>
          <w:i w:val="0"/>
          <w:iCs w:val="0"/>
          <w:caps w:val="0"/>
          <w:color w:val="auto"/>
          <w:spacing w:val="0"/>
          <w:sz w:val="22"/>
          <w:szCs w:val="22"/>
          <w:highlight w:val="none"/>
          <w:lang w:val="en-US" w:eastAsia="zh-CN"/>
        </w:rPr>
        <w:t>文成县医疗卫生设施及服务能力提升项目-临床检验设备采购</w:t>
      </w:r>
    </w:p>
    <w:p w14:paraId="4F7C605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数量：1</w:t>
      </w:r>
      <w:r>
        <w:rPr>
          <w:rFonts w:hint="eastAsia" w:cs="宋体"/>
          <w:i w:val="0"/>
          <w:iCs w:val="0"/>
          <w:caps w:val="0"/>
          <w:color w:val="auto"/>
          <w:spacing w:val="0"/>
          <w:sz w:val="22"/>
          <w:szCs w:val="22"/>
          <w:highlight w:val="none"/>
          <w:lang w:val="en-US" w:eastAsia="zh-CN"/>
        </w:rPr>
        <w:t>批</w:t>
      </w:r>
      <w:r>
        <w:rPr>
          <w:rFonts w:hint="eastAsia" w:ascii="宋体" w:hAnsi="宋体" w:eastAsia="宋体" w:cs="宋体"/>
          <w:i w:val="0"/>
          <w:iCs w:val="0"/>
          <w:caps w:val="0"/>
          <w:color w:val="auto"/>
          <w:spacing w:val="0"/>
          <w:sz w:val="22"/>
          <w:szCs w:val="22"/>
          <w:highlight w:val="none"/>
        </w:rPr>
        <w:t>              </w:t>
      </w:r>
    </w:p>
    <w:p w14:paraId="620305C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预算金额（元）：</w:t>
      </w:r>
      <w:r>
        <w:rPr>
          <w:rFonts w:hint="eastAsia" w:cs="宋体"/>
          <w:i w:val="0"/>
          <w:iCs w:val="0"/>
          <w:caps w:val="0"/>
          <w:color w:val="auto"/>
          <w:spacing w:val="0"/>
          <w:sz w:val="22"/>
          <w:szCs w:val="22"/>
          <w:highlight w:val="none"/>
          <w:lang w:val="en-US" w:eastAsia="zh-CN"/>
        </w:rPr>
        <w:t>420000</w:t>
      </w:r>
      <w:r>
        <w:rPr>
          <w:rFonts w:hint="eastAsia" w:ascii="宋体" w:hAnsi="宋体" w:eastAsia="宋体" w:cs="宋体"/>
          <w:i w:val="0"/>
          <w:iCs w:val="0"/>
          <w:caps w:val="0"/>
          <w:color w:val="auto"/>
          <w:spacing w:val="0"/>
          <w:sz w:val="22"/>
          <w:szCs w:val="22"/>
          <w:highlight w:val="none"/>
        </w:rPr>
        <w:t>             </w:t>
      </w:r>
    </w:p>
    <w:p w14:paraId="646AC5E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简要规格描述或项目基本概况介绍、用途：详见招标文件</w:t>
      </w:r>
    </w:p>
    <w:p w14:paraId="178877D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备注：              </w:t>
      </w:r>
    </w:p>
    <w:p w14:paraId="4748B55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合同履约期限：标项 1，详见招标文件          </w:t>
      </w:r>
    </w:p>
    <w:p w14:paraId="34733A8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本项目（是）接受联合体投标。          </w:t>
      </w:r>
    </w:p>
    <w:p w14:paraId="205656B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二、申请人的资格要求：</w:t>
      </w:r>
    </w:p>
    <w:p w14:paraId="6BAFC63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789560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2.落实政府采购政策需满足的资格要求：标项1：无          </w:t>
      </w:r>
    </w:p>
    <w:p w14:paraId="60C511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3.本项目的特定资格要求：无          </w:t>
      </w:r>
    </w:p>
    <w:p w14:paraId="44469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三、获取招标文件</w:t>
      </w:r>
    </w:p>
    <w:p w14:paraId="17111CD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时间：/至</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rPr>
        <w:t> ，每天上午00:00至12:00 ，下午12:00至23:59（北京时间，线上获取法定节假日均可，线下获取文件法定节假日除外）</w:t>
      </w:r>
    </w:p>
    <w:p w14:paraId="7E9AC82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地点（网址）：政采云平台线上获取          </w:t>
      </w:r>
    </w:p>
    <w:p w14:paraId="7FCB767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14:paraId="0E6E796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售价（元）：0          </w:t>
      </w:r>
    </w:p>
    <w:p w14:paraId="5D985C0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四、提交投标文件截止时间、开标时间和地点</w:t>
      </w:r>
    </w:p>
    <w:p w14:paraId="5CC4046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提交投标文件截止时间：</w:t>
      </w:r>
      <w:r>
        <w:rPr>
          <w:rFonts w:hint="eastAsia" w:cs="宋体"/>
          <w:i w:val="0"/>
          <w:iCs w:val="0"/>
          <w:caps w:val="0"/>
          <w:color w:val="auto"/>
          <w:spacing w:val="0"/>
          <w:sz w:val="22"/>
          <w:szCs w:val="22"/>
          <w:highlight w:val="none"/>
          <w:lang w:eastAsia="zh-CN"/>
        </w:rPr>
        <w:t>2024年12月25日 09:30</w:t>
      </w:r>
      <w:r>
        <w:rPr>
          <w:rFonts w:hint="eastAsia" w:ascii="宋体" w:hAnsi="宋体" w:eastAsia="宋体" w:cs="宋体"/>
          <w:i w:val="0"/>
          <w:iCs w:val="0"/>
          <w:caps w:val="0"/>
          <w:color w:val="auto"/>
          <w:spacing w:val="0"/>
          <w:sz w:val="22"/>
          <w:szCs w:val="22"/>
          <w:highlight w:val="none"/>
        </w:rPr>
        <w:t>（北京时间）          </w:t>
      </w:r>
    </w:p>
    <w:p w14:paraId="2C9D02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投标地点（网址）：请登录政采云投标客户端投标          </w:t>
      </w:r>
    </w:p>
    <w:p w14:paraId="1A63222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开标时间：</w:t>
      </w:r>
      <w:r>
        <w:rPr>
          <w:rFonts w:hint="eastAsia" w:cs="宋体"/>
          <w:i w:val="0"/>
          <w:iCs w:val="0"/>
          <w:caps w:val="0"/>
          <w:color w:val="auto"/>
          <w:spacing w:val="0"/>
          <w:sz w:val="22"/>
          <w:szCs w:val="22"/>
          <w:highlight w:val="none"/>
          <w:lang w:eastAsia="zh-CN"/>
        </w:rPr>
        <w:t>2024年12月25日 09:30</w:t>
      </w:r>
      <w:r>
        <w:rPr>
          <w:rFonts w:hint="eastAsia" w:ascii="宋体" w:hAnsi="宋体" w:eastAsia="宋体" w:cs="宋体"/>
          <w:i w:val="0"/>
          <w:iCs w:val="0"/>
          <w:caps w:val="0"/>
          <w:color w:val="auto"/>
          <w:spacing w:val="0"/>
          <w:sz w:val="22"/>
          <w:szCs w:val="22"/>
          <w:highlight w:val="none"/>
        </w:rPr>
        <w:t>          </w:t>
      </w:r>
    </w:p>
    <w:p w14:paraId="35AE272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开标地点（网址）：浙江乐诚工程咨询有限公司评审室          </w:t>
      </w:r>
    </w:p>
    <w:p w14:paraId="166734A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五、公告期限</w:t>
      </w:r>
    </w:p>
    <w:p w14:paraId="770D899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自本公告发布之日起5个工作日。          </w:t>
      </w:r>
    </w:p>
    <w:p w14:paraId="136BB9F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六、其他补充事宜</w:t>
      </w:r>
    </w:p>
    <w:p w14:paraId="0C6F32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53F223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0EC2E57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0BEE521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4.其他事项：</w:t>
      </w:r>
      <w:r>
        <w:rPr>
          <w:rFonts w:hint="eastAsia" w:ascii="宋体" w:hAnsi="宋体" w:eastAsia="宋体" w:cs="宋体"/>
          <w:i w:val="0"/>
          <w:iCs w:val="0"/>
          <w:caps w:val="0"/>
          <w:color w:val="auto"/>
          <w:spacing w:val="0"/>
          <w:sz w:val="22"/>
          <w:szCs w:val="22"/>
          <w:highlight w:val="none"/>
          <w:lang w:val="en-US" w:eastAsia="zh-CN"/>
        </w:rPr>
        <w:t>无</w:t>
      </w:r>
      <w:r>
        <w:rPr>
          <w:rFonts w:hint="eastAsia" w:ascii="宋体" w:hAnsi="宋体" w:eastAsia="宋体" w:cs="宋体"/>
          <w:i w:val="0"/>
          <w:iCs w:val="0"/>
          <w:caps w:val="0"/>
          <w:color w:val="auto"/>
          <w:spacing w:val="0"/>
          <w:sz w:val="22"/>
          <w:szCs w:val="22"/>
          <w:highlight w:val="none"/>
        </w:rPr>
        <w:t>          </w:t>
      </w:r>
    </w:p>
    <w:p w14:paraId="05ADD5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七、对本次采购提出询问、质疑、投诉，请按以下方式联系</w:t>
      </w:r>
    </w:p>
    <w:p w14:paraId="63D52E9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1.采购人信息          </w:t>
      </w:r>
    </w:p>
    <w:p w14:paraId="2A44CE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称：文成县卫生健康局          </w:t>
      </w:r>
    </w:p>
    <w:p w14:paraId="55C8C1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址：文成县大峃镇华侨新村35幢8号          </w:t>
      </w:r>
    </w:p>
    <w:p w14:paraId="4A6E86E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          </w:t>
      </w:r>
    </w:p>
    <w:p w14:paraId="53754B0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项目联系人（询问）：王女士          </w:t>
      </w:r>
    </w:p>
    <w:p w14:paraId="396A8F0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项目联系方式（询问）：0577-67830212          </w:t>
      </w:r>
    </w:p>
    <w:p w14:paraId="7799BE3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质疑联系人：雷女士          </w:t>
      </w:r>
    </w:p>
    <w:p w14:paraId="25F4E21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质疑联系方式：0577-67810213          </w:t>
      </w:r>
    </w:p>
    <w:p w14:paraId="26C8F9A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2.采购代理机构信息          </w:t>
      </w:r>
    </w:p>
    <w:p w14:paraId="6F03DEE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称：浙江乐诚工程咨询有限公司          </w:t>
      </w:r>
    </w:p>
    <w:p w14:paraId="1E1D3C6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址：温州市瓯海区三垟街道桥头河大桥温州生命健康小镇B03</w:t>
      </w:r>
    </w:p>
    <w:p w14:paraId="66DEA28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          </w:t>
      </w:r>
    </w:p>
    <w:p w14:paraId="287ECCE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项目联系人（询问）：王纪凤/陈素芳          </w:t>
      </w:r>
    </w:p>
    <w:p w14:paraId="5969891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项目联系方式（询问）：0577-86077700/18357703076          </w:t>
      </w:r>
    </w:p>
    <w:p w14:paraId="7B3905C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质疑联系人：钱学丰          </w:t>
      </w:r>
    </w:p>
    <w:p w14:paraId="34DFC9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质疑联系方式：15805779720          </w:t>
      </w:r>
    </w:p>
    <w:p w14:paraId="645D49A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w:t>
      </w:r>
      <w:r>
        <w:rPr>
          <w:rStyle w:val="42"/>
          <w:rFonts w:hint="eastAsia" w:ascii="宋体" w:hAnsi="宋体" w:eastAsia="宋体" w:cs="宋体"/>
          <w:i w:val="0"/>
          <w:iCs w:val="0"/>
          <w:caps w:val="0"/>
          <w:color w:val="auto"/>
          <w:spacing w:val="0"/>
          <w:sz w:val="22"/>
          <w:szCs w:val="22"/>
          <w:highlight w:val="none"/>
        </w:rPr>
        <w:t>同级政府采购监督管理部门</w:t>
      </w:r>
    </w:p>
    <w:p w14:paraId="258A61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称：文成县财政局政府采购监管科</w:t>
      </w:r>
    </w:p>
    <w:p w14:paraId="5375213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址：文成县财政局大峃镇伯温路</w:t>
      </w:r>
    </w:p>
    <w:p w14:paraId="380D2B9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w:t>
      </w:r>
    </w:p>
    <w:p w14:paraId="11BC32F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联 系 人：吴昌文</w:t>
      </w:r>
    </w:p>
    <w:p w14:paraId="2E7D59C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监督投诉电话：0577-67860159</w:t>
      </w:r>
    </w:p>
    <w:p w14:paraId="7351228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           </w:t>
      </w:r>
    </w:p>
    <w:p w14:paraId="3BAC212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7B6C6D9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CA问题联系电话（人工）：汇信CA 400-888-4636；天谷CA 400-087-8198。</w:t>
      </w:r>
    </w:p>
    <w:p w14:paraId="73FAF7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w:t>
      </w:r>
    </w:p>
    <w:p w14:paraId="4E58A81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w:t>
      </w:r>
    </w:p>
    <w:p w14:paraId="5C8B36CC">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pacing w:val="-6"/>
          <w:sz w:val="22"/>
          <w:szCs w:val="22"/>
          <w:highlight w:val="none"/>
          <w:lang w:val="zh-CN"/>
        </w:rPr>
      </w:pPr>
      <w:r>
        <w:rPr>
          <w:rFonts w:hint="eastAsia" w:ascii="宋体" w:hAnsi="宋体" w:eastAsia="宋体" w:cs="宋体"/>
          <w:color w:val="auto"/>
          <w:spacing w:val="-6"/>
          <w:sz w:val="22"/>
          <w:szCs w:val="22"/>
          <w:highlight w:val="none"/>
          <w:lang w:val="zh-CN"/>
        </w:rPr>
        <w:t>文成县卫生健康局</w:t>
      </w:r>
    </w:p>
    <w:p w14:paraId="5F07986D">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pacing w:val="-6"/>
          <w:sz w:val="22"/>
          <w:szCs w:val="22"/>
          <w:highlight w:val="none"/>
          <w:lang w:val="zh-CN"/>
        </w:rPr>
      </w:pPr>
      <w:r>
        <w:rPr>
          <w:rFonts w:hint="eastAsia" w:ascii="宋体" w:hAnsi="宋体" w:eastAsia="宋体" w:cs="宋体"/>
          <w:color w:val="auto"/>
          <w:kern w:val="0"/>
          <w:sz w:val="22"/>
          <w:szCs w:val="22"/>
          <w:highlight w:val="none"/>
        </w:rPr>
        <w:t>浙江乐</w:t>
      </w:r>
      <w:r>
        <w:rPr>
          <w:rFonts w:hint="eastAsia" w:ascii="宋体" w:hAnsi="宋体" w:eastAsia="宋体" w:cs="宋体"/>
          <w:color w:val="auto"/>
          <w:spacing w:val="-6"/>
          <w:sz w:val="22"/>
          <w:szCs w:val="22"/>
          <w:highlight w:val="none"/>
          <w:lang w:val="zh-CN"/>
        </w:rPr>
        <w:t>诚工程咨询有限公司</w:t>
      </w:r>
    </w:p>
    <w:p w14:paraId="18E1CF68">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pacing w:val="-6"/>
          <w:sz w:val="22"/>
          <w:highlight w:val="none"/>
          <w:lang w:val="zh-CN"/>
        </w:rPr>
      </w:pPr>
      <w:r>
        <w:rPr>
          <w:rFonts w:hint="eastAsia" w:ascii="宋体" w:hAnsi="宋体" w:cs="宋体"/>
          <w:color w:val="auto"/>
          <w:spacing w:val="-6"/>
          <w:sz w:val="22"/>
          <w:szCs w:val="22"/>
          <w:highlight w:val="none"/>
          <w:lang w:val="zh-CN"/>
        </w:rPr>
        <w:t>2024年12月</w:t>
      </w:r>
      <w:r>
        <w:rPr>
          <w:rFonts w:hint="eastAsia" w:ascii="宋体" w:hAnsi="宋体" w:cs="宋体"/>
          <w:color w:val="auto"/>
          <w:spacing w:val="-6"/>
          <w:sz w:val="22"/>
          <w:szCs w:val="22"/>
          <w:highlight w:val="none"/>
          <w:lang w:val="en-US" w:eastAsia="zh-CN"/>
        </w:rPr>
        <w:t>04</w:t>
      </w:r>
      <w:r>
        <w:rPr>
          <w:rFonts w:hint="eastAsia" w:ascii="宋体" w:hAnsi="宋体" w:cs="宋体"/>
          <w:color w:val="auto"/>
          <w:spacing w:val="-6"/>
          <w:sz w:val="22"/>
          <w:szCs w:val="22"/>
          <w:highlight w:val="none"/>
          <w:lang w:val="zh-CN"/>
        </w:rPr>
        <w:t>日</w:t>
      </w:r>
    </w:p>
    <w:bookmarkEnd w:id="1"/>
    <w:p w14:paraId="70098609">
      <w:pPr>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br w:type="page"/>
      </w:r>
    </w:p>
    <w:p w14:paraId="529AF257">
      <w:pPr>
        <w:spacing w:line="400" w:lineRule="exact"/>
        <w:jc w:val="center"/>
        <w:outlineLvl w:val="0"/>
        <w:rPr>
          <w:rFonts w:hint="eastAsia" w:ascii="宋体" w:hAnsi="宋体" w:eastAsia="宋体" w:cs="宋体"/>
          <w:b/>
          <w:color w:val="auto"/>
          <w:sz w:val="32"/>
          <w:highlight w:val="none"/>
        </w:rPr>
      </w:pPr>
      <w:bookmarkStart w:id="2" w:name="_Toc32709"/>
      <w:r>
        <w:rPr>
          <w:rFonts w:hint="eastAsia" w:ascii="宋体" w:hAnsi="宋体" w:eastAsia="宋体" w:cs="宋体"/>
          <w:b/>
          <w:color w:val="auto"/>
          <w:sz w:val="32"/>
          <w:highlight w:val="none"/>
        </w:rPr>
        <w:t>第二部分 投标人须知</w:t>
      </w:r>
      <w:bookmarkEnd w:id="2"/>
    </w:p>
    <w:p w14:paraId="5B34B0EF">
      <w:pPr>
        <w:spacing w:line="360" w:lineRule="exact"/>
        <w:jc w:val="center"/>
        <w:outlineLvl w:val="1"/>
        <w:rPr>
          <w:rFonts w:hint="eastAsia" w:ascii="宋体" w:hAnsi="宋体" w:eastAsia="宋体" w:cs="宋体"/>
          <w:b/>
          <w:bCs/>
          <w:color w:val="auto"/>
          <w:sz w:val="28"/>
          <w:szCs w:val="28"/>
          <w:highlight w:val="none"/>
        </w:rPr>
      </w:pPr>
      <w:bookmarkStart w:id="3" w:name="_Toc13225"/>
      <w:r>
        <w:rPr>
          <w:rFonts w:hint="eastAsia" w:ascii="宋体" w:hAnsi="宋体" w:eastAsia="宋体" w:cs="宋体"/>
          <w:b/>
          <w:bCs/>
          <w:color w:val="auto"/>
          <w:sz w:val="28"/>
          <w:szCs w:val="28"/>
          <w:highlight w:val="none"/>
        </w:rPr>
        <w:t>投标人须知前附表</w:t>
      </w:r>
      <w:bookmarkEnd w:id="3"/>
    </w:p>
    <w:tbl>
      <w:tblPr>
        <w:tblStyle w:val="32"/>
        <w:tblW w:w="9280" w:type="dxa"/>
        <w:jc w:val="center"/>
        <w:tblLayout w:type="fixed"/>
        <w:tblCellMar>
          <w:top w:w="0" w:type="dxa"/>
          <w:left w:w="108" w:type="dxa"/>
          <w:bottom w:w="0" w:type="dxa"/>
          <w:right w:w="108" w:type="dxa"/>
        </w:tblCellMar>
      </w:tblPr>
      <w:tblGrid>
        <w:gridCol w:w="766"/>
        <w:gridCol w:w="1796"/>
        <w:gridCol w:w="6718"/>
      </w:tblGrid>
      <w:tr w14:paraId="33530BB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D2A89A">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0A563CB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5B93D335">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编列内容</w:t>
            </w:r>
          </w:p>
        </w:tc>
      </w:tr>
      <w:tr w14:paraId="7F343E4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7F1837C">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1507E134">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51FD814E">
            <w:pPr>
              <w:spacing w:line="360" w:lineRule="exact"/>
              <w:ind w:right="416"/>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文成县卫生健康局</w:t>
            </w:r>
          </w:p>
        </w:tc>
      </w:tr>
      <w:tr w14:paraId="79FDD0E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AF01678">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3FC354A9">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7B50D2BE">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lang w:val="zh-CN"/>
              </w:rPr>
              <w:t>浙江乐诚工程咨询有限公司</w:t>
            </w:r>
          </w:p>
        </w:tc>
      </w:tr>
      <w:tr w14:paraId="64BB2D7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E27AF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749E4C8D">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6B5F1C80">
            <w:pPr>
              <w:autoSpaceDE w:val="0"/>
              <w:autoSpaceDN w:val="0"/>
              <w:adjustRightInd w:val="0"/>
              <w:spacing w:line="360" w:lineRule="exact"/>
              <w:rPr>
                <w:rFonts w:hint="eastAsia" w:ascii="宋体" w:hAnsi="宋体" w:eastAsia="宋体" w:cs="宋体"/>
                <w:color w:val="auto"/>
                <w:highlight w:val="none"/>
                <w:lang w:eastAsia="zh-CN"/>
              </w:rPr>
            </w:pPr>
            <w:r>
              <w:rPr>
                <w:rFonts w:hint="eastAsia" w:ascii="宋体" w:hAnsi="宋体" w:eastAsia="宋体" w:cs="宋体"/>
                <w:color w:val="auto"/>
                <w:kern w:val="0"/>
                <w:sz w:val="22"/>
                <w:highlight w:val="none"/>
              </w:rPr>
              <w:t>项目名称：</w:t>
            </w:r>
            <w:r>
              <w:rPr>
                <w:rFonts w:hint="eastAsia" w:ascii="宋体" w:hAnsi="宋体" w:cs="宋体"/>
                <w:color w:val="auto"/>
                <w:sz w:val="22"/>
                <w:highlight w:val="none"/>
                <w:lang w:eastAsia="zh-CN"/>
              </w:rPr>
              <w:t>文成县医疗卫生设施及服务能力提升项目-临床检验设备采购</w:t>
            </w:r>
          </w:p>
        </w:tc>
      </w:tr>
      <w:tr w14:paraId="470AC6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132126F">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14081FA2">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预算金额</w:t>
            </w:r>
            <w:r>
              <w:rPr>
                <w:rFonts w:hint="eastAsia" w:ascii="宋体" w:hAnsi="宋体" w:eastAsia="宋体" w:cs="宋体"/>
                <w:color w:val="auto"/>
                <w:kern w:val="0"/>
                <w:sz w:val="22"/>
                <w:highlight w:val="none"/>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51F5AD92">
            <w:pPr>
              <w:spacing w:line="360" w:lineRule="exact"/>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▲预算金额：</w:t>
            </w:r>
            <w:r>
              <w:rPr>
                <w:rFonts w:hint="eastAsia" w:ascii="宋体" w:hAnsi="宋体" w:cs="宋体"/>
                <w:bCs/>
                <w:color w:val="auto"/>
                <w:sz w:val="22"/>
                <w:highlight w:val="none"/>
                <w:u w:val="single"/>
                <w:lang w:val="en-US" w:eastAsia="zh-CN"/>
              </w:rPr>
              <w:t>420000</w:t>
            </w:r>
            <w:r>
              <w:rPr>
                <w:rFonts w:hint="eastAsia" w:ascii="宋体" w:hAnsi="宋体" w:eastAsia="宋体" w:cs="宋体"/>
                <w:bCs/>
                <w:color w:val="auto"/>
                <w:sz w:val="22"/>
                <w:highlight w:val="none"/>
                <w:u w:val="single"/>
              </w:rPr>
              <w:t>元。报价超</w:t>
            </w:r>
            <w:r>
              <w:rPr>
                <w:rFonts w:hint="eastAsia" w:ascii="宋体" w:hAnsi="宋体" w:eastAsia="宋体" w:cs="宋体"/>
                <w:color w:val="auto"/>
                <w:sz w:val="22"/>
                <w:highlight w:val="none"/>
                <w:u w:val="single"/>
              </w:rPr>
              <w:t>过预算金额的投标无效。</w:t>
            </w:r>
          </w:p>
          <w:p w14:paraId="552D5F78">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采购资金来源：财政拨款。</w:t>
            </w:r>
          </w:p>
        </w:tc>
      </w:tr>
      <w:tr w14:paraId="0A23FFF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066223A">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037F2AB5">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6A721991">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详见第一部分 公开招标公告</w:t>
            </w:r>
          </w:p>
        </w:tc>
      </w:tr>
      <w:tr w14:paraId="1E06C8C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71ACD8F">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04AC12EC">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36F46033">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1.投标报价是指一次性报出不得更改的价格；</w:t>
            </w:r>
          </w:p>
          <w:p w14:paraId="3D108889">
            <w:pPr>
              <w:adjustRightInd w:val="0"/>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w:t>
            </w:r>
            <w:r>
              <w:rPr>
                <w:rFonts w:hint="eastAsia" w:ascii="宋体" w:hAnsi="宋体" w:eastAsia="宋体" w:cs="宋体"/>
                <w:b/>
                <w:color w:val="auto"/>
                <w:sz w:val="22"/>
                <w:highlight w:val="none"/>
              </w:rPr>
              <w:t>采用含税人民币报价。</w:t>
            </w:r>
          </w:p>
        </w:tc>
      </w:tr>
      <w:tr w14:paraId="6157FA1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83522AC">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1195AFCA">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6405E851">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不论投标结果如何，投标人均应自行承担所有与投标有关的全部费用</w:t>
            </w:r>
          </w:p>
        </w:tc>
      </w:tr>
      <w:tr w14:paraId="5C19D29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EA85B9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752CB803">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14:paraId="30B7BBE4">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详见公开招标公告</w:t>
            </w:r>
          </w:p>
        </w:tc>
      </w:tr>
      <w:tr w14:paraId="21EC7FA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D0DED14">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2EEAD508">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3F04409F">
            <w:pPr>
              <w:adjustRightInd w:val="0"/>
              <w:snapToGrid w:val="0"/>
              <w:spacing w:line="36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接受，但必须满足以下条件：</w:t>
            </w:r>
          </w:p>
          <w:p w14:paraId="2FD1AD1E">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1.两个以上的自然人、法人或者其他组织可以组成一个联合体，以一个供应商的身份共同参加政府采购。</w:t>
            </w:r>
          </w:p>
          <w:p w14:paraId="5DA0775E">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3DC9281">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3F450CC3">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4.联合体中有同类资质的供应商按照联合体分工承担相同工作的，按照资质等级较低的供应商确定资质等级。</w:t>
            </w:r>
          </w:p>
          <w:p w14:paraId="7AC7DF3E">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5.联合体各方指定其中一家企业为牵头人，由牵头人之法定代表人或其委托代理人为联合体授权代表执行联合体有关的决议，以联合体名义处理与本项目相关的事务。</w:t>
            </w:r>
          </w:p>
          <w:p w14:paraId="2FE2ECDA">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6.以联合体形式参加采购活动的，联合体各方不得再单独参加或者与其他供应商另外组成联合体参加同一合同项下的采购活动。</w:t>
            </w:r>
          </w:p>
          <w:p w14:paraId="76E5A77D">
            <w:pPr>
              <w:autoSpaceDE w:val="0"/>
              <w:autoSpaceDN w:val="0"/>
              <w:adjustRightIn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b/>
                <w:bCs/>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7.投标文件中需要签章或签字的内容（资格文件等其他另有要求的除外）可只需加盖联合体牵头人有效电子签章或公章及联合体牵头人授权代表（或其法定代表人）签字或盖章。</w:t>
            </w:r>
          </w:p>
        </w:tc>
      </w:tr>
      <w:tr w14:paraId="29EF0A5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3DC93C2">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14:paraId="5AA2342A">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6D543B14">
            <w:pPr>
              <w:autoSpaceDE w:val="0"/>
              <w:autoSpaceDN w:val="0"/>
              <w:adjustRightIn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zh-CN"/>
              </w:rPr>
              <w:t>不</w:t>
            </w:r>
            <w:r>
              <w:rPr>
                <w:rFonts w:hint="eastAsia" w:ascii="宋体" w:hAnsi="宋体" w:eastAsia="宋体" w:cs="宋体"/>
                <w:color w:val="auto"/>
                <w:kern w:val="0"/>
                <w:sz w:val="22"/>
                <w:highlight w:val="none"/>
              </w:rPr>
              <w:t>组织，</w:t>
            </w:r>
            <w:r>
              <w:rPr>
                <w:rFonts w:hint="eastAsia" w:ascii="宋体" w:hAnsi="宋体" w:eastAsia="宋体" w:cs="宋体"/>
                <w:b/>
                <w:bCs/>
                <w:snapToGrid w:val="0"/>
                <w:color w:val="auto"/>
                <w:sz w:val="22"/>
                <w:highlight w:val="none"/>
              </w:rPr>
              <w:t>如有需要投标人</w:t>
            </w:r>
            <w:r>
              <w:rPr>
                <w:rFonts w:hint="eastAsia" w:ascii="宋体" w:hAnsi="宋体" w:eastAsia="宋体" w:cs="宋体"/>
                <w:b/>
                <w:bCs/>
                <w:snapToGrid w:val="0"/>
                <w:color w:val="auto"/>
                <w:sz w:val="22"/>
                <w:highlight w:val="none"/>
                <w:lang w:val="zh-CN"/>
              </w:rPr>
              <w:t>自行前往项目现场进行踏勘，</w:t>
            </w:r>
            <w:r>
              <w:rPr>
                <w:rFonts w:hint="eastAsia" w:ascii="宋体" w:hAnsi="宋体" w:eastAsia="宋体" w:cs="宋体"/>
                <w:b/>
                <w:bCs/>
                <w:snapToGrid w:val="0"/>
                <w:color w:val="auto"/>
                <w:sz w:val="22"/>
                <w:highlight w:val="none"/>
              </w:rPr>
              <w:t>投标人</w:t>
            </w:r>
            <w:r>
              <w:rPr>
                <w:rFonts w:hint="eastAsia" w:ascii="宋体" w:hAnsi="宋体" w:eastAsia="宋体" w:cs="宋体"/>
                <w:b/>
                <w:bCs/>
                <w:snapToGrid w:val="0"/>
                <w:color w:val="auto"/>
                <w:sz w:val="22"/>
                <w:highlight w:val="none"/>
                <w:lang w:val="zh-CN"/>
              </w:rPr>
              <w:t>因现场踏勘影响投标报价、方案编制的，由</w:t>
            </w:r>
            <w:r>
              <w:rPr>
                <w:rFonts w:hint="eastAsia" w:ascii="宋体" w:hAnsi="宋体" w:eastAsia="宋体" w:cs="宋体"/>
                <w:b/>
                <w:bCs/>
                <w:snapToGrid w:val="0"/>
                <w:color w:val="auto"/>
                <w:sz w:val="22"/>
                <w:highlight w:val="none"/>
              </w:rPr>
              <w:t>供应商</w:t>
            </w:r>
            <w:r>
              <w:rPr>
                <w:rFonts w:hint="eastAsia" w:ascii="宋体" w:hAnsi="宋体" w:eastAsia="宋体" w:cs="宋体"/>
                <w:b/>
                <w:bCs/>
                <w:snapToGrid w:val="0"/>
                <w:color w:val="auto"/>
                <w:sz w:val="22"/>
                <w:highlight w:val="none"/>
                <w:lang w:val="zh-CN"/>
              </w:rPr>
              <w:t>自行承担。因供应商自身不能参加现场勘察或现场踏勘不全面的，供应商不得因此提出修改投标报价或提出索赔等要求。</w:t>
            </w:r>
          </w:p>
        </w:tc>
      </w:tr>
      <w:tr w14:paraId="79DECBF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A859CAA">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52274861">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548A7F82">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不召开</w:t>
            </w:r>
          </w:p>
        </w:tc>
      </w:tr>
      <w:tr w14:paraId="32BCB31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9C469D7">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7BEB0C12">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68D32409">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本项目不允许转包</w:t>
            </w:r>
          </w:p>
          <w:p w14:paraId="2EF6AB0D">
            <w:pPr>
              <w:autoSpaceDE w:val="0"/>
              <w:autoSpaceDN w:val="0"/>
              <w:adjustRightIn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2.分包</w:t>
            </w:r>
          </w:p>
          <w:p w14:paraId="380BC6F3">
            <w:pPr>
              <w:autoSpaceDE w:val="0"/>
              <w:autoSpaceDN w:val="0"/>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2.1投标人根据招标文件的规定和采购项目的实际情况，拟在中标后将中标项目的非主体、非关键性运输工作分包的，应当在投标文件中载明分包承担主体，分包承担主体应当具备相应资质条件且不得再次分包。</w:t>
            </w:r>
          </w:p>
          <w:p w14:paraId="0AA006A1">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2.2</w:t>
            </w:r>
            <w:r>
              <w:rPr>
                <w:rFonts w:hint="eastAsia" w:ascii="宋体" w:hAnsi="宋体" w:eastAsia="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44929A60">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2.3</w:t>
            </w:r>
            <w:r>
              <w:rPr>
                <w:rFonts w:hint="eastAsia" w:ascii="宋体" w:hAnsi="宋体" w:eastAsia="宋体" w:cs="宋体"/>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14CAA03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733864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3182CC6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3A34E706">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48A9A1D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6CF08E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2E72B18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38F78C3E">
            <w:pPr>
              <w:widowControl/>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从提交投标文件的截止时间之日起90天。</w:t>
            </w:r>
          </w:p>
        </w:tc>
      </w:tr>
      <w:tr w14:paraId="360269B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E79E0E8">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1B10D658">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0278D080">
            <w:pPr>
              <w:widowControl/>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无</w:t>
            </w:r>
          </w:p>
        </w:tc>
      </w:tr>
      <w:tr w14:paraId="1B89312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D338FA">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03C64791">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b/>
                <w:bCs/>
                <w:color w:val="auto"/>
                <w:kern w:val="0"/>
                <w:sz w:val="22"/>
                <w:highlight w:val="none"/>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1BF35E84">
            <w:pPr>
              <w:pStyle w:val="13"/>
              <w:overflowPunct/>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本项目实行网上电子投标。</w:t>
            </w:r>
          </w:p>
          <w:p w14:paraId="3996123B">
            <w:pPr>
              <w:pStyle w:val="13"/>
              <w:overflowPunct/>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投标人应准备电子投标文件、以介质存储的数据电文形式的备份投标文件二类：</w:t>
            </w:r>
          </w:p>
          <w:p w14:paraId="3AC4F2F1">
            <w:pPr>
              <w:pStyle w:val="13"/>
              <w:overflowPunct/>
              <w:snapToGrid w:val="0"/>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ascii="宋体" w:hAnsi="宋体" w:eastAsia="宋体" w:cs="宋体"/>
                <w:b/>
                <w:bCs/>
                <w:color w:val="auto"/>
                <w:sz w:val="22"/>
                <w:highlight w:val="none"/>
                <w:lang w:val="zh-CN"/>
              </w:rPr>
              <w:t>。</w:t>
            </w:r>
          </w:p>
          <w:p w14:paraId="1D796AEE">
            <w:pPr>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（2）以介质存储的数据电文形式的备份投标文件（如有）：</w:t>
            </w:r>
            <w:r>
              <w:rPr>
                <w:rStyle w:val="36"/>
                <w:rFonts w:hint="eastAsia" w:ascii="宋体" w:hAnsi="宋体" w:eastAsia="宋体" w:cs="宋体"/>
                <w:bCs/>
                <w:color w:val="auto"/>
                <w:sz w:val="22"/>
                <w:highlight w:val="none"/>
              </w:rPr>
              <w:t>与“电子投标文件”同时生成的数据电文形式的备份投标文件(文件扩展名为.bfbs)</w:t>
            </w:r>
            <w:r>
              <w:rPr>
                <w:rFonts w:hint="eastAsia" w:ascii="宋体" w:hAnsi="宋体" w:eastAsia="宋体" w:cs="宋体"/>
                <w:b/>
                <w:bCs/>
                <w:color w:val="auto"/>
                <w:sz w:val="22"/>
                <w:highlight w:val="none"/>
              </w:rPr>
              <w:t>，投标文件提交截止时间前以</w:t>
            </w:r>
            <w:r>
              <w:rPr>
                <w:rFonts w:hint="eastAsia" w:ascii="宋体" w:hAnsi="宋体" w:eastAsia="宋体" w:cs="宋体"/>
                <w:b/>
                <w:bCs/>
                <w:color w:val="auto"/>
                <w:sz w:val="22"/>
                <w:highlight w:val="none"/>
                <w:lang w:val="zh-CN"/>
              </w:rPr>
              <w:t>电子邮件方式传送至浙江乐诚工程咨询有限公司电子邮箱</w:t>
            </w:r>
            <w:r>
              <w:rPr>
                <w:rFonts w:hint="eastAsia" w:ascii="宋体" w:hAnsi="宋体" w:eastAsia="宋体" w:cs="宋体"/>
                <w:b/>
                <w:bCs/>
                <w:color w:val="auto"/>
                <w:sz w:val="22"/>
                <w:highlight w:val="none"/>
              </w:rPr>
              <w:t>58000634@qq.com，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6"/>
                <w:rFonts w:hint="eastAsia" w:ascii="宋体" w:hAnsi="宋体" w:eastAsia="宋体" w:cs="宋体"/>
                <w:bCs/>
                <w:color w:val="auto"/>
                <w:sz w:val="22"/>
                <w:highlight w:val="none"/>
              </w:rPr>
              <w:t>。</w:t>
            </w:r>
          </w:p>
          <w:p w14:paraId="03EABC28">
            <w:pPr>
              <w:pStyle w:val="13"/>
              <w:overflowPunct/>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投标文件由报价文件、资格文件、商务和技术文件三部分组成。</w:t>
            </w:r>
          </w:p>
          <w:p w14:paraId="18FD739B">
            <w:pPr>
              <w:pStyle w:val="13"/>
              <w:overflowPunct/>
              <w:snapToGrid w:val="0"/>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注：中标人在领取中标通知书时按采购人要求提供全套纸质投标文件贰份。</w:t>
            </w:r>
          </w:p>
        </w:tc>
      </w:tr>
      <w:tr w14:paraId="2C0A411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169CA78">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40366875">
            <w:pPr>
              <w:jc w:val="left"/>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54615F55">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本项目原则上采用政采云电子招投标开标及评审程序，但有以下情形之一的，按以下情况处理：</w:t>
            </w:r>
          </w:p>
          <w:p w14:paraId="79E24D87">
            <w:pPr>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1FCE6C3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E4A7EAF">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18</w:t>
            </w:r>
          </w:p>
        </w:tc>
        <w:tc>
          <w:tcPr>
            <w:tcW w:w="1796" w:type="dxa"/>
            <w:tcBorders>
              <w:top w:val="single" w:color="auto" w:sz="4" w:space="0"/>
              <w:left w:val="single" w:color="auto" w:sz="4" w:space="0"/>
              <w:bottom w:val="single" w:color="auto" w:sz="4" w:space="0"/>
              <w:right w:val="single" w:color="auto" w:sz="4" w:space="0"/>
            </w:tcBorders>
            <w:vAlign w:val="center"/>
          </w:tcPr>
          <w:p w14:paraId="543B0D8D">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08D4D1E6">
            <w:pPr>
              <w:autoSpaceDE w:val="0"/>
              <w:autoSpaceDN w:val="0"/>
              <w:adjustRightInd w:val="0"/>
              <w:spacing w:line="360" w:lineRule="exact"/>
              <w:ind w:firstLine="31"/>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评审小组成员由采购人代表和有关技术、经济等方面的专家组成，有关技术、经济等方面的专家成员人数为</w:t>
            </w:r>
            <w:r>
              <w:rPr>
                <w:rFonts w:hint="eastAsia" w:ascii="宋体" w:hAnsi="宋体" w:cs="宋体"/>
                <w:color w:val="auto"/>
                <w:kern w:val="0"/>
                <w:sz w:val="22"/>
                <w:highlight w:val="none"/>
                <w:lang w:val="en-US" w:eastAsia="zh-CN"/>
              </w:rPr>
              <w:t>5</w:t>
            </w:r>
            <w:r>
              <w:rPr>
                <w:rFonts w:hint="eastAsia" w:ascii="宋体" w:hAnsi="宋体" w:eastAsia="宋体" w:cs="宋体"/>
                <w:color w:val="auto"/>
                <w:kern w:val="0"/>
                <w:sz w:val="22"/>
                <w:highlight w:val="none"/>
                <w:lang w:val="zh-CN"/>
              </w:rPr>
              <w:t>人及以上单数，除采购人代表外的专家将按有关规定随机抽取产生。</w:t>
            </w:r>
          </w:p>
        </w:tc>
      </w:tr>
      <w:tr w14:paraId="1ACD465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37E90FE">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19</w:t>
            </w:r>
          </w:p>
        </w:tc>
        <w:tc>
          <w:tcPr>
            <w:tcW w:w="1796" w:type="dxa"/>
            <w:tcBorders>
              <w:top w:val="single" w:color="auto" w:sz="4" w:space="0"/>
              <w:left w:val="single" w:color="auto" w:sz="4" w:space="0"/>
              <w:bottom w:val="single" w:color="auto" w:sz="4" w:space="0"/>
              <w:right w:val="single" w:color="auto" w:sz="4" w:space="0"/>
            </w:tcBorders>
            <w:vAlign w:val="center"/>
          </w:tcPr>
          <w:p w14:paraId="06ED0EB9">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42B204BF">
            <w:pPr>
              <w:autoSpaceDE w:val="0"/>
              <w:autoSpaceDN w:val="0"/>
              <w:adjustRightInd w:val="0"/>
              <w:spacing w:line="360" w:lineRule="exact"/>
              <w:ind w:firstLine="31"/>
              <w:rPr>
                <w:rFonts w:hint="eastAsia" w:ascii="宋体" w:hAnsi="宋体" w:eastAsia="宋体" w:cs="宋体"/>
                <w:color w:val="auto"/>
                <w:kern w:val="0"/>
                <w:sz w:val="22"/>
                <w:highlight w:val="none"/>
                <w:lang w:val="zh-CN"/>
              </w:rPr>
            </w:pPr>
            <w:r>
              <w:rPr>
                <w:rFonts w:hint="eastAsia" w:cs="宋体"/>
                <w:color w:val="auto"/>
                <w:sz w:val="22"/>
                <w:szCs w:val="22"/>
                <w:highlight w:val="none"/>
                <w:lang w:eastAsia="zh-CN"/>
              </w:rPr>
              <w:t>浙江乐诚工程咨询有限公司评审室</w:t>
            </w:r>
          </w:p>
        </w:tc>
      </w:tr>
      <w:tr w14:paraId="278976B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2C41333">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7D7BDDA2">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5DC3D538">
            <w:pPr>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货物类，单一产品或</w:t>
            </w:r>
            <w:r>
              <w:rPr>
                <w:rFonts w:hint="eastAsia" w:ascii="宋体" w:hAnsi="宋体" w:eastAsia="宋体" w:cs="宋体"/>
                <w:color w:val="auto"/>
                <w:kern w:val="0"/>
                <w:sz w:val="22"/>
                <w:highlight w:val="none"/>
              </w:rPr>
              <w:t>核心产品</w:t>
            </w:r>
            <w:r>
              <w:rPr>
                <w:rFonts w:hint="eastAsia" w:ascii="宋体" w:hAnsi="宋体" w:eastAsia="宋体" w:cs="宋体"/>
                <w:color w:val="auto"/>
                <w:sz w:val="22"/>
                <w:highlight w:val="none"/>
              </w:rPr>
              <w:t>为：</w:t>
            </w:r>
            <w:r>
              <w:rPr>
                <w:rFonts w:hint="eastAsia" w:ascii="宋体" w:hAnsi="宋体" w:cs="宋体"/>
                <w:color w:val="auto"/>
                <w:sz w:val="22"/>
                <w:highlight w:val="none"/>
                <w:u w:val="single"/>
                <w:lang w:val="en-US" w:eastAsia="zh-CN"/>
              </w:rPr>
              <w:t xml:space="preserve"> 全自动血液分析仪、全自动尿液分析系统 </w:t>
            </w:r>
            <w:r>
              <w:rPr>
                <w:rFonts w:hint="eastAsia" w:ascii="宋体" w:hAnsi="宋体" w:eastAsia="宋体" w:cs="宋体"/>
                <w:color w:val="auto"/>
                <w:sz w:val="22"/>
                <w:highlight w:val="none"/>
              </w:rPr>
              <w:t>。</w:t>
            </w:r>
          </w:p>
        </w:tc>
      </w:tr>
      <w:tr w14:paraId="731178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02E1D13">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019A4E88">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snapToGrid w:val="0"/>
                <w:color w:val="auto"/>
                <w:sz w:val="22"/>
                <w:highlight w:val="none"/>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5BA6DDBC">
            <w:pPr>
              <w:autoSpaceDE w:val="0"/>
              <w:autoSpaceDN w:val="0"/>
              <w:adjustRightInd w:val="0"/>
              <w:snapToGrid w:val="0"/>
              <w:spacing w:line="360" w:lineRule="exact"/>
              <w:textAlignment w:val="bottom"/>
              <w:rPr>
                <w:rFonts w:hint="eastAsia" w:ascii="宋体" w:hAnsi="宋体" w:eastAsia="宋体" w:cs="宋体"/>
                <w:b/>
                <w:bCs/>
                <w:snapToGrid w:val="0"/>
                <w:color w:val="auto"/>
                <w:sz w:val="22"/>
                <w:highlight w:val="none"/>
              </w:rPr>
            </w:pPr>
            <w:r>
              <w:rPr>
                <w:rFonts w:hint="eastAsia" w:ascii="宋体" w:hAnsi="宋体" w:eastAsia="宋体" w:cs="宋体"/>
                <w:b/>
                <w:color w:val="auto"/>
                <w:sz w:val="22"/>
                <w:highlight w:val="none"/>
              </w:rPr>
              <w:t>根据《政府采购促进中小企业发展管理办法》财库〔2020〕46号文件的规定，本项目不属于预留份额专门面向中小企业采购的项目。</w:t>
            </w:r>
          </w:p>
        </w:tc>
      </w:tr>
      <w:tr w14:paraId="731D66BE">
        <w:tblPrEx>
          <w:tblCellMar>
            <w:top w:w="0" w:type="dxa"/>
            <w:left w:w="108" w:type="dxa"/>
            <w:bottom w:w="0" w:type="dxa"/>
            <w:right w:w="108" w:type="dxa"/>
          </w:tblCellMar>
        </w:tblPrEx>
        <w:trPr>
          <w:trHeight w:val="324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54F2295">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2641D7E8">
            <w:pPr>
              <w:adjustRightInd w:val="0"/>
              <w:snapToGrid w:val="0"/>
              <w:spacing w:line="360" w:lineRule="exact"/>
              <w:jc w:val="center"/>
              <w:rPr>
                <w:rFonts w:hint="eastAsia" w:ascii="宋体" w:hAnsi="宋体" w:eastAsia="宋体" w:cs="宋体"/>
                <w:snapToGrid w:val="0"/>
                <w:color w:val="auto"/>
                <w:sz w:val="22"/>
                <w:highlight w:val="none"/>
              </w:rPr>
            </w:pPr>
            <w:r>
              <w:rPr>
                <w:rFonts w:hint="eastAsia" w:ascii="宋体" w:hAnsi="宋体" w:eastAsia="宋体" w:cs="宋体"/>
                <w:color w:val="auto"/>
                <w:sz w:val="22"/>
                <w:highlight w:val="none"/>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50CF0A23">
            <w:pPr>
              <w:adjustRightInd w:val="0"/>
              <w:snapToGrid w:val="0"/>
              <w:spacing w:line="360" w:lineRule="exact"/>
              <w:jc w:val="left"/>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1.采购标的：</w:t>
            </w:r>
          </w:p>
          <w:p w14:paraId="434AB779">
            <w:pPr>
              <w:spacing w:line="36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标项</w:t>
            </w:r>
            <w:r>
              <w:rPr>
                <w:rFonts w:hint="eastAsia" w:ascii="宋体" w:hAnsi="宋体" w:eastAsia="宋体" w:cs="宋体"/>
                <w:bCs/>
                <w:color w:val="auto"/>
                <w:sz w:val="22"/>
                <w:highlight w:val="none"/>
              </w:rPr>
              <w:t>1：</w:t>
            </w:r>
            <w:bookmarkStart w:id="4" w:name="OLE_LINK1"/>
            <w:r>
              <w:rPr>
                <w:rFonts w:hint="eastAsia" w:ascii="宋体" w:hAnsi="宋体" w:eastAsia="宋体" w:cs="宋体"/>
                <w:color w:val="auto"/>
                <w:sz w:val="22"/>
                <w:highlight w:val="none"/>
                <w:u w:val="single"/>
                <w:lang w:val="en-US" w:eastAsia="zh-CN"/>
              </w:rPr>
              <w:t>全自动血液分析仪、全自动尿液分析系统、血沉分析仪、生物安全柜、尿液分析仪、尿液低速离心机、血液离心机</w:t>
            </w:r>
            <w:r>
              <w:rPr>
                <w:rFonts w:hint="eastAsia" w:ascii="宋体" w:hAnsi="宋体" w:cs="宋体"/>
                <w:color w:val="auto"/>
                <w:sz w:val="22"/>
                <w:highlight w:val="none"/>
                <w:u w:val="single"/>
                <w:lang w:val="en-US" w:eastAsia="zh-CN"/>
              </w:rPr>
              <w:t>。</w:t>
            </w:r>
          </w:p>
          <w:bookmarkEnd w:id="4"/>
          <w:p w14:paraId="01533785">
            <w:pPr>
              <w:adjustRightInd w:val="0"/>
              <w:snapToGrid w:val="0"/>
              <w:spacing w:line="36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2.中小企业划分标准所属行业（具体根据《中小企业划型标准规定》执行）</w:t>
            </w:r>
          </w:p>
          <w:p w14:paraId="524B00F5">
            <w:pPr>
              <w:tabs>
                <w:tab w:val="left" w:pos="851"/>
                <w:tab w:val="center" w:pos="5812"/>
                <w:tab w:val="decimal" w:pos="7229"/>
                <w:tab w:val="decimal" w:pos="8789"/>
              </w:tabs>
              <w:spacing w:line="360" w:lineRule="exact"/>
              <w:jc w:val="lef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所属行业：</w:t>
            </w:r>
            <w:r>
              <w:rPr>
                <w:rFonts w:hint="eastAsia" w:ascii="宋体" w:hAnsi="宋体" w:eastAsia="宋体" w:cs="宋体"/>
                <w:color w:val="auto"/>
                <w:sz w:val="22"/>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AB07A0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939567A">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0CCCFD07">
            <w:pPr>
              <w:autoSpaceDE w:val="0"/>
              <w:autoSpaceDN w:val="0"/>
              <w:adjustRightInd w:val="0"/>
              <w:spacing w:line="360" w:lineRule="exact"/>
              <w:ind w:firstLine="31"/>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49DFBA49">
            <w:pPr>
              <w:adjustRightInd w:val="0"/>
              <w:snapToGrid w:val="0"/>
              <w:spacing w:line="360" w:lineRule="exact"/>
              <w:jc w:val="left"/>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本项目不允许采购进口产品</w:t>
            </w:r>
          </w:p>
        </w:tc>
      </w:tr>
      <w:tr w14:paraId="6877675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5249F91">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4E386E0A">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27CF6F6C">
            <w:pPr>
              <w:autoSpaceDE w:val="0"/>
              <w:autoSpaceDN w:val="0"/>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综合评分法，详见第六部分  评标原则及方法。</w:t>
            </w:r>
          </w:p>
        </w:tc>
      </w:tr>
      <w:tr w14:paraId="389B539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013397">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411B5051">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color w:val="auto"/>
                <w:sz w:val="22"/>
                <w:highlight w:val="none"/>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4A109D65">
            <w:pPr>
              <w:autoSpaceDE w:val="0"/>
              <w:autoSpaceDN w:val="0"/>
              <w:adjustRightInd w:val="0"/>
              <w:spacing w:line="360" w:lineRule="exact"/>
              <w:ind w:firstLine="31"/>
              <w:rPr>
                <w:rFonts w:hint="eastAsia" w:ascii="宋体" w:hAnsi="宋体" w:eastAsia="宋体" w:cs="宋体"/>
                <w:b/>
                <w:bCs/>
                <w:color w:val="auto"/>
                <w:sz w:val="22"/>
                <w:highlight w:val="none"/>
                <w:lang w:val="zh-CN"/>
              </w:rPr>
            </w:pPr>
            <w:r>
              <w:rPr>
                <w:rFonts w:hint="eastAsia" w:ascii="宋体" w:hAnsi="宋体" w:eastAsia="宋体" w:cs="宋体"/>
                <w:color w:val="auto"/>
                <w:sz w:val="22"/>
                <w:highlight w:val="none"/>
              </w:rPr>
              <w:t>评标结束后中标公告发布于浙江政府采购网，并向中标人发出中标通知书。</w:t>
            </w:r>
          </w:p>
        </w:tc>
      </w:tr>
      <w:tr w14:paraId="7BF65E8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9C39BC">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17CF4F83">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1B6A70A3">
            <w:pPr>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中标人须在中标通知书发出之日起30日历天内与采购人签订合同。</w:t>
            </w:r>
          </w:p>
        </w:tc>
      </w:tr>
      <w:tr w14:paraId="2A53620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BB314FD">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1796" w:type="dxa"/>
            <w:tcBorders>
              <w:top w:val="single" w:color="auto" w:sz="4" w:space="0"/>
              <w:left w:val="single" w:color="auto" w:sz="4" w:space="0"/>
              <w:bottom w:val="single" w:color="auto" w:sz="4" w:space="0"/>
              <w:right w:val="single" w:color="auto" w:sz="4" w:space="0"/>
            </w:tcBorders>
            <w:vAlign w:val="center"/>
          </w:tcPr>
          <w:p w14:paraId="77528313">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226ADB44">
            <w:pPr>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539BBC6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DB6E23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1796" w:type="dxa"/>
            <w:tcBorders>
              <w:top w:val="single" w:color="auto" w:sz="4" w:space="0"/>
              <w:left w:val="single" w:color="auto" w:sz="4" w:space="0"/>
              <w:bottom w:val="single" w:color="auto" w:sz="4" w:space="0"/>
              <w:right w:val="single" w:color="auto" w:sz="4" w:space="0"/>
            </w:tcBorders>
            <w:vAlign w:val="center"/>
          </w:tcPr>
          <w:p w14:paraId="1CD6B966">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1FE77F6D">
            <w:pPr>
              <w:numPr>
                <w:ilvl w:val="0"/>
                <w:numId w:val="3"/>
              </w:num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公开招标公告属于本招标文件的一部分</w:t>
            </w:r>
          </w:p>
          <w:p w14:paraId="6D3B385C">
            <w:pPr>
              <w:numPr>
                <w:ilvl w:val="0"/>
                <w:numId w:val="3"/>
              </w:num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电子评标注意事项：</w:t>
            </w:r>
          </w:p>
          <w:p w14:paraId="24178816">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4E19B5A8">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00DAA2C9">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0C944A8B">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4A5AFDEC">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2.5投标人可通过浙江省“电子交易/不见面开评标”学习专题提前进行专题学习，熟悉操作，避免影响采购活动。</w:t>
            </w:r>
          </w:p>
          <w:p w14:paraId="33735139">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3.请务必确保投标文件制作客户端为最新版本，旧版本可能导致投标文件解密失败。</w:t>
            </w:r>
          </w:p>
          <w:p w14:paraId="149D68F3">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4.请务必确保投标文件制作时所用的 CA 锁与投标文件解密时的 CA 锁为同一把，否则可能导致投标文件解密失败。</w:t>
            </w:r>
          </w:p>
          <w:p w14:paraId="4814C090">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037688EC">
            <w:pPr>
              <w:spacing w:line="360" w:lineRule="exact"/>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6.</w:t>
            </w:r>
            <w:r>
              <w:rPr>
                <w:rFonts w:hint="eastAsia" w:ascii="宋体" w:hAnsi="宋体" w:eastAsia="宋体" w:cs="宋体"/>
                <w:b/>
                <w:color w:val="auto"/>
                <w:sz w:val="22"/>
                <w:highlight w:val="none"/>
              </w:rPr>
              <w:t>投标人未按招标文件规定及提醒操作的，引起的一切后果由投标人自行负责。</w:t>
            </w:r>
          </w:p>
          <w:p w14:paraId="7E8C5371">
            <w:pPr>
              <w:spacing w:line="360" w:lineRule="exact"/>
              <w:rPr>
                <w:rFonts w:hint="eastAsia" w:ascii="宋体" w:hAnsi="宋体" w:eastAsia="宋体" w:cs="宋体"/>
                <w:color w:val="auto"/>
                <w:highlight w:val="none"/>
              </w:rPr>
            </w:pPr>
            <w:r>
              <w:rPr>
                <w:rFonts w:hint="eastAsia" w:ascii="宋体" w:hAnsi="宋体" w:eastAsia="宋体" w:cs="宋体"/>
                <w:b/>
                <w:color w:val="auto"/>
                <w:sz w:val="22"/>
                <w:highlight w:val="none"/>
              </w:rPr>
              <w:t>7.投标截止时间同</w:t>
            </w:r>
            <w:r>
              <w:rPr>
                <w:rStyle w:val="36"/>
                <w:rFonts w:hint="eastAsia" w:ascii="宋体" w:hAnsi="宋体" w:eastAsia="宋体" w:cs="宋体"/>
                <w:color w:val="auto"/>
                <w:sz w:val="22"/>
                <w:highlight w:val="none"/>
              </w:rPr>
              <w:t>提交投标文件截止时间。</w:t>
            </w:r>
          </w:p>
        </w:tc>
      </w:tr>
    </w:tbl>
    <w:p w14:paraId="48C2340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A9A6258">
      <w:pPr>
        <w:spacing w:line="400" w:lineRule="exact"/>
        <w:jc w:val="center"/>
        <w:outlineLvl w:val="1"/>
        <w:rPr>
          <w:rFonts w:hint="eastAsia" w:ascii="宋体" w:hAnsi="宋体" w:eastAsia="宋体" w:cs="宋体"/>
          <w:b/>
          <w:color w:val="auto"/>
          <w:sz w:val="28"/>
          <w:szCs w:val="28"/>
          <w:highlight w:val="none"/>
        </w:rPr>
      </w:pPr>
      <w:bookmarkStart w:id="5" w:name="_Toc11781"/>
      <w:r>
        <w:rPr>
          <w:rFonts w:hint="eastAsia" w:ascii="宋体" w:hAnsi="宋体" w:eastAsia="宋体" w:cs="宋体"/>
          <w:b/>
          <w:color w:val="auto"/>
          <w:sz w:val="28"/>
          <w:szCs w:val="28"/>
          <w:highlight w:val="none"/>
        </w:rPr>
        <w:t>一、说明</w:t>
      </w:r>
      <w:bookmarkEnd w:id="5"/>
    </w:p>
    <w:p w14:paraId="1E85826C">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1.本次招标是按照《中华人民共和国政府采购法》、《政府采购货物和服务招标投标管理办法》等法律及有关法规组织和实施的。</w:t>
      </w:r>
    </w:p>
    <w:p w14:paraId="262B77B3">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2.定义</w:t>
      </w:r>
    </w:p>
    <w:p w14:paraId="18FEFF72">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2.1“采购人”系指文成县卫生健康局；</w:t>
      </w:r>
    </w:p>
    <w:p w14:paraId="6BDF37D6">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2.2“采购代理机构”系指组织本次招标的浙江乐诚工程咨询有限公司；</w:t>
      </w:r>
    </w:p>
    <w:p w14:paraId="3FED3785">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2.3“投标人”“供应商”系指响应招标、参加投标竞争的法人、其他组织或者自然人；</w:t>
      </w:r>
    </w:p>
    <w:p w14:paraId="7C13E553">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2.4“书面形式”包括合同书、信件和数据电文(包括电报、电传、传真、电子数据交换和电子邮件)等可以有形地表现所载内容的形式。</w:t>
      </w:r>
    </w:p>
    <w:p w14:paraId="134959F1">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6" w:name="_Hlk96327615"/>
    </w:p>
    <w:p w14:paraId="7E60503E">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2.6“电子签章”系指数据电文中以电子形式所含、所附用于识别签名人身份并表明签名人认可其中内容的数据；“公章”系指单位法定名称章。</w:t>
      </w:r>
    </w:p>
    <w:p w14:paraId="6868FBEE">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2.7招标文件对投标文件签署、盖章的要求适用于电子签章或公章。</w:t>
      </w:r>
      <w:bookmarkEnd w:id="6"/>
    </w:p>
    <w:p w14:paraId="20013E9D">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2.8“▲且加下划线”系指实质性要求条款，投标人应当做出实质性响应。</w:t>
      </w:r>
    </w:p>
    <w:p w14:paraId="3AF3AC8C">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3.</w:t>
      </w:r>
      <w:r>
        <w:rPr>
          <w:rFonts w:hint="eastAsia" w:ascii="宋体" w:hAnsi="宋体" w:eastAsia="宋体" w:cs="宋体"/>
          <w:color w:val="auto"/>
          <w:sz w:val="22"/>
          <w:highlight w:val="none"/>
        </w:rPr>
        <w:t>投标人代表</w:t>
      </w:r>
    </w:p>
    <w:p w14:paraId="5CCAE937">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指全权代表投标人参加投标活动并签署投标文件的人。投标人须携带有效身份证件。如投标人代表不是法定代表人，须有授权委托书，投标人未参加开标的，视同认可开标结果。</w:t>
      </w:r>
    </w:p>
    <w:p w14:paraId="087E6FC5">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4.投标费用</w:t>
      </w:r>
    </w:p>
    <w:p w14:paraId="193D52BB">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4.1投标人应承担所有与准备和参加投标有关费用，不论投标的结果如何，采购代理机构和采购人均无义务和责任承担这些费用。</w:t>
      </w:r>
    </w:p>
    <w:p w14:paraId="15202F0A">
      <w:pPr>
        <w:spacing w:line="360" w:lineRule="exact"/>
        <w:ind w:firstLine="440" w:firstLineChars="200"/>
        <w:jc w:val="left"/>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4.2</w:t>
      </w:r>
      <w:r>
        <w:rPr>
          <w:rFonts w:hint="eastAsia" w:ascii="宋体" w:hAnsi="宋体" w:eastAsia="宋体" w:cs="宋体"/>
          <w:color w:val="auto"/>
          <w:spacing w:val="-6"/>
          <w:sz w:val="22"/>
          <w:highlight w:val="none"/>
        </w:rPr>
        <w:t>采购代理服务费：</w:t>
      </w:r>
    </w:p>
    <w:p w14:paraId="65613BA3">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u w:val="single"/>
        </w:rPr>
        <w:t>采购代理服务费系根据国家计委印发的《招标代理服务收费管理暂行办法》计价格【2002】1980号文（货物类）的规定按标准收取</w:t>
      </w:r>
      <w:r>
        <w:rPr>
          <w:rFonts w:hint="eastAsia" w:ascii="宋体" w:hAnsi="宋体" w:eastAsia="宋体" w:cs="宋体"/>
          <w:caps/>
          <w:color w:val="auto"/>
          <w:sz w:val="22"/>
          <w:highlight w:val="none"/>
          <w:u w:val="single"/>
        </w:rPr>
        <w:t>，不足5000元的按5000元收取。</w:t>
      </w:r>
      <w:r>
        <w:rPr>
          <w:rFonts w:hint="eastAsia" w:ascii="宋体" w:hAnsi="宋体" w:eastAsia="宋体" w:cs="宋体"/>
          <w:color w:val="auto"/>
          <w:sz w:val="22"/>
          <w:highlight w:val="none"/>
          <w:u w:val="single"/>
        </w:rPr>
        <w:t>由中标人在领取中标通知书时支付</w:t>
      </w:r>
      <w:r>
        <w:rPr>
          <w:rFonts w:hint="eastAsia" w:ascii="宋体" w:hAnsi="宋体" w:eastAsia="宋体" w:cs="宋体"/>
          <w:color w:val="auto"/>
          <w:sz w:val="22"/>
          <w:highlight w:val="none"/>
        </w:rPr>
        <w:t>。</w:t>
      </w:r>
    </w:p>
    <w:p w14:paraId="300A2E39">
      <w:pPr>
        <w:spacing w:line="360" w:lineRule="exact"/>
        <w:ind w:left="536" w:leftChars="208" w:hanging="99" w:hangingChars="45"/>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采购代理服务费可以是现金、支票或汇票。</w:t>
      </w:r>
    </w:p>
    <w:p w14:paraId="1A7B61F9">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采购代理服务费汇入账户：</w:t>
      </w:r>
    </w:p>
    <w:p w14:paraId="2431A019">
      <w:pPr>
        <w:spacing w:line="360" w:lineRule="exact"/>
        <w:ind w:firstLine="880" w:firstLineChars="400"/>
        <w:rPr>
          <w:rFonts w:hint="eastAsia" w:ascii="宋体" w:hAnsi="宋体" w:eastAsia="宋体" w:cs="宋体"/>
          <w:color w:val="auto"/>
          <w:sz w:val="22"/>
          <w:highlight w:val="none"/>
        </w:rPr>
      </w:pPr>
      <w:r>
        <w:rPr>
          <w:rFonts w:hint="eastAsia" w:ascii="宋体" w:hAnsi="宋体" w:eastAsia="宋体" w:cs="宋体"/>
          <w:color w:val="auto"/>
          <w:sz w:val="22"/>
          <w:highlight w:val="none"/>
        </w:rPr>
        <w:t>收款户名：浙江乐诚工程咨询有限公司</w:t>
      </w:r>
    </w:p>
    <w:p w14:paraId="464FAD9D">
      <w:pPr>
        <w:spacing w:line="360" w:lineRule="exact"/>
        <w:ind w:firstLine="880" w:firstLineChars="400"/>
        <w:rPr>
          <w:rFonts w:hint="eastAsia" w:ascii="宋体" w:hAnsi="宋体" w:eastAsia="宋体" w:cs="宋体"/>
          <w:color w:val="auto"/>
          <w:sz w:val="22"/>
          <w:highlight w:val="none"/>
        </w:rPr>
      </w:pPr>
      <w:r>
        <w:rPr>
          <w:rFonts w:hint="eastAsia" w:ascii="宋体" w:hAnsi="宋体" w:eastAsia="宋体" w:cs="宋体"/>
          <w:color w:val="auto"/>
          <w:sz w:val="22"/>
          <w:highlight w:val="none"/>
        </w:rPr>
        <w:t>收款银行：宁波银行温州瓯海支行</w:t>
      </w:r>
    </w:p>
    <w:p w14:paraId="363DD29A">
      <w:pPr>
        <w:spacing w:line="360" w:lineRule="exact"/>
        <w:ind w:firstLine="880" w:firstLineChars="400"/>
        <w:rPr>
          <w:rFonts w:hint="eastAsia" w:ascii="宋体" w:hAnsi="宋体" w:eastAsia="宋体" w:cs="宋体"/>
          <w:color w:val="auto"/>
          <w:sz w:val="22"/>
          <w:highlight w:val="none"/>
        </w:rPr>
      </w:pPr>
      <w:r>
        <w:rPr>
          <w:rFonts w:hint="eastAsia" w:ascii="宋体" w:hAnsi="宋体" w:eastAsia="宋体" w:cs="宋体"/>
          <w:color w:val="auto"/>
          <w:sz w:val="22"/>
          <w:highlight w:val="none"/>
        </w:rPr>
        <w:t>收款账号：76060122000323292</w:t>
      </w:r>
    </w:p>
    <w:p w14:paraId="4E955681">
      <w:pPr>
        <w:spacing w:line="360" w:lineRule="exact"/>
        <w:ind w:left="536" w:leftChars="208" w:hanging="99" w:hangingChars="45"/>
        <w:rPr>
          <w:rFonts w:hint="eastAsia" w:ascii="宋体" w:hAnsi="宋体" w:eastAsia="宋体" w:cs="宋体"/>
          <w:color w:val="auto"/>
          <w:sz w:val="22"/>
          <w:highlight w:val="none"/>
        </w:rPr>
      </w:pPr>
      <w:r>
        <w:rPr>
          <w:rFonts w:hint="eastAsia" w:ascii="宋体" w:hAnsi="宋体" w:eastAsia="宋体" w:cs="宋体"/>
          <w:color w:val="auto"/>
          <w:sz w:val="22"/>
          <w:highlight w:val="none"/>
        </w:rPr>
        <w:t>关于采购代理服务费的详细事宜请咨询采购代理机构王女士（0577-86077700）。</w:t>
      </w:r>
    </w:p>
    <w:p w14:paraId="6D2D41B2">
      <w:pPr>
        <w:spacing w:line="360" w:lineRule="exact"/>
        <w:ind w:left="536" w:leftChars="208" w:hanging="99" w:hangingChars="45"/>
        <w:rPr>
          <w:rFonts w:hint="eastAsia" w:ascii="宋体" w:hAnsi="宋体" w:eastAsia="宋体" w:cs="宋体"/>
          <w:caps/>
          <w:color w:val="auto"/>
          <w:sz w:val="22"/>
          <w:highlight w:val="none"/>
        </w:rPr>
      </w:pPr>
      <w:bookmarkStart w:id="7" w:name="_Toc403719949"/>
      <w:r>
        <w:rPr>
          <w:rFonts w:hint="eastAsia" w:ascii="宋体" w:hAnsi="宋体" w:eastAsia="宋体" w:cs="宋体"/>
          <w:caps/>
          <w:color w:val="auto"/>
          <w:sz w:val="22"/>
          <w:highlight w:val="none"/>
        </w:rPr>
        <w:t>招标代理服务收费标准</w:t>
      </w:r>
      <w:bookmarkEnd w:id="7"/>
    </w:p>
    <w:p w14:paraId="7CA6FCED">
      <w:pPr>
        <w:spacing w:line="360" w:lineRule="exact"/>
        <w:jc w:val="center"/>
        <w:rPr>
          <w:rFonts w:hint="eastAsia" w:ascii="宋体" w:hAnsi="宋体" w:eastAsia="宋体" w:cs="宋体"/>
          <w:b/>
          <w:bCs/>
          <w:caps/>
          <w:color w:val="auto"/>
          <w:sz w:val="22"/>
          <w:highlight w:val="none"/>
        </w:rPr>
      </w:pPr>
      <w:bookmarkStart w:id="8" w:name="_Hlk6312070"/>
      <w:r>
        <w:rPr>
          <w:rFonts w:hint="eastAsia" w:ascii="宋体" w:hAnsi="宋体" w:eastAsia="宋体" w:cs="宋体"/>
          <w:b/>
          <w:bCs/>
          <w:caps/>
          <w:color w:val="auto"/>
          <w:sz w:val="22"/>
          <w:highlight w:val="none"/>
        </w:rPr>
        <w:t>招标代理服务收费标准</w:t>
      </w:r>
    </w:p>
    <w:tbl>
      <w:tblPr>
        <w:tblStyle w:val="3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14:paraId="21B1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0077CFD5">
            <w:pPr>
              <w:spacing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29210</wp:posOffset>
                      </wp:positionV>
                      <wp:extent cx="1511300" cy="1073150"/>
                      <wp:effectExtent l="1905" t="3175" r="10795" b="9525"/>
                      <wp:wrapNone/>
                      <wp:docPr id="8" name="组合 2"/>
                      <wp:cNvGraphicFramePr/>
                      <a:graphic xmlns:a="http://schemas.openxmlformats.org/drawingml/2006/main">
                        <a:graphicData uri="http://schemas.microsoft.com/office/word/2010/wordprocessingGroup">
                          <wpg:wgp>
                            <wpg:cNvGrpSpPr/>
                            <wpg:grpSpPr>
                              <a:xfrm>
                                <a:off x="0" y="0"/>
                                <a:ext cx="1511300" cy="1073150"/>
                                <a:chOff x="0" y="0"/>
                                <a:chExt cx="2415" cy="1299"/>
                              </a:xfrm>
                            </wpg:grpSpPr>
                            <wps:wsp>
                              <wps:cNvPr id="6" name="Line 3"/>
                              <wps:cNvCnPr/>
                              <wps:spPr>
                                <a:xfrm>
                                  <a:off x="0" y="363"/>
                                  <a:ext cx="2415" cy="936"/>
                                </a:xfrm>
                                <a:prstGeom prst="line">
                                  <a:avLst/>
                                </a:prstGeom>
                                <a:ln w="9525" cap="flat" cmpd="sng">
                                  <a:solidFill>
                                    <a:srgbClr val="000000"/>
                                  </a:solidFill>
                                  <a:prstDash val="solid"/>
                                  <a:headEnd type="none" w="med" len="med"/>
                                  <a:tailEnd type="none" w="med" len="med"/>
                                </a:ln>
                              </wps:spPr>
                              <wps:bodyPr upright="1"/>
                            </wps:wsp>
                            <wps:wsp>
                              <wps:cNvPr id="7" name="Line 4"/>
                              <wps:cNvCnPr/>
                              <wps:spPr>
                                <a:xfrm>
                                  <a:off x="945" y="0"/>
                                  <a:ext cx="1470" cy="129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0pt;margin-top:2.3pt;height:84.5pt;width:119pt;z-index:251664384;mso-width-relative:page;mso-height-relative:page;" coordsize="2415,1299" o:gfxdata="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bCc6dYAAAAGAQAADwAAAAAAAAABACAAAAAiAAAAZHJzL2Rvd25y&#10;ZXYueG1sUEsBAhQAFAAAAAgAh07iQK2rwtZyAgAAAgcAAA4AAAAAAAAAAQAgAAAAJQEAAGRycy9l&#10;Mm9Eb2MueG1sUEsFBgAAAAAGAAYAWQEAAAkGAAAAAA==&#10;">
                      <o:lock v:ext="edit" aspectratio="f"/>
                      <v:line id="Line 3" o:spid="_x0000_s1026" o:spt="20" style="position:absolute;left:0;top:363;height:936;width:2415;"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 o:spid="_x0000_s1026" o:spt="20" style="position:absolute;left:945;top:0;height:1299;width:147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5" name="直线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连接符 6" o:spid="_x0000_s1026" o:spt="20" style="position:absolute;left:0pt;margin-left:99pt;margin-top:2.3pt;height:0pt;width:0.05pt;z-index:251663360;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Aw411QAAAAcBAAAPAAAAAAAAAAEAIAAAACIAAABkcnMvZG93bnJldi54bWxQSwECFAAU&#10;AAAACACHTuJAO7B/vvQBAADg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aps/>
                <w:color w:val="auto"/>
                <w:sz w:val="22"/>
                <w:highlight w:val="none"/>
              </w:rPr>
              <w:t xml:space="preserve">         服务类型</w:t>
            </w:r>
          </w:p>
          <w:p w14:paraId="3E33A0B2">
            <w:pPr>
              <w:spacing w:before="100" w:beforeAutospacing="1" w:after="100" w:afterAutospacing="1" w:line="360" w:lineRule="exact"/>
              <w:ind w:firstLine="1011" w:firstLineChars="460"/>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费率</w:t>
            </w:r>
          </w:p>
          <w:p w14:paraId="7A5FB6F6">
            <w:pPr>
              <w:spacing w:before="100" w:beforeAutospacing="1" w:after="100" w:afterAutospacing="1" w:line="360" w:lineRule="exact"/>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noWrap/>
            <w:vAlign w:val="center"/>
          </w:tcPr>
          <w:p w14:paraId="2645E1A3">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0B5443CA">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7A84F406">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工程招标</w:t>
            </w:r>
          </w:p>
        </w:tc>
      </w:tr>
      <w:tr w14:paraId="4060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5D90C054">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noWrap/>
            <w:vAlign w:val="center"/>
          </w:tcPr>
          <w:p w14:paraId="051A66D4">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717500C1">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037EFEFD">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w:t>
            </w:r>
          </w:p>
        </w:tc>
      </w:tr>
      <w:tr w14:paraId="1E64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2C8247D6">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noWrap/>
            <w:vAlign w:val="center"/>
          </w:tcPr>
          <w:p w14:paraId="120743D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noWrap/>
            <w:vAlign w:val="center"/>
          </w:tcPr>
          <w:p w14:paraId="245891EF">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664F1E03">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0.7%</w:t>
            </w:r>
          </w:p>
        </w:tc>
      </w:tr>
      <w:tr w14:paraId="7293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3BE58828">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7234A18F">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72E627A7">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noWrap/>
            <w:vAlign w:val="center"/>
          </w:tcPr>
          <w:p w14:paraId="2A5502BB">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0.55%</w:t>
            </w:r>
          </w:p>
        </w:tc>
      </w:tr>
      <w:tr w14:paraId="5F61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2D303C94">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689A7B6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noWrap/>
            <w:vAlign w:val="center"/>
          </w:tcPr>
          <w:p w14:paraId="3CDCBDE7">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03ADDE5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0.35%</w:t>
            </w:r>
          </w:p>
        </w:tc>
      </w:tr>
      <w:tr w14:paraId="0FD8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79C28243">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0941DCB2">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3A3B2714">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noWrap/>
            <w:vAlign w:val="center"/>
          </w:tcPr>
          <w:p w14:paraId="254642B8">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w:t>
            </w:r>
          </w:p>
        </w:tc>
      </w:tr>
      <w:tr w14:paraId="3E55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303B0747">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05A01674">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78AB7421">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477C8DB8">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r>
      <w:tr w14:paraId="584A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782357AB">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noWrap/>
            <w:vAlign w:val="center"/>
          </w:tcPr>
          <w:p w14:paraId="2ACCB4A7">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61CC34C9">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54DEFCA6">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r>
    </w:tbl>
    <w:p w14:paraId="1C5C4059">
      <w:pPr>
        <w:spacing w:line="360" w:lineRule="exact"/>
        <w:rPr>
          <w:rFonts w:hint="eastAsia" w:ascii="宋体" w:hAnsi="宋体" w:eastAsia="宋体" w:cs="宋体"/>
          <w:b/>
          <w:caps/>
          <w:color w:val="auto"/>
          <w:sz w:val="22"/>
          <w:highlight w:val="none"/>
        </w:rPr>
      </w:pPr>
      <w:r>
        <w:rPr>
          <w:rFonts w:hint="eastAsia" w:ascii="宋体" w:hAnsi="宋体" w:eastAsia="宋体" w:cs="宋体"/>
          <w:b/>
          <w:caps/>
          <w:color w:val="auto"/>
          <w:sz w:val="22"/>
          <w:highlight w:val="none"/>
        </w:rPr>
        <w:t>注：本次招标为货物招标，招标代理服务收费按货物类的差额定率累进法计算。</w:t>
      </w:r>
    </w:p>
    <w:p w14:paraId="63301732">
      <w:pPr>
        <w:spacing w:line="360" w:lineRule="exact"/>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例：某货物招标代理业务中标金额为300万元，计算招标代理服务收费额如下：</w:t>
      </w:r>
    </w:p>
    <w:p w14:paraId="4AE49DBD">
      <w:pPr>
        <w:spacing w:line="360" w:lineRule="exact"/>
        <w:ind w:firstLine="110" w:firstLineChars="50"/>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100万元×1.5%＝1.5万元</w:t>
      </w:r>
    </w:p>
    <w:p w14:paraId="41DBAB2A">
      <w:pPr>
        <w:spacing w:line="360" w:lineRule="exact"/>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（300－100）万元×1.1%＝2.2万元</w:t>
      </w:r>
    </w:p>
    <w:p w14:paraId="3848F836">
      <w:pPr>
        <w:tabs>
          <w:tab w:val="left" w:pos="-180"/>
          <w:tab w:val="left" w:pos="180"/>
          <w:tab w:val="left" w:pos="360"/>
        </w:tabs>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aps/>
          <w:color w:val="auto"/>
          <w:sz w:val="22"/>
          <w:highlight w:val="none"/>
        </w:rPr>
        <w:t>合计收费=1.5+2.2＝3.7（万元）</w:t>
      </w:r>
      <w:bookmarkEnd w:id="8"/>
    </w:p>
    <w:p w14:paraId="07C60A76">
      <w:pPr>
        <w:tabs>
          <w:tab w:val="left" w:pos="360"/>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5.信用记录：</w:t>
      </w:r>
    </w:p>
    <w:p w14:paraId="52E4603C">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2C0DFD41">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5.1.</w:t>
      </w:r>
      <w:r>
        <w:rPr>
          <w:rFonts w:hint="eastAsia" w:ascii="宋体" w:hAnsi="宋体" w:eastAsia="宋体" w:cs="宋体"/>
          <w:b/>
          <w:bCs/>
          <w:snapToGrid w:val="0"/>
          <w:color w:val="auto"/>
          <w:sz w:val="22"/>
          <w:highlight w:val="none"/>
        </w:rPr>
        <w:t>信用信息查询的截止时点为从本项目投标截止日往前追溯三年。</w:t>
      </w:r>
    </w:p>
    <w:p w14:paraId="72A17C83">
      <w:pPr>
        <w:tabs>
          <w:tab w:val="left" w:pos="360"/>
        </w:tabs>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"https://www.creditchina.gov.cn/"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https://www.creditchina.gov.cn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http://www.ccgp.gov.cn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w:t>
      </w:r>
      <w:r>
        <w:rPr>
          <w:rFonts w:hint="eastAsia" w:ascii="宋体" w:hAnsi="宋体" w:eastAsia="宋体" w:cs="宋体"/>
          <w:color w:val="auto"/>
          <w:sz w:val="22"/>
          <w:highlight w:val="none"/>
        </w:rPr>
        <w:t>。</w:t>
      </w:r>
    </w:p>
    <w:p w14:paraId="44E2723A">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5.3.信用信息查询记录和证据留存具体方式：采购代理机构经办人或监督人员将查询网页打印与其他招标文件一并保存。</w:t>
      </w:r>
    </w:p>
    <w:p w14:paraId="487218FE">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5.4.信用信息的使用规则：投标人存在不良信用记录的，其投标将被作为投标无效被拒绝。</w:t>
      </w:r>
    </w:p>
    <w:p w14:paraId="7694880D">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不良信用记录指：被列入失信被执行人、重大税收违法案件当事人名单、政府采购严重违法失信行为记录名单。</w:t>
      </w:r>
    </w:p>
    <w:p w14:paraId="3A33BB75">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联合体信用信息查询：联合体以一个投标人的身份共同参加政府采购活动的，应当对所有联合体成员进行信用记录查询，联合体成员存在不良信用记录的，视同联合体存在不良信用记录。</w:t>
      </w:r>
    </w:p>
    <w:p w14:paraId="474C1907">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6.特别说明：</w:t>
      </w:r>
    </w:p>
    <w:p w14:paraId="79CFCFA8">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6.1投标人应仔细阅读招标文件的所有内容，按照招标文件的要求提交投标文件，并对所提供的全部资料的真实性承担法律责任。</w:t>
      </w:r>
    </w:p>
    <w:p w14:paraId="50D68EC1">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19BA01EE">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0B8E4F8C">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1A4F8EB">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226E1C76">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7.采购项目需要落实的政府采购政策</w:t>
      </w:r>
    </w:p>
    <w:p w14:paraId="5B7D0B5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AA0DBF3">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 支持绿色发展</w:t>
      </w:r>
    </w:p>
    <w:p w14:paraId="414B531F">
      <w:pPr>
        <w:snapToGrid w:val="0"/>
        <w:spacing w:line="360" w:lineRule="exact"/>
        <w:ind w:firstLine="442" w:firstLineChars="201"/>
        <w:rPr>
          <w:rFonts w:hint="eastAsia" w:ascii="宋体" w:hAnsi="宋体" w:eastAsia="宋体" w:cs="宋体"/>
          <w:b/>
          <w:bCs/>
          <w:color w:val="auto"/>
          <w:sz w:val="22"/>
          <w:highlight w:val="none"/>
          <w:u w:val="single"/>
        </w:rPr>
      </w:pPr>
      <w:r>
        <w:rPr>
          <w:rFonts w:hint="eastAsia" w:ascii="宋体" w:hAnsi="宋体" w:eastAsia="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2"/>
          <w:highlight w:val="none"/>
          <w:u w:val="single"/>
        </w:rPr>
        <w:t>▲</w:t>
      </w:r>
      <w:r>
        <w:rPr>
          <w:rFonts w:hint="eastAsia" w:ascii="宋体" w:hAnsi="宋体" w:cs="宋体"/>
          <w:b/>
          <w:bCs/>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eastAsia="宋体" w:cs="宋体"/>
          <w:b/>
          <w:bCs/>
          <w:color w:val="auto"/>
          <w:sz w:val="22"/>
          <w:highlight w:val="none"/>
          <w:u w:val="single"/>
        </w:rPr>
        <w:t>，投标无效。</w:t>
      </w:r>
    </w:p>
    <w:p w14:paraId="65258415">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9" w:name="_Hlk107568539"/>
      <w:r>
        <w:rPr>
          <w:rFonts w:hint="eastAsia" w:ascii="宋体" w:hAnsi="宋体" w:eastAsia="宋体" w:cs="宋体"/>
          <w:color w:val="auto"/>
          <w:sz w:val="22"/>
          <w:highlight w:val="none"/>
        </w:rPr>
        <w:t>鼓励采购单位优先采购秸秆环保板材等资源综合利用产品。鼓励采购单位优先采购绿色物流配送服务、提供新能源交通工具的租赁服务。</w:t>
      </w:r>
    </w:p>
    <w:p w14:paraId="6FA8C041">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7.2.3 鼓励供应商在参加政府采购过程中开展绿色设计、选择绿色材料、打造绿色制造工艺、开展绿色运输、做好废弃产品回收处理，实现产品全周期的绿色环保。</w:t>
      </w:r>
      <w:bookmarkEnd w:id="9"/>
    </w:p>
    <w:p w14:paraId="3F7CC596">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7.3支持中小企业发展</w:t>
      </w:r>
    </w:p>
    <w:p w14:paraId="27AA1590">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389DD3D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符合中小企业划分标准的个体工商户，在政府采购活动中视同中小企业。</w:t>
      </w:r>
    </w:p>
    <w:p w14:paraId="3F55E8E9">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bCs/>
          <w:color w:val="auto"/>
          <w:sz w:val="22"/>
          <w:highlight w:val="none"/>
        </w:rPr>
        <w:t>7.3.2</w:t>
      </w:r>
      <w:r>
        <w:rPr>
          <w:rFonts w:hint="eastAsia" w:ascii="宋体" w:hAnsi="宋体" w:eastAsia="宋体" w:cs="宋体"/>
          <w:color w:val="auto"/>
          <w:kern w:val="0"/>
          <w:sz w:val="22"/>
          <w:highlight w:val="none"/>
        </w:rPr>
        <w:t>在政府采购活动中，投标人提供的货物、工程或者服务符合下列情形的，享受中小企业扶持政策：</w:t>
      </w:r>
    </w:p>
    <w:p w14:paraId="7A404E1D">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7.3.2.1在货物采购项目中，货物由中小企业制造，即货物由中小企业生产且使用该中小企业商号或者注册商标；</w:t>
      </w:r>
    </w:p>
    <w:p w14:paraId="18E4518D">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7.3.2.2在工程采购项目中，工程由中小企业承建，即工程施工单位为中小企业；</w:t>
      </w:r>
    </w:p>
    <w:p w14:paraId="2831D6A7">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7.3.2.3在服务采购项目中，服务由中小企业承接，即提供服务的人员为中小企业依照《中华人民共和国劳动合同法》订立劳动合同的从业人员。</w:t>
      </w:r>
    </w:p>
    <w:p w14:paraId="5E134576">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在货物采购项目中，投标人提供的货物既有中小企业制造货物，也有大型企业制造货物的，不享受中小企业扶持政策。</w:t>
      </w:r>
    </w:p>
    <w:p w14:paraId="47E9A69E">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以联合体形式参加政府采购活动，联合体各方均为中小企业的，联合体视同中小企业。其中，联合体各方均为小微企业的，联合体视同小微企业。</w:t>
      </w:r>
    </w:p>
    <w:p w14:paraId="727BAD43">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B0B06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7696A0F2">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6EF107">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990EB3">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7.3.7中小企业享受扶持政策获得政府采购合同的，小微企业不得将合同分包给大中型企业，中型企业不得将合同分包给大型企业。</w:t>
      </w:r>
    </w:p>
    <w:p w14:paraId="2BCE276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w:t>
      </w:r>
      <w:r>
        <w:rPr>
          <w:rFonts w:hint="eastAsia" w:ascii="宋体" w:hAnsi="宋体" w:eastAsia="宋体" w:cs="宋体"/>
          <w:bCs/>
          <w:color w:val="auto"/>
          <w:sz w:val="22"/>
          <w:highlight w:val="none"/>
        </w:rPr>
        <w:t>支持创新发展</w:t>
      </w:r>
    </w:p>
    <w:p w14:paraId="57A743AF">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7.4.1采购人优先采购被认定为首台套产品和“制造精品”的自主创新产品。</w:t>
      </w:r>
    </w:p>
    <w:p w14:paraId="798BD30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6C07E2E0">
      <w:pPr>
        <w:spacing w:line="360" w:lineRule="exact"/>
        <w:ind w:firstLine="440" w:firstLineChars="200"/>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7.5</w:t>
      </w:r>
      <w:r>
        <w:rPr>
          <w:rFonts w:hint="eastAsia" w:ascii="宋体" w:hAnsi="宋体" w:eastAsia="宋体" w:cs="宋体"/>
          <w:color w:val="auto"/>
          <w:spacing w:val="6"/>
          <w:sz w:val="22"/>
          <w:highlight w:val="none"/>
        </w:rPr>
        <w:t>平等对待内外资企业和符合条件的破产重整企业</w:t>
      </w:r>
    </w:p>
    <w:p w14:paraId="78704369">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平等对待内外资企业和符合条件的破产重整企业，切实保障企业公平竞争，平等维护企业的合法利益。</w:t>
      </w:r>
    </w:p>
    <w:p w14:paraId="3B42B6CF">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8.其他说明</w:t>
      </w:r>
    </w:p>
    <w:p w14:paraId="1116BFEA">
      <w:pPr>
        <w:snapToGrid w:val="0"/>
        <w:spacing w:line="360" w:lineRule="exact"/>
        <w:ind w:firstLine="442" w:firstLineChars="201"/>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▲8.1投标人对所投标项内的采购内容必须全部进行投标。</w:t>
      </w:r>
    </w:p>
    <w:p w14:paraId="25975CE2">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8.2投标人为履行合同引起的相关人员的差旅费、食宿费以及其它费用由投标人自理。合同实施过程中，须与采购人积极配合。</w:t>
      </w:r>
    </w:p>
    <w:p w14:paraId="3A8788F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8.3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42B6D13">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8.4为证明投标人拥有的人员、业绩、荣誉、知识产权、项目案例等而在投标文件中提供的证明材料必须为投标人自身所有。不同法人、其他组织的资料与投标人无关。</w:t>
      </w:r>
    </w:p>
    <w:p w14:paraId="582493EA">
      <w:pPr>
        <w:spacing w:line="400" w:lineRule="exact"/>
        <w:outlineLvl w:val="1"/>
        <w:rPr>
          <w:rFonts w:hint="eastAsia" w:ascii="宋体" w:hAnsi="宋体" w:eastAsia="宋体" w:cs="宋体"/>
          <w:b/>
          <w:color w:val="auto"/>
          <w:sz w:val="26"/>
          <w:highlight w:val="none"/>
        </w:rPr>
      </w:pPr>
    </w:p>
    <w:p w14:paraId="5F72EFD9">
      <w:pPr>
        <w:spacing w:line="400" w:lineRule="exact"/>
        <w:ind w:firstLine="522" w:firstLineChars="200"/>
        <w:jc w:val="center"/>
        <w:outlineLvl w:val="1"/>
        <w:rPr>
          <w:rFonts w:hint="eastAsia" w:ascii="宋体" w:hAnsi="宋体" w:eastAsia="宋体" w:cs="宋体"/>
          <w:b/>
          <w:color w:val="auto"/>
          <w:sz w:val="26"/>
          <w:highlight w:val="none"/>
        </w:rPr>
      </w:pPr>
      <w:bookmarkStart w:id="10" w:name="_Toc23434"/>
      <w:r>
        <w:rPr>
          <w:rFonts w:hint="eastAsia" w:ascii="宋体" w:hAnsi="宋体" w:eastAsia="宋体" w:cs="宋体"/>
          <w:b/>
          <w:color w:val="auto"/>
          <w:sz w:val="26"/>
          <w:highlight w:val="none"/>
        </w:rPr>
        <w:t>二、招标文件</w:t>
      </w:r>
      <w:bookmarkEnd w:id="10"/>
    </w:p>
    <w:p w14:paraId="7E67D0B5">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9FE64F1">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2.质疑</w:t>
      </w:r>
    </w:p>
    <w:p w14:paraId="29995830">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1C973D1">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2.2投标人提出质疑应当提交质疑函和必要的证明材料，质疑函范本请到“浙江政府采购网下载专区”下载，质疑函应当包括下列内容：</w:t>
      </w:r>
    </w:p>
    <w:p w14:paraId="011F111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（一）投标人的姓名或者名称、地址、邮编、联系人及联系方式；</w:t>
      </w:r>
    </w:p>
    <w:p w14:paraId="54F7F84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（二）质疑项目的名称、编号；</w:t>
      </w:r>
    </w:p>
    <w:p w14:paraId="01B60069">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（三）具体、明确的质疑事项和与质疑事项相关的请求；</w:t>
      </w:r>
    </w:p>
    <w:p w14:paraId="14C898B9">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（四）事实依据；</w:t>
      </w:r>
    </w:p>
    <w:p w14:paraId="05A0CE3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（五）必要的法律依据；</w:t>
      </w:r>
    </w:p>
    <w:p w14:paraId="56F966C1">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（六）提出质疑的日期。</w:t>
      </w:r>
    </w:p>
    <w:p w14:paraId="6C5E7682">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投标人为自然人的，应当由本人签字；投标人为法人或者其他组织的，应当由法定代表人、主要负责人，或者其授权代表签字或者盖章，并加盖电子签章或公章。</w:t>
      </w:r>
    </w:p>
    <w:p w14:paraId="41FBD6A8">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2.3提出质疑的投标人应当是参与本项目招标活动的投标人。</w:t>
      </w:r>
      <w:r>
        <w:rPr>
          <w:rFonts w:hint="eastAsia" w:ascii="宋体" w:hAnsi="宋体" w:eastAsia="宋体" w:cs="宋体"/>
          <w:b/>
          <w:bCs/>
          <w:color w:val="auto"/>
          <w:spacing w:val="6"/>
          <w:sz w:val="22"/>
          <w:highlight w:val="none"/>
        </w:rPr>
        <w:t>投标人在法定质疑期内一次性提出针对同一采购程序环节的质疑。</w:t>
      </w:r>
    </w:p>
    <w:p w14:paraId="2EBD4026">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2.4根据《政府采购质疑和投诉办法》第三十七条的规定，投诉人在全国范围12个月内三次以上投诉查无实据的，由财政部门列入不良行为记录名单。</w:t>
      </w:r>
    </w:p>
    <w:p w14:paraId="6BA40FF4">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投诉人有下列行为之一的，属于虚假、恶意投诉，由财政部门列入不良行为记录名单，禁止其1至3年内参加政府采购活动：</w:t>
      </w:r>
    </w:p>
    <w:p w14:paraId="3910DEE7">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（一）捏造事实；</w:t>
      </w:r>
    </w:p>
    <w:p w14:paraId="4A3EC7D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（二）提供虚假材料；</w:t>
      </w:r>
    </w:p>
    <w:p w14:paraId="50F025A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（三）以非法手段取得证明材料。证据来源的合法性存在明显疑问，投诉人无法证明其取得方式合法的，视为以非法手段取得证明材料。</w:t>
      </w:r>
    </w:p>
    <w:p w14:paraId="23B5DA9F">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3.投诉</w:t>
      </w:r>
    </w:p>
    <w:p w14:paraId="66A50B8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F0D7777">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以联合体形式参加政府采购活动的，其质疑或投诉应当由组成联合体的所有供应商共同提出。</w:t>
      </w:r>
    </w:p>
    <w:p w14:paraId="5D8539D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4.澄清或修改</w:t>
      </w:r>
    </w:p>
    <w:p w14:paraId="72348385">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4.1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电子签章或公章）向采购代理机构回函给予确认。过期未回复的，视为默认接受。澄清或者修改的内容为招标文件的组成部分。</w:t>
      </w:r>
    </w:p>
    <w:p w14:paraId="0DBED1C3">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4.2澄清或者修改的内容可能影响投标文件编制的，采购人或者采购代理机构应当在投标文件提交截止时间至少15日前，以书面形式（在浙江政府采购网上发布公告）通知所有获取招标文件的潜在投标人；不足15日的，采购人或者采购代理机构应当顺延提交投标文件的截止时间。</w:t>
      </w:r>
    </w:p>
    <w:p w14:paraId="31AF7752">
      <w:pPr>
        <w:spacing w:line="400" w:lineRule="exact"/>
        <w:ind w:firstLine="522" w:firstLineChars="200"/>
        <w:jc w:val="center"/>
        <w:rPr>
          <w:rFonts w:hint="eastAsia" w:ascii="宋体" w:hAnsi="宋体" w:eastAsia="宋体" w:cs="宋体"/>
          <w:b/>
          <w:color w:val="auto"/>
          <w:sz w:val="26"/>
          <w:highlight w:val="none"/>
        </w:rPr>
      </w:pPr>
    </w:p>
    <w:p w14:paraId="5852AC77">
      <w:pPr>
        <w:spacing w:line="400" w:lineRule="exact"/>
        <w:ind w:firstLine="522" w:firstLineChars="200"/>
        <w:jc w:val="center"/>
        <w:outlineLvl w:val="1"/>
        <w:rPr>
          <w:rFonts w:hint="eastAsia" w:ascii="宋体" w:hAnsi="宋体" w:eastAsia="宋体" w:cs="宋体"/>
          <w:color w:val="auto"/>
          <w:sz w:val="22"/>
          <w:highlight w:val="none"/>
        </w:rPr>
      </w:pPr>
      <w:bookmarkStart w:id="11" w:name="_Toc8480"/>
      <w:r>
        <w:rPr>
          <w:rFonts w:hint="eastAsia" w:ascii="宋体" w:hAnsi="宋体" w:eastAsia="宋体" w:cs="宋体"/>
          <w:b/>
          <w:color w:val="auto"/>
          <w:sz w:val="26"/>
          <w:highlight w:val="none"/>
        </w:rPr>
        <w:t>三、投标文件的编制</w:t>
      </w:r>
      <w:bookmarkEnd w:id="11"/>
    </w:p>
    <w:p w14:paraId="042D55CC">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1.投标文件的形式</w:t>
      </w:r>
    </w:p>
    <w:p w14:paraId="13F89D4B">
      <w:pPr>
        <w:pStyle w:val="13"/>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投标文件分为电子投标文件以及备份投标文件，备份文件为以介质存储的数据电文形式的备份投标文件。</w:t>
      </w:r>
    </w:p>
    <w:p w14:paraId="7CE21AA5">
      <w:pPr>
        <w:spacing w:line="36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eastAsia="宋体" w:cs="宋体"/>
          <w:color w:val="auto"/>
          <w:kern w:val="0"/>
          <w:sz w:val="22"/>
          <w:highlight w:val="none"/>
        </w:rPr>
        <w:t>。</w:t>
      </w:r>
    </w:p>
    <w:p w14:paraId="723295DD">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1.2以介质存储的数据电文形式的备份投标文件：</w:t>
      </w:r>
      <w:r>
        <w:rPr>
          <w:rStyle w:val="36"/>
          <w:rFonts w:hint="eastAsia" w:ascii="宋体" w:hAnsi="宋体" w:eastAsia="宋体" w:cs="宋体"/>
          <w:bCs/>
          <w:color w:val="auto"/>
          <w:sz w:val="22"/>
          <w:highlight w:val="none"/>
        </w:rPr>
        <w:t>与“电子投标文件”同时生成的数据电文形式的备份投标文件</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文件扩展名为</w:t>
      </w:r>
      <w:r>
        <w:rPr>
          <w:rFonts w:hint="eastAsia" w:ascii="宋体" w:hAnsi="宋体" w:eastAsia="宋体" w:cs="宋体"/>
          <w:b/>
          <w:bCs/>
          <w:color w:val="auto"/>
          <w:sz w:val="22"/>
          <w:highlight w:val="none"/>
        </w:rPr>
        <w:t>.bfbs)，</w:t>
      </w:r>
      <w:r>
        <w:rPr>
          <w:rFonts w:hint="eastAsia" w:ascii="宋体" w:hAnsi="宋体" w:eastAsia="宋体" w:cs="宋体"/>
          <w:b/>
          <w:bCs/>
          <w:color w:val="auto"/>
          <w:sz w:val="22"/>
          <w:highlight w:val="none"/>
          <w:lang w:val="zh-CN"/>
        </w:rPr>
        <w:t>投标文件提交截止时间前以电子邮件方式传送至浙江乐诚工程咨询有限公司电子邮箱</w:t>
      </w:r>
      <w:r>
        <w:rPr>
          <w:rFonts w:hint="eastAsia" w:ascii="宋体" w:hAnsi="宋体" w:eastAsia="宋体" w:cs="宋体"/>
          <w:b/>
          <w:bCs/>
          <w:color w:val="auto"/>
          <w:sz w:val="22"/>
          <w:highlight w:val="none"/>
        </w:rPr>
        <w:t>58000634@qq.com，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6"/>
          <w:rFonts w:hint="eastAsia" w:ascii="宋体" w:hAnsi="宋体" w:eastAsia="宋体" w:cs="宋体"/>
          <w:bCs/>
          <w:color w:val="auto"/>
          <w:sz w:val="22"/>
          <w:highlight w:val="none"/>
        </w:rPr>
        <w:t>。</w:t>
      </w:r>
    </w:p>
    <w:p w14:paraId="796EF8FA">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1.3 投标文件的效力</w:t>
      </w:r>
    </w:p>
    <w:p w14:paraId="1FE466D7">
      <w:pPr>
        <w:spacing w:line="360" w:lineRule="exact"/>
        <w:ind w:firstLine="442" w:firstLineChars="200"/>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71EF3839">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2.投标人应认真阅读招标文件中所有事项格式、条款和技术规范等。</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投标人没有对招标文件各个方面做出实质性响应，导致投标被拒绝的风险由投标人自行承担。</w:t>
      </w:r>
    </w:p>
    <w:p w14:paraId="761DD503">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3.</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0D9B5C31">
      <w:pPr>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4.投标文件的构成：</w:t>
      </w:r>
    </w:p>
    <w:p w14:paraId="28EA4DB1">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7D69581F">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（1）报价文件</w:t>
      </w:r>
    </w:p>
    <w:p w14:paraId="727226C4">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1）开标一览表；（见附件1）</w:t>
      </w:r>
    </w:p>
    <w:p w14:paraId="0D7B58E3">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2）投标报价明细表；（见附件2）</w:t>
      </w:r>
    </w:p>
    <w:p w14:paraId="6F1C3854">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3）中小企业声明函（货物）；（见附件3）</w:t>
      </w:r>
    </w:p>
    <w:p w14:paraId="20FA305F">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4）投标报价部分其他内容（如有，格式自拟）。</w:t>
      </w:r>
    </w:p>
    <w:p w14:paraId="3ABED403">
      <w:pPr>
        <w:tabs>
          <w:tab w:val="left" w:pos="535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（2）资格文件：（见附件4）</w:t>
      </w:r>
    </w:p>
    <w:p w14:paraId="2E778F53">
      <w:pPr>
        <w:autoSpaceDE w:val="0"/>
        <w:autoSpaceDN w:val="0"/>
        <w:adjustRightInd w:val="0"/>
        <w:snapToGrid w:val="0"/>
        <w:spacing w:line="360" w:lineRule="exact"/>
        <w:ind w:firstLine="416" w:firstLineChars="200"/>
        <w:textAlignment w:val="bottom"/>
        <w:rPr>
          <w:rFonts w:hint="eastAsia" w:ascii="宋体" w:hAnsi="宋体" w:eastAsia="宋体" w:cs="宋体"/>
          <w:b/>
          <w:bCs/>
          <w:snapToGrid w:val="0"/>
          <w:color w:val="auto"/>
          <w:sz w:val="22"/>
          <w:highlight w:val="none"/>
        </w:rPr>
      </w:pPr>
      <w:r>
        <w:rPr>
          <w:rFonts w:hint="eastAsia" w:ascii="宋体" w:hAnsi="宋体" w:eastAsia="宋体" w:cs="宋体"/>
          <w:color w:val="auto"/>
          <w:spacing w:val="-6"/>
          <w:sz w:val="22"/>
          <w:highlight w:val="none"/>
        </w:rPr>
        <w:t>1）</w:t>
      </w:r>
      <w:r>
        <w:rPr>
          <w:rFonts w:hint="eastAsia" w:ascii="宋体" w:hAnsi="宋体" w:eastAsia="宋体" w:cs="宋体"/>
          <w:snapToGrid w:val="0"/>
          <w:color w:val="auto"/>
          <w:sz w:val="22"/>
          <w:highlight w:val="none"/>
        </w:rPr>
        <w:t>有效的法人或者其他组织的营业执照等证明文件，自然人的身份证明（五选一）</w:t>
      </w:r>
      <w:r>
        <w:rPr>
          <w:rFonts w:hint="eastAsia" w:ascii="宋体" w:hAnsi="宋体" w:eastAsia="宋体" w:cs="宋体"/>
          <w:color w:val="auto"/>
          <w:sz w:val="22"/>
          <w:highlight w:val="none"/>
        </w:rPr>
        <w:t>（见附件4-1）</w:t>
      </w:r>
      <w:r>
        <w:rPr>
          <w:rFonts w:hint="eastAsia" w:ascii="宋体" w:hAnsi="宋体" w:eastAsia="宋体" w:cs="宋体"/>
          <w:b/>
          <w:bCs/>
          <w:color w:val="auto"/>
          <w:sz w:val="22"/>
          <w:highlight w:val="none"/>
          <w:u w:val="single"/>
        </w:rPr>
        <w:t>（如为联合体投标，则联合体各方均须提供）</w:t>
      </w:r>
    </w:p>
    <w:p w14:paraId="5125F761">
      <w:pPr>
        <w:tabs>
          <w:tab w:val="left" w:pos="0"/>
        </w:tabs>
        <w:adjustRightInd w:val="0"/>
        <w:snapToGrid w:val="0"/>
        <w:spacing w:line="360" w:lineRule="exact"/>
        <w:ind w:firstLine="416" w:firstLineChars="200"/>
        <w:rPr>
          <w:rFonts w:hint="eastAsia" w:ascii="宋体" w:hAnsi="宋体" w:eastAsia="宋体" w:cs="宋体"/>
          <w:color w:val="auto"/>
          <w:highlight w:val="none"/>
        </w:rPr>
      </w:pPr>
      <w:r>
        <w:rPr>
          <w:rFonts w:hint="eastAsia" w:ascii="宋体" w:hAnsi="宋体" w:eastAsia="宋体" w:cs="宋体"/>
          <w:color w:val="auto"/>
          <w:spacing w:val="-6"/>
          <w:sz w:val="22"/>
          <w:highlight w:val="none"/>
        </w:rPr>
        <w:t>2）</w:t>
      </w:r>
      <w:r>
        <w:rPr>
          <w:rFonts w:hint="eastAsia" w:ascii="宋体" w:hAnsi="宋体" w:eastAsia="宋体" w:cs="宋体"/>
          <w:snapToGrid w:val="0"/>
          <w:color w:val="auto"/>
          <w:sz w:val="22"/>
          <w:highlight w:val="none"/>
        </w:rPr>
        <w:t>关于符合《中华人民共和国政府采购法》第二十二条规定的承诺函</w:t>
      </w:r>
      <w:r>
        <w:rPr>
          <w:rFonts w:hint="eastAsia" w:ascii="宋体" w:hAnsi="宋体" w:eastAsia="宋体" w:cs="宋体"/>
          <w:color w:val="auto"/>
          <w:sz w:val="22"/>
          <w:highlight w:val="none"/>
        </w:rPr>
        <w:t>（见附件4-2）</w:t>
      </w:r>
      <w:r>
        <w:rPr>
          <w:rFonts w:hint="eastAsia" w:ascii="宋体" w:hAnsi="宋体" w:eastAsia="宋体" w:cs="宋体"/>
          <w:b/>
          <w:bCs/>
          <w:color w:val="auto"/>
          <w:sz w:val="22"/>
          <w:highlight w:val="none"/>
          <w:u w:val="single"/>
        </w:rPr>
        <w:t>（如为联合体投标，则联合体各方均须提供，并各自加盖电子签章或公章）</w:t>
      </w:r>
    </w:p>
    <w:p w14:paraId="0953BF5D">
      <w:pPr>
        <w:autoSpaceDE w:val="0"/>
        <w:autoSpaceDN w:val="0"/>
        <w:adjustRightInd w:val="0"/>
        <w:snapToGrid w:val="0"/>
        <w:spacing w:line="360" w:lineRule="exact"/>
        <w:ind w:firstLine="440" w:firstLineChars="200"/>
        <w:textAlignment w:val="bottom"/>
        <w:rPr>
          <w:rFonts w:hint="eastAsia" w:ascii="宋体" w:hAnsi="宋体" w:eastAsia="宋体" w:cs="宋体"/>
          <w:b/>
          <w:bCs/>
          <w:color w:val="auto"/>
          <w:sz w:val="22"/>
          <w:highlight w:val="none"/>
          <w:u w:val="single"/>
        </w:rPr>
      </w:pPr>
      <w:r>
        <w:rPr>
          <w:rFonts w:hint="eastAsia" w:ascii="宋体" w:hAnsi="宋体" w:eastAsia="宋体" w:cs="宋体"/>
          <w:color w:val="auto"/>
          <w:sz w:val="22"/>
          <w:highlight w:val="none"/>
        </w:rPr>
        <w:t>3）联合体投标协议书</w:t>
      </w:r>
      <w:r>
        <w:rPr>
          <w:rFonts w:hint="eastAsia" w:ascii="宋体" w:hAnsi="宋体" w:eastAsia="宋体" w:cs="宋体"/>
          <w:snapToGrid w:val="0"/>
          <w:color w:val="auto"/>
          <w:sz w:val="22"/>
          <w:highlight w:val="none"/>
        </w:rPr>
        <w:t>（见附件4-3）</w:t>
      </w:r>
      <w:r>
        <w:rPr>
          <w:rFonts w:hint="eastAsia" w:ascii="宋体" w:hAnsi="宋体" w:eastAsia="宋体" w:cs="宋体"/>
          <w:b/>
          <w:bCs/>
          <w:color w:val="auto"/>
          <w:sz w:val="22"/>
          <w:highlight w:val="none"/>
          <w:u w:val="single"/>
        </w:rPr>
        <w:t>(以联合体形式投标的提供联合投标协议，项目不接受联合体投标或投标人不以联合体形式投标的则不需要提供）</w:t>
      </w:r>
    </w:p>
    <w:p w14:paraId="15F8CCC0">
      <w:pPr>
        <w:pStyle w:val="31"/>
        <w:spacing w:line="360" w:lineRule="exact"/>
        <w:ind w:left="0" w:firstLine="442" w:firstLineChars="200"/>
        <w:rPr>
          <w:rFonts w:hint="eastAsia" w:ascii="宋体" w:hAnsi="宋体" w:eastAsia="宋体" w:cs="宋体"/>
          <w:color w:val="auto"/>
          <w:highlight w:val="none"/>
        </w:rPr>
      </w:pPr>
      <w:r>
        <w:rPr>
          <w:rFonts w:hint="eastAsia" w:ascii="宋体" w:hAnsi="宋体" w:eastAsia="宋体" w:cs="宋体"/>
          <w:b/>
          <w:bCs/>
          <w:color w:val="auto"/>
          <w:sz w:val="22"/>
          <w:highlight w:val="none"/>
        </w:rPr>
        <w:t>4）</w:t>
      </w:r>
      <w:r>
        <w:rPr>
          <w:rFonts w:hint="eastAsia" w:ascii="宋体" w:hAnsi="宋体" w:eastAsia="宋体" w:cs="宋体"/>
          <w:color w:val="auto"/>
          <w:sz w:val="22"/>
          <w:highlight w:val="none"/>
        </w:rPr>
        <w:t>分包意向协议（见附件4-4）</w:t>
      </w:r>
      <w:r>
        <w:rPr>
          <w:rFonts w:hint="eastAsia" w:ascii="宋体" w:hAnsi="宋体" w:eastAsia="宋体" w:cs="宋体"/>
          <w:b/>
          <w:bCs/>
          <w:color w:val="auto"/>
          <w:sz w:val="22"/>
          <w:highlight w:val="none"/>
          <w:u w:val="single"/>
        </w:rPr>
        <w:t>(中标后以分包方式履行合同的提供分包意向协议，采购人不同意分包或中标后不以分包方式履行合同的则不需要提供）</w:t>
      </w:r>
    </w:p>
    <w:p w14:paraId="36B15668">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（3）商务和技术文件</w:t>
      </w:r>
    </w:p>
    <w:p w14:paraId="6211E217">
      <w:pPr>
        <w:tabs>
          <w:tab w:val="left" w:pos="5355"/>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1）评分索引表（见附件5）</w:t>
      </w:r>
    </w:p>
    <w:p w14:paraId="61BC3031">
      <w:pPr>
        <w:tabs>
          <w:tab w:val="left" w:pos="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2）法定代表人资格证明书/授权委托书；（见附6）</w:t>
      </w:r>
    </w:p>
    <w:p w14:paraId="2528F788">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3）投标函（见附件7）</w:t>
      </w:r>
    </w:p>
    <w:p w14:paraId="21575A66">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4）投标声明书（见附件8）  </w:t>
      </w:r>
    </w:p>
    <w:p w14:paraId="08D36AB1">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5）投标人基本情况表（见附件9）                </w:t>
      </w:r>
    </w:p>
    <w:p w14:paraId="665CF39C">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6）节能、环保产品证明材料（如有）（见附件10）；</w:t>
      </w:r>
    </w:p>
    <w:p w14:paraId="722BC7CC">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7）投标人同类项目业绩一览表（如有）（见附件11）；</w:t>
      </w:r>
    </w:p>
    <w:p w14:paraId="52D0ECF1">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8）采购需求偏离表（见附件12）；</w:t>
      </w:r>
    </w:p>
    <w:p w14:paraId="6139C741">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9）货物配置清单（见附件13）；</w:t>
      </w:r>
    </w:p>
    <w:p w14:paraId="11C4774D">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10）常用材料、零配件及备品备件报价清单（见附件14）；</w:t>
      </w:r>
    </w:p>
    <w:p w14:paraId="3E7550A7">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11）承诺书（见附件15）；</w:t>
      </w:r>
    </w:p>
    <w:p w14:paraId="3F87F72D">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12）投标产品技术支持材料（见附件16）；</w:t>
      </w:r>
    </w:p>
    <w:p w14:paraId="3797B74F">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13）政府采购活动现场确认声明书（见附件17）；</w:t>
      </w:r>
    </w:p>
    <w:p w14:paraId="6AC51B77">
      <w:pPr>
        <w:spacing w:line="3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14）质保期外年维保报价（见附件18）</w:t>
      </w:r>
    </w:p>
    <w:p w14:paraId="287DA627">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15）投标人需要说明的其他文件和说明（格式自拟）。</w:t>
      </w:r>
    </w:p>
    <w:p w14:paraId="4F4B5DB6">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以上内容按照招标文件第四部分附件所附格式填写，相关证书、报告等</w:t>
      </w:r>
      <w:r>
        <w:rPr>
          <w:rFonts w:hint="eastAsia" w:ascii="宋体" w:hAnsi="宋体" w:eastAsia="宋体" w:cs="宋体"/>
          <w:b/>
          <w:bCs/>
          <w:color w:val="auto"/>
          <w:spacing w:val="-6"/>
          <w:sz w:val="22"/>
          <w:highlight w:val="none"/>
        </w:rPr>
        <w:t>如遇年检或换证等特殊情况须按要求提供相应的证明材料</w:t>
      </w:r>
      <w:r>
        <w:rPr>
          <w:rFonts w:hint="eastAsia" w:ascii="宋体" w:hAnsi="宋体" w:eastAsia="宋体" w:cs="宋体"/>
          <w:b/>
          <w:bCs/>
          <w:color w:val="auto"/>
          <w:sz w:val="22"/>
          <w:highlight w:val="none"/>
        </w:rPr>
        <w:t>。没有提供格式的，投标人根据实际情况自行编制。</w:t>
      </w:r>
    </w:p>
    <w:p w14:paraId="10889D26">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投标人可在招标文件中对服务的技术规格和要求选用替代标准，但这些替代标准必须相等于或优于招标文件中提出的相应要求，并使采购人满意。同时在采购需求偏离表中作出详细说明。</w:t>
      </w:r>
    </w:p>
    <w:p w14:paraId="762CDFDC">
      <w:pPr>
        <w:pStyle w:val="13"/>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5.投标文件格式</w:t>
      </w:r>
    </w:p>
    <w:p w14:paraId="01F41B01">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25E65F2C">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3E17D9E3">
      <w:pPr>
        <w:pStyle w:val="13"/>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6.投标文件编制要求</w:t>
      </w:r>
    </w:p>
    <w:p w14:paraId="0625CDEF">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b/>
          <w:bCs/>
          <w:color w:val="auto"/>
          <w:sz w:val="22"/>
          <w:highlight w:val="none"/>
        </w:rPr>
        <w:t>投标人应根据电子投标操作指南按本招标文件规定的格式和顺序编制电子投标文件并进行关联定位</w:t>
      </w:r>
      <w:r>
        <w:rPr>
          <w:rFonts w:hint="eastAsia" w:ascii="宋体" w:hAnsi="宋体" w:eastAsia="宋体" w:cs="宋体"/>
          <w:color w:val="auto"/>
          <w:sz w:val="22"/>
          <w:highlight w:val="none"/>
        </w:rPr>
        <w:t>。</w:t>
      </w:r>
    </w:p>
    <w:p w14:paraId="164B8CF1">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6.2由于未按招标文件的规定要求编制投标文件，导致评审小组作出的对投标人的误判，责任由投标人自己承担。</w:t>
      </w:r>
    </w:p>
    <w:p w14:paraId="1C5FDEC9">
      <w:pPr>
        <w:tabs>
          <w:tab w:val="left" w:pos="-180"/>
          <w:tab w:val="left" w:pos="180"/>
          <w:tab w:val="left" w:pos="36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7.投标报价</w:t>
      </w:r>
    </w:p>
    <w:p w14:paraId="4D4E611B">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7.1 投标总报价是指投标人在正确地完全履行合同义务后采购人应支付给投标人所有的货物价款，即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60B5FE73">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7.2投标人须按第四部分附件的开标一览表（统一格式）、投标报价明细表（统一格式）的内容填写，并由法定代表人或授权代表签字或盖章。</w:t>
      </w:r>
    </w:p>
    <w:p w14:paraId="51BDB3F1">
      <w:pPr>
        <w:tabs>
          <w:tab w:val="left" w:pos="-180"/>
          <w:tab w:val="left" w:pos="180"/>
          <w:tab w:val="left" w:pos="36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7.3报价货币为人民币。</w:t>
      </w:r>
    </w:p>
    <w:p w14:paraId="02962190">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▲7.4采购人不接受任何选择报价，本次投标每项货物只允许一个报价。</w:t>
      </w:r>
    </w:p>
    <w:p w14:paraId="582A0270">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7.5最低报价不能作为中标的保证。</w:t>
      </w:r>
    </w:p>
    <w:p w14:paraId="452FB25E">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8.投标保证金：</w:t>
      </w:r>
      <w:r>
        <w:rPr>
          <w:rFonts w:hint="eastAsia" w:ascii="宋体" w:hAnsi="宋体" w:eastAsia="宋体" w:cs="宋体"/>
          <w:color w:val="auto"/>
          <w:spacing w:val="-6"/>
          <w:sz w:val="22"/>
          <w:highlight w:val="none"/>
          <w:lang w:val="zh-CN"/>
        </w:rPr>
        <w:t>本项目不收取投标保证金。</w:t>
      </w:r>
    </w:p>
    <w:p w14:paraId="6D7B9942">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9.投标有效期</w:t>
      </w:r>
    </w:p>
    <w:p w14:paraId="4BFDBB0B">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9.1</w:t>
      </w:r>
      <w:r>
        <w:rPr>
          <w:rFonts w:hint="eastAsia" w:ascii="宋体" w:hAnsi="宋体" w:eastAsia="宋体" w:cs="宋体"/>
          <w:b/>
          <w:bCs/>
          <w:color w:val="auto"/>
          <w:sz w:val="22"/>
          <w:highlight w:val="none"/>
        </w:rPr>
        <w:t>自提交投标文件的截止之日起</w:t>
      </w:r>
      <w:r>
        <w:rPr>
          <w:rFonts w:hint="eastAsia" w:ascii="宋体" w:hAnsi="宋体" w:eastAsia="宋体" w:cs="宋体"/>
          <w:b/>
          <w:bCs/>
          <w:color w:val="auto"/>
          <w:sz w:val="22"/>
          <w:highlight w:val="none"/>
          <w:u w:val="single"/>
        </w:rPr>
        <w:t>90</w:t>
      </w:r>
      <w:r>
        <w:rPr>
          <w:rFonts w:hint="eastAsia" w:ascii="宋体" w:hAnsi="宋体" w:eastAsia="宋体" w:cs="宋体"/>
          <w:b/>
          <w:bCs/>
          <w:color w:val="auto"/>
          <w:sz w:val="22"/>
          <w:highlight w:val="none"/>
        </w:rPr>
        <w:t>天内投标应保持有效。有效期不足的投标文件将被拒绝。</w:t>
      </w:r>
    </w:p>
    <w:p w14:paraId="4B15BA7E">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1C679372">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10.投标文件的签署和规定</w:t>
      </w:r>
    </w:p>
    <w:p w14:paraId="660FAF48">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cs="宋体"/>
          <w:b/>
          <w:bCs/>
          <w:color w:val="auto"/>
          <w:spacing w:val="-6"/>
          <w:sz w:val="22"/>
          <w:highlight w:val="none"/>
        </w:rPr>
        <w:t>其中资格文件、商务和技术文件中不得出现投标报价，如因投标人原因提前泄露投标报价，是投标人的责任。</w:t>
      </w:r>
    </w:p>
    <w:p w14:paraId="51B58180">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10.2投标文件须由投标人在规定位置加盖电子签章或公章并由投标人代表签署，投标人应写全称。</w:t>
      </w:r>
    </w:p>
    <w:p w14:paraId="7E54F652">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10.3投标文件不得涂改，若有修改错漏处，须由投标人代表签字并加盖电子签章或公章。投标文件因字迹潦草或表达不清所引起的后果由投标人负责。</w:t>
      </w:r>
    </w:p>
    <w:p w14:paraId="0CE6F716">
      <w:pPr>
        <w:spacing w:line="360" w:lineRule="exact"/>
        <w:ind w:firstLine="440" w:firstLineChars="200"/>
        <w:rPr>
          <w:rFonts w:hint="eastAsia" w:ascii="宋体" w:hAnsi="宋体" w:eastAsia="宋体" w:cs="宋体"/>
          <w:b/>
          <w:color w:val="auto"/>
          <w:sz w:val="26"/>
          <w:highlight w:val="none"/>
        </w:rPr>
      </w:pPr>
      <w:r>
        <w:rPr>
          <w:rFonts w:hint="eastAsia" w:ascii="宋体" w:hAnsi="宋体" w:eastAsia="宋体" w:cs="宋体"/>
          <w:color w:val="auto"/>
          <w:sz w:val="22"/>
          <w:highlight w:val="none"/>
        </w:rPr>
        <w:t>10.4</w:t>
      </w:r>
      <w:r>
        <w:rPr>
          <w:rFonts w:hint="eastAsia" w:ascii="宋体" w:hAnsi="宋体" w:eastAsia="宋体" w:cs="宋体"/>
          <w:b/>
          <w:bCs/>
          <w:color w:val="auto"/>
          <w:sz w:val="22"/>
          <w:highlight w:val="none"/>
        </w:rPr>
        <w:t>投标文件字迹模糊或在关键的技术、商务条款上表述不清楚，将可能导致其投标被拒绝。</w:t>
      </w:r>
    </w:p>
    <w:p w14:paraId="19706221">
      <w:pPr>
        <w:spacing w:line="360" w:lineRule="exact"/>
        <w:ind w:firstLine="522" w:firstLineChars="200"/>
        <w:jc w:val="center"/>
        <w:rPr>
          <w:rFonts w:hint="eastAsia" w:ascii="宋体" w:hAnsi="宋体" w:eastAsia="宋体" w:cs="宋体"/>
          <w:b/>
          <w:color w:val="auto"/>
          <w:sz w:val="26"/>
          <w:highlight w:val="none"/>
        </w:rPr>
      </w:pPr>
    </w:p>
    <w:p w14:paraId="0D010BE6">
      <w:pPr>
        <w:spacing w:line="360" w:lineRule="exact"/>
        <w:ind w:firstLine="522" w:firstLineChars="200"/>
        <w:jc w:val="center"/>
        <w:outlineLvl w:val="1"/>
        <w:rPr>
          <w:rFonts w:hint="eastAsia" w:ascii="宋体" w:hAnsi="宋体" w:eastAsia="宋体" w:cs="宋体"/>
          <w:color w:val="auto"/>
          <w:sz w:val="22"/>
          <w:highlight w:val="none"/>
        </w:rPr>
      </w:pPr>
      <w:bookmarkStart w:id="12" w:name="_Toc14873"/>
      <w:r>
        <w:rPr>
          <w:rFonts w:hint="eastAsia" w:ascii="宋体" w:hAnsi="宋体" w:eastAsia="宋体" w:cs="宋体"/>
          <w:b/>
          <w:color w:val="auto"/>
          <w:sz w:val="26"/>
          <w:highlight w:val="none"/>
        </w:rPr>
        <w:t>四、投标文件的递交</w:t>
      </w:r>
      <w:bookmarkEnd w:id="12"/>
    </w:p>
    <w:p w14:paraId="2CE840A8">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1.电子投标文件的加密、递交</w:t>
      </w:r>
    </w:p>
    <w:p w14:paraId="48A8D5B2">
      <w:pPr>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kern w:val="0"/>
          <w:sz w:val="22"/>
          <w:highlight w:val="none"/>
        </w:rPr>
        <w:t>投标人</w:t>
      </w:r>
      <w:r>
        <w:rPr>
          <w:rFonts w:hint="eastAsia" w:ascii="宋体" w:hAnsi="宋体" w:eastAsia="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eastAsia="宋体" w:cs="宋体"/>
          <w:color w:val="auto"/>
          <w:kern w:val="0"/>
          <w:sz w:val="22"/>
          <w:highlight w:val="none"/>
        </w:rPr>
        <w:t>。</w:t>
      </w:r>
    </w:p>
    <w:p w14:paraId="3F0D7C80">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w:t>
      </w:r>
      <w:r>
        <w:rPr>
          <w:rFonts w:hint="eastAsia" w:ascii="宋体" w:hAnsi="宋体" w:eastAsia="宋体" w:cs="宋体"/>
          <w:b/>
          <w:color w:val="auto"/>
          <w:sz w:val="22"/>
          <w:highlight w:val="none"/>
        </w:rPr>
        <w:t>备份投标文件的加密、递交（如有）</w:t>
      </w:r>
    </w:p>
    <w:p w14:paraId="47D672E6">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为</w:t>
      </w:r>
      <w:r>
        <w:rPr>
          <w:rFonts w:hint="eastAsia" w:ascii="宋体" w:hAnsi="宋体" w:eastAsia="宋体" w:cs="宋体"/>
          <w:color w:val="auto"/>
          <w:kern w:val="0"/>
          <w:sz w:val="22"/>
          <w:highlight w:val="none"/>
        </w:rPr>
        <w:t>确保采购项目顺利实施，避免因政采云上电子投标文件解密失败导致投标人投标无效，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投标人在政府采购云平台完成加密电子投标文件的上传后投标文件提交截止时间前将</w:t>
      </w:r>
      <w:r>
        <w:rPr>
          <w:rFonts w:hint="eastAsia" w:ascii="宋体" w:hAnsi="宋体" w:eastAsia="宋体" w:cs="宋体"/>
          <w:b/>
          <w:bCs/>
          <w:color w:val="auto"/>
          <w:sz w:val="22"/>
          <w:highlight w:val="none"/>
        </w:rPr>
        <w:t>以介质存储的数据电文形式的备份投标文件按“</w:t>
      </w:r>
      <w:r>
        <w:rPr>
          <w:rFonts w:hint="eastAsia" w:ascii="宋体" w:hAnsi="宋体" w:eastAsia="宋体" w:cs="宋体"/>
          <w:b/>
          <w:bCs/>
          <w:color w:val="auto"/>
          <w:sz w:val="22"/>
          <w:highlight w:val="none"/>
          <w:lang w:val="zh-CN"/>
        </w:rPr>
        <w:t>投标人须知前附表</w:t>
      </w:r>
      <w:r>
        <w:rPr>
          <w:rFonts w:hint="eastAsia" w:ascii="宋体" w:hAnsi="宋体" w:eastAsia="宋体" w:cs="宋体"/>
          <w:b/>
          <w:bCs/>
          <w:color w:val="auto"/>
          <w:sz w:val="22"/>
          <w:highlight w:val="none"/>
        </w:rPr>
        <w:t>”要求</w:t>
      </w:r>
      <w:r>
        <w:rPr>
          <w:rFonts w:hint="eastAsia" w:ascii="宋体" w:hAnsi="宋体" w:eastAsia="宋体" w:cs="宋体"/>
          <w:b/>
          <w:bCs/>
          <w:color w:val="auto"/>
          <w:sz w:val="22"/>
          <w:highlight w:val="none"/>
        </w:rPr>
        <w:fldChar w:fldCharType="end"/>
      </w:r>
      <w:r>
        <w:rPr>
          <w:rFonts w:hint="eastAsia" w:ascii="宋体" w:hAnsi="宋体" w:eastAsia="宋体" w:cs="宋体"/>
          <w:color w:val="auto"/>
          <w:kern w:val="0"/>
          <w:sz w:val="22"/>
          <w:highlight w:val="none"/>
        </w:rPr>
        <w:t>加密、递交。</w:t>
      </w:r>
    </w:p>
    <w:p w14:paraId="2BF836FA">
      <w:pPr>
        <w:pStyle w:val="13"/>
        <w:snapToGrid w:val="0"/>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本项目由采购代理机构做好“</w:t>
      </w:r>
      <w:r>
        <w:rPr>
          <w:rFonts w:hint="eastAsia" w:ascii="宋体" w:hAnsi="宋体" w:eastAsia="宋体" w:cs="宋体"/>
          <w:b/>
          <w:bCs/>
          <w:color w:val="auto"/>
          <w:sz w:val="22"/>
          <w:highlight w:val="none"/>
        </w:rPr>
        <w:t>介质存储的数据电文形式的备份投标文件</w:t>
      </w:r>
      <w:r>
        <w:rPr>
          <w:rFonts w:hint="eastAsia" w:ascii="宋体" w:hAnsi="宋体" w:eastAsia="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1EBF6CD4">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▲投标人递交的介质存储的数据电文形式的备份投标文件时，如出现下列情况之一的，视为无效备份投标文件：</w:t>
      </w:r>
    </w:p>
    <w:p w14:paraId="019114D5">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（1）超过投标文件提交截止时间送达的；</w:t>
      </w:r>
    </w:p>
    <w:p w14:paraId="3EA1C1BB">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（2）未在政采云平台获取招标文件的。</w:t>
      </w:r>
    </w:p>
    <w:p w14:paraId="4FF58778">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3.投标文件的修改、撤回和撤销</w:t>
      </w:r>
    </w:p>
    <w:p w14:paraId="031A4588">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69BDD7E3">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3.2在投标文件提交截止时间之后，投标人不得对其投标做任何修改。</w:t>
      </w:r>
    </w:p>
    <w:p w14:paraId="506C9809">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3.3</w:t>
      </w:r>
      <w:r>
        <w:rPr>
          <w:rFonts w:hint="eastAsia" w:ascii="宋体" w:hAnsi="宋体" w:eastAsia="宋体" w:cs="宋体"/>
          <w:color w:val="auto"/>
          <w:spacing w:val="-20"/>
          <w:kern w:val="0"/>
          <w:sz w:val="22"/>
          <w:highlight w:val="none"/>
        </w:rPr>
        <w:t>在投标(响应）截止时间起至投标（响应）有效期届满，投标人投标（响应）文件不可撤销。</w:t>
      </w:r>
    </w:p>
    <w:p w14:paraId="60972E2A">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3.4投标人撤销（撤回）投标不得损害国家利益、社会公共利益、采购人利益、代理机构利益、其他投标人利益，否则，投标人撤销（撤回）投标无效。</w:t>
      </w:r>
    </w:p>
    <w:p w14:paraId="3C28F9C2">
      <w:pPr>
        <w:pStyle w:val="10"/>
        <w:rPr>
          <w:rFonts w:hint="eastAsia" w:ascii="宋体" w:hAnsi="宋体" w:eastAsia="宋体" w:cs="宋体"/>
          <w:color w:val="auto"/>
          <w:highlight w:val="none"/>
        </w:rPr>
      </w:pPr>
    </w:p>
    <w:p w14:paraId="73668D01">
      <w:pPr>
        <w:tabs>
          <w:tab w:val="left" w:pos="360"/>
          <w:tab w:val="left" w:pos="540"/>
          <w:tab w:val="left" w:pos="1260"/>
        </w:tabs>
        <w:spacing w:line="400" w:lineRule="exact"/>
        <w:ind w:left="919" w:hanging="919" w:hangingChars="352"/>
        <w:jc w:val="center"/>
        <w:outlineLvl w:val="1"/>
        <w:rPr>
          <w:rFonts w:hint="eastAsia" w:ascii="宋体" w:hAnsi="宋体" w:eastAsia="宋体" w:cs="宋体"/>
          <w:b/>
          <w:color w:val="auto"/>
          <w:sz w:val="26"/>
          <w:highlight w:val="none"/>
        </w:rPr>
      </w:pPr>
      <w:bookmarkStart w:id="13" w:name="_Toc30063"/>
      <w:r>
        <w:rPr>
          <w:rFonts w:hint="eastAsia" w:ascii="宋体" w:hAnsi="宋体" w:eastAsia="宋体" w:cs="宋体"/>
          <w:b/>
          <w:color w:val="auto"/>
          <w:sz w:val="26"/>
          <w:highlight w:val="none"/>
        </w:rPr>
        <w:t>五、开标和评标</w:t>
      </w:r>
      <w:bookmarkEnd w:id="13"/>
    </w:p>
    <w:p w14:paraId="0EE3A1EE">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1.评审小组</w:t>
      </w:r>
    </w:p>
    <w:p w14:paraId="3405E01D">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采购人依法组建评审小组。评审小组的成员在评标过程中必须严格遵守《中华人民共和国政府采购法》等有关法律、法规的规定。</w:t>
      </w:r>
    </w:p>
    <w:p w14:paraId="6F2ADCE2">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2.评标过程的保密性</w:t>
      </w:r>
    </w:p>
    <w:p w14:paraId="2FFFA060">
      <w:pPr>
        <w:spacing w:line="360" w:lineRule="exact"/>
        <w:ind w:firstLine="442" w:firstLineChars="200"/>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2.1开标后直至向中标人授予合同时止，凡与评审有关的资料均不得向投标人及与评标无关人员透露。如果投标人在评标过程中试图向采购人和采购人施加影响，其投标将被拒绝。</w:t>
      </w:r>
    </w:p>
    <w:p w14:paraId="334E6246">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3.开标</w:t>
      </w:r>
    </w:p>
    <w:p w14:paraId="0A7B50AF">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本项目实行电子开评标，投标人无需前往开评标现场，只需在规定时间内在“政采云”平台上上传电子投标文件。</w:t>
      </w:r>
    </w:p>
    <w:p w14:paraId="7135F646">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3.1开标准备</w:t>
      </w:r>
    </w:p>
    <w:p w14:paraId="378364CC">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3.1.1制订开标、评审工作的组织方案，落实工作场地、设施，检查录音录像采集设备运行情况。采用电子评审方式的，验证电子评审系统是否正常运行。</w:t>
      </w:r>
    </w:p>
    <w:p w14:paraId="2CC8944C">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3.1.2通知或邀请相关单位和人员出席开标、评审活动（按规定由相关监管部门或其授权机构随机抽取、通知的政府采购评审专家除外）。</w:t>
      </w:r>
    </w:p>
    <w:p w14:paraId="42F9186A">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3.1.3准备政府采购项目的相关文件资料，如项目政府采购预算确认书（计划）、专家抽取有关凭证、项目书面说明、招标文件、补充文件及质疑答复情况、现场工作所需的相关登记表单、评审工作底稿等。</w:t>
      </w:r>
    </w:p>
    <w:p w14:paraId="3087785D">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3.1.4其他应准备的事项。</w:t>
      </w:r>
    </w:p>
    <w:p w14:paraId="7DFFC8E1">
      <w:pPr>
        <w:pStyle w:val="1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3.2采购代理机构按照招标文件规定的时间、地点和程序组织开标，具体按以下程序进行：</w:t>
      </w:r>
    </w:p>
    <w:p w14:paraId="00BDE0B5">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3.2.1</w:t>
      </w:r>
      <w:r>
        <w:rPr>
          <w:rFonts w:hint="eastAsia" w:ascii="宋体" w:hAnsi="宋体" w:eastAsia="宋体" w:cs="宋体"/>
          <w:color w:val="auto"/>
          <w:spacing w:val="-6"/>
          <w:sz w:val="22"/>
          <w:highlight w:val="none"/>
        </w:rPr>
        <w:t>开启评审场地的录音录像采集设备，并确保其正常运行。</w:t>
      </w:r>
    </w:p>
    <w:p w14:paraId="222AB486">
      <w:pPr>
        <w:pStyle w:val="27"/>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3.2.2解密</w:t>
      </w:r>
    </w:p>
    <w:p w14:paraId="15D5A5AA">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投标文件提交截止时间止采购代理机构向各投标人发出电子投标文件开始解密通知，由投标人在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sz w:val="22"/>
          <w:highlight w:val="none"/>
        </w:rPr>
        <w:t>规定时间（不少于30分钟）内自行进行投标文件解密（</w:t>
      </w:r>
      <w:r>
        <w:rPr>
          <w:rFonts w:hint="eastAsia" w:ascii="宋体" w:hAnsi="宋体" w:eastAsia="宋体" w:cs="宋体"/>
          <w:b/>
          <w:bCs/>
          <w:color w:val="auto"/>
          <w:kern w:val="0"/>
          <w:sz w:val="22"/>
          <w:highlight w:val="none"/>
        </w:rPr>
        <w:t>投标人无需在开标当天到达开标现场对电子投标进行解密，可在公司办公场地在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kern w:val="0"/>
          <w:sz w:val="22"/>
          <w:highlight w:val="none"/>
        </w:rPr>
        <w:t>规定时间内</w:t>
      </w:r>
      <w:r>
        <w:rPr>
          <w:rFonts w:hint="eastAsia" w:ascii="宋体" w:hAnsi="宋体" w:eastAsia="宋体" w:cs="宋体"/>
          <w:b/>
          <w:bCs/>
          <w:color w:val="auto"/>
          <w:sz w:val="22"/>
          <w:highlight w:val="none"/>
        </w:rPr>
        <w:t>通过制作电子投标文件的CA锁用“项目采购-开标评标”功能</w:t>
      </w:r>
      <w:r>
        <w:rPr>
          <w:rFonts w:hint="eastAsia" w:ascii="宋体" w:hAnsi="宋体" w:eastAsia="宋体" w:cs="宋体"/>
          <w:b/>
          <w:bCs/>
          <w:color w:val="auto"/>
          <w:kern w:val="0"/>
          <w:sz w:val="22"/>
          <w:highlight w:val="none"/>
        </w:rPr>
        <w:t>对电子投标文件进行解密。</w:t>
      </w:r>
      <w:r>
        <w:rPr>
          <w:rFonts w:hint="eastAsia" w:ascii="宋体" w:hAnsi="宋体" w:eastAsia="宋体" w:cs="宋体"/>
          <w:b/>
          <w:bCs/>
          <w:color w:val="auto"/>
          <w:sz w:val="22"/>
          <w:highlight w:val="none"/>
        </w:rPr>
        <w:t>）。</w:t>
      </w:r>
    </w:p>
    <w:p w14:paraId="5BD8CDFB">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本项目原则上采用政采云电子招投标开标及评审程序，但有以下情形的，按以下情况处理：</w:t>
      </w:r>
    </w:p>
    <w:p w14:paraId="17B1BF8B">
      <w:pPr>
        <w:pStyle w:val="13"/>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58000634@qq.com）的以介质存储的数据电文形式的备份投标文件，并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50AA4FB0">
      <w:pPr>
        <w:pStyle w:val="13"/>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2E4ACAED">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投标人不足3家的，不得开标。</w:t>
      </w:r>
    </w:p>
    <w:p w14:paraId="58121742">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3.2.3投标文件解密结束，组织投标人签署《政府采购活动现场确认声明书》，格式详见附件。</w:t>
      </w:r>
    </w:p>
    <w:p w14:paraId="55E0D2BD">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3.2.4采购代理机构对资格进行审查。</w:t>
      </w:r>
    </w:p>
    <w:p w14:paraId="4ACE15E7">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3.2.5评审小组对商务技术文件进行评审。</w:t>
      </w:r>
    </w:p>
    <w:p w14:paraId="040029D4">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3.2.6评审小组对报价情况进行评审。</w:t>
      </w:r>
    </w:p>
    <w:p w14:paraId="325DF51F">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3.2.7在系统上公布评审结果。</w:t>
      </w:r>
    </w:p>
    <w:p w14:paraId="7B19285E">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特别说明：政采云公司如对电子化开标及评审程序有调整的，按调整后的程序操作。</w:t>
      </w:r>
    </w:p>
    <w:p w14:paraId="00DF7A69">
      <w:pPr>
        <w:spacing w:line="360" w:lineRule="exact"/>
        <w:ind w:firstLine="440" w:firstLineChars="200"/>
        <w:rPr>
          <w:rFonts w:hint="eastAsia" w:ascii="宋体" w:hAnsi="宋体" w:eastAsia="宋体" w:cs="宋体"/>
          <w:bCs/>
          <w:color w:val="auto"/>
          <w:sz w:val="22"/>
          <w:highlight w:val="none"/>
          <w:lang w:val="zh-CN"/>
        </w:rPr>
      </w:pPr>
      <w:r>
        <w:rPr>
          <w:rFonts w:hint="eastAsia" w:ascii="宋体" w:hAnsi="宋体" w:eastAsia="宋体" w:cs="宋体"/>
          <w:color w:val="auto"/>
          <w:sz w:val="22"/>
          <w:highlight w:val="none"/>
        </w:rPr>
        <w:t>4.评标</w:t>
      </w:r>
    </w:p>
    <w:p w14:paraId="33131B34">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采购代理机构按照招标文件规定的时间、地点及程序组织评审。评审活动一般应按以下程序组织开展：</w:t>
      </w:r>
    </w:p>
    <w:p w14:paraId="7FF361BC">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4.1</w:t>
      </w:r>
      <w:r>
        <w:rPr>
          <w:rFonts w:hint="eastAsia" w:ascii="宋体" w:hAnsi="宋体" w:eastAsia="宋体" w:cs="宋体"/>
          <w:color w:val="auto"/>
          <w:spacing w:val="-6"/>
          <w:sz w:val="22"/>
          <w:highlight w:val="none"/>
        </w:rPr>
        <w:t>开启评审场地的录音录像采集设备，并确保其正常运行。</w:t>
      </w:r>
    </w:p>
    <w:p w14:paraId="79919006">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4.2</w:t>
      </w:r>
      <w:r>
        <w:rPr>
          <w:rFonts w:hint="eastAsia" w:ascii="宋体" w:hAnsi="宋体" w:eastAsia="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64A5B46E">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4.3介绍评审现场的人员情况，宣布评审工作纪律，告知评审小组应当回避情形；组织推选评审小组组长。</w:t>
      </w:r>
    </w:p>
    <w:p w14:paraId="1969109E">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4.4宣布获取</w:t>
      </w:r>
      <w:r>
        <w:rPr>
          <w:rFonts w:hint="eastAsia" w:ascii="宋体" w:hAnsi="宋体" w:eastAsia="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7BD3017D">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ascii="宋体" w:hAnsi="宋体" w:eastAsia="宋体" w:cs="宋体"/>
          <w:color w:val="auto"/>
          <w:kern w:val="0"/>
          <w:sz w:val="22"/>
          <w:highlight w:val="none"/>
        </w:rPr>
        <w:t>评审小组要求投标人澄清、说明或者补正，须通过政采云平台要求澄清、说明或者补正。</w:t>
      </w:r>
    </w:p>
    <w:p w14:paraId="063D34A9">
      <w:pPr>
        <w:pStyle w:val="49"/>
        <w:snapToGrid w:val="0"/>
        <w:spacing w:line="36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4.6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46EB4644">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做好评审现场相关记录，做好评审报告起草、有关内容电脑文字录入等工作，并要求评审小组各成员签字确认。</w:t>
      </w:r>
    </w:p>
    <w:p w14:paraId="0643AC66">
      <w:pPr>
        <w:pStyle w:val="13"/>
        <w:adjustRightInd/>
        <w:spacing w:line="360" w:lineRule="exact"/>
        <w:ind w:firstLine="416"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pacing w:val="-6"/>
          <w:sz w:val="22"/>
          <w:highlight w:val="none"/>
        </w:rPr>
        <w:t>4.7评审结束后，采购代理机构交还评审人员及其他现场相关人员的通讯工具。</w:t>
      </w:r>
    </w:p>
    <w:p w14:paraId="252182A7">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5.投标无效的情形</w:t>
      </w:r>
    </w:p>
    <w:p w14:paraId="512E4A54">
      <w:pPr>
        <w:pStyle w:val="13"/>
        <w:adjustRightInd/>
        <w:spacing w:line="360" w:lineRule="exact"/>
        <w:ind w:firstLine="440"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5.1有下列情形之一的，将不予受理投标文件：</w:t>
      </w:r>
    </w:p>
    <w:p w14:paraId="149B146C">
      <w:pPr>
        <w:pStyle w:val="13"/>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（1）逾期上传电子档投标文件至“政采云”平台的；</w:t>
      </w:r>
    </w:p>
    <w:p w14:paraId="45F8A5E7">
      <w:pPr>
        <w:pStyle w:val="13"/>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（2）仅递交备份电子投标文件的；</w:t>
      </w:r>
    </w:p>
    <w:p w14:paraId="0649853A">
      <w:pPr>
        <w:pStyle w:val="13"/>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（3）投标文件只有商务技术文件或者商务技术文件与报价文件部分上传在一份文档中的；</w:t>
      </w:r>
    </w:p>
    <w:p w14:paraId="048357A9">
      <w:pPr>
        <w:spacing w:line="360" w:lineRule="exact"/>
        <w:ind w:firstLine="416" w:firstLineChars="200"/>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（4）</w:t>
      </w:r>
      <w:r>
        <w:rPr>
          <w:rFonts w:hint="eastAsia" w:ascii="宋体" w:hAnsi="宋体" w:eastAsia="宋体" w:cs="宋体"/>
          <w:color w:val="auto"/>
          <w:sz w:val="22"/>
          <w:highlight w:val="none"/>
          <w:u w:val="single"/>
        </w:rPr>
        <w:t>电子投标文件解密失败的，且未在规定时间内提交备份投标文件的视为投标无效。</w:t>
      </w:r>
    </w:p>
    <w:p w14:paraId="3DBCBFC4">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▲5.2在资格审查时，如发现下列情形之一的，投标无效：</w:t>
      </w:r>
    </w:p>
    <w:p w14:paraId="5F8AE702">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（1）资格审查材料不全的，或者不符合招标文件要求的；</w:t>
      </w:r>
    </w:p>
    <w:p w14:paraId="37681017">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（2）“资格文件”未按招标文件要求签署、盖章的；</w:t>
      </w:r>
    </w:p>
    <w:p w14:paraId="7CA5421A">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（3）经查询存在不良信用记录的。</w:t>
      </w:r>
    </w:p>
    <w:p w14:paraId="4DAC34A9">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▲5.3在符合性审查、商务和技术评审时，如发现下列情形之一的，投标无效：</w:t>
      </w:r>
    </w:p>
    <w:p w14:paraId="1AEFB0AF">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（1）“资格文件”或“商务和技术文件”未按招标文件要求签署、盖章的；</w:t>
      </w:r>
    </w:p>
    <w:p w14:paraId="290B2A7C">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（2）未提供合法、有效授权委托书；法定代表人或委托授权代表与投标文件所附身份证明不符；</w:t>
      </w:r>
    </w:p>
    <w:p w14:paraId="43C7F5CD">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w:t>
      </w:r>
      <w:r>
        <w:rPr>
          <w:rFonts w:hint="eastAsia" w:ascii="宋体" w:hAnsi="宋体" w:cs="宋体"/>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eastAsia="宋体" w:cs="宋体"/>
          <w:color w:val="auto"/>
          <w:sz w:val="22"/>
          <w:highlight w:val="none"/>
          <w:u w:val="single"/>
        </w:rPr>
        <w:t>；</w:t>
      </w:r>
    </w:p>
    <w:p w14:paraId="0580F586">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（4）明显不符合招标文件实质性要求或者与招标文件中标“▲且加下划线”的内容发生实质性偏离的；</w:t>
      </w:r>
    </w:p>
    <w:p w14:paraId="62F0DB32">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（5）未提供或未如实提供采购需求偏离表的；</w:t>
      </w:r>
    </w:p>
    <w:p w14:paraId="6A74A3F9">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（6）未提供或未如实提供货物的技术参数，或者投标文件标明的响应或偏离与事实不符或虚假投标的；</w:t>
      </w:r>
    </w:p>
    <w:p w14:paraId="17ADCF8D">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（7）投标有效期不能满足招标文件要求的；</w:t>
      </w:r>
    </w:p>
    <w:p w14:paraId="14F412E9">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（8）投标技术方案不明确，存在一个或一个以上备选（替代）投标方案的；</w:t>
      </w:r>
    </w:p>
    <w:p w14:paraId="61E6BBFD">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（9）投标文件含有采购人不能接受的附加条件的；</w:t>
      </w:r>
    </w:p>
    <w:p w14:paraId="4A1FC07B">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（10）在“资格文件”或“商务和技术文件”中出现投标报价的；</w:t>
      </w:r>
    </w:p>
    <w:p w14:paraId="6B2EE7D9">
      <w:pPr>
        <w:spacing w:line="360" w:lineRule="exact"/>
        <w:ind w:firstLine="440" w:firstLineChars="200"/>
        <w:rPr>
          <w:rFonts w:hint="eastAsia" w:ascii="宋体" w:hAnsi="宋体" w:cs="宋体"/>
          <w:color w:val="auto"/>
          <w:sz w:val="22"/>
          <w:highlight w:val="none"/>
          <w:u w:val="single"/>
          <w:lang w:eastAsia="zh-CN" w:bidi="ar-SA"/>
        </w:rPr>
      </w:pPr>
      <w:r>
        <w:rPr>
          <w:rFonts w:hint="eastAsia" w:ascii="宋体" w:hAnsi="宋体" w:eastAsia="宋体" w:cs="宋体"/>
          <w:color w:val="auto"/>
          <w:sz w:val="22"/>
          <w:highlight w:val="none"/>
          <w:u w:val="single"/>
        </w:rPr>
        <w:t>（11）</w:t>
      </w:r>
      <w:r>
        <w:rPr>
          <w:rFonts w:hint="eastAsia" w:ascii="宋体" w:hAnsi="宋体" w:cs="宋体"/>
          <w:color w:val="auto"/>
          <w:sz w:val="22"/>
          <w:highlight w:val="none"/>
          <w:u w:val="single"/>
          <w:lang w:bidi="ar-SA"/>
        </w:rPr>
        <w:t>政府采购云平台上供应商投标设备信息中若出现不同的供应商在同一局域网下使用网络或使用同一设备的情况（如IP地址、MAC地址或硬件号信息重复），则相关供应商投标无效</w:t>
      </w:r>
      <w:r>
        <w:rPr>
          <w:rFonts w:hint="eastAsia" w:ascii="宋体" w:hAnsi="宋体" w:cs="宋体"/>
          <w:color w:val="auto"/>
          <w:sz w:val="22"/>
          <w:highlight w:val="none"/>
          <w:u w:val="single"/>
          <w:lang w:eastAsia="zh-CN" w:bidi="ar-SA"/>
        </w:rPr>
        <w:t>；</w:t>
      </w:r>
    </w:p>
    <w:p w14:paraId="749F3B21">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cs="宋体"/>
          <w:color w:val="auto"/>
          <w:sz w:val="22"/>
          <w:highlight w:val="none"/>
          <w:u w:val="single"/>
          <w:lang w:eastAsia="zh-CN" w:bidi="ar-SA"/>
        </w:rPr>
        <w:t>（</w:t>
      </w:r>
      <w:r>
        <w:rPr>
          <w:rFonts w:hint="eastAsia" w:ascii="宋体" w:hAnsi="宋体" w:cs="宋体"/>
          <w:color w:val="auto"/>
          <w:sz w:val="22"/>
          <w:highlight w:val="none"/>
          <w:u w:val="single"/>
          <w:lang w:val="en-US" w:eastAsia="zh-CN" w:bidi="ar-SA"/>
        </w:rPr>
        <w:t>12</w:t>
      </w:r>
      <w:r>
        <w:rPr>
          <w:rFonts w:hint="eastAsia" w:ascii="宋体" w:hAnsi="宋体" w:cs="宋体"/>
          <w:color w:val="auto"/>
          <w:sz w:val="22"/>
          <w:highlight w:val="none"/>
          <w:u w:val="single"/>
          <w:lang w:eastAsia="zh-CN" w:bidi="ar-SA"/>
        </w:rPr>
        <w:t>）</w:t>
      </w:r>
      <w:r>
        <w:rPr>
          <w:rFonts w:hint="eastAsia" w:ascii="宋体" w:hAnsi="宋体" w:eastAsia="宋体" w:cs="宋体"/>
          <w:color w:val="auto"/>
          <w:sz w:val="22"/>
          <w:highlight w:val="none"/>
          <w:u w:val="single"/>
        </w:rPr>
        <w:t>法律、法规和招标文件中规定的其他无效情形的。</w:t>
      </w:r>
    </w:p>
    <w:p w14:paraId="10DB37D6">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▲5.4在报价评审时，如发现下列情形之一的，投标无效：</w:t>
      </w:r>
    </w:p>
    <w:p w14:paraId="10C89743">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（1）报价文件未按招标文件要求签署、盖章的；</w:t>
      </w:r>
    </w:p>
    <w:p w14:paraId="0504A0C7">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（2）未按照招标文件标明的币种报价的；</w:t>
      </w:r>
    </w:p>
    <w:p w14:paraId="735A8A39">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（3）报价超出招标文件中规定的预算金额或者最高限价的；</w:t>
      </w:r>
    </w:p>
    <w:p w14:paraId="71B4922D">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（4）投标报价具有选择性，或者开标价格与投标文件承诺的优惠（折扣）价格不一致的；</w:t>
      </w:r>
    </w:p>
    <w:p w14:paraId="5011CAEE">
      <w:pPr>
        <w:spacing w:line="360" w:lineRule="exact"/>
        <w:ind w:firstLine="440" w:firstLineChars="200"/>
        <w:rPr>
          <w:rFonts w:hint="eastAsia" w:ascii="宋体" w:hAnsi="宋体" w:eastAsia="宋体" w:cs="宋体"/>
          <w:color w:val="auto"/>
          <w:kern w:val="0"/>
          <w:sz w:val="24"/>
          <w:highlight w:val="none"/>
        </w:rPr>
      </w:pPr>
      <w:r>
        <w:rPr>
          <w:rFonts w:hint="eastAsia" w:ascii="宋体" w:hAnsi="宋体" w:eastAsia="宋体" w:cs="宋体"/>
          <w:color w:val="auto"/>
          <w:sz w:val="22"/>
          <w:highlight w:val="none"/>
          <w:u w:val="single"/>
        </w:rPr>
        <w:t>（5）</w:t>
      </w:r>
      <w:r>
        <w:rPr>
          <w:rFonts w:hint="eastAsia" w:ascii="宋体" w:hAnsi="宋体" w:eastAsia="宋体" w:cs="宋体"/>
          <w:color w:val="auto"/>
          <w:kern w:val="0"/>
          <w:sz w:val="22"/>
          <w:highlight w:val="none"/>
          <w:u w:val="single"/>
        </w:rPr>
        <w:t>投标人对根据修正原则修正后的报价不确认的；</w:t>
      </w:r>
    </w:p>
    <w:p w14:paraId="34F9E7F4">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12C1436D">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rPr>
        <w:t>▲5.5</w:t>
      </w:r>
      <w:r>
        <w:rPr>
          <w:rFonts w:hint="eastAsia" w:ascii="宋体" w:hAnsi="宋体" w:eastAsia="宋体" w:cs="宋体"/>
          <w:color w:val="auto"/>
          <w:sz w:val="22"/>
          <w:highlight w:val="none"/>
          <w:u w:val="single"/>
          <w:lang w:val="zh-CN"/>
        </w:rPr>
        <w:t>有下列情形之一的，视为投标人串通投标，</w:t>
      </w:r>
      <w:r>
        <w:rPr>
          <w:rFonts w:hint="eastAsia" w:ascii="宋体" w:hAnsi="宋体" w:eastAsia="宋体" w:cs="宋体"/>
          <w:color w:val="auto"/>
          <w:sz w:val="22"/>
          <w:highlight w:val="none"/>
          <w:u w:val="single"/>
        </w:rPr>
        <w:t>投标无效</w:t>
      </w:r>
      <w:r>
        <w:rPr>
          <w:rFonts w:hint="eastAsia" w:ascii="宋体" w:hAnsi="宋体" w:eastAsia="宋体" w:cs="宋体"/>
          <w:color w:val="auto"/>
          <w:sz w:val="22"/>
          <w:highlight w:val="none"/>
          <w:u w:val="single"/>
          <w:lang w:val="zh-CN"/>
        </w:rPr>
        <w:t>，由采购人或采购代理机构上报政府采购监督管理部门，视情列入不良行为记录名单，在一至三年内禁止参加政府采购活动：</w:t>
      </w:r>
    </w:p>
    <w:p w14:paraId="57468365">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1</w:t>
      </w:r>
      <w:r>
        <w:rPr>
          <w:rFonts w:hint="eastAsia" w:ascii="宋体" w:hAnsi="宋体" w:eastAsia="宋体" w:cs="宋体"/>
          <w:color w:val="auto"/>
          <w:sz w:val="22"/>
          <w:highlight w:val="none"/>
          <w:u w:val="single"/>
          <w:lang w:val="zh-CN"/>
        </w:rPr>
        <w:t>）不同投标人的投标文件由同一单位或者个人编制；</w:t>
      </w:r>
    </w:p>
    <w:p w14:paraId="7EBF3CD1">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2</w:t>
      </w:r>
      <w:r>
        <w:rPr>
          <w:rFonts w:hint="eastAsia" w:ascii="宋体" w:hAnsi="宋体" w:eastAsia="宋体" w:cs="宋体"/>
          <w:color w:val="auto"/>
          <w:sz w:val="22"/>
          <w:highlight w:val="none"/>
          <w:u w:val="single"/>
          <w:lang w:val="zh-CN"/>
        </w:rPr>
        <w:t>）不同投标人委托同一单位或者个人办理投标事宜；</w:t>
      </w:r>
    </w:p>
    <w:p w14:paraId="4BCDDAFF">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u w:val="single"/>
          <w:lang w:val="zh-CN"/>
        </w:rPr>
        <w:t>）不同投标人的投标文件载明的项目管理成员或者联系人员为同一人；</w:t>
      </w:r>
    </w:p>
    <w:p w14:paraId="2B3D9984">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4</w:t>
      </w:r>
      <w:r>
        <w:rPr>
          <w:rFonts w:hint="eastAsia" w:ascii="宋体" w:hAnsi="宋体" w:eastAsia="宋体" w:cs="宋体"/>
          <w:color w:val="auto"/>
          <w:sz w:val="22"/>
          <w:highlight w:val="none"/>
          <w:u w:val="single"/>
          <w:lang w:val="zh-CN"/>
        </w:rPr>
        <w:t>）不同投标人的投标文件异常一致或者投标报价呈规律性差异；</w:t>
      </w:r>
    </w:p>
    <w:p w14:paraId="3D71C4DE">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u w:val="single"/>
          <w:lang w:val="zh-CN"/>
        </w:rPr>
        <w:t>）不同投标人的投标文件相互混装。</w:t>
      </w:r>
    </w:p>
    <w:p w14:paraId="5B9E3550">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6.错误修正</w:t>
      </w:r>
    </w:p>
    <w:p w14:paraId="36284A00">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投标文件报价出现前后不一致的，除招标文件另有规定外，按照下列规定修正：</w:t>
      </w:r>
    </w:p>
    <w:p w14:paraId="669DA224">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6.1投标文件中开标一览表（报价表）内容与投标文件中相应内容不一致的，以开标一览表（报价表）为准；</w:t>
      </w:r>
    </w:p>
    <w:p w14:paraId="3D1FBECF">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6.2大写金额和小写金额不一致的，以大写金额为准；</w:t>
      </w:r>
    </w:p>
    <w:p w14:paraId="3D734115">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6.3单价金额小数点或者百分比有明显错位的，以开标一览表的总价为准，并修改单价；</w:t>
      </w:r>
    </w:p>
    <w:p w14:paraId="0EEACC13">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6.4总价金额与按单价汇总金额不一致的，以单价金额计算结果为准。</w:t>
      </w:r>
    </w:p>
    <w:p w14:paraId="349CF698">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6.5对不同文字文本投标文件的解释发生异义的，以中文文本为准</w:t>
      </w:r>
    </w:p>
    <w:p w14:paraId="529F9CEF">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6.6客户端填写的报价与以pdf格式上传文件中的报价不一致的，应以Pdf格式上传文件中的报价为准。</w:t>
      </w:r>
    </w:p>
    <w:p w14:paraId="0FFC2DA8">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6BD514EB">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7.投标文件的澄清</w:t>
      </w:r>
    </w:p>
    <w:p w14:paraId="3D4B2B0E">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他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026D7A4C">
      <w:pPr>
        <w:pStyle w:val="13"/>
        <w:tabs>
          <w:tab w:val="left" w:pos="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7.2如果投标人代表拒绝按评审小组要求在“政采云”平台作出在线回复且无其他有效回复方式的，评审小组可以对其作出投标无效处理。</w:t>
      </w:r>
    </w:p>
    <w:p w14:paraId="3DAF037C">
      <w:pPr>
        <w:tabs>
          <w:tab w:val="left" w:pos="1365"/>
        </w:tabs>
        <w:spacing w:line="3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7.3经澄清后，若偏差仍存在，且不可接受，投标人则被认为是“没有实质性响应招标文件要求”，其投标不进入下一步评审。</w:t>
      </w:r>
    </w:p>
    <w:p w14:paraId="47A7D2C5">
      <w:pPr>
        <w:pStyle w:val="13"/>
        <w:tabs>
          <w:tab w:val="left" w:pos="630"/>
        </w:tabs>
        <w:adjustRightInd/>
        <w:snapToGrid w:val="0"/>
        <w:spacing w:line="360" w:lineRule="exact"/>
        <w:ind w:firstLine="433" w:firstLineChars="196"/>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8.评标原则和评标办法</w:t>
      </w:r>
    </w:p>
    <w:p w14:paraId="05E85030">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57A74480">
      <w:pPr>
        <w:pStyle w:val="27"/>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8.2评标中因评审小组成员缺席、回避或者健康等特殊原因导致评审小组组成不符合规定的，依法补足后继续评标。被更换的评审小组成员所作出的评标意见无效。</w:t>
      </w:r>
    </w:p>
    <w:p w14:paraId="6C4F92E5">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4D39CF52">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8.4评标办法。本项目评标办法是综合评分法，具体评标内容及评分标准等详见第六部分“评标原则及方法”。</w:t>
      </w:r>
    </w:p>
    <w:p w14:paraId="6E9D9647">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8.5评标过程中遇到特殊情况，由评审小组遵循公开、公正原则，采取投票方式按照少数服从多数原则决定。</w:t>
      </w:r>
    </w:p>
    <w:p w14:paraId="0C5FC0A2">
      <w:pPr>
        <w:pStyle w:val="13"/>
        <w:adjustRightInd/>
        <w:snapToGrid w:val="0"/>
        <w:spacing w:line="360" w:lineRule="exact"/>
        <w:ind w:firstLine="440"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8.6</w:t>
      </w:r>
      <w:r>
        <w:rPr>
          <w:rFonts w:hint="eastAsia" w:ascii="宋体" w:hAnsi="宋体" w:eastAsia="宋体" w:cs="宋体"/>
          <w:b/>
          <w:bCs/>
          <w:color w:val="auto"/>
          <w:sz w:val="22"/>
          <w:highlight w:val="none"/>
        </w:rPr>
        <w:t>《中华人民共和国政府采购法》第三十六条在招标采购中，出现下列情形之一的，应予废标：</w:t>
      </w:r>
    </w:p>
    <w:p w14:paraId="00985C0D">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8.6.1符合专业条件的供应商或者对招标文件作实质响应的供应商不足三家的；</w:t>
      </w:r>
    </w:p>
    <w:p w14:paraId="7FCFBA6E">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8.6.2出现影响采购公正的违法、违规行为的；</w:t>
      </w:r>
    </w:p>
    <w:p w14:paraId="55966A1D">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8.6.3投标人的报价均超过了采购预算，采购人不能支付的；</w:t>
      </w:r>
    </w:p>
    <w:p w14:paraId="5CAAA345">
      <w:pPr>
        <w:pStyle w:val="13"/>
        <w:adjustRightInd/>
        <w:snapToGrid w:val="0"/>
        <w:spacing w:line="360" w:lineRule="exact"/>
        <w:ind w:firstLine="442" w:firstLineChars="200"/>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8.6.4因重大变故，采购任务取消的。</w:t>
      </w:r>
    </w:p>
    <w:p w14:paraId="69C149DF">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9.确定中标候选人</w:t>
      </w:r>
    </w:p>
    <w:p w14:paraId="116CF81F">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9.1本次招标由评审小组确定中标候选人（招标文件另有规定的除外）。</w:t>
      </w:r>
    </w:p>
    <w:p w14:paraId="40388BBF">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05E61600">
      <w:pPr>
        <w:widowControl/>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431FE985">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9.4采购人根据招标文件、中标人的投标文件、合同等材料及时组织验收，并严把质量关。</w:t>
      </w:r>
    </w:p>
    <w:p w14:paraId="78E4EE62">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9.5采购代理机构对决标结果不做任何解释，也不保证最低价中标。</w:t>
      </w:r>
    </w:p>
    <w:p w14:paraId="52EB9A76">
      <w:pPr>
        <w:pStyle w:val="13"/>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10.定标</w:t>
      </w:r>
    </w:p>
    <w:p w14:paraId="74885E22">
      <w:pPr>
        <w:pStyle w:val="13"/>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（一）确定中标人。本项目由采购人确定中标人。</w:t>
      </w:r>
    </w:p>
    <w:p w14:paraId="3FA139A3">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在采购结果确认环节，中标候选人撤销文件不能成为采购人不确认采购结果的正当理由。</w:t>
      </w:r>
    </w:p>
    <w:p w14:paraId="34036A07">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7C4CC002">
      <w:pPr>
        <w:spacing w:line="400" w:lineRule="exact"/>
        <w:jc w:val="center"/>
        <w:rPr>
          <w:rFonts w:hint="eastAsia" w:ascii="宋体" w:hAnsi="宋体" w:eastAsia="宋体" w:cs="宋体"/>
          <w:b/>
          <w:color w:val="auto"/>
          <w:sz w:val="26"/>
          <w:highlight w:val="none"/>
        </w:rPr>
      </w:pPr>
    </w:p>
    <w:p w14:paraId="2892956E">
      <w:pPr>
        <w:spacing w:line="400" w:lineRule="exact"/>
        <w:jc w:val="center"/>
        <w:outlineLvl w:val="1"/>
        <w:rPr>
          <w:rFonts w:hint="eastAsia" w:ascii="宋体" w:hAnsi="宋体" w:eastAsia="宋体" w:cs="宋体"/>
          <w:b/>
          <w:color w:val="auto"/>
          <w:sz w:val="26"/>
          <w:highlight w:val="none"/>
        </w:rPr>
      </w:pPr>
      <w:bookmarkStart w:id="14" w:name="_Toc9818"/>
      <w:r>
        <w:rPr>
          <w:rFonts w:hint="eastAsia" w:ascii="宋体" w:hAnsi="宋体" w:eastAsia="宋体" w:cs="宋体"/>
          <w:b/>
          <w:color w:val="auto"/>
          <w:sz w:val="26"/>
          <w:highlight w:val="none"/>
        </w:rPr>
        <w:t>六、授予合同</w:t>
      </w:r>
      <w:bookmarkEnd w:id="14"/>
    </w:p>
    <w:p w14:paraId="775E75DC">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D88D6FF">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3089BE14">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439B58E1">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4.采购人不得向供应商索要或者接受其给予的赠品、回扣或者与采购无关的其他商品、服务。采购过程（采购文件）中应明确以下要求：</w:t>
      </w:r>
    </w:p>
    <w:p w14:paraId="7B50DB28">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4.1不得明示或暗示供应商提供赠品、回扣、采购预算中本身不包含的其他商品或服务；</w:t>
      </w:r>
    </w:p>
    <w:p w14:paraId="0C57C6C7">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4.2供应商承诺提供赠品、回扣、采购预算中本身不包含的其他商品或服务，视作无效承诺；不得因无效承诺对供应商实行差别待遇或者歧视待遇；</w:t>
      </w:r>
    </w:p>
    <w:p w14:paraId="2B88F606">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4.3合同总价不为零，报价明细表中部分产品、服务单价为零的，视作已包含在总价中（采购文件中明确）；</w:t>
      </w:r>
    </w:p>
    <w:p w14:paraId="1D05894E">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4.4不得将供应商提供赠品、回扣、采购预算中本身不包含的其他商品或服务作为中标（成交）条件或者合同签订条件；</w:t>
      </w:r>
    </w:p>
    <w:p w14:paraId="3DDB8BC4">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4.5合同签订后，不得接受供应商无效承诺的赠品、回扣、采购预算中本身不包含的其他商品或服务；</w:t>
      </w:r>
    </w:p>
    <w:p w14:paraId="0A40598B">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4.6合同签订后，不得向供应商索要赠品、回扣、采购预算中本身不包含的其他商品或服务；</w:t>
      </w:r>
    </w:p>
    <w:p w14:paraId="274F045C">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4.7履约验收环节，不得因供应商提供赠品、回扣、采购预算中本身不包含的其他商品或服务减免供应商违约责任。</w:t>
      </w:r>
    </w:p>
    <w:p w14:paraId="7B00E636">
      <w:pPr>
        <w:spacing w:line="360" w:lineRule="exact"/>
        <w:jc w:val="center"/>
        <w:rPr>
          <w:rFonts w:hint="eastAsia" w:ascii="宋体" w:hAnsi="宋体" w:eastAsia="宋体" w:cs="宋体"/>
          <w:b/>
          <w:color w:val="auto"/>
          <w:sz w:val="26"/>
          <w:highlight w:val="none"/>
        </w:rPr>
      </w:pPr>
    </w:p>
    <w:p w14:paraId="6D82DFB3">
      <w:pPr>
        <w:spacing w:line="360" w:lineRule="exact"/>
        <w:jc w:val="center"/>
        <w:outlineLvl w:val="1"/>
        <w:rPr>
          <w:rFonts w:hint="eastAsia" w:ascii="宋体" w:hAnsi="宋体" w:eastAsia="宋体" w:cs="宋体"/>
          <w:b/>
          <w:color w:val="auto"/>
          <w:sz w:val="28"/>
          <w:szCs w:val="28"/>
          <w:highlight w:val="none"/>
        </w:rPr>
      </w:pPr>
      <w:bookmarkStart w:id="15" w:name="_Toc18888"/>
      <w:r>
        <w:rPr>
          <w:rFonts w:hint="eastAsia" w:ascii="宋体" w:hAnsi="宋体" w:eastAsia="宋体" w:cs="宋体"/>
          <w:b/>
          <w:color w:val="auto"/>
          <w:sz w:val="26"/>
          <w:highlight w:val="none"/>
        </w:rPr>
        <w:t>七、</w:t>
      </w:r>
      <w:r>
        <w:rPr>
          <w:rFonts w:hint="eastAsia" w:ascii="宋体" w:hAnsi="宋体" w:eastAsia="宋体" w:cs="宋体"/>
          <w:b/>
          <w:color w:val="auto"/>
          <w:sz w:val="28"/>
          <w:szCs w:val="28"/>
          <w:highlight w:val="none"/>
        </w:rPr>
        <w:t>可中止电子交易活动的情形</w:t>
      </w:r>
      <w:bookmarkEnd w:id="15"/>
    </w:p>
    <w:p w14:paraId="6689D48B">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0ADEA781">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1.1</w:t>
      </w:r>
      <w:r>
        <w:rPr>
          <w:rFonts w:hint="eastAsia" w:ascii="宋体" w:hAnsi="宋体" w:eastAsia="宋体" w:cs="宋体"/>
          <w:color w:val="auto"/>
          <w:sz w:val="22"/>
          <w:highlight w:val="none"/>
          <w:lang w:val="zh-CN"/>
        </w:rPr>
        <w:t>电子交易平台发生故障而无法登录访问的； </w:t>
      </w:r>
    </w:p>
    <w:p w14:paraId="6D88A6C2">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1.2</w:t>
      </w:r>
      <w:r>
        <w:rPr>
          <w:rFonts w:hint="eastAsia" w:ascii="宋体" w:hAnsi="宋体" w:eastAsia="宋体" w:cs="宋体"/>
          <w:color w:val="auto"/>
          <w:sz w:val="22"/>
          <w:highlight w:val="none"/>
          <w:lang w:val="zh-CN"/>
        </w:rPr>
        <w:t>电子交易平台应用或数据库出现错误，不能进行正常操作的；</w:t>
      </w:r>
    </w:p>
    <w:p w14:paraId="30A75B07">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1.3</w:t>
      </w:r>
      <w:r>
        <w:rPr>
          <w:rFonts w:hint="eastAsia" w:ascii="宋体" w:hAnsi="宋体" w:eastAsia="宋体" w:cs="宋体"/>
          <w:color w:val="auto"/>
          <w:sz w:val="22"/>
          <w:highlight w:val="none"/>
          <w:lang w:val="zh-CN"/>
        </w:rPr>
        <w:t>电子交易平台发现严重安全漏洞，有潜在泄密危险的；</w:t>
      </w:r>
    </w:p>
    <w:p w14:paraId="12A65C8D">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1.4</w:t>
      </w:r>
      <w:r>
        <w:rPr>
          <w:rFonts w:hint="eastAsia" w:ascii="宋体" w:hAnsi="宋体" w:eastAsia="宋体" w:cs="宋体"/>
          <w:color w:val="auto"/>
          <w:sz w:val="22"/>
          <w:highlight w:val="none"/>
          <w:lang w:val="zh-CN"/>
        </w:rPr>
        <w:t>病毒发作导致不能进行正常操作的； </w:t>
      </w:r>
    </w:p>
    <w:p w14:paraId="6AC4ADBE">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1.5其他无法保证电子交易的公平、公正和安全的情况。</w:t>
      </w:r>
    </w:p>
    <w:p w14:paraId="0F67180B">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54133295">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667118D5">
      <w:pPr>
        <w:spacing w:line="360" w:lineRule="exact"/>
        <w:jc w:val="center"/>
        <w:outlineLvl w:val="0"/>
        <w:rPr>
          <w:rFonts w:hint="eastAsia" w:ascii="宋体" w:hAnsi="宋体" w:eastAsia="宋体" w:cs="宋体"/>
          <w:b/>
          <w:bCs/>
          <w:color w:val="auto"/>
          <w:szCs w:val="21"/>
          <w:highlight w:val="none"/>
        </w:rPr>
      </w:pPr>
      <w:bookmarkStart w:id="16" w:name="_Toc24607"/>
      <w:r>
        <w:rPr>
          <w:rFonts w:hint="eastAsia" w:ascii="宋体" w:hAnsi="宋体" w:eastAsia="宋体" w:cs="宋体"/>
          <w:b/>
          <w:color w:val="auto"/>
          <w:sz w:val="32"/>
          <w:highlight w:val="none"/>
        </w:rPr>
        <w:t xml:space="preserve">第三部分 </w:t>
      </w:r>
      <w:r>
        <w:rPr>
          <w:rFonts w:hint="eastAsia" w:ascii="宋体" w:hAnsi="宋体" w:eastAsia="宋体" w:cs="宋体"/>
          <w:b/>
          <w:bCs/>
          <w:color w:val="auto"/>
          <w:sz w:val="32"/>
          <w:szCs w:val="32"/>
          <w:highlight w:val="none"/>
        </w:rPr>
        <w:t>拟签订的合同文本</w:t>
      </w:r>
      <w:bookmarkEnd w:id="16"/>
    </w:p>
    <w:p w14:paraId="7B793887">
      <w:pPr>
        <w:spacing w:line="350" w:lineRule="exact"/>
        <w:jc w:val="center"/>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（本合同为样稿，最终稿由甲乙双方协商后确定）</w:t>
      </w:r>
    </w:p>
    <w:p w14:paraId="25164C01">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项目编号：</w:t>
      </w:r>
    </w:p>
    <w:p w14:paraId="12872022">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甲方：</w:t>
      </w:r>
    </w:p>
    <w:p w14:paraId="14B87712">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乙方：</w:t>
      </w:r>
    </w:p>
    <w:p w14:paraId="08006C8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______年_______月_______日在的_______项目采购中，甲方接受乙方对本次设备的投标，甲乙双方根据《中华人民共和国民法典》等法规和本合同的招标文件、投标文件及其投标中的承诺，经双方协商，同意签订本合同，共同遵守。</w:t>
      </w:r>
    </w:p>
    <w:p w14:paraId="38E446E6">
      <w:pPr>
        <w:spacing w:line="400" w:lineRule="exact"/>
        <w:outlineLvl w:val="1"/>
        <w:rPr>
          <w:rFonts w:hint="eastAsia" w:ascii="宋体" w:hAnsi="宋体" w:eastAsia="宋体" w:cs="宋体"/>
          <w:color w:val="auto"/>
          <w:sz w:val="22"/>
          <w:highlight w:val="none"/>
          <w:u w:val="single"/>
        </w:rPr>
      </w:pPr>
      <w:bookmarkStart w:id="17" w:name="_Toc31804"/>
      <w:bookmarkStart w:id="18" w:name="_Toc29090"/>
      <w:bookmarkStart w:id="19" w:name="_Toc32108"/>
      <w:bookmarkStart w:id="20" w:name="_Toc8075"/>
      <w:r>
        <w:rPr>
          <w:rFonts w:hint="eastAsia" w:ascii="宋体" w:hAnsi="宋体" w:eastAsia="宋体" w:cs="宋体"/>
          <w:color w:val="auto"/>
          <w:sz w:val="22"/>
          <w:highlight w:val="none"/>
        </w:rPr>
        <w:t>1、采购设备内容及价格（详细清单可附后）单位：</w:t>
      </w:r>
      <w:r>
        <w:rPr>
          <w:rFonts w:hint="eastAsia" w:ascii="宋体" w:hAnsi="宋体" w:eastAsia="宋体" w:cs="宋体"/>
          <w:color w:val="auto"/>
          <w:sz w:val="22"/>
          <w:highlight w:val="none"/>
          <w:u w:val="single"/>
        </w:rPr>
        <w:t>元</w:t>
      </w:r>
      <w:bookmarkEnd w:id="17"/>
      <w:bookmarkEnd w:id="18"/>
      <w:bookmarkEnd w:id="19"/>
      <w:bookmarkEnd w:id="20"/>
    </w:p>
    <w:tbl>
      <w:tblPr>
        <w:tblStyle w:val="32"/>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14:paraId="19B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noWrap/>
            <w:vAlign w:val="center"/>
          </w:tcPr>
          <w:p w14:paraId="12EB9C1E">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567" w:type="dxa"/>
            <w:noWrap/>
            <w:vAlign w:val="center"/>
          </w:tcPr>
          <w:p w14:paraId="32316E95">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设备名称</w:t>
            </w:r>
          </w:p>
        </w:tc>
        <w:tc>
          <w:tcPr>
            <w:tcW w:w="1266" w:type="dxa"/>
            <w:noWrap/>
            <w:vAlign w:val="center"/>
          </w:tcPr>
          <w:p w14:paraId="0D1CAA6A">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2367" w:type="dxa"/>
            <w:noWrap/>
            <w:vAlign w:val="center"/>
          </w:tcPr>
          <w:p w14:paraId="05002EFF">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型号规格和主要配置</w:t>
            </w:r>
          </w:p>
        </w:tc>
        <w:tc>
          <w:tcPr>
            <w:tcW w:w="867" w:type="dxa"/>
            <w:noWrap/>
            <w:vAlign w:val="center"/>
          </w:tcPr>
          <w:p w14:paraId="2BF2ADD9">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883" w:type="dxa"/>
            <w:noWrap/>
            <w:vAlign w:val="center"/>
          </w:tcPr>
          <w:p w14:paraId="742ECD71">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单价</w:t>
            </w:r>
          </w:p>
        </w:tc>
        <w:tc>
          <w:tcPr>
            <w:tcW w:w="1117" w:type="dxa"/>
            <w:noWrap/>
            <w:vAlign w:val="center"/>
          </w:tcPr>
          <w:p w14:paraId="193C909A">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总价</w:t>
            </w:r>
          </w:p>
        </w:tc>
      </w:tr>
      <w:tr w14:paraId="5BF1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noWrap/>
            <w:vAlign w:val="center"/>
          </w:tcPr>
          <w:p w14:paraId="30C09189">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567" w:type="dxa"/>
            <w:noWrap/>
            <w:vAlign w:val="center"/>
          </w:tcPr>
          <w:p w14:paraId="564A9E66">
            <w:pPr>
              <w:spacing w:line="400" w:lineRule="exact"/>
              <w:jc w:val="center"/>
              <w:rPr>
                <w:rFonts w:hint="eastAsia" w:ascii="宋体" w:hAnsi="宋体" w:eastAsia="宋体" w:cs="宋体"/>
                <w:color w:val="auto"/>
                <w:sz w:val="22"/>
                <w:highlight w:val="none"/>
              </w:rPr>
            </w:pPr>
          </w:p>
        </w:tc>
        <w:tc>
          <w:tcPr>
            <w:tcW w:w="1266" w:type="dxa"/>
            <w:noWrap/>
            <w:vAlign w:val="center"/>
          </w:tcPr>
          <w:p w14:paraId="7D7E4541">
            <w:pPr>
              <w:spacing w:line="400" w:lineRule="exact"/>
              <w:jc w:val="center"/>
              <w:rPr>
                <w:rFonts w:hint="eastAsia" w:ascii="宋体" w:hAnsi="宋体" w:eastAsia="宋体" w:cs="宋体"/>
                <w:color w:val="auto"/>
                <w:sz w:val="22"/>
                <w:highlight w:val="none"/>
              </w:rPr>
            </w:pPr>
          </w:p>
        </w:tc>
        <w:tc>
          <w:tcPr>
            <w:tcW w:w="2367" w:type="dxa"/>
            <w:noWrap/>
            <w:vAlign w:val="center"/>
          </w:tcPr>
          <w:p w14:paraId="4B8BA184">
            <w:pPr>
              <w:spacing w:line="400" w:lineRule="exact"/>
              <w:jc w:val="center"/>
              <w:rPr>
                <w:rFonts w:hint="eastAsia" w:ascii="宋体" w:hAnsi="宋体" w:eastAsia="宋体" w:cs="宋体"/>
                <w:color w:val="auto"/>
                <w:sz w:val="22"/>
                <w:highlight w:val="none"/>
              </w:rPr>
            </w:pPr>
          </w:p>
        </w:tc>
        <w:tc>
          <w:tcPr>
            <w:tcW w:w="867" w:type="dxa"/>
            <w:noWrap/>
            <w:vAlign w:val="center"/>
          </w:tcPr>
          <w:p w14:paraId="11E15436">
            <w:pPr>
              <w:spacing w:line="400" w:lineRule="exact"/>
              <w:jc w:val="center"/>
              <w:rPr>
                <w:rFonts w:hint="eastAsia" w:ascii="宋体" w:hAnsi="宋体" w:eastAsia="宋体" w:cs="宋体"/>
                <w:color w:val="auto"/>
                <w:sz w:val="22"/>
                <w:highlight w:val="none"/>
              </w:rPr>
            </w:pPr>
          </w:p>
        </w:tc>
        <w:tc>
          <w:tcPr>
            <w:tcW w:w="883" w:type="dxa"/>
            <w:noWrap/>
            <w:vAlign w:val="center"/>
          </w:tcPr>
          <w:p w14:paraId="76FECC35">
            <w:pPr>
              <w:spacing w:line="400" w:lineRule="exact"/>
              <w:jc w:val="center"/>
              <w:rPr>
                <w:rFonts w:hint="eastAsia" w:ascii="宋体" w:hAnsi="宋体" w:eastAsia="宋体" w:cs="宋体"/>
                <w:color w:val="auto"/>
                <w:sz w:val="22"/>
                <w:highlight w:val="none"/>
              </w:rPr>
            </w:pPr>
          </w:p>
        </w:tc>
        <w:tc>
          <w:tcPr>
            <w:tcW w:w="1117" w:type="dxa"/>
            <w:noWrap/>
            <w:vAlign w:val="center"/>
          </w:tcPr>
          <w:p w14:paraId="149C95D5">
            <w:pPr>
              <w:spacing w:line="400" w:lineRule="exact"/>
              <w:jc w:val="center"/>
              <w:rPr>
                <w:rFonts w:hint="eastAsia" w:ascii="宋体" w:hAnsi="宋体" w:eastAsia="宋体" w:cs="宋体"/>
                <w:color w:val="auto"/>
                <w:sz w:val="22"/>
                <w:highlight w:val="none"/>
              </w:rPr>
            </w:pPr>
          </w:p>
        </w:tc>
      </w:tr>
      <w:tr w14:paraId="2C20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noWrap/>
          </w:tcPr>
          <w:p w14:paraId="77F2C9C8">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合计：（大写）元整小写：￥</w:t>
            </w:r>
          </w:p>
        </w:tc>
      </w:tr>
    </w:tbl>
    <w:p w14:paraId="7FF19273">
      <w:pPr>
        <w:spacing w:line="400" w:lineRule="exac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2、本合同总价为</w:t>
      </w:r>
      <w:r>
        <w:rPr>
          <w:rFonts w:hint="eastAsia" w:ascii="宋体" w:hAnsi="宋体" w:eastAsia="宋体" w:cs="宋体"/>
          <w:color w:val="auto"/>
          <w:sz w:val="22"/>
          <w:highlight w:val="none"/>
        </w:rPr>
        <w:t>乙方在正确地完全履行合同义务后甲方应支付给乙方所有的货物价款，即货物的采购、材料、尺寸量丈费用、不合体修改费用、供货、设备安装、税金、运输、装卸、验收（含第三方验收）、技术服务、售后服务等全部费用，实行固定费用总包干。除发生下列因素可调整合同价外，不得以任何其他理由调整任何费用。</w:t>
      </w:r>
    </w:p>
    <w:p w14:paraId="772E1B87">
      <w:pPr>
        <w:spacing w:line="400" w:lineRule="exact"/>
        <w:outlineLvl w:val="1"/>
        <w:rPr>
          <w:rFonts w:hint="eastAsia" w:ascii="宋体" w:hAnsi="宋体" w:eastAsia="宋体" w:cs="宋体"/>
          <w:b/>
          <w:bCs/>
          <w:color w:val="auto"/>
          <w:sz w:val="22"/>
          <w:highlight w:val="none"/>
        </w:rPr>
      </w:pPr>
      <w:bookmarkStart w:id="21" w:name="_Toc20933"/>
      <w:bookmarkStart w:id="22" w:name="_Toc31795"/>
      <w:bookmarkStart w:id="23" w:name="_Toc18104"/>
      <w:r>
        <w:rPr>
          <w:rFonts w:hint="eastAsia" w:ascii="宋体" w:hAnsi="宋体" w:eastAsia="宋体" w:cs="宋体"/>
          <w:b/>
          <w:bCs/>
          <w:color w:val="auto"/>
          <w:sz w:val="22"/>
          <w:highlight w:val="none"/>
        </w:rPr>
        <w:t>3、标准</w:t>
      </w:r>
      <w:bookmarkEnd w:id="21"/>
      <w:bookmarkEnd w:id="22"/>
      <w:bookmarkEnd w:id="23"/>
    </w:p>
    <w:p w14:paraId="26D1B1F8">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3.1本合同项下交付的货物应符合技术规格所述的标准。如在招标文件中无相应说明，则以国家颁布的最新版本标准或行业（部）标准或相应的国际标准执行，没有国家或行业（部）标准的则按企业标准执行。</w:t>
      </w:r>
    </w:p>
    <w:p w14:paraId="7456113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3.2除非技术规格中另有规定，计量单位均采用中华人民共和国法定计量单位。</w:t>
      </w:r>
    </w:p>
    <w:p w14:paraId="0352D850">
      <w:pPr>
        <w:spacing w:line="400" w:lineRule="exact"/>
        <w:outlineLvl w:val="1"/>
        <w:rPr>
          <w:rFonts w:hint="eastAsia" w:ascii="宋体" w:hAnsi="宋体" w:eastAsia="宋体" w:cs="宋体"/>
          <w:b/>
          <w:bCs/>
          <w:color w:val="auto"/>
          <w:sz w:val="22"/>
          <w:highlight w:val="none"/>
        </w:rPr>
      </w:pPr>
      <w:bookmarkStart w:id="24" w:name="_Toc11117"/>
      <w:bookmarkStart w:id="25" w:name="_Toc10532"/>
      <w:bookmarkStart w:id="26" w:name="_Toc17453"/>
      <w:r>
        <w:rPr>
          <w:rFonts w:hint="eastAsia" w:ascii="宋体" w:hAnsi="宋体" w:eastAsia="宋体" w:cs="宋体"/>
          <w:b/>
          <w:bCs/>
          <w:color w:val="auto"/>
          <w:sz w:val="22"/>
          <w:highlight w:val="none"/>
        </w:rPr>
        <w:t>4、专利权</w:t>
      </w:r>
      <w:bookmarkEnd w:id="24"/>
      <w:bookmarkEnd w:id="25"/>
      <w:bookmarkEnd w:id="26"/>
    </w:p>
    <w:p w14:paraId="074C0121">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14:paraId="4C241BD1">
      <w:pPr>
        <w:spacing w:line="400" w:lineRule="exact"/>
        <w:outlineLvl w:val="1"/>
        <w:rPr>
          <w:rFonts w:hint="eastAsia" w:ascii="宋体" w:hAnsi="宋体" w:eastAsia="宋体" w:cs="宋体"/>
          <w:b/>
          <w:bCs/>
          <w:color w:val="auto"/>
          <w:sz w:val="22"/>
          <w:highlight w:val="none"/>
        </w:rPr>
      </w:pPr>
      <w:bookmarkStart w:id="27" w:name="_Toc26256"/>
      <w:bookmarkStart w:id="28" w:name="_Toc4030"/>
      <w:bookmarkStart w:id="29" w:name="_Toc24214"/>
      <w:r>
        <w:rPr>
          <w:rFonts w:hint="eastAsia" w:ascii="宋体" w:hAnsi="宋体" w:eastAsia="宋体" w:cs="宋体"/>
          <w:b/>
          <w:bCs/>
          <w:color w:val="auto"/>
          <w:sz w:val="22"/>
          <w:highlight w:val="none"/>
        </w:rPr>
        <w:t>5、设备、材料供应</w:t>
      </w:r>
      <w:bookmarkEnd w:id="27"/>
      <w:bookmarkEnd w:id="28"/>
      <w:bookmarkEnd w:id="29"/>
    </w:p>
    <w:p w14:paraId="5360BFE7">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本合同范围所需的设备均由乙方提供。采购供应的材料、设备均须有合格证、质保书等相关技术资料。如发现不合格的设备材料，由乙方承担全部的经济损失和责任。</w:t>
      </w:r>
    </w:p>
    <w:p w14:paraId="4AD6D262">
      <w:pPr>
        <w:spacing w:line="400" w:lineRule="exact"/>
        <w:outlineLvl w:val="1"/>
        <w:rPr>
          <w:rFonts w:hint="eastAsia" w:ascii="宋体" w:hAnsi="宋体" w:eastAsia="宋体" w:cs="宋体"/>
          <w:b/>
          <w:bCs/>
          <w:color w:val="auto"/>
          <w:sz w:val="22"/>
          <w:highlight w:val="none"/>
        </w:rPr>
      </w:pPr>
      <w:bookmarkStart w:id="30" w:name="_Toc31425"/>
      <w:bookmarkStart w:id="31" w:name="_Toc20143"/>
      <w:bookmarkStart w:id="32" w:name="_Toc25305"/>
      <w:r>
        <w:rPr>
          <w:rFonts w:hint="eastAsia" w:ascii="宋体" w:hAnsi="宋体" w:eastAsia="宋体" w:cs="宋体"/>
          <w:b/>
          <w:bCs/>
          <w:color w:val="auto"/>
          <w:sz w:val="22"/>
          <w:highlight w:val="none"/>
        </w:rPr>
        <w:t>6、产品包装</w:t>
      </w:r>
      <w:bookmarkEnd w:id="30"/>
      <w:bookmarkEnd w:id="31"/>
      <w:bookmarkEnd w:id="32"/>
    </w:p>
    <w:p w14:paraId="3108A57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color w:val="auto"/>
          <w:spacing w:val="-2"/>
          <w:sz w:val="22"/>
          <w:highlight w:val="none"/>
        </w:rPr>
        <w:t>除合同另有规定外，乙方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破损和丢失的任何损失的责任或费用。</w:t>
      </w:r>
    </w:p>
    <w:p w14:paraId="765580D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6.2每一包装箱内必须附有装箱清单。</w:t>
      </w:r>
    </w:p>
    <w:p w14:paraId="20832979">
      <w:pPr>
        <w:spacing w:line="400" w:lineRule="exact"/>
        <w:outlineLvl w:val="1"/>
        <w:rPr>
          <w:rFonts w:hint="eastAsia" w:ascii="宋体" w:hAnsi="宋体" w:eastAsia="宋体" w:cs="宋体"/>
          <w:b/>
          <w:bCs/>
          <w:color w:val="auto"/>
          <w:sz w:val="22"/>
          <w:highlight w:val="none"/>
        </w:rPr>
      </w:pPr>
      <w:bookmarkStart w:id="33" w:name="_Toc9378"/>
      <w:bookmarkStart w:id="34" w:name="_Toc21390"/>
      <w:bookmarkStart w:id="35" w:name="_Toc7157"/>
      <w:r>
        <w:rPr>
          <w:rFonts w:hint="eastAsia" w:ascii="宋体" w:hAnsi="宋体" w:eastAsia="宋体" w:cs="宋体"/>
          <w:b/>
          <w:bCs/>
          <w:color w:val="auto"/>
          <w:sz w:val="22"/>
          <w:highlight w:val="none"/>
        </w:rPr>
        <w:t>7、装运标记</w:t>
      </w:r>
      <w:bookmarkEnd w:id="33"/>
      <w:bookmarkEnd w:id="34"/>
      <w:bookmarkEnd w:id="35"/>
    </w:p>
    <w:p w14:paraId="1AA4F4FE">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根据货物的特点和运输的不同要求，乙方还应清楚地标注“小心轻放”、“防潮”、“此端向上”、“请勿倒置”“保持干燥”等字样和其他国际贸易中使用的适当标志。</w:t>
      </w:r>
    </w:p>
    <w:p w14:paraId="6DA1157B">
      <w:pPr>
        <w:spacing w:line="400" w:lineRule="exact"/>
        <w:outlineLvl w:val="1"/>
        <w:rPr>
          <w:rFonts w:hint="eastAsia" w:ascii="宋体" w:hAnsi="宋体" w:eastAsia="宋体" w:cs="宋体"/>
          <w:b/>
          <w:bCs/>
          <w:color w:val="auto"/>
          <w:sz w:val="22"/>
          <w:highlight w:val="none"/>
        </w:rPr>
      </w:pPr>
      <w:bookmarkStart w:id="36" w:name="_Toc10018"/>
      <w:bookmarkStart w:id="37" w:name="_Toc12987"/>
      <w:bookmarkStart w:id="38" w:name="_Toc17380"/>
      <w:r>
        <w:rPr>
          <w:rFonts w:hint="eastAsia" w:ascii="宋体" w:hAnsi="宋体" w:eastAsia="宋体" w:cs="宋体"/>
          <w:b/>
          <w:bCs/>
          <w:color w:val="auto"/>
          <w:sz w:val="22"/>
          <w:highlight w:val="none"/>
        </w:rPr>
        <w:t>8、交货方式：</w:t>
      </w:r>
      <w:bookmarkEnd w:id="36"/>
      <w:bookmarkEnd w:id="37"/>
      <w:bookmarkEnd w:id="38"/>
    </w:p>
    <w:p w14:paraId="6C95E96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8.1现场交货：乙方负责办理运输和保险，将货物运抵甲方指定的现场并落地安装就位。有关运输和保险的一切费用由乙方承担。所有货物运抵现场安装完毕的日期为交货日期。</w:t>
      </w:r>
    </w:p>
    <w:p w14:paraId="5EDFD3E3">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8.2在现场交货条件下，乙方在货物发运前15天，将要发运货物的名称、规格、数量、尺寸、重量和货物的卸车，贮存的特殊要求以及运输工具名称以及启运日期，通知甲方。</w:t>
      </w:r>
    </w:p>
    <w:p w14:paraId="5EEBEECC">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8.3如因乙方延误将上述内容通知甲方，由此引起的一切损失应由乙方承担。</w:t>
      </w:r>
    </w:p>
    <w:p w14:paraId="0A88EB2A">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8.4交付使用时间：_____________，交货地点：</w:t>
      </w:r>
      <w:r>
        <w:rPr>
          <w:rFonts w:hint="eastAsia" w:ascii="宋体" w:hAnsi="宋体" w:eastAsia="宋体" w:cs="宋体"/>
          <w:color w:val="auto"/>
          <w:sz w:val="22"/>
          <w:highlight w:val="none"/>
          <w:u w:val="single"/>
        </w:rPr>
        <w:t>甲方指定地点</w:t>
      </w:r>
      <w:r>
        <w:rPr>
          <w:rFonts w:hint="eastAsia" w:ascii="宋体" w:hAnsi="宋体" w:eastAsia="宋体" w:cs="宋体"/>
          <w:color w:val="auto"/>
          <w:sz w:val="22"/>
          <w:highlight w:val="none"/>
        </w:rPr>
        <w:t>。</w:t>
      </w:r>
    </w:p>
    <w:p w14:paraId="7C60A38B">
      <w:pPr>
        <w:spacing w:line="400" w:lineRule="exact"/>
        <w:rPr>
          <w:rFonts w:hint="eastAsia" w:ascii="宋体" w:hAnsi="宋体" w:eastAsia="宋体" w:cs="宋体"/>
          <w:b/>
          <w:bCs/>
          <w:color w:val="auto"/>
          <w:sz w:val="22"/>
          <w:highlight w:val="none"/>
        </w:rPr>
      </w:pPr>
      <w:bookmarkStart w:id="39" w:name="_Toc7302"/>
      <w:bookmarkStart w:id="40" w:name="_Toc7016"/>
      <w:r>
        <w:rPr>
          <w:rFonts w:hint="eastAsia" w:ascii="宋体" w:hAnsi="宋体" w:eastAsia="宋体" w:cs="宋体"/>
          <w:b/>
          <w:bCs/>
          <w:color w:val="auto"/>
          <w:sz w:val="22"/>
          <w:highlight w:val="none"/>
        </w:rPr>
        <w:t>9、</w:t>
      </w:r>
      <w:bookmarkStart w:id="41" w:name="_Toc30272"/>
      <w:bookmarkStart w:id="42" w:name="_Toc19074"/>
      <w:bookmarkStart w:id="43" w:name="_Toc26182"/>
      <w:r>
        <w:rPr>
          <w:rFonts w:hint="eastAsia" w:ascii="宋体" w:hAnsi="宋体" w:eastAsia="宋体" w:cs="宋体"/>
          <w:b/>
          <w:bCs/>
          <w:color w:val="auto"/>
          <w:sz w:val="22"/>
          <w:highlight w:val="none"/>
        </w:rPr>
        <w:t>履约检查和问题反馈</w:t>
      </w:r>
      <w:bookmarkEnd w:id="41"/>
      <w:bookmarkEnd w:id="42"/>
      <w:bookmarkEnd w:id="43"/>
    </w:p>
    <w:p w14:paraId="276AF966">
      <w:pPr>
        <w:spacing w:line="400" w:lineRule="exact"/>
        <w:ind w:firstLine="440" w:firstLineChars="200"/>
        <w:rPr>
          <w:rFonts w:hint="eastAsia" w:ascii="宋体" w:hAnsi="宋体" w:eastAsia="宋体" w:cs="宋体"/>
          <w:color w:val="auto"/>
          <w:sz w:val="22"/>
          <w:highlight w:val="none"/>
        </w:rPr>
      </w:pPr>
      <w:bookmarkStart w:id="44" w:name="_Ref467379657"/>
      <w:r>
        <w:rPr>
          <w:rFonts w:hint="eastAsia" w:ascii="宋体" w:hAnsi="宋体" w:eastAsia="宋体" w:cs="宋体"/>
          <w:color w:val="auto"/>
          <w:sz w:val="22"/>
          <w:highlight w:val="none"/>
        </w:rPr>
        <w:t>9.1</w:t>
      </w:r>
      <w:bookmarkEnd w:id="44"/>
      <w:bookmarkStart w:id="45" w:name="_Toc186431854"/>
      <w:bookmarkStart w:id="46" w:name="_Ref467379793"/>
      <w:bookmarkStart w:id="47" w:name="_Toc259093676"/>
      <w:bookmarkStart w:id="48" w:name="_Toc487900357"/>
      <w:bookmarkStart w:id="49" w:name="_Toc279701247"/>
      <w:bookmarkStart w:id="50" w:name="_Ref467379807"/>
      <w:r>
        <w:rPr>
          <w:rFonts w:hint="eastAsia" w:ascii="宋体" w:hAnsi="宋体" w:eastAsia="宋体" w:cs="宋体"/>
          <w:color w:val="auto"/>
          <w:sz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FC4AEF6">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9.2 合同履行期间，甲方有权将履行过程中出现的问题反馈给乙方，双方当事人应以书面形式约定需要完善和改进的内容</w:t>
      </w:r>
      <w:bookmarkEnd w:id="45"/>
      <w:bookmarkStart w:id="51" w:name="_Toc186431855"/>
      <w:r>
        <w:rPr>
          <w:rFonts w:hint="eastAsia" w:ascii="宋体" w:hAnsi="宋体" w:eastAsia="宋体" w:cs="宋体"/>
          <w:color w:val="auto"/>
          <w:sz w:val="22"/>
          <w:highlight w:val="none"/>
        </w:rPr>
        <w:t>。</w:t>
      </w:r>
      <w:bookmarkEnd w:id="46"/>
      <w:bookmarkEnd w:id="47"/>
      <w:bookmarkEnd w:id="48"/>
      <w:bookmarkEnd w:id="49"/>
      <w:bookmarkEnd w:id="50"/>
      <w:bookmarkEnd w:id="51"/>
    </w:p>
    <w:p w14:paraId="674415CC">
      <w:pPr>
        <w:spacing w:line="400" w:lineRule="exact"/>
        <w:outlineLvl w:val="1"/>
        <w:rPr>
          <w:rFonts w:hint="eastAsia" w:ascii="宋体" w:hAnsi="宋体" w:eastAsia="宋体" w:cs="宋体"/>
          <w:b/>
          <w:bCs/>
          <w:color w:val="auto"/>
          <w:sz w:val="22"/>
          <w:highlight w:val="none"/>
        </w:rPr>
      </w:pPr>
      <w:bookmarkStart w:id="52" w:name="_Toc9088"/>
      <w:r>
        <w:rPr>
          <w:rFonts w:hint="eastAsia" w:ascii="宋体" w:hAnsi="宋体" w:eastAsia="宋体" w:cs="宋体"/>
          <w:b/>
          <w:bCs/>
          <w:color w:val="auto"/>
          <w:sz w:val="22"/>
          <w:highlight w:val="none"/>
        </w:rPr>
        <w:t>10、技术文件</w:t>
      </w:r>
      <w:bookmarkEnd w:id="39"/>
      <w:bookmarkEnd w:id="40"/>
      <w:r>
        <w:rPr>
          <w:rFonts w:hint="eastAsia" w:ascii="宋体" w:hAnsi="宋体" w:eastAsia="宋体" w:cs="宋体"/>
          <w:b/>
          <w:bCs/>
          <w:color w:val="auto"/>
          <w:sz w:val="22"/>
          <w:highlight w:val="none"/>
        </w:rPr>
        <w:t>和保密义务</w:t>
      </w:r>
      <w:bookmarkEnd w:id="52"/>
    </w:p>
    <w:p w14:paraId="60F32E0E">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 乙方有权依据合同约定和项目需要，向甲方了解有关情况，调阅有关资料等，甲方应予积极配合；</w:t>
      </w:r>
    </w:p>
    <w:p w14:paraId="2EB66DD5">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10.2 乙方有义务妥善保管和保护由甲方提供的前款信息和资料等；</w:t>
      </w:r>
    </w:p>
    <w:p w14:paraId="238E7CCC">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E381FB">
      <w:pPr>
        <w:spacing w:line="400" w:lineRule="exact"/>
        <w:outlineLvl w:val="1"/>
        <w:rPr>
          <w:rFonts w:hint="eastAsia" w:ascii="宋体" w:hAnsi="宋体" w:eastAsia="宋体" w:cs="宋体"/>
          <w:b/>
          <w:bCs/>
          <w:color w:val="auto"/>
          <w:sz w:val="22"/>
          <w:highlight w:val="none"/>
        </w:rPr>
      </w:pPr>
      <w:bookmarkStart w:id="53" w:name="_Toc26592"/>
      <w:bookmarkStart w:id="54" w:name="_Toc19170"/>
      <w:bookmarkStart w:id="55" w:name="_Toc17909"/>
      <w:r>
        <w:rPr>
          <w:rFonts w:hint="eastAsia" w:ascii="宋体" w:hAnsi="宋体" w:eastAsia="宋体" w:cs="宋体"/>
          <w:b/>
          <w:bCs/>
          <w:color w:val="auto"/>
          <w:sz w:val="22"/>
          <w:highlight w:val="none"/>
        </w:rPr>
        <w:t>11、质量保证</w:t>
      </w:r>
      <w:bookmarkEnd w:id="53"/>
      <w:bookmarkEnd w:id="54"/>
      <w:bookmarkEnd w:id="55"/>
    </w:p>
    <w:p w14:paraId="2107E75E">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11.1乙方所提供的货物应保证是企业原厂生产的，而不是其他地方生产的、全新的、未使用过的，是用一流的工艺和最佳材料制造而成的，并完全符合合同规定的质量、规格和尺寸要求。在货物质量保证期内，乙方应对由于设计、工艺、材料和配套件的缺陷所产生的任何不足或故障负责。</w:t>
      </w:r>
    </w:p>
    <w:p w14:paraId="05BCD74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11.2根据甲方按检验标准检验的结果或当地质检部门检验的结果，或者在质量保证期内，如果货物的数量、质量或规格与合同不符，或证实货物是有缺陷的，包括潜在的缺陷或使用不符合要求的面料等，甲方应尽快以书面形式通知乙方，提出索赔。乙方在收到通知后，应在规定期限内，更换有缺陷的或不符合要求的规格和尺寸，同时相应延长质量保证期。</w:t>
      </w:r>
    </w:p>
    <w:p w14:paraId="13DF525B">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11.3如在使用过程中发生质量问题，乙方在接到甲方通知后在小时内到达甲方现场。</w:t>
      </w:r>
    </w:p>
    <w:p w14:paraId="04A7FCFE">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11.4本合同项下所有产品应提供自货物验收合格并交付使用后年的现场免费质保期，如厂商本身承诺的产品质保期高于此要求的则按照厂商承诺执行。在质量保证期内，乙方对由于产品设计、工艺、材料、配套件的缺陷而造成的任何产品质量问题或故障负责。</w:t>
      </w:r>
    </w:p>
    <w:p w14:paraId="2237F016">
      <w:pPr>
        <w:spacing w:line="400" w:lineRule="exact"/>
        <w:outlineLvl w:val="1"/>
        <w:rPr>
          <w:rFonts w:hint="eastAsia" w:ascii="宋体" w:hAnsi="宋体" w:eastAsia="宋体" w:cs="宋体"/>
          <w:b/>
          <w:bCs/>
          <w:color w:val="auto"/>
          <w:sz w:val="22"/>
          <w:highlight w:val="none"/>
        </w:rPr>
      </w:pPr>
      <w:bookmarkStart w:id="56" w:name="_Toc29443"/>
      <w:bookmarkStart w:id="57" w:name="_Toc23752"/>
      <w:bookmarkStart w:id="58" w:name="_Toc23724"/>
      <w:r>
        <w:rPr>
          <w:rFonts w:hint="eastAsia" w:ascii="宋体" w:hAnsi="宋体" w:eastAsia="宋体" w:cs="宋体"/>
          <w:b/>
          <w:bCs/>
          <w:color w:val="auto"/>
          <w:sz w:val="22"/>
          <w:highlight w:val="none"/>
        </w:rPr>
        <w:t>12、履约保证金及支付方式</w:t>
      </w:r>
      <w:bookmarkEnd w:id="56"/>
      <w:bookmarkEnd w:id="57"/>
      <w:bookmarkEnd w:id="58"/>
    </w:p>
    <w:p w14:paraId="149A92B1">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12.1履约保证金</w:t>
      </w:r>
    </w:p>
    <w:p w14:paraId="32627FD5">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bookmarkStart w:id="59" w:name="_Toc1814"/>
      <w:bookmarkStart w:id="60" w:name="_Toc10340"/>
      <w:bookmarkStart w:id="61" w:name="_Toc22618"/>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是</w:t>
      </w:r>
      <w:r>
        <w:rPr>
          <w:rFonts w:hint="eastAsia" w:ascii="宋体" w:hAnsi="宋体" w:eastAsia="宋体" w:cs="宋体"/>
          <w:color w:val="auto"/>
          <w:sz w:val="22"/>
          <w:szCs w:val="22"/>
          <w:highlight w:val="none"/>
        </w:rPr>
        <w:t>（是/否）需要支付履约保证金。若需要支付履约保证金的，则：</w:t>
      </w:r>
    </w:p>
    <w:p w14:paraId="49AF9EB9">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12.1.1履约保证金的比例为合同金额的</w:t>
      </w:r>
      <w:r>
        <w:rPr>
          <w:rFonts w:hint="eastAsia" w:ascii="宋体" w:hAnsi="宋体" w:eastAsia="宋体" w:cs="宋体"/>
          <w:color w:val="auto"/>
          <w:sz w:val="22"/>
          <w:szCs w:val="22"/>
          <w:highlight w:val="none"/>
          <w:u w:val="single"/>
        </w:rPr>
        <w:t>1</w:t>
      </w:r>
      <w:r>
        <w:rPr>
          <w:rFonts w:hint="eastAsia" w:ascii="宋体" w:hAnsi="宋体" w:eastAsia="宋体" w:cs="宋体"/>
          <w:color w:val="auto"/>
          <w:sz w:val="22"/>
          <w:szCs w:val="22"/>
          <w:highlight w:val="none"/>
        </w:rPr>
        <w:t>%；</w:t>
      </w:r>
    </w:p>
    <w:p w14:paraId="0089C6F2">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12.1.2履约保证金支付方式</w:t>
      </w:r>
      <w:r>
        <w:rPr>
          <w:rFonts w:hint="eastAsia" w:ascii="宋体" w:hAnsi="宋体" w:eastAsia="宋体" w:cs="宋体"/>
          <w:color w:val="auto"/>
          <w:spacing w:val="-6"/>
          <w:sz w:val="22"/>
          <w:szCs w:val="22"/>
          <w:highlight w:val="none"/>
          <w:u w:val="single"/>
        </w:rPr>
        <w:t>合同签订后5个工作日内，</w:t>
      </w:r>
      <w:r>
        <w:rPr>
          <w:rFonts w:hint="eastAsia" w:ascii="宋体" w:hAnsi="宋体" w:eastAsia="宋体" w:cs="宋体"/>
          <w:color w:val="auto"/>
          <w:sz w:val="22"/>
          <w:szCs w:val="22"/>
          <w:highlight w:val="none"/>
          <w:u w:val="single"/>
        </w:rPr>
        <w:t>以支票、汇票、本票或者金融机构、担保机构出具的保函等非现金形式</w:t>
      </w:r>
      <w:r>
        <w:rPr>
          <w:rFonts w:hint="eastAsia" w:ascii="宋体" w:hAnsi="宋体" w:eastAsia="宋体" w:cs="宋体"/>
          <w:color w:val="auto"/>
          <w:sz w:val="22"/>
          <w:szCs w:val="22"/>
          <w:highlight w:val="none"/>
        </w:rPr>
        <w:t>；</w:t>
      </w:r>
    </w:p>
    <w:p w14:paraId="09C65671">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866EEA">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12.1.4 甲方在项目验收结束后及时退还履约保证金。甲方在项目通过验收合格之日起</w:t>
      </w:r>
      <w:r>
        <w:rPr>
          <w:rFonts w:hint="eastAsia" w:ascii="宋体" w:hAnsi="宋体" w:eastAsia="宋体" w:cs="宋体"/>
          <w:color w:val="auto"/>
          <w:sz w:val="22"/>
          <w:szCs w:val="22"/>
          <w:highlight w:val="none"/>
          <w:u w:val="single"/>
        </w:rPr>
        <w:t>5</w:t>
      </w:r>
      <w:r>
        <w:rPr>
          <w:rFonts w:hint="eastAsia" w:ascii="宋体" w:hAnsi="宋体" w:eastAsia="宋体" w:cs="宋体"/>
          <w:color w:val="auto"/>
          <w:sz w:val="22"/>
          <w:szCs w:val="22"/>
          <w:highlight w:val="none"/>
        </w:rPr>
        <w:t>个工作日内将履约保证金无息退还乙方，逾期退还的，乙方可要求甲方支付违约金，违约金按照中国人民银行规定的金融机构计收逾期利息的标准计算。</w:t>
      </w:r>
    </w:p>
    <w:bookmarkEnd w:id="59"/>
    <w:bookmarkEnd w:id="60"/>
    <w:bookmarkEnd w:id="61"/>
    <w:p w14:paraId="6D21C1EC">
      <w:pPr>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12.2资金支付 </w:t>
      </w:r>
    </w:p>
    <w:p w14:paraId="7594D21E">
      <w:pPr>
        <w:widowControl/>
        <w:snapToGrid w:val="0"/>
        <w:spacing w:line="400" w:lineRule="exact"/>
        <w:ind w:firstLine="416" w:firstLineChars="200"/>
        <w:jc w:val="left"/>
        <w:rPr>
          <w:rFonts w:hint="eastAsia" w:ascii="宋体" w:hAnsi="宋体" w:eastAsia="宋体" w:cs="宋体"/>
          <w:color w:val="auto"/>
          <w:spacing w:val="-6"/>
          <w:kern w:val="0"/>
          <w:sz w:val="22"/>
          <w:highlight w:val="none"/>
        </w:rPr>
      </w:pPr>
      <w:r>
        <w:rPr>
          <w:rFonts w:hint="eastAsia" w:ascii="宋体" w:hAnsi="宋体" w:eastAsia="宋体" w:cs="宋体"/>
          <w:color w:val="auto"/>
          <w:spacing w:val="-6"/>
          <w:kern w:val="0"/>
          <w:sz w:val="22"/>
          <w:highlight w:val="none"/>
        </w:rPr>
        <w:t xml:space="preserve"> 合同生效、具备实施条件后7个工作日内，甲方向乙方支付合同总价</w:t>
      </w:r>
      <w:r>
        <w:rPr>
          <w:rFonts w:hint="eastAsia" w:ascii="宋体" w:hAnsi="宋体" w:cs="宋体"/>
          <w:color w:val="auto"/>
          <w:spacing w:val="-6"/>
          <w:kern w:val="0"/>
          <w:sz w:val="22"/>
          <w:highlight w:val="none"/>
          <w:lang w:val="en-US" w:eastAsia="zh-CN"/>
        </w:rPr>
        <w:t>7</w:t>
      </w:r>
      <w:r>
        <w:rPr>
          <w:rFonts w:hint="eastAsia" w:ascii="宋体" w:hAnsi="宋体" w:eastAsia="宋体" w:cs="宋体"/>
          <w:color w:val="auto"/>
          <w:spacing w:val="-6"/>
          <w:kern w:val="0"/>
          <w:sz w:val="22"/>
          <w:highlight w:val="none"/>
        </w:rPr>
        <w:t>0%的预付款，合同尾款在项目验收合格后支付</w:t>
      </w:r>
      <w:r>
        <w:rPr>
          <w:rFonts w:hint="eastAsia" w:ascii="宋体" w:hAnsi="宋体" w:eastAsia="宋体" w:cs="宋体"/>
          <w:color w:val="auto"/>
          <w:spacing w:val="-6"/>
          <w:kern w:val="0"/>
          <w:sz w:val="22"/>
          <w:highlight w:val="none"/>
          <w:lang w:val="zh-CN"/>
        </w:rPr>
        <w:t>。</w:t>
      </w:r>
    </w:p>
    <w:p w14:paraId="4FAC291A">
      <w:pPr>
        <w:widowControl/>
        <w:snapToGrid w:val="0"/>
        <w:spacing w:line="400" w:lineRule="exact"/>
        <w:ind w:firstLine="416" w:firstLineChars="200"/>
        <w:jc w:val="left"/>
        <w:rPr>
          <w:rFonts w:hint="eastAsia" w:ascii="宋体" w:hAnsi="宋体" w:eastAsia="宋体" w:cs="宋体"/>
          <w:color w:val="auto"/>
          <w:spacing w:val="-6"/>
          <w:kern w:val="0"/>
          <w:sz w:val="22"/>
          <w:highlight w:val="none"/>
        </w:rPr>
      </w:pPr>
      <w:r>
        <w:rPr>
          <w:rFonts w:hint="eastAsia" w:ascii="宋体" w:hAnsi="宋体" w:eastAsia="宋体" w:cs="宋体"/>
          <w:color w:val="auto"/>
          <w:spacing w:val="-6"/>
          <w:kern w:val="0"/>
          <w:sz w:val="22"/>
          <w:highlight w:val="none"/>
        </w:rPr>
        <w:t>注：在合同签订时，乙方明确表示无需预付款或者主动要求降低预付款比例的，按实际比例计。甲方对于满足合同约定支付条件的，自收到发票后7个工作日内将资金支付到合同约定的乙方账户。</w:t>
      </w:r>
    </w:p>
    <w:p w14:paraId="651989AC">
      <w:pPr>
        <w:spacing w:line="400" w:lineRule="exact"/>
        <w:outlineLvl w:val="1"/>
        <w:rPr>
          <w:rFonts w:hint="eastAsia" w:ascii="宋体" w:hAnsi="宋体" w:eastAsia="宋体" w:cs="宋体"/>
          <w:color w:val="auto"/>
          <w:sz w:val="22"/>
          <w:highlight w:val="none"/>
        </w:rPr>
      </w:pPr>
      <w:bookmarkStart w:id="62" w:name="_Toc5740"/>
      <w:bookmarkStart w:id="63" w:name="_Toc16100"/>
      <w:bookmarkStart w:id="64" w:name="_Toc11628"/>
      <w:r>
        <w:rPr>
          <w:rFonts w:hint="eastAsia" w:ascii="宋体" w:hAnsi="宋体" w:eastAsia="宋体" w:cs="宋体"/>
          <w:b/>
          <w:bCs/>
          <w:color w:val="auto"/>
          <w:sz w:val="22"/>
          <w:highlight w:val="none"/>
        </w:rPr>
        <w:t>13、</w:t>
      </w:r>
      <w:r>
        <w:rPr>
          <w:rFonts w:hint="eastAsia" w:ascii="宋体" w:hAnsi="宋体" w:eastAsia="宋体" w:cs="宋体"/>
          <w:color w:val="auto"/>
          <w:sz w:val="22"/>
          <w:highlight w:val="none"/>
        </w:rPr>
        <w:t>双方责任</w:t>
      </w:r>
      <w:bookmarkEnd w:id="62"/>
      <w:bookmarkEnd w:id="63"/>
      <w:bookmarkEnd w:id="64"/>
    </w:p>
    <w:p w14:paraId="10BE535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13.1甲方</w:t>
      </w:r>
    </w:p>
    <w:p w14:paraId="600034D8">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按合同规定向乙方支付货款。</w:t>
      </w:r>
    </w:p>
    <w:p w14:paraId="03AEB7CA">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组织对货物的验收。</w:t>
      </w:r>
    </w:p>
    <w:p w14:paraId="76E33E9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13.2 乙方</w:t>
      </w:r>
    </w:p>
    <w:p w14:paraId="244652E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按合同要求提供货物和服务。</w:t>
      </w:r>
    </w:p>
    <w:p w14:paraId="43758F2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对所提供的货物和服务质量问题无条件负责处理。</w:t>
      </w:r>
    </w:p>
    <w:p w14:paraId="001CBAAA">
      <w:pPr>
        <w:spacing w:line="400" w:lineRule="exact"/>
        <w:outlineLvl w:val="1"/>
        <w:rPr>
          <w:rFonts w:hint="eastAsia" w:ascii="宋体" w:hAnsi="宋体" w:eastAsia="宋体" w:cs="宋体"/>
          <w:b/>
          <w:bCs/>
          <w:color w:val="auto"/>
          <w:sz w:val="22"/>
          <w:highlight w:val="none"/>
        </w:rPr>
      </w:pPr>
      <w:bookmarkStart w:id="65" w:name="_Toc23143"/>
      <w:bookmarkStart w:id="66" w:name="_Toc342"/>
      <w:bookmarkStart w:id="67" w:name="_Toc21167"/>
      <w:r>
        <w:rPr>
          <w:rFonts w:hint="eastAsia" w:ascii="宋体" w:hAnsi="宋体" w:eastAsia="宋体" w:cs="宋体"/>
          <w:b/>
          <w:bCs/>
          <w:color w:val="auto"/>
          <w:sz w:val="22"/>
          <w:highlight w:val="none"/>
        </w:rPr>
        <w:t>14、违约责任</w:t>
      </w:r>
      <w:bookmarkEnd w:id="65"/>
      <w:bookmarkEnd w:id="66"/>
      <w:bookmarkEnd w:id="67"/>
    </w:p>
    <w:p w14:paraId="580E3907">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2"/>
          <w:highlight w:val="none"/>
          <w:u w:val="single"/>
        </w:rPr>
        <w:t xml:space="preserve">  0.05</w:t>
      </w:r>
      <w:r>
        <w:rPr>
          <w:rFonts w:hint="eastAsia" w:ascii="宋体" w:hAnsi="宋体" w:eastAsia="宋体" w:cs="宋体"/>
          <w:color w:val="auto"/>
          <w:kern w:val="0"/>
          <w:sz w:val="22"/>
          <w:highlight w:val="none"/>
          <w:u w:val="single"/>
        </w:rPr>
        <w:t>（可根据情况修改）</w:t>
      </w:r>
      <w:r>
        <w:rPr>
          <w:rFonts w:hint="eastAsia" w:ascii="宋体" w:hAnsi="宋体" w:eastAsia="宋体" w:cs="宋体"/>
          <w:color w:val="auto"/>
          <w:sz w:val="22"/>
          <w:highlight w:val="none"/>
        </w:rPr>
        <w:t>%计算，最高限额为本合同总价的</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rPr>
        <w:t>%；迟延交付货物的违约金计算数额达到前述最高限额之日起，甲方有权在要求乙方支付违约金的同时，书面通知乙方解除本合同；</w:t>
      </w:r>
    </w:p>
    <w:p w14:paraId="5E60D13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AF17B8">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14.3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D28E5C">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14.4 如果出现政府采购监督管理部门在处理投诉事项期间，书面通知甲方暂停采购活动的情形，或者询问或质疑事项可能影响中标或者成交结果的，导致甲方中止履行合同的情形，均不视为甲方违约。</w:t>
      </w:r>
    </w:p>
    <w:p w14:paraId="7DE6358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14:paraId="6BF2698B">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14.6甲方要按照付款方式要求及时支付合同资金，因甲方单方原因逾期支付的，乙方有权向甲方提出赔偿，赔偿金额按照中国人民银行规定的金融机构计收逾期利息的标准计算；</w:t>
      </w:r>
    </w:p>
    <w:p w14:paraId="1D91C37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14.7如产品质量未达到投标承诺技术要求的；甲方将退货处理，乙方退回所有价款并承担合同总金额的5%作为违约金。</w:t>
      </w:r>
    </w:p>
    <w:p w14:paraId="560A52D2">
      <w:pPr>
        <w:spacing w:line="400" w:lineRule="exact"/>
        <w:rPr>
          <w:rFonts w:hint="eastAsia" w:ascii="宋体" w:hAnsi="宋体" w:eastAsia="宋体" w:cs="宋体"/>
          <w:b/>
          <w:bCs/>
          <w:color w:val="auto"/>
          <w:sz w:val="22"/>
          <w:highlight w:val="none"/>
        </w:rPr>
      </w:pPr>
      <w:bookmarkStart w:id="68" w:name="_Toc2867"/>
      <w:bookmarkStart w:id="69" w:name="_Toc13836"/>
      <w:r>
        <w:rPr>
          <w:rFonts w:hint="eastAsia" w:ascii="宋体" w:hAnsi="宋体" w:eastAsia="宋体" w:cs="宋体"/>
          <w:b/>
          <w:bCs/>
          <w:color w:val="auto"/>
          <w:sz w:val="22"/>
          <w:highlight w:val="none"/>
        </w:rPr>
        <w:t>15、延迟交货</w:t>
      </w:r>
    </w:p>
    <w:p w14:paraId="3DE7C2F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E13C3E1">
      <w:pPr>
        <w:spacing w:line="400" w:lineRule="exact"/>
        <w:rPr>
          <w:rFonts w:hint="eastAsia" w:ascii="宋体" w:hAnsi="宋体" w:eastAsia="宋体" w:cs="宋体"/>
          <w:b/>
          <w:bCs/>
          <w:color w:val="auto"/>
          <w:sz w:val="22"/>
          <w:highlight w:val="none"/>
        </w:rPr>
      </w:pPr>
      <w:bookmarkStart w:id="70" w:name="_Toc487900368"/>
      <w:bookmarkStart w:id="71" w:name="_Toc7102"/>
      <w:bookmarkStart w:id="72" w:name="_Toc259093687"/>
      <w:bookmarkStart w:id="73" w:name="_Toc279701258"/>
      <w:bookmarkStart w:id="74" w:name="_Toc16959"/>
      <w:bookmarkStart w:id="75" w:name="_Toc8298"/>
      <w:r>
        <w:rPr>
          <w:rFonts w:hint="eastAsia" w:ascii="宋体" w:hAnsi="宋体" w:eastAsia="宋体" w:cs="宋体"/>
          <w:b/>
          <w:bCs/>
          <w:color w:val="auto"/>
          <w:sz w:val="22"/>
          <w:highlight w:val="none"/>
        </w:rPr>
        <w:t>16、乙方破产</w:t>
      </w:r>
      <w:bookmarkEnd w:id="70"/>
      <w:bookmarkEnd w:id="71"/>
      <w:bookmarkEnd w:id="72"/>
      <w:bookmarkEnd w:id="73"/>
      <w:bookmarkEnd w:id="74"/>
      <w:bookmarkEnd w:id="75"/>
    </w:p>
    <w:p w14:paraId="4A562D13">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37AEE0">
      <w:pPr>
        <w:spacing w:line="400" w:lineRule="exact"/>
        <w:rPr>
          <w:rFonts w:hint="eastAsia" w:ascii="宋体" w:hAnsi="宋体" w:eastAsia="宋体" w:cs="宋体"/>
          <w:b/>
          <w:bCs/>
          <w:color w:val="auto"/>
          <w:sz w:val="22"/>
          <w:highlight w:val="none"/>
        </w:rPr>
      </w:pPr>
      <w:bookmarkStart w:id="76" w:name="_Toc15387"/>
      <w:bookmarkStart w:id="77" w:name="_Toc29333"/>
      <w:bookmarkStart w:id="78" w:name="_Toc6134"/>
      <w:r>
        <w:rPr>
          <w:rFonts w:hint="eastAsia" w:ascii="宋体" w:hAnsi="宋体" w:eastAsia="宋体" w:cs="宋体"/>
          <w:b/>
          <w:bCs/>
          <w:color w:val="auto"/>
          <w:sz w:val="22"/>
          <w:highlight w:val="none"/>
        </w:rPr>
        <w:t>17、合同中止、终止</w:t>
      </w:r>
      <w:bookmarkEnd w:id="76"/>
      <w:bookmarkEnd w:id="77"/>
      <w:bookmarkEnd w:id="78"/>
    </w:p>
    <w:p w14:paraId="05B4833B">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17.1 双方当事人不得擅自中止或者终止合同；</w:t>
      </w:r>
    </w:p>
    <w:p w14:paraId="2569CA4B">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17.2合同继续履行将损害国家利益和社会公共利益的，双方当事人应当中止或者终止合同。有过错的一方应当承担赔偿责任，双方当事人都有过错的，各自承担相应的责任。</w:t>
      </w:r>
    </w:p>
    <w:p w14:paraId="4E652C0E">
      <w:pPr>
        <w:spacing w:line="400" w:lineRule="exact"/>
        <w:rPr>
          <w:rFonts w:hint="eastAsia" w:ascii="宋体" w:hAnsi="宋体" w:eastAsia="宋体" w:cs="宋体"/>
          <w:b/>
          <w:bCs/>
          <w:color w:val="auto"/>
          <w:sz w:val="22"/>
          <w:highlight w:val="none"/>
        </w:rPr>
      </w:pPr>
      <w:bookmarkStart w:id="79" w:name="_Toc1125"/>
      <w:bookmarkStart w:id="80" w:name="_Toc14563"/>
      <w:bookmarkStart w:id="81" w:name="_Toc6596"/>
      <w:bookmarkStart w:id="82" w:name="_Toc279701261"/>
      <w:bookmarkStart w:id="83" w:name="_Toc487900371"/>
      <w:bookmarkStart w:id="84" w:name="_Toc259093690"/>
      <w:bookmarkStart w:id="85" w:name="_Toc19604"/>
      <w:bookmarkStart w:id="86" w:name="_Toc11284"/>
      <w:bookmarkStart w:id="87" w:name="_Toc25182"/>
      <w:r>
        <w:rPr>
          <w:rFonts w:hint="eastAsia" w:ascii="宋体" w:hAnsi="宋体" w:eastAsia="宋体" w:cs="宋体"/>
          <w:b/>
          <w:bCs/>
          <w:color w:val="auto"/>
          <w:sz w:val="22"/>
          <w:highlight w:val="none"/>
        </w:rPr>
        <w:t>18、</w:t>
      </w:r>
      <w:bookmarkEnd w:id="79"/>
      <w:bookmarkEnd w:id="80"/>
      <w:bookmarkEnd w:id="81"/>
      <w:r>
        <w:rPr>
          <w:rFonts w:hint="eastAsia" w:ascii="宋体" w:hAnsi="宋体" w:eastAsia="宋体" w:cs="宋体"/>
          <w:b/>
          <w:color w:val="auto"/>
          <w:spacing w:val="-6"/>
          <w:sz w:val="22"/>
          <w:highlight w:val="none"/>
        </w:rPr>
        <w:t>验收标准</w:t>
      </w:r>
    </w:p>
    <w:p w14:paraId="49DA196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18.1乙方合同货物送达甲方指定地点并在安装调试完毕之日起15日内，由甲方负责实施验收；</w:t>
      </w:r>
    </w:p>
    <w:p w14:paraId="3A9A6BD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18.2验收依据：</w:t>
      </w:r>
    </w:p>
    <w:p w14:paraId="61479A6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18.2.1合同、招标文件、投标文件；</w:t>
      </w:r>
    </w:p>
    <w:p w14:paraId="26355A0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18.2.2乙方提供的技术规格、经甲方认可的合同货物的有效检验文件；</w:t>
      </w:r>
    </w:p>
    <w:p w14:paraId="6639B348">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18.2.3乙方投标文件中提供的经甲方认可的合同货物的验收标准（符合中国有关的国家、地方、行业标准）和检测办法及相应检测手段。</w:t>
      </w:r>
    </w:p>
    <w:p w14:paraId="61FD490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18.3乙方应派员在所供货物到甲方处时进行到货验收，有需要时能联系产品制造商到场共同验收，若发现任何损坏及质量问题，乙方负责妥善处理直至甲方满意，由此产生的费用由乙方承担。</w:t>
      </w:r>
    </w:p>
    <w:p w14:paraId="707C1B81">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18.4验收合格的条件：</w:t>
      </w:r>
    </w:p>
    <w:p w14:paraId="27E84243">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18.4.1所供货物符合产品标准和合同的要求；</w:t>
      </w:r>
    </w:p>
    <w:p w14:paraId="2694BC7E">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18.4.2在进行测试和验收过程中发现的问题已被解决并得到甲方的认可；</w:t>
      </w:r>
    </w:p>
    <w:p w14:paraId="230D77A7">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18.4.3合同中规定的所有货物和材料均已交付；</w:t>
      </w:r>
    </w:p>
    <w:p w14:paraId="0E32AA43">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18.4.4所供货物已通过使用单位组织的验收；</w:t>
      </w:r>
    </w:p>
    <w:p w14:paraId="21A50B0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18.4.5所有相关的技术文件及资料均已提交并得到接受；</w:t>
      </w:r>
    </w:p>
    <w:p w14:paraId="4CFD9A1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18.5以上验收费用产生的费用由乙方承担。</w:t>
      </w:r>
    </w:p>
    <w:p w14:paraId="2480CFB7">
      <w:pPr>
        <w:spacing w:line="40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19、通知</w:t>
      </w:r>
      <w:bookmarkEnd w:id="82"/>
      <w:bookmarkEnd w:id="83"/>
      <w:bookmarkEnd w:id="84"/>
      <w:r>
        <w:rPr>
          <w:rFonts w:hint="eastAsia" w:ascii="宋体" w:hAnsi="宋体" w:eastAsia="宋体" w:cs="宋体"/>
          <w:b/>
          <w:bCs/>
          <w:color w:val="auto"/>
          <w:sz w:val="22"/>
          <w:highlight w:val="none"/>
        </w:rPr>
        <w:t>和送达</w:t>
      </w:r>
      <w:bookmarkEnd w:id="85"/>
      <w:bookmarkEnd w:id="86"/>
      <w:bookmarkEnd w:id="87"/>
    </w:p>
    <w:p w14:paraId="05853054">
      <w:pPr>
        <w:spacing w:line="400" w:lineRule="exact"/>
        <w:ind w:firstLine="440" w:firstLineChars="200"/>
        <w:rPr>
          <w:rFonts w:hint="eastAsia" w:ascii="宋体" w:hAnsi="宋体" w:eastAsia="宋体" w:cs="宋体"/>
          <w:color w:val="auto"/>
          <w:sz w:val="22"/>
          <w:highlight w:val="none"/>
        </w:rPr>
      </w:pPr>
      <w:bookmarkStart w:id="88" w:name="_Toc6698"/>
      <w:bookmarkStart w:id="89" w:name="_Toc3135"/>
      <w:bookmarkStart w:id="90" w:name="_Toc279701262"/>
      <w:bookmarkStart w:id="91" w:name="_Toc259093691"/>
      <w:bookmarkStart w:id="92" w:name="_Toc487900372"/>
      <w:r>
        <w:rPr>
          <w:rFonts w:hint="eastAsia" w:ascii="宋体" w:hAnsi="宋体" w:eastAsia="宋体" w:cs="宋体"/>
          <w:color w:val="auto"/>
          <w:sz w:val="22"/>
          <w:highlight w:val="none"/>
        </w:rPr>
        <w:t>19.1任何一方因履行合同而以合同第一部分尾部所列明的传真或电子邮件发出的所有通知、文件、材料，均视为已向对方当事人送达；任何一方变更上述送达方式或者地址的，应于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rPr>
        <w:t>个工作日内书面通知对方当事人，在对方当事人收到有关变更通知之前，变更前的约定送达方式或者地址仍视为有效。</w:t>
      </w:r>
      <w:bookmarkEnd w:id="88"/>
      <w:bookmarkEnd w:id="89"/>
    </w:p>
    <w:p w14:paraId="658D8E04">
      <w:pPr>
        <w:spacing w:line="400" w:lineRule="exact"/>
        <w:ind w:firstLine="440" w:firstLineChars="200"/>
        <w:rPr>
          <w:rFonts w:hint="eastAsia" w:ascii="宋体" w:hAnsi="宋体" w:eastAsia="宋体" w:cs="宋体"/>
          <w:color w:val="auto"/>
          <w:sz w:val="22"/>
          <w:highlight w:val="none"/>
        </w:rPr>
      </w:pPr>
      <w:bookmarkStart w:id="93" w:name="_Toc23294"/>
      <w:bookmarkStart w:id="94" w:name="_Toc23128"/>
      <w:r>
        <w:rPr>
          <w:rFonts w:hint="eastAsia" w:ascii="宋体" w:hAnsi="宋体" w:eastAsia="宋体" w:cs="宋体"/>
          <w:color w:val="auto"/>
          <w:sz w:val="22"/>
          <w:highlight w:val="none"/>
        </w:rPr>
        <w:t>19.2以当面交付方式送达的，交付之时视为送达；以电子邮件方式送达的，发出电子邮件之时视为送达；以传真方式送达的，发出传真之时视为送达；以邮寄方式送达的，邮件挂号寄出或者交邮之日之次日视为送达。</w:t>
      </w:r>
      <w:bookmarkEnd w:id="93"/>
      <w:bookmarkEnd w:id="94"/>
    </w:p>
    <w:p w14:paraId="591E758E">
      <w:pPr>
        <w:spacing w:line="400" w:lineRule="exact"/>
        <w:outlineLvl w:val="1"/>
        <w:rPr>
          <w:rFonts w:hint="eastAsia" w:ascii="宋体" w:hAnsi="宋体" w:eastAsia="宋体" w:cs="宋体"/>
          <w:b/>
          <w:bCs/>
          <w:color w:val="auto"/>
          <w:sz w:val="22"/>
          <w:highlight w:val="none"/>
        </w:rPr>
      </w:pPr>
      <w:bookmarkStart w:id="95" w:name="_Toc18540"/>
      <w:bookmarkStart w:id="96" w:name="_Toc30599"/>
      <w:bookmarkStart w:id="97" w:name="_Toc4355"/>
      <w:bookmarkStart w:id="98" w:name="_Toc12065"/>
      <w:r>
        <w:rPr>
          <w:rFonts w:hint="eastAsia" w:ascii="宋体" w:hAnsi="宋体" w:eastAsia="宋体" w:cs="宋体"/>
          <w:b/>
          <w:bCs/>
          <w:color w:val="auto"/>
          <w:sz w:val="22"/>
          <w:highlight w:val="none"/>
        </w:rPr>
        <w:t>20、</w:t>
      </w:r>
      <w:bookmarkEnd w:id="90"/>
      <w:bookmarkEnd w:id="91"/>
      <w:bookmarkEnd w:id="92"/>
      <w:bookmarkEnd w:id="95"/>
      <w:bookmarkEnd w:id="96"/>
      <w:bookmarkEnd w:id="97"/>
      <w:r>
        <w:rPr>
          <w:rFonts w:hint="eastAsia" w:ascii="宋体" w:hAnsi="宋体" w:eastAsia="宋体" w:cs="宋体"/>
          <w:b/>
          <w:bCs/>
          <w:color w:val="auto"/>
          <w:sz w:val="22"/>
          <w:highlight w:val="none"/>
        </w:rPr>
        <w:t>不可抗力</w:t>
      </w:r>
      <w:bookmarkEnd w:id="68"/>
      <w:bookmarkEnd w:id="69"/>
      <w:bookmarkEnd w:id="98"/>
    </w:p>
    <w:p w14:paraId="69C3EDE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3602CF56">
      <w:pPr>
        <w:spacing w:line="400" w:lineRule="exact"/>
        <w:outlineLvl w:val="1"/>
        <w:rPr>
          <w:rFonts w:hint="eastAsia" w:ascii="宋体" w:hAnsi="宋体" w:eastAsia="宋体" w:cs="宋体"/>
          <w:b/>
          <w:bCs/>
          <w:color w:val="auto"/>
          <w:sz w:val="22"/>
          <w:highlight w:val="none"/>
        </w:rPr>
      </w:pPr>
      <w:bookmarkStart w:id="99" w:name="_Toc30164"/>
      <w:bookmarkStart w:id="100" w:name="_Toc30732"/>
      <w:bookmarkStart w:id="101" w:name="_Toc22804"/>
      <w:r>
        <w:rPr>
          <w:rFonts w:hint="eastAsia" w:ascii="宋体" w:hAnsi="宋体" w:eastAsia="宋体" w:cs="宋体"/>
          <w:b/>
          <w:bCs/>
          <w:color w:val="auto"/>
          <w:sz w:val="22"/>
          <w:highlight w:val="none"/>
        </w:rPr>
        <w:t>21、税费</w:t>
      </w:r>
      <w:bookmarkEnd w:id="99"/>
      <w:bookmarkEnd w:id="100"/>
      <w:bookmarkEnd w:id="101"/>
    </w:p>
    <w:p w14:paraId="0FB63D45">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根据国家现行税法对甲方征收的与本合同有关的一切费用由甲方承担。</w:t>
      </w:r>
    </w:p>
    <w:p w14:paraId="320C8D00">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根据现行税法对乙方征收的与本合同有关的一切税费均由乙方承担。</w:t>
      </w:r>
    </w:p>
    <w:p w14:paraId="2E460A15">
      <w:pPr>
        <w:spacing w:line="400" w:lineRule="exact"/>
        <w:outlineLvl w:val="1"/>
        <w:rPr>
          <w:rFonts w:hint="eastAsia" w:ascii="宋体" w:hAnsi="宋体" w:eastAsia="宋体" w:cs="宋体"/>
          <w:b/>
          <w:bCs/>
          <w:color w:val="auto"/>
          <w:sz w:val="22"/>
          <w:highlight w:val="none"/>
        </w:rPr>
      </w:pPr>
      <w:bookmarkStart w:id="102" w:name="_Toc22007"/>
      <w:bookmarkStart w:id="103" w:name="_Toc13156"/>
      <w:bookmarkStart w:id="104" w:name="_Toc20819"/>
      <w:r>
        <w:rPr>
          <w:rFonts w:hint="eastAsia" w:ascii="宋体" w:hAnsi="宋体" w:eastAsia="宋体" w:cs="宋体"/>
          <w:b/>
          <w:bCs/>
          <w:color w:val="auto"/>
          <w:sz w:val="22"/>
          <w:highlight w:val="none"/>
        </w:rPr>
        <w:t>22、转让和分包及产品不可替代</w:t>
      </w:r>
      <w:bookmarkEnd w:id="102"/>
      <w:bookmarkEnd w:id="103"/>
      <w:bookmarkEnd w:id="104"/>
    </w:p>
    <w:p w14:paraId="74AEF56E">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22.1未经甲方事先书面同意，乙方不得部分转让或全部转让和分包其履行合同的义务。</w:t>
      </w:r>
    </w:p>
    <w:p w14:paraId="295B08F8">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22.2产品不可替代，乙方在没有取得甲方的书面授权的情况下，不得将合同货物的生产制造转交其他生产厂商或以其他厂商的产品替代。</w:t>
      </w:r>
    </w:p>
    <w:p w14:paraId="6AFC58C8">
      <w:pPr>
        <w:spacing w:line="400" w:lineRule="exact"/>
        <w:outlineLvl w:val="1"/>
        <w:rPr>
          <w:rFonts w:hint="eastAsia" w:ascii="宋体" w:hAnsi="宋体" w:eastAsia="宋体" w:cs="宋体"/>
          <w:b/>
          <w:bCs/>
          <w:color w:val="auto"/>
          <w:sz w:val="22"/>
          <w:highlight w:val="none"/>
        </w:rPr>
      </w:pPr>
      <w:bookmarkStart w:id="105" w:name="_Toc26780"/>
      <w:bookmarkStart w:id="106" w:name="_Toc32620"/>
      <w:bookmarkStart w:id="107" w:name="_Toc1262"/>
      <w:r>
        <w:rPr>
          <w:rFonts w:hint="eastAsia" w:ascii="宋体" w:hAnsi="宋体" w:eastAsia="宋体" w:cs="宋体"/>
          <w:b/>
          <w:bCs/>
          <w:color w:val="auto"/>
          <w:sz w:val="22"/>
          <w:highlight w:val="none"/>
        </w:rPr>
        <w:t>23、争端的解决</w:t>
      </w:r>
      <w:bookmarkEnd w:id="105"/>
      <w:bookmarkEnd w:id="106"/>
      <w:bookmarkEnd w:id="107"/>
    </w:p>
    <w:p w14:paraId="47683FB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合同实施或与合同有关的一切争端，甲乙双方首先应通过友好协商解决，如果协商仍得不到解决，任何一方可向甲方所在地人民法院申请诉讼。</w:t>
      </w:r>
    </w:p>
    <w:p w14:paraId="3F6BAE4E">
      <w:pPr>
        <w:spacing w:line="400" w:lineRule="exact"/>
        <w:outlineLvl w:val="1"/>
        <w:rPr>
          <w:rFonts w:hint="eastAsia" w:ascii="宋体" w:hAnsi="宋体" w:eastAsia="宋体" w:cs="宋体"/>
          <w:b/>
          <w:bCs/>
          <w:color w:val="auto"/>
          <w:sz w:val="22"/>
          <w:highlight w:val="none"/>
        </w:rPr>
      </w:pPr>
      <w:bookmarkStart w:id="108" w:name="_Toc15254"/>
      <w:bookmarkStart w:id="109" w:name="_Toc15320"/>
      <w:bookmarkStart w:id="110" w:name="_Toc23255"/>
      <w:r>
        <w:rPr>
          <w:rFonts w:hint="eastAsia" w:ascii="宋体" w:hAnsi="宋体" w:eastAsia="宋体" w:cs="宋体"/>
          <w:b/>
          <w:bCs/>
          <w:color w:val="auto"/>
          <w:sz w:val="22"/>
          <w:highlight w:val="none"/>
        </w:rPr>
        <w:t>24、适用法律</w:t>
      </w:r>
      <w:bookmarkEnd w:id="108"/>
      <w:bookmarkEnd w:id="109"/>
      <w:bookmarkEnd w:id="110"/>
    </w:p>
    <w:p w14:paraId="15ADC88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本合同按照中华人民共和国的法律进行解释。</w:t>
      </w:r>
    </w:p>
    <w:p w14:paraId="32CF6757">
      <w:pPr>
        <w:spacing w:line="400" w:lineRule="exact"/>
        <w:outlineLvl w:val="1"/>
        <w:rPr>
          <w:rFonts w:hint="eastAsia" w:ascii="宋体" w:hAnsi="宋体" w:eastAsia="宋体" w:cs="宋体"/>
          <w:b/>
          <w:bCs/>
          <w:color w:val="auto"/>
          <w:sz w:val="22"/>
          <w:highlight w:val="none"/>
        </w:rPr>
      </w:pPr>
      <w:bookmarkStart w:id="111" w:name="_Toc12175"/>
      <w:bookmarkStart w:id="112" w:name="_Toc30691"/>
      <w:bookmarkStart w:id="113" w:name="_Toc22715"/>
      <w:r>
        <w:rPr>
          <w:rFonts w:hint="eastAsia" w:ascii="宋体" w:hAnsi="宋体" w:eastAsia="宋体" w:cs="宋体"/>
          <w:b/>
          <w:bCs/>
          <w:color w:val="auto"/>
          <w:sz w:val="22"/>
          <w:highlight w:val="none"/>
        </w:rPr>
        <w:t>25、合同文件</w:t>
      </w:r>
      <w:bookmarkEnd w:id="111"/>
      <w:bookmarkEnd w:id="112"/>
      <w:bookmarkEnd w:id="113"/>
    </w:p>
    <w:p w14:paraId="11C055D9">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下列文件构成本合同的组成部分：</w:t>
      </w:r>
    </w:p>
    <w:p w14:paraId="00499819">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 合同主要条款                </w:t>
      </w:r>
    </w:p>
    <w:p w14:paraId="6244A3EB">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(2) 成交通知书</w:t>
      </w:r>
    </w:p>
    <w:p w14:paraId="653459E0">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(3) 乙方投标文件</w:t>
      </w:r>
    </w:p>
    <w:p w14:paraId="66DB450F">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(4) 甲方招标文件</w:t>
      </w:r>
    </w:p>
    <w:p w14:paraId="1D4AE41E">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(5) 合同补充条款或说明（如有的话）     </w:t>
      </w:r>
    </w:p>
    <w:p w14:paraId="536D1BB9">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(6) 履约保证金</w:t>
      </w:r>
    </w:p>
    <w:p w14:paraId="69CE76D5">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(7) 承诺书（含询标记录和优惠条件）   </w:t>
      </w:r>
    </w:p>
    <w:p w14:paraId="3B8A38DF">
      <w:pPr>
        <w:spacing w:line="400" w:lineRule="exact"/>
        <w:outlineLvl w:val="1"/>
        <w:rPr>
          <w:rFonts w:hint="eastAsia" w:ascii="宋体" w:hAnsi="宋体" w:eastAsia="宋体" w:cs="宋体"/>
          <w:b/>
          <w:bCs/>
          <w:color w:val="auto"/>
          <w:sz w:val="22"/>
          <w:highlight w:val="none"/>
        </w:rPr>
      </w:pPr>
      <w:bookmarkStart w:id="114" w:name="_Toc8724"/>
      <w:bookmarkStart w:id="115" w:name="_Toc660"/>
      <w:bookmarkStart w:id="116" w:name="_Toc24922"/>
      <w:bookmarkStart w:id="117" w:name="_Toc26523"/>
      <w:r>
        <w:rPr>
          <w:rFonts w:hint="eastAsia" w:ascii="宋体" w:hAnsi="宋体" w:eastAsia="宋体" w:cs="宋体"/>
          <w:b/>
          <w:bCs/>
          <w:color w:val="auto"/>
          <w:sz w:val="22"/>
          <w:highlight w:val="none"/>
        </w:rPr>
        <w:t>26、合同生效及其他：</w:t>
      </w:r>
      <w:bookmarkEnd w:id="114"/>
      <w:bookmarkEnd w:id="115"/>
      <w:bookmarkEnd w:id="116"/>
      <w:bookmarkEnd w:id="117"/>
    </w:p>
    <w:p w14:paraId="543E28BA">
      <w:pPr>
        <w:spacing w:line="400" w:lineRule="exact"/>
        <w:ind w:firstLine="440" w:firstLineChars="200"/>
        <w:rPr>
          <w:rFonts w:hint="eastAsia" w:ascii="宋体" w:hAnsi="宋体" w:eastAsia="宋体" w:cs="宋体"/>
          <w:color w:val="auto"/>
          <w:sz w:val="22"/>
          <w:highlight w:val="none"/>
        </w:rPr>
      </w:pPr>
      <w:bookmarkStart w:id="118" w:name="_Toc3765"/>
      <w:bookmarkStart w:id="119" w:name="_Toc19531"/>
      <w:r>
        <w:rPr>
          <w:rFonts w:hint="eastAsia" w:ascii="宋体" w:hAnsi="宋体" w:eastAsia="宋体" w:cs="宋体"/>
          <w:color w:val="auto"/>
          <w:sz w:val="22"/>
          <w:highlight w:val="none"/>
        </w:rPr>
        <w:t>26.1本合同一式伍份，甲方叁份、乙方贰份。</w:t>
      </w:r>
      <w:bookmarkEnd w:id="118"/>
      <w:bookmarkEnd w:id="119"/>
    </w:p>
    <w:p w14:paraId="4FB2B6A3">
      <w:pPr>
        <w:spacing w:line="400" w:lineRule="exact"/>
        <w:ind w:firstLine="440" w:firstLineChars="200"/>
        <w:rPr>
          <w:rFonts w:hint="eastAsia" w:ascii="宋体" w:hAnsi="宋体" w:eastAsia="宋体" w:cs="宋体"/>
          <w:color w:val="auto"/>
          <w:sz w:val="22"/>
          <w:highlight w:val="none"/>
        </w:rPr>
      </w:pPr>
      <w:bookmarkStart w:id="120" w:name="_Toc2148"/>
      <w:bookmarkStart w:id="121" w:name="_Toc20005"/>
      <w:r>
        <w:rPr>
          <w:rFonts w:hint="eastAsia" w:ascii="宋体" w:hAnsi="宋体" w:eastAsia="宋体" w:cs="宋体"/>
          <w:color w:val="auto"/>
          <w:sz w:val="22"/>
          <w:highlight w:val="none"/>
        </w:rPr>
        <w:t>26.2合同经甲方、乙方双方签字盖章后生效。</w:t>
      </w:r>
      <w:bookmarkEnd w:id="120"/>
      <w:bookmarkEnd w:id="121"/>
    </w:p>
    <w:p w14:paraId="3C4B906E">
      <w:pPr>
        <w:spacing w:line="400" w:lineRule="exact"/>
        <w:ind w:firstLine="440" w:firstLineChars="200"/>
        <w:rPr>
          <w:rFonts w:hint="eastAsia" w:ascii="宋体" w:hAnsi="宋体" w:eastAsia="宋体" w:cs="宋体"/>
          <w:color w:val="auto"/>
          <w:sz w:val="22"/>
          <w:highlight w:val="none"/>
        </w:rPr>
      </w:pPr>
      <w:bookmarkStart w:id="122" w:name="_Toc24661"/>
      <w:bookmarkStart w:id="123" w:name="_Toc5761"/>
      <w:r>
        <w:rPr>
          <w:rFonts w:hint="eastAsia" w:ascii="宋体" w:hAnsi="宋体" w:eastAsia="宋体" w:cs="宋体"/>
          <w:color w:val="auto"/>
          <w:sz w:val="22"/>
          <w:highlight w:val="none"/>
        </w:rPr>
        <w:t>26.3如需修改或补充合同内容，经协商，双方应签署书面修改或补充协议，该协议将作为本合同的一个组成部分。</w:t>
      </w:r>
      <w:bookmarkEnd w:id="122"/>
      <w:bookmarkEnd w:id="123"/>
    </w:p>
    <w:tbl>
      <w:tblPr>
        <w:tblStyle w:val="32"/>
        <w:tblW w:w="0" w:type="auto"/>
        <w:jc w:val="center"/>
        <w:tblLayout w:type="fixed"/>
        <w:tblCellMar>
          <w:top w:w="0" w:type="dxa"/>
          <w:left w:w="108" w:type="dxa"/>
          <w:bottom w:w="0" w:type="dxa"/>
          <w:right w:w="108" w:type="dxa"/>
        </w:tblCellMar>
      </w:tblPr>
      <w:tblGrid>
        <w:gridCol w:w="5054"/>
        <w:gridCol w:w="4050"/>
      </w:tblGrid>
      <w:tr w14:paraId="1E9E9854">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3DD078CD">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甲方（盖章）：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33CD3D4D">
            <w:pPr>
              <w:widowControl/>
              <w:spacing w:line="400" w:lineRule="exact"/>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乙方（盖章）：</w:t>
            </w:r>
          </w:p>
        </w:tc>
      </w:tr>
      <w:tr w14:paraId="7295D47F">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2F6FEFD3">
            <w:pPr>
              <w:widowControl/>
              <w:spacing w:line="400" w:lineRule="exact"/>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法人代表：</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6F5EF89D">
            <w:pPr>
              <w:widowControl/>
              <w:spacing w:line="400" w:lineRule="exact"/>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法人代表：</w:t>
            </w:r>
          </w:p>
        </w:tc>
      </w:tr>
      <w:tr w14:paraId="7CD0FA22">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5A425D23">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委托代理人（签字）：</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538E037D">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委托代理人（签字）：</w:t>
            </w:r>
          </w:p>
        </w:tc>
      </w:tr>
      <w:tr w14:paraId="72D8BA2A">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126B7AD7">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联系电话：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37564C8F">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联系电话：                          </w:t>
            </w:r>
          </w:p>
        </w:tc>
      </w:tr>
      <w:tr w14:paraId="7F9F244C">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39298F0F">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6D0568F9">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w:t>
            </w:r>
          </w:p>
        </w:tc>
      </w:tr>
      <w:tr w14:paraId="48B187BE">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3A47595A">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纳税人名称：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29DB09CC">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纳税人名称：                       </w:t>
            </w:r>
          </w:p>
        </w:tc>
      </w:tr>
      <w:tr w14:paraId="169483F2">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54026319">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纳税人识别号：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2AFC770F">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纳税人识别号：</w:t>
            </w:r>
          </w:p>
        </w:tc>
      </w:tr>
      <w:tr w14:paraId="285CB742">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1805B834">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开户行：</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27533C33">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开户行：</w:t>
            </w:r>
          </w:p>
        </w:tc>
      </w:tr>
      <w:tr w14:paraId="5154C7BD">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39AE4EDF">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账号：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53D069C1">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账号：</w:t>
            </w:r>
          </w:p>
        </w:tc>
      </w:tr>
      <w:tr w14:paraId="5283B96A">
        <w:tblPrEx>
          <w:tblCellMar>
            <w:top w:w="0" w:type="dxa"/>
            <w:left w:w="108" w:type="dxa"/>
            <w:bottom w:w="0" w:type="dxa"/>
            <w:right w:w="108" w:type="dxa"/>
          </w:tblCellMar>
        </w:tblPrEx>
        <w:trPr>
          <w:trHeight w:val="567" w:hRule="atLeast"/>
          <w:jc w:val="center"/>
        </w:trPr>
        <w:tc>
          <w:tcPr>
            <w:tcW w:w="9104" w:type="dxa"/>
            <w:gridSpan w:val="2"/>
            <w:tcBorders>
              <w:top w:val="single" w:color="000000" w:sz="4" w:space="0"/>
              <w:left w:val="single" w:color="000000" w:sz="4" w:space="0"/>
              <w:bottom w:val="single" w:color="000000" w:sz="4" w:space="0"/>
              <w:right w:val="single" w:color="000000" w:sz="4" w:space="0"/>
            </w:tcBorders>
            <w:noWrap/>
            <w:vAlign w:val="bottom"/>
          </w:tcPr>
          <w:p w14:paraId="1139BB68">
            <w:pPr>
              <w:widowControl/>
              <w:spacing w:line="400" w:lineRule="exact"/>
              <w:textAlignment w:val="bottom"/>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合同签订日期：     年     月      日</w:t>
            </w:r>
          </w:p>
        </w:tc>
      </w:tr>
    </w:tbl>
    <w:p w14:paraId="5E6C961F">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16644F86">
      <w:pPr>
        <w:jc w:val="center"/>
        <w:outlineLvl w:val="0"/>
        <w:rPr>
          <w:rFonts w:hint="eastAsia" w:ascii="宋体" w:hAnsi="宋体" w:eastAsia="宋体" w:cs="宋体"/>
          <w:b/>
          <w:color w:val="auto"/>
          <w:sz w:val="24"/>
          <w:highlight w:val="none"/>
        </w:rPr>
      </w:pPr>
      <w:bookmarkStart w:id="124" w:name="_Toc24240"/>
      <w:bookmarkStart w:id="125" w:name="_Toc24503"/>
      <w:r>
        <w:rPr>
          <w:rFonts w:hint="eastAsia" w:ascii="宋体" w:hAnsi="宋体" w:eastAsia="宋体" w:cs="宋体"/>
          <w:b/>
          <w:color w:val="auto"/>
          <w:sz w:val="24"/>
          <w:highlight w:val="none"/>
        </w:rPr>
        <w:t>附件</w:t>
      </w:r>
      <w:bookmarkEnd w:id="124"/>
      <w:bookmarkEnd w:id="125"/>
    </w:p>
    <w:p w14:paraId="036E715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供货清单：                                              金额单位：人民币（元）</w:t>
      </w:r>
    </w:p>
    <w:p w14:paraId="1215D0E5">
      <w:pPr>
        <w:spacing w:line="360" w:lineRule="auto"/>
        <w:rPr>
          <w:rFonts w:hint="eastAsia" w:ascii="宋体" w:hAnsi="宋体" w:eastAsia="宋体" w:cs="宋体"/>
          <w:b/>
          <w:color w:val="auto"/>
          <w:sz w:val="24"/>
          <w:highlight w:val="none"/>
        </w:rPr>
      </w:pP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06AE2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E21ADBB">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4A099821">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2EE4CD65">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31973621">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7F2CBF35">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2AE81CA5">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550379CC">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55F75405">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160EF6D5">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0C08E266">
            <w:pPr>
              <w:tabs>
                <w:tab w:val="left" w:pos="1418"/>
              </w:tabs>
              <w:snapToGrid w:val="0"/>
              <w:spacing w:line="400" w:lineRule="exac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金额（元）</w:t>
            </w:r>
          </w:p>
        </w:tc>
      </w:tr>
      <w:tr w14:paraId="7FCB7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3F137B5">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0A0CB3B">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11FDDD9">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F42FA9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7B27A3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2D859BE">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460205B">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DE5DD92">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F32E8B0">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7421A63">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25DA3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3C27F4D">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FE57F0F">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5677A12">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5E8800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85DF89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79B1E7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AD008B3">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488F045">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1F55DB9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D80DAB9">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05E55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F3B6D7E">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5381A4B5">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8437FFD">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EA827A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79468BF">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02A1DF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DD76321">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3ABF820">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1A181AD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BAC6F4D">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4BE99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C6D0BE1">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633228F">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201CD65">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230967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EBB245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292527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63C7D13">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8CBF1B2">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F22690D">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5A6A3D6B">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39733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A366807">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5745B5F">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5F72C0A">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6D494E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3CB66D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13E001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B9EFA25">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574CD44">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86C5ED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0744CB3">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53D0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D77F172">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383D48E">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CC60E07">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91A407E">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32AF59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8546698">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3C3D2EB0">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15B2F2A">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3DED40C8">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0160101">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291FE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32A245A">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A8DA690">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C9F12BD">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B5F1D4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C13A19D">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05BE8E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59AE6F3">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E5C34DF">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3D1E8E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6307BD7">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55D56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1EC4085">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66A15A5">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A4E989B">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5779C7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432B5B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93A6C0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1972E66">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7296ECB">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59B305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E7CA2F5">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4E1C1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1D1C4FE">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CB28EB7">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BEA85EF">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D945D9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9AF7A7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B58481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68E7E11">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5846A0A">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371AE78D">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A36769C">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5CFA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346B24A6">
            <w:pPr>
              <w:tabs>
                <w:tab w:val="left" w:pos="1418"/>
              </w:tabs>
              <w:snapToGrid w:val="0"/>
              <w:spacing w:line="400" w:lineRule="exact"/>
              <w:jc w:val="left"/>
              <w:rPr>
                <w:rFonts w:hint="eastAsia" w:ascii="宋体" w:hAnsi="宋体" w:eastAsia="宋体" w:cs="宋体"/>
                <w:color w:val="auto"/>
                <w:spacing w:val="20"/>
                <w:sz w:val="22"/>
                <w:highlight w:val="none"/>
              </w:rPr>
            </w:pPr>
            <w:r>
              <w:rPr>
                <w:rFonts w:hint="eastAsia" w:ascii="宋体" w:hAnsi="宋体" w:eastAsia="宋体" w:cs="宋体"/>
                <w:bCs/>
                <w:color w:val="auto"/>
                <w:sz w:val="22"/>
                <w:highlight w:val="none"/>
              </w:rPr>
              <w:t xml:space="preserve">合计：（大写）                                  小写：￥ </w:t>
            </w:r>
          </w:p>
        </w:tc>
      </w:tr>
    </w:tbl>
    <w:p w14:paraId="2C22A865">
      <w:pPr>
        <w:spacing w:line="360" w:lineRule="auto"/>
        <w:rPr>
          <w:rFonts w:hint="eastAsia" w:ascii="宋体" w:hAnsi="宋体" w:eastAsia="宋体" w:cs="宋体"/>
          <w:b/>
          <w:color w:val="auto"/>
          <w:sz w:val="24"/>
          <w:highlight w:val="none"/>
        </w:rPr>
      </w:pPr>
    </w:p>
    <w:p w14:paraId="6891310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技术参数：</w:t>
      </w:r>
    </w:p>
    <w:p w14:paraId="19E36FA0">
      <w:pPr>
        <w:rPr>
          <w:rFonts w:hint="eastAsia" w:ascii="宋体" w:hAnsi="宋体" w:eastAsia="宋体" w:cs="宋体"/>
          <w:color w:val="auto"/>
          <w:sz w:val="24"/>
          <w:highlight w:val="none"/>
        </w:rPr>
      </w:pPr>
    </w:p>
    <w:p w14:paraId="0B225DBB">
      <w:pPr>
        <w:rPr>
          <w:rFonts w:hint="eastAsia" w:ascii="宋体" w:hAnsi="宋体" w:eastAsia="宋体" w:cs="宋体"/>
          <w:color w:val="auto"/>
          <w:sz w:val="22"/>
          <w:highlight w:val="none"/>
        </w:rPr>
      </w:pPr>
      <w:r>
        <w:rPr>
          <w:rFonts w:hint="eastAsia" w:ascii="宋体" w:hAnsi="宋体" w:eastAsia="宋体" w:cs="宋体"/>
          <w:b/>
          <w:color w:val="auto"/>
          <w:sz w:val="26"/>
          <w:highlight w:val="none"/>
        </w:rPr>
        <w:br w:type="page"/>
      </w:r>
    </w:p>
    <w:p w14:paraId="454E3E6D">
      <w:pPr>
        <w:tabs>
          <w:tab w:val="left" w:pos="4286"/>
        </w:tabs>
        <w:spacing w:line="400" w:lineRule="exact"/>
        <w:jc w:val="center"/>
        <w:outlineLvl w:val="0"/>
        <w:rPr>
          <w:rFonts w:hint="eastAsia" w:ascii="宋体" w:hAnsi="宋体" w:eastAsia="宋体" w:cs="宋体"/>
          <w:b/>
          <w:color w:val="auto"/>
          <w:sz w:val="32"/>
          <w:highlight w:val="none"/>
        </w:rPr>
      </w:pPr>
      <w:bookmarkStart w:id="126" w:name="_Toc11430"/>
      <w:r>
        <w:rPr>
          <w:rFonts w:hint="eastAsia" w:ascii="宋体" w:hAnsi="宋体" w:eastAsia="宋体" w:cs="宋体"/>
          <w:b/>
          <w:color w:val="auto"/>
          <w:sz w:val="32"/>
          <w:highlight w:val="none"/>
        </w:rPr>
        <w:t>第四部分 附件</w:t>
      </w:r>
      <w:bookmarkEnd w:id="126"/>
    </w:p>
    <w:p w14:paraId="27B799E0">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一、报价文件部分格式</w:t>
      </w:r>
    </w:p>
    <w:p w14:paraId="2CBAA576">
      <w:pPr>
        <w:snapToGrid w:val="0"/>
        <w:spacing w:before="50" w:after="120" w:afterLines="50"/>
        <w:jc w:val="left"/>
        <w:rPr>
          <w:rFonts w:hint="eastAsia" w:ascii="宋体" w:hAnsi="宋体" w:eastAsia="宋体" w:cs="宋体"/>
          <w:b/>
          <w:color w:val="auto"/>
          <w:sz w:val="24"/>
          <w:highlight w:val="none"/>
        </w:rPr>
      </w:pPr>
    </w:p>
    <w:p w14:paraId="3830E60B">
      <w:pPr>
        <w:snapToGrid w:val="0"/>
        <w:spacing w:before="50" w:after="120" w:afterLines="50"/>
        <w:jc w:val="left"/>
        <w:rPr>
          <w:rFonts w:hint="eastAsia" w:ascii="宋体" w:hAnsi="宋体" w:eastAsia="宋体" w:cs="宋体"/>
          <w:b/>
          <w:color w:val="auto"/>
          <w:sz w:val="24"/>
          <w:highlight w:val="none"/>
        </w:rPr>
      </w:pPr>
    </w:p>
    <w:p w14:paraId="7AAFED2B">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投标报价文件封面格式：</w:t>
      </w:r>
    </w:p>
    <w:p w14:paraId="4D2A85C9">
      <w:pPr>
        <w:pStyle w:val="12"/>
        <w:ind w:left="0" w:leftChars="0" w:right="1470"/>
        <w:rPr>
          <w:rFonts w:hint="eastAsia" w:ascii="宋体" w:hAnsi="宋体" w:eastAsia="宋体" w:cs="宋体"/>
          <w:b/>
          <w:color w:val="auto"/>
          <w:sz w:val="24"/>
          <w:szCs w:val="24"/>
          <w:highlight w:val="none"/>
        </w:rPr>
      </w:pPr>
    </w:p>
    <w:p w14:paraId="28F51E4F">
      <w:pPr>
        <w:snapToGrid w:val="0"/>
        <w:spacing w:line="400" w:lineRule="exact"/>
        <w:jc w:val="center"/>
        <w:rPr>
          <w:rFonts w:hint="eastAsia" w:ascii="宋体" w:hAnsi="宋体" w:eastAsia="宋体" w:cs="宋体"/>
          <w:b/>
          <w:bCs/>
          <w:color w:val="auto"/>
          <w:sz w:val="24"/>
          <w:szCs w:val="20"/>
          <w:highlight w:val="none"/>
        </w:rPr>
      </w:pPr>
    </w:p>
    <w:p w14:paraId="244654E9">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4DC3BA">
                            <w:pPr>
                              <w:snapToGrid w:val="0"/>
                              <w:spacing w:before="120" w:beforeLines="50" w:after="50"/>
                              <w:ind w:left="-850" w:leftChars="-405"/>
                              <w:rPr>
                                <w:rFonts w:ascii="宋体" w:hAnsi="宋体"/>
                                <w:sz w:val="24"/>
                                <w:szCs w:val="20"/>
                              </w:rPr>
                            </w:pPr>
                          </w:p>
                          <w:p w14:paraId="514EBAD2">
                            <w:pPr>
                              <w:pStyle w:val="31"/>
                              <w:ind w:hanging="480"/>
                            </w:pPr>
                          </w:p>
                          <w:p w14:paraId="7E194AB7">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63353AE4">
                            <w:pPr>
                              <w:snapToGrid w:val="0"/>
                              <w:spacing w:before="120" w:beforeLines="50" w:after="50"/>
                              <w:rPr>
                                <w:rFonts w:ascii="宋体" w:hAnsi="宋体"/>
                                <w:bCs/>
                                <w:sz w:val="24"/>
                                <w:szCs w:val="20"/>
                              </w:rPr>
                            </w:pPr>
                          </w:p>
                          <w:p w14:paraId="554EE7B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F1DA5CC">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187E360">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F24282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B635BC9">
                            <w:pPr>
                              <w:snapToGrid w:val="0"/>
                              <w:spacing w:before="120" w:beforeLines="50" w:after="50"/>
                              <w:ind w:firstLine="1068" w:firstLineChars="445"/>
                              <w:rPr>
                                <w:rFonts w:ascii="宋体" w:hAnsi="宋体"/>
                                <w:bCs/>
                                <w:sz w:val="24"/>
                              </w:rPr>
                            </w:pPr>
                          </w:p>
                          <w:p w14:paraId="6072AD29">
                            <w:pPr>
                              <w:snapToGrid w:val="0"/>
                              <w:spacing w:before="120" w:beforeLines="50" w:after="50"/>
                              <w:ind w:firstLine="4080" w:firstLineChars="1700"/>
                              <w:rPr>
                                <w:rFonts w:ascii="宋体" w:hAnsi="宋体"/>
                                <w:sz w:val="24"/>
                                <w:szCs w:val="20"/>
                              </w:rPr>
                            </w:pPr>
                          </w:p>
                          <w:p w14:paraId="0490D9C2">
                            <w:pPr>
                              <w:jc w:val="center"/>
                            </w:pPr>
                            <w:r>
                              <w:rPr>
                                <w:rFonts w:hint="eastAsia"/>
                                <w:sz w:val="24"/>
                              </w:rPr>
                              <w:t>年     月     日</w:t>
                            </w:r>
                          </w:p>
                        </w:txbxContent>
                      </wps:txbx>
                      <wps:bodyPr wrap="square" anchor="t" anchorCtr="0"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OixDfZAAAACQEAAA8A&#10;AAAAAAAAAQAgAAAAIgAAAGRycy9kb3ducmV2LnhtbFBLAQIUABQAAAAIAIdO4kAMoan1FgIAAF8E&#10;AAAOAAAAAAAAAAEAIAAAACgBAABkcnMvZTJvRG9jLnhtbFBLBQYAAAAABgAGAFkBAACwBQAAAAA=&#10;">
                <v:fill on="t" focussize="0,0"/>
                <v:stroke color="#000000" joinstyle="miter"/>
                <v:imagedata o:title=""/>
                <o:lock v:ext="edit" aspectratio="f"/>
                <v:textbox>
                  <w:txbxContent>
                    <w:p w14:paraId="104DC3BA">
                      <w:pPr>
                        <w:snapToGrid w:val="0"/>
                        <w:spacing w:before="120" w:beforeLines="50" w:after="50"/>
                        <w:ind w:left="-850" w:leftChars="-405"/>
                        <w:rPr>
                          <w:rFonts w:ascii="宋体" w:hAnsi="宋体"/>
                          <w:sz w:val="24"/>
                          <w:szCs w:val="20"/>
                        </w:rPr>
                      </w:pPr>
                    </w:p>
                    <w:p w14:paraId="514EBAD2">
                      <w:pPr>
                        <w:pStyle w:val="31"/>
                        <w:ind w:hanging="480"/>
                      </w:pPr>
                    </w:p>
                    <w:p w14:paraId="7E194AB7">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63353AE4">
                      <w:pPr>
                        <w:snapToGrid w:val="0"/>
                        <w:spacing w:before="120" w:beforeLines="50" w:after="50"/>
                        <w:rPr>
                          <w:rFonts w:ascii="宋体" w:hAnsi="宋体"/>
                          <w:bCs/>
                          <w:sz w:val="24"/>
                          <w:szCs w:val="20"/>
                        </w:rPr>
                      </w:pPr>
                    </w:p>
                    <w:p w14:paraId="554EE7B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F1DA5CC">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187E360">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F24282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B635BC9">
                      <w:pPr>
                        <w:snapToGrid w:val="0"/>
                        <w:spacing w:before="120" w:beforeLines="50" w:after="50"/>
                        <w:ind w:firstLine="1068" w:firstLineChars="445"/>
                        <w:rPr>
                          <w:rFonts w:ascii="宋体" w:hAnsi="宋体"/>
                          <w:bCs/>
                          <w:sz w:val="24"/>
                        </w:rPr>
                      </w:pPr>
                    </w:p>
                    <w:p w14:paraId="6072AD29">
                      <w:pPr>
                        <w:snapToGrid w:val="0"/>
                        <w:spacing w:before="120" w:beforeLines="50" w:after="50"/>
                        <w:ind w:firstLine="4080" w:firstLineChars="1700"/>
                        <w:rPr>
                          <w:rFonts w:ascii="宋体" w:hAnsi="宋体"/>
                          <w:sz w:val="24"/>
                          <w:szCs w:val="20"/>
                        </w:rPr>
                      </w:pPr>
                    </w:p>
                    <w:p w14:paraId="0490D9C2">
                      <w:pPr>
                        <w:jc w:val="center"/>
                      </w:pPr>
                      <w:r>
                        <w:rPr>
                          <w:rFonts w:hint="eastAsia"/>
                          <w:sz w:val="24"/>
                        </w:rPr>
                        <w:t>年     月     日</w:t>
                      </w:r>
                    </w:p>
                  </w:txbxContent>
                </v:textbox>
                <w10:wrap type="topAndBottom"/>
              </v:shape>
            </w:pict>
          </mc:Fallback>
        </mc:AlternateContent>
      </w:r>
    </w:p>
    <w:p w14:paraId="14887C4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15EF734">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14:paraId="27B24E4E">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开标一览表</w:t>
      </w:r>
    </w:p>
    <w:p w14:paraId="11252845">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                                            项目编号：</w:t>
      </w:r>
    </w:p>
    <w:p w14:paraId="0281AB86">
      <w:pPr>
        <w:spacing w:line="400" w:lineRule="exact"/>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单位：人民币（元）</w:t>
      </w:r>
    </w:p>
    <w:tbl>
      <w:tblPr>
        <w:tblStyle w:val="3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30"/>
        <w:gridCol w:w="990"/>
        <w:gridCol w:w="1155"/>
        <w:gridCol w:w="2253"/>
        <w:gridCol w:w="910"/>
      </w:tblGrid>
      <w:tr w14:paraId="46C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5607A571">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330" w:type="dxa"/>
            <w:vAlign w:val="center"/>
          </w:tcPr>
          <w:p w14:paraId="7A57007F">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Cs w:val="24"/>
                <w:highlight w:val="none"/>
              </w:rPr>
              <w:t>标项名称</w:t>
            </w:r>
          </w:p>
        </w:tc>
        <w:tc>
          <w:tcPr>
            <w:tcW w:w="990" w:type="dxa"/>
            <w:vAlign w:val="center"/>
          </w:tcPr>
          <w:p w14:paraId="428B8D5A">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155" w:type="dxa"/>
            <w:vAlign w:val="center"/>
          </w:tcPr>
          <w:p w14:paraId="31C4D38F">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2253" w:type="dxa"/>
            <w:vAlign w:val="center"/>
          </w:tcPr>
          <w:p w14:paraId="5018B5FD">
            <w:pPr>
              <w:pStyle w:val="13"/>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投标总报价（元）</w:t>
            </w:r>
          </w:p>
        </w:tc>
        <w:tc>
          <w:tcPr>
            <w:tcW w:w="910" w:type="dxa"/>
            <w:vAlign w:val="center"/>
          </w:tcPr>
          <w:p w14:paraId="259FFC0B">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52BC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43EF3615">
            <w:pPr>
              <w:spacing w:line="340" w:lineRule="exact"/>
              <w:jc w:val="center"/>
              <w:rPr>
                <w:rFonts w:hint="eastAsia" w:ascii="宋体" w:hAnsi="宋体" w:eastAsia="宋体" w:cs="宋体"/>
                <w:color w:val="auto"/>
                <w:sz w:val="22"/>
                <w:highlight w:val="none"/>
              </w:rPr>
            </w:pPr>
          </w:p>
        </w:tc>
        <w:tc>
          <w:tcPr>
            <w:tcW w:w="3330" w:type="dxa"/>
            <w:vAlign w:val="center"/>
          </w:tcPr>
          <w:p w14:paraId="5F1C0DAC">
            <w:pPr>
              <w:spacing w:line="400" w:lineRule="exact"/>
              <w:jc w:val="center"/>
              <w:rPr>
                <w:rFonts w:hint="eastAsia" w:ascii="宋体" w:hAnsi="宋体" w:eastAsia="宋体" w:cs="宋体"/>
                <w:color w:val="auto"/>
                <w:sz w:val="22"/>
                <w:highlight w:val="none"/>
              </w:rPr>
            </w:pPr>
          </w:p>
        </w:tc>
        <w:tc>
          <w:tcPr>
            <w:tcW w:w="990" w:type="dxa"/>
            <w:vAlign w:val="center"/>
          </w:tcPr>
          <w:p w14:paraId="7F83C130">
            <w:pPr>
              <w:spacing w:line="360" w:lineRule="exact"/>
              <w:jc w:val="center"/>
              <w:rPr>
                <w:rFonts w:hint="eastAsia" w:ascii="宋体" w:hAnsi="宋体" w:eastAsia="宋体" w:cs="宋体"/>
                <w:color w:val="auto"/>
                <w:sz w:val="22"/>
                <w:highlight w:val="none"/>
              </w:rPr>
            </w:pPr>
          </w:p>
        </w:tc>
        <w:tc>
          <w:tcPr>
            <w:tcW w:w="1155" w:type="dxa"/>
            <w:vAlign w:val="center"/>
          </w:tcPr>
          <w:p w14:paraId="2404E8B5">
            <w:pPr>
              <w:spacing w:line="400" w:lineRule="exact"/>
              <w:jc w:val="center"/>
              <w:rPr>
                <w:rFonts w:hint="eastAsia" w:ascii="宋体" w:hAnsi="宋体" w:eastAsia="宋体" w:cs="宋体"/>
                <w:color w:val="auto"/>
                <w:sz w:val="22"/>
                <w:highlight w:val="none"/>
              </w:rPr>
            </w:pPr>
          </w:p>
        </w:tc>
        <w:tc>
          <w:tcPr>
            <w:tcW w:w="2253" w:type="dxa"/>
            <w:vAlign w:val="center"/>
          </w:tcPr>
          <w:p w14:paraId="44D09CF9">
            <w:pPr>
              <w:pStyle w:val="13"/>
              <w:spacing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小写：</w:t>
            </w:r>
          </w:p>
          <w:p w14:paraId="2DB9059F">
            <w:pPr>
              <w:pStyle w:val="13"/>
              <w:spacing w:line="40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w:t>
            </w:r>
          </w:p>
        </w:tc>
        <w:tc>
          <w:tcPr>
            <w:tcW w:w="910" w:type="dxa"/>
            <w:vAlign w:val="center"/>
          </w:tcPr>
          <w:p w14:paraId="5287C658">
            <w:pPr>
              <w:pStyle w:val="13"/>
              <w:spacing w:line="400" w:lineRule="exact"/>
              <w:jc w:val="center"/>
              <w:rPr>
                <w:rFonts w:hint="eastAsia" w:ascii="宋体" w:hAnsi="宋体" w:eastAsia="宋体" w:cs="宋体"/>
                <w:color w:val="auto"/>
                <w:sz w:val="22"/>
                <w:highlight w:val="none"/>
              </w:rPr>
            </w:pPr>
          </w:p>
        </w:tc>
      </w:tr>
      <w:tr w14:paraId="534D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84" w:type="dxa"/>
            <w:gridSpan w:val="6"/>
            <w:vAlign w:val="center"/>
          </w:tcPr>
          <w:p w14:paraId="6832860B">
            <w:pPr>
              <w:pStyle w:val="13"/>
              <w:spacing w:line="400" w:lineRule="exact"/>
              <w:rPr>
                <w:rFonts w:hint="eastAsia" w:ascii="宋体" w:hAnsi="宋体" w:eastAsia="宋体" w:cs="宋体"/>
                <w:color w:val="auto"/>
                <w:sz w:val="22"/>
                <w:highlight w:val="none"/>
              </w:rPr>
            </w:pPr>
            <w:r>
              <w:rPr>
                <w:rFonts w:hint="eastAsia" w:ascii="宋体" w:hAnsi="宋体" w:eastAsia="宋体" w:cs="宋体"/>
                <w:b/>
                <w:color w:val="auto"/>
                <w:szCs w:val="24"/>
                <w:highlight w:val="none"/>
              </w:rPr>
              <w:t>备注：</w:t>
            </w:r>
          </w:p>
        </w:tc>
      </w:tr>
    </w:tbl>
    <w:p w14:paraId="1A6F2066">
      <w:pPr>
        <w:spacing w:line="400" w:lineRule="exact"/>
        <w:rPr>
          <w:rFonts w:hint="eastAsia" w:ascii="宋体" w:hAnsi="宋体" w:eastAsia="宋体" w:cs="宋体"/>
          <w:color w:val="auto"/>
          <w:sz w:val="22"/>
          <w:highlight w:val="none"/>
        </w:rPr>
      </w:pPr>
    </w:p>
    <w:p w14:paraId="24EE9E70">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p w14:paraId="09152F8C">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总报价是指投标人在正确地完全履行合同义务后采购人应支付给投标人所有的货物价款，即包括货物及其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02DC5B4C">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2.此栏内投标报价应与“投标报价明细表”中投标总价相一致。</w:t>
      </w:r>
    </w:p>
    <w:p w14:paraId="3EF80CA5">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3.客户端填写的报价与以pdf格式上传文件中的报价不一致的，应以Pdf格式上传文件中的报价为准。</w:t>
      </w:r>
    </w:p>
    <w:p w14:paraId="5CA7A277">
      <w:pPr>
        <w:spacing w:line="400" w:lineRule="exact"/>
        <w:rPr>
          <w:rFonts w:hint="eastAsia" w:ascii="宋体" w:hAnsi="宋体" w:eastAsia="宋体" w:cs="宋体"/>
          <w:color w:val="auto"/>
          <w:sz w:val="24"/>
          <w:highlight w:val="none"/>
        </w:rPr>
      </w:pPr>
    </w:p>
    <w:p w14:paraId="687533FF">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3F9F02AB">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655180C2">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CE28416">
      <w:pPr>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406B61EE">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2F549ACC">
      <w:pPr>
        <w:pStyle w:val="13"/>
        <w:snapToGrid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投标报价明细表</w:t>
      </w:r>
    </w:p>
    <w:p w14:paraId="6EE7B036">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项目名称：                                               项目编号：  </w:t>
      </w: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34395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8C49862">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6C64AD65">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0FEB9D26">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002CF6E3">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27D4E0C8">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4E97C1AC">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1B771271">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11E5CE56">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7C6AF4CA">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7B889960">
            <w:pPr>
              <w:tabs>
                <w:tab w:val="left" w:pos="1418"/>
              </w:tabs>
              <w:snapToGrid w:val="0"/>
              <w:spacing w:line="400" w:lineRule="exac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金额（元）</w:t>
            </w:r>
          </w:p>
        </w:tc>
      </w:tr>
      <w:tr w14:paraId="1CD55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BD7FAA5">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82AE11D">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3462AB5">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8FF831F">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A916F3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E871A4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ECDC989">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1B6916A">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1C1899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8555836">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3507D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257136E">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B813983">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29C3E05">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DF956C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B29699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246E06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5D011C0">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B187F02">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A6FCFF6">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1736842">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2BB5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ECAB1A4">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94D027A">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710423E3">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644C2F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729BEF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DC3B33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B4E5471">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26F0CC4">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40BC85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2693C4D4">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24E67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719FBF7">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4214C301">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F3CC954">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687920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A113EEF">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FE90D7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79233E7">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B0462BE">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1DEEA5F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831B6CA">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336E1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513E0B9">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FE46315">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E8D4B43">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61C8528">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B00BAE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73BB2D0">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5816436">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162F474">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0B340C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288B4F78">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1A97C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7C27B96">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DC63A2C">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5AE4F2F">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5082F98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70A41D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36B17D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3DB8456D">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F43C23A">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D9A922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5BF10BC5">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16495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729552B">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6A6549E">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6319201">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2D1BCA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6D19B2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F4E2F3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AE2BFA5">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98BCDA3">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ECA0A6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E9C22A1">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0FD5E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4D5B42B">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4F741585">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252336A">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D98793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CCE547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37AD261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7015ED9">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B46B012">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564728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2FAC882">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49B7A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54C316D">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52579544">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A909F67">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6FE2B58">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7F89D17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D9D107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912DBBC">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D2255C0">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8095D16">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5C858CE">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59C33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66159257">
            <w:pPr>
              <w:tabs>
                <w:tab w:val="left" w:pos="1418"/>
              </w:tabs>
              <w:snapToGrid w:val="0"/>
              <w:spacing w:line="400" w:lineRule="exact"/>
              <w:jc w:val="lef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投标总价（与开标一览表一致）：</w:t>
            </w:r>
          </w:p>
        </w:tc>
      </w:tr>
    </w:tbl>
    <w:p w14:paraId="41187088">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p w14:paraId="091B1CE7">
      <w:pPr>
        <w:numPr>
          <w:ilvl w:val="0"/>
          <w:numId w:val="4"/>
        </w:numPr>
        <w:spacing w:line="360" w:lineRule="exact"/>
        <w:jc w:val="left"/>
        <w:rPr>
          <w:rFonts w:hint="eastAsia" w:ascii="宋体" w:hAnsi="宋体" w:eastAsia="宋体" w:cs="宋体"/>
          <w:b/>
          <w:bCs/>
          <w:color w:val="auto"/>
          <w:sz w:val="22"/>
          <w:highlight w:val="none"/>
          <w:lang w:val="zh-CN"/>
        </w:rPr>
      </w:pPr>
      <w:r>
        <w:rPr>
          <w:rFonts w:hint="eastAsia" w:ascii="宋体" w:hAnsi="宋体" w:eastAsia="宋体" w:cs="宋体"/>
          <w:color w:val="auto"/>
          <w:sz w:val="22"/>
          <w:highlight w:val="none"/>
        </w:rPr>
        <w:t>“报价明细表”内“投标总价”应与附件1“开标一览表”中“投标总报价”相一致。</w:t>
      </w:r>
    </w:p>
    <w:p w14:paraId="49073921">
      <w:pPr>
        <w:numPr>
          <w:ilvl w:val="0"/>
          <w:numId w:val="4"/>
        </w:numPr>
        <w:spacing w:line="360" w:lineRule="exact"/>
        <w:jc w:val="lef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本项目为总价合同，</w:t>
      </w:r>
      <w:r>
        <w:rPr>
          <w:rFonts w:hint="eastAsia" w:ascii="宋体" w:hAnsi="宋体" w:eastAsia="宋体" w:cs="宋体"/>
          <w:b/>
          <w:bCs/>
          <w:color w:val="auto"/>
          <w:sz w:val="22"/>
          <w:highlight w:val="none"/>
          <w:lang w:val="zh-CN"/>
        </w:rPr>
        <w:t>有关本项目实施所涉及的一切费用均计入报价。采购人将以合同形式有偿取得货物或服务，不接受投标人给予的赠品、回扣或者与采购无关的其他商品、服务；采购内容未包含在《</w:t>
      </w:r>
      <w:r>
        <w:rPr>
          <w:rFonts w:hint="eastAsia" w:ascii="宋体" w:hAnsi="宋体" w:eastAsia="宋体" w:cs="宋体"/>
          <w:b/>
          <w:bCs/>
          <w:color w:val="auto"/>
          <w:sz w:val="22"/>
          <w:highlight w:val="none"/>
        </w:rPr>
        <w:t>报价明细表</w:t>
      </w:r>
      <w:r>
        <w:rPr>
          <w:rFonts w:hint="eastAsia" w:ascii="宋体" w:hAnsi="宋体" w:eastAsia="宋体" w:cs="宋体"/>
          <w:b/>
          <w:bCs/>
          <w:color w:val="auto"/>
          <w:sz w:val="22"/>
          <w:highlight w:val="none"/>
          <w:lang w:val="zh-CN"/>
        </w:rPr>
        <w:t>》名称栏中，投标人不能作出合理解释的，</w:t>
      </w:r>
      <w:r>
        <w:rPr>
          <w:rFonts w:hint="eastAsia" w:ascii="宋体" w:hAnsi="宋体" w:eastAsia="宋体" w:cs="宋体"/>
          <w:b/>
          <w:bCs/>
          <w:color w:val="auto"/>
          <w:sz w:val="22"/>
          <w:highlight w:val="none"/>
        </w:rPr>
        <w:t>视为投标文件含有采购人不能接受的附加条件的，投标无效。</w:t>
      </w:r>
    </w:p>
    <w:p w14:paraId="5FEC1ADB">
      <w:pPr>
        <w:numPr>
          <w:ilvl w:val="0"/>
          <w:numId w:val="4"/>
        </w:numPr>
        <w:spacing w:line="360" w:lineRule="exact"/>
        <w:jc w:val="left"/>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不提供报价明细表将视为没有明确响应招标文件。</w:t>
      </w:r>
    </w:p>
    <w:p w14:paraId="6930B385">
      <w:pPr>
        <w:pStyle w:val="3"/>
        <w:numPr>
          <w:ilvl w:val="0"/>
          <w:numId w:val="4"/>
        </w:numPr>
        <w:spacing w:line="360" w:lineRule="exact"/>
        <w:jc w:val="left"/>
        <w:rPr>
          <w:rFonts w:hint="eastAsia" w:ascii="宋体" w:hAnsi="宋体" w:eastAsia="宋体" w:cs="宋体"/>
          <w:bCs/>
          <w:color w:val="auto"/>
          <w:sz w:val="22"/>
          <w:highlight w:val="none"/>
          <w:lang w:val="zh-CN"/>
        </w:rPr>
      </w:pPr>
      <w:r>
        <w:rPr>
          <w:rFonts w:hint="eastAsia" w:ascii="宋体" w:hAnsi="宋体" w:eastAsia="宋体" w:cs="宋体"/>
          <w:color w:val="auto"/>
          <w:sz w:val="22"/>
          <w:szCs w:val="22"/>
          <w:highlight w:val="none"/>
        </w:rPr>
        <w:t>在中标或者成交公告的内容中增加本表，请各投标人认真填写，确保报价数据的真实性、完整性和合理性。</w:t>
      </w:r>
    </w:p>
    <w:p w14:paraId="44D4FA67">
      <w:pPr>
        <w:pStyle w:val="3"/>
        <w:numPr>
          <w:ilvl w:val="0"/>
          <w:numId w:val="4"/>
        </w:numPr>
        <w:spacing w:line="360" w:lineRule="exact"/>
        <w:jc w:val="left"/>
        <w:rPr>
          <w:rFonts w:hint="eastAsia"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57FBDA">
      <w:pPr>
        <w:pStyle w:val="3"/>
        <w:numPr>
          <w:ilvl w:val="0"/>
          <w:numId w:val="4"/>
        </w:numPr>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00A70100">
      <w:pPr>
        <w:spacing w:line="400" w:lineRule="exact"/>
        <w:ind w:firstLine="440" w:firstLineChars="200"/>
        <w:rPr>
          <w:rFonts w:hint="eastAsia" w:ascii="宋体" w:hAnsi="宋体" w:eastAsia="宋体" w:cs="宋体"/>
          <w:color w:val="auto"/>
          <w:sz w:val="22"/>
          <w:highlight w:val="none"/>
        </w:rPr>
      </w:pPr>
    </w:p>
    <w:p w14:paraId="24BFAA63">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3B6387F3">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324ABB38">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47620AD0">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05E324F7">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w:t>
      </w:r>
    </w:p>
    <w:p w14:paraId="263B3CF5">
      <w:pPr>
        <w:spacing w:line="400" w:lineRule="exact"/>
        <w:rPr>
          <w:rFonts w:hint="eastAsia" w:ascii="宋体" w:hAnsi="宋体" w:eastAsia="宋体" w:cs="宋体"/>
          <w:color w:val="auto"/>
          <w:highlight w:val="none"/>
        </w:rPr>
      </w:pPr>
    </w:p>
    <w:p w14:paraId="2EC97363">
      <w:pPr>
        <w:pStyle w:val="27"/>
        <w:spacing w:before="0" w:beforeAutospacing="0" w:after="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shd w:val="clear" w:color="auto" w:fill="FFFFFF"/>
        </w:rPr>
        <w:t>中小企业声明函（货物）</w:t>
      </w:r>
    </w:p>
    <w:p w14:paraId="1D3ECEFB">
      <w:pPr>
        <w:pStyle w:val="72"/>
        <w:tabs>
          <w:tab w:val="left" w:pos="662"/>
          <w:tab w:val="left" w:pos="908"/>
          <w:tab w:val="left" w:pos="2945"/>
        </w:tabs>
        <w:spacing w:line="37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文成县卫生健康局（单位名称）</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lang w:val="en-US" w:eastAsia="zh-CN"/>
        </w:rPr>
        <w:t>采购活动，提供的货物全部由符合政策要求的中小企业制造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中的中小企业</w:t>
      </w:r>
      <w:r>
        <w:rPr>
          <w:rFonts w:hint="eastAsia" w:ascii="宋体" w:hAnsi="宋体" w:eastAsia="宋体" w:cs="宋体"/>
          <w:color w:val="auto"/>
          <w:sz w:val="24"/>
          <w:szCs w:val="24"/>
          <w:highlight w:val="none"/>
          <w:lang w:eastAsia="zh-CN"/>
        </w:rPr>
        <w:t>提供的货物全部</w:t>
      </w:r>
      <w:r>
        <w:rPr>
          <w:rFonts w:hint="eastAsia" w:ascii="宋体" w:hAnsi="宋体" w:eastAsia="宋体" w:cs="宋体"/>
          <w:color w:val="auto"/>
          <w:sz w:val="24"/>
          <w:szCs w:val="24"/>
          <w:highlight w:val="none"/>
        </w:rPr>
        <w:t>由符合政策要求的中小企业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rPr>
        <w:t>签订分包意向协议的中小企业</w:t>
      </w:r>
      <w:r>
        <w:rPr>
          <w:rFonts w:hint="eastAsia" w:ascii="宋体" w:hAnsi="宋体" w:eastAsia="宋体" w:cs="宋体"/>
          <w:color w:val="auto"/>
          <w:sz w:val="24"/>
          <w:szCs w:val="24"/>
          <w:highlight w:val="none"/>
          <w:lang w:eastAsia="zh-CN"/>
        </w:rPr>
        <w:t>提供的货物全部</w:t>
      </w:r>
      <w:r>
        <w:rPr>
          <w:rFonts w:hint="eastAsia" w:ascii="宋体" w:hAnsi="宋体" w:eastAsia="宋体" w:cs="宋体"/>
          <w:color w:val="auto"/>
          <w:sz w:val="24"/>
          <w:szCs w:val="24"/>
          <w:highlight w:val="none"/>
        </w:rPr>
        <w:t>由符合政策要求的中小企业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相关企业（含联合体中的中小企业、签订分包意向协议的中小企业）的具体情况如</w:t>
      </w:r>
      <w:r>
        <w:rPr>
          <w:rFonts w:hint="eastAsia" w:ascii="宋体" w:hAnsi="宋体" w:eastAsia="宋体" w:cs="宋体"/>
          <w:color w:val="auto"/>
          <w:sz w:val="24"/>
          <w:szCs w:val="24"/>
          <w:highlight w:val="none"/>
          <w:lang w:eastAsia="zh-CN"/>
        </w:rPr>
        <w:t>下</w:t>
      </w:r>
      <w:r>
        <w:rPr>
          <w:rFonts w:hint="eastAsia" w:ascii="宋体" w:hAnsi="宋体" w:eastAsia="宋体" w:cs="宋体"/>
          <w:color w:val="auto"/>
          <w:sz w:val="24"/>
          <w:szCs w:val="24"/>
          <w:highlight w:val="none"/>
        </w:rPr>
        <w:t>：</w:t>
      </w:r>
    </w:p>
    <w:p w14:paraId="02C4259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zh-TW"/>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xml:space="preserve">（企业名称）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从业人员人，营业收 入为万元，资产总额为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bidi="en-US"/>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0CDB1B4F">
      <w:pPr>
        <w:pStyle w:val="72"/>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val="zh-CN" w:eastAsia="zh-CN" w:bidi="zh-CN"/>
        </w:rPr>
        <w:t>行业</w:t>
      </w:r>
      <w:r>
        <w:rPr>
          <w:rFonts w:hint="eastAsia" w:ascii="宋体" w:hAnsi="宋体" w:eastAsia="宋体" w:cs="宋体"/>
          <w:i/>
          <w:iCs/>
          <w:color w:val="auto"/>
          <w:sz w:val="24"/>
          <w:szCs w:val="24"/>
          <w:highlight w:val="none"/>
          <w:lang w:val="zh-CN" w:eastAsia="zh-CN" w:bidi="zh-CN"/>
        </w:rPr>
        <w:t>、</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w:t>
      </w:r>
      <w:r>
        <w:rPr>
          <w:rFonts w:hint="eastAsia" w:ascii="宋体" w:hAnsi="宋体" w:eastAsia="宋体" w:cs="宋体"/>
          <w:color w:val="auto"/>
          <w:sz w:val="24"/>
          <w:szCs w:val="24"/>
          <w:highlight w:val="none"/>
          <w:u w:val="single"/>
        </w:rPr>
        <w:t>企业名称）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 企业、微型</w:t>
      </w:r>
      <w:r>
        <w:rPr>
          <w:rFonts w:hint="eastAsia" w:ascii="宋体" w:hAnsi="宋体" w:eastAsia="宋体" w:cs="宋体"/>
          <w:color w:val="auto"/>
          <w:sz w:val="24"/>
          <w:szCs w:val="24"/>
          <w:highlight w:val="none"/>
          <w:u w:val="single"/>
          <w:lang w:val="zh-CN" w:eastAsia="zh-CN" w:bidi="zh-CN"/>
        </w:rPr>
        <w:t>企业）；</w:t>
      </w:r>
    </w:p>
    <w:p w14:paraId="6BA9D244">
      <w:pPr>
        <w:pStyle w:val="72"/>
        <w:tabs>
          <w:tab w:val="left" w:pos="662"/>
          <w:tab w:val="left" w:pos="908"/>
          <w:tab w:val="left" w:pos="2945"/>
        </w:tabs>
        <w:spacing w:line="37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w:t>
      </w:r>
    </w:p>
    <w:p w14:paraId="4FC27BDE">
      <w:pPr>
        <w:pStyle w:val="10"/>
        <w:ind w:left="-420" w:leftChars="-200" w:firstLine="0" w:firstLineChars="0"/>
        <w:rPr>
          <w:rFonts w:hint="eastAsia" w:ascii="宋体" w:hAnsi="宋体" w:eastAsia="宋体" w:cs="宋体"/>
          <w:color w:val="auto"/>
          <w:highlight w:val="none"/>
        </w:rPr>
      </w:pPr>
    </w:p>
    <w:p w14:paraId="5A0F01FC">
      <w:pPr>
        <w:pStyle w:val="72"/>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14:paraId="07B0A628">
      <w:pPr>
        <w:pStyle w:val="72"/>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0F84E37">
      <w:pPr>
        <w:pStyle w:val="72"/>
        <w:spacing w:line="372" w:lineRule="exact"/>
        <w:ind w:firstLine="0"/>
        <w:jc w:val="left"/>
        <w:rPr>
          <w:rFonts w:hint="eastAsia" w:ascii="宋体" w:hAnsi="宋体" w:eastAsia="宋体" w:cs="宋体"/>
          <w:color w:val="auto"/>
          <w:sz w:val="24"/>
          <w:szCs w:val="24"/>
          <w:highlight w:val="none"/>
        </w:rPr>
      </w:pPr>
    </w:p>
    <w:p w14:paraId="657EA82E">
      <w:pPr>
        <w:pStyle w:val="72"/>
        <w:spacing w:line="372" w:lineRule="exact"/>
        <w:ind w:firstLine="4468" w:firstLineChars="186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0B2AF84">
      <w:pPr>
        <w:pStyle w:val="27"/>
        <w:spacing w:before="0" w:beforeAutospacing="0" w:after="0" w:afterAutospacing="0" w:line="360" w:lineRule="auto"/>
        <w:ind w:firstLine="480" w:firstLineChars="200"/>
        <w:jc w:val="center"/>
        <w:rPr>
          <w:rFonts w:hint="eastAsia" w:ascii="宋体" w:hAnsi="宋体" w:eastAsia="宋体" w:cs="宋体"/>
          <w:color w:val="auto"/>
          <w:sz w:val="22"/>
          <w:highlight w:val="none"/>
          <w:shd w:val="clear" w:color="auto" w:fill="FFFFFF"/>
        </w:rPr>
      </w:pPr>
      <w:r>
        <w:rPr>
          <w:rFonts w:hint="eastAsia" w:ascii="宋体" w:hAnsi="宋体" w:eastAsia="宋体" w:cs="宋体"/>
          <w:color w:val="auto"/>
          <w:szCs w:val="24"/>
          <w:highlight w:val="none"/>
        </w:rPr>
        <w:t>日期：</w:t>
      </w:r>
      <w:r>
        <w:rPr>
          <w:rFonts w:hint="eastAsia" w:ascii="宋体" w:hAnsi="宋体" w:eastAsia="宋体" w:cs="宋体"/>
          <w:color w:val="auto"/>
          <w:sz w:val="22"/>
          <w:highlight w:val="none"/>
          <w:shd w:val="clear" w:color="auto" w:fill="FFFFFF"/>
        </w:rPr>
        <w:t>　</w:t>
      </w:r>
    </w:p>
    <w:p w14:paraId="300010F7">
      <w:pPr>
        <w:pStyle w:val="27"/>
        <w:spacing w:before="0" w:beforeAutospacing="0" w:after="0" w:afterAutospacing="0" w:line="360" w:lineRule="auto"/>
        <w:ind w:firstLine="440" w:firstLineChars="200"/>
        <w:jc w:val="center"/>
        <w:rPr>
          <w:rFonts w:hint="eastAsia" w:ascii="宋体" w:hAnsi="宋体" w:eastAsia="宋体" w:cs="宋体"/>
          <w:color w:val="auto"/>
          <w:sz w:val="22"/>
          <w:highlight w:val="none"/>
          <w:shd w:val="clear" w:color="auto" w:fill="FFFFFF"/>
        </w:rPr>
      </w:pPr>
    </w:p>
    <w:p w14:paraId="68935236">
      <w:pPr>
        <w:pStyle w:val="72"/>
        <w:tabs>
          <w:tab w:val="left" w:pos="662"/>
          <w:tab w:val="left" w:pos="908"/>
          <w:tab w:val="left" w:pos="2945"/>
        </w:tabs>
        <w:spacing w:line="37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从业人员、营业收入、资产总额填报上一年度数据，无上一年度数据的新成立企业可不填报。（无上一年度数据的新成立企业需提供相关证明材料）</w:t>
      </w:r>
    </w:p>
    <w:p w14:paraId="01CB51BD">
      <w:pPr>
        <w:pStyle w:val="72"/>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“标的名称”、“采购文件中明确的所属行业”依据</w:t>
      </w:r>
      <w:r>
        <w:rPr>
          <w:rFonts w:hint="eastAsia" w:ascii="宋体" w:hAnsi="宋体" w:eastAsia="宋体" w:cs="宋体"/>
          <w:b/>
          <w:bCs/>
          <w:color w:val="auto"/>
          <w:highlight w:val="none"/>
          <w:lang w:eastAsia="zh-CN"/>
        </w:rPr>
        <w:t>招标文件</w:t>
      </w:r>
      <w:r>
        <w:rPr>
          <w:rFonts w:hint="eastAsia" w:ascii="宋体" w:hAnsi="宋体" w:eastAsia="宋体" w:cs="宋体"/>
          <w:b/>
          <w:bCs/>
          <w:color w:val="auto"/>
          <w:highlight w:val="none"/>
        </w:rPr>
        <w:t>第二部分</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须知前附表中“</w:t>
      </w:r>
      <w:r>
        <w:rPr>
          <w:rFonts w:hint="eastAsia" w:ascii="宋体" w:hAnsi="宋体" w:eastAsia="宋体" w:cs="宋体"/>
          <w:b/>
          <w:bCs/>
          <w:color w:val="auto"/>
          <w:highlight w:val="none"/>
          <w:lang w:eastAsia="zh-CN"/>
        </w:rPr>
        <w:t>所属行业及标的名称</w:t>
      </w:r>
      <w:r>
        <w:rPr>
          <w:rFonts w:hint="eastAsia" w:ascii="宋体" w:hAnsi="宋体" w:eastAsia="宋体" w:cs="宋体"/>
          <w:b/>
          <w:bCs/>
          <w:color w:val="auto"/>
          <w:highlight w:val="none"/>
        </w:rPr>
        <w:t>”填写，不得缺漏；中型企业、小型企业、微型企业等3种企业类型，结合以上数据，依据《中小企业划型标准规定》（工信部联企业〔2011〕300号）确定；</w:t>
      </w:r>
    </w:p>
    <w:p w14:paraId="5664A4B6">
      <w:pPr>
        <w:pStyle w:val="72"/>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4DD58C58">
      <w:pPr>
        <w:pStyle w:val="72"/>
        <w:tabs>
          <w:tab w:val="left" w:pos="662"/>
          <w:tab w:val="left" w:pos="908"/>
          <w:tab w:val="left" w:pos="2945"/>
        </w:tabs>
        <w:spacing w:line="370" w:lineRule="exact"/>
        <w:ind w:firstLine="44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14:paraId="67E2BCAA">
      <w:pPr>
        <w:pStyle w:val="72"/>
        <w:tabs>
          <w:tab w:val="left" w:pos="662"/>
          <w:tab w:val="left" w:pos="908"/>
          <w:tab w:val="left" w:pos="2945"/>
        </w:tabs>
        <w:spacing w:line="370" w:lineRule="exact"/>
        <w:ind w:firstLine="442" w:firstLineChars="200"/>
        <w:rPr>
          <w:rFonts w:hint="eastAsia" w:ascii="宋体" w:hAnsi="宋体" w:eastAsia="宋体" w:cs="宋体"/>
          <w:b/>
          <w:bCs/>
          <w:color w:val="auto"/>
          <w:kern w:val="0"/>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kern w:val="0"/>
          <w:highlight w:val="none"/>
          <w:lang w:val="en-US" w:eastAsia="zh-CN"/>
        </w:rPr>
        <w:t>供应商</w:t>
      </w:r>
      <w:r>
        <w:rPr>
          <w:rFonts w:hint="eastAsia" w:ascii="宋体" w:hAnsi="宋体" w:eastAsia="宋体" w:cs="宋体"/>
          <w:b/>
          <w:bCs/>
          <w:color w:val="auto"/>
          <w:kern w:val="0"/>
          <w:highlight w:val="none"/>
        </w:rPr>
        <w:t>为联合体形式的，企业名称</w:t>
      </w:r>
      <w:r>
        <w:rPr>
          <w:rFonts w:hint="eastAsia" w:ascii="宋体" w:hAnsi="宋体" w:eastAsia="宋体" w:cs="宋体"/>
          <w:b/>
          <w:bCs/>
          <w:color w:val="auto"/>
          <w:kern w:val="0"/>
          <w:highlight w:val="none"/>
          <w:lang w:eastAsia="zh-CN"/>
        </w:rPr>
        <w:t>填写所有联合体成员名称，</w:t>
      </w:r>
      <w:r>
        <w:rPr>
          <w:rFonts w:hint="eastAsia" w:ascii="宋体" w:hAnsi="宋体" w:eastAsia="宋体" w:cs="宋体"/>
          <w:b/>
          <w:bCs/>
          <w:color w:val="auto"/>
          <w:kern w:val="0"/>
          <w:highlight w:val="none"/>
        </w:rPr>
        <w:t>盖章可只需联合体牵头方盖章。</w:t>
      </w:r>
    </w:p>
    <w:p w14:paraId="67683CB7">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br w:type="page"/>
      </w:r>
    </w:p>
    <w:p w14:paraId="4FB8352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监狱企业资格证明材料</w:t>
      </w:r>
    </w:p>
    <w:p w14:paraId="44A190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（注：符合条件的监狱企业请提供本函，不符合的不提供本函）</w:t>
      </w:r>
    </w:p>
    <w:p w14:paraId="041E9FD0">
      <w:pPr>
        <w:pStyle w:val="12"/>
        <w:spacing w:after="0" w:line="400" w:lineRule="exact"/>
        <w:ind w:left="0" w:leftChars="0" w:right="1470"/>
        <w:jc w:val="center"/>
        <w:rPr>
          <w:rFonts w:hint="eastAsia" w:ascii="宋体" w:hAnsi="宋体" w:eastAsia="宋体" w:cs="宋体"/>
          <w:b/>
          <w:bCs/>
          <w:color w:val="auto"/>
          <w:sz w:val="24"/>
          <w:highlight w:val="none"/>
        </w:rPr>
      </w:pPr>
    </w:p>
    <w:p w14:paraId="05FA5EC9">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（省级以上监狱管理局、戒毒管理局（含新疆生产建设兵团）出具的属于监狱企业的证明文件）</w:t>
      </w:r>
    </w:p>
    <w:p w14:paraId="7591CA27">
      <w:pPr>
        <w:pStyle w:val="12"/>
        <w:spacing w:after="0" w:line="400" w:lineRule="exact"/>
        <w:ind w:left="0" w:leftChars="0" w:right="1470"/>
        <w:rPr>
          <w:rFonts w:hint="eastAsia" w:ascii="宋体" w:hAnsi="宋体" w:eastAsia="宋体" w:cs="宋体"/>
          <w:color w:val="auto"/>
          <w:sz w:val="22"/>
          <w:highlight w:val="none"/>
        </w:rPr>
      </w:pPr>
    </w:p>
    <w:p w14:paraId="410C1B40">
      <w:pPr>
        <w:pStyle w:val="12"/>
        <w:spacing w:after="0" w:line="400" w:lineRule="exact"/>
        <w:ind w:left="0" w:leftChars="0" w:right="1470"/>
        <w:rPr>
          <w:rFonts w:hint="eastAsia" w:ascii="宋体" w:hAnsi="宋体" w:eastAsia="宋体" w:cs="宋体"/>
          <w:color w:val="auto"/>
          <w:sz w:val="22"/>
          <w:highlight w:val="none"/>
        </w:rPr>
      </w:pPr>
    </w:p>
    <w:p w14:paraId="44D24D3B">
      <w:pPr>
        <w:pStyle w:val="12"/>
        <w:spacing w:after="0" w:line="400" w:lineRule="exact"/>
        <w:ind w:left="0" w:leftChars="0" w:right="1470"/>
        <w:rPr>
          <w:rFonts w:hint="eastAsia" w:ascii="宋体" w:hAnsi="宋体" w:eastAsia="宋体" w:cs="宋体"/>
          <w:color w:val="auto"/>
          <w:sz w:val="22"/>
          <w:highlight w:val="none"/>
        </w:rPr>
      </w:pPr>
    </w:p>
    <w:p w14:paraId="69412C7A">
      <w:pPr>
        <w:pStyle w:val="12"/>
        <w:spacing w:after="0" w:line="400" w:lineRule="exact"/>
        <w:ind w:left="0" w:leftChars="0" w:right="1470"/>
        <w:rPr>
          <w:rFonts w:hint="eastAsia" w:ascii="宋体" w:hAnsi="宋体" w:eastAsia="宋体" w:cs="宋体"/>
          <w:color w:val="auto"/>
          <w:sz w:val="22"/>
          <w:highlight w:val="none"/>
        </w:rPr>
      </w:pPr>
    </w:p>
    <w:p w14:paraId="1A562B90">
      <w:pPr>
        <w:pStyle w:val="12"/>
        <w:spacing w:after="0" w:line="400" w:lineRule="exact"/>
        <w:ind w:left="0" w:leftChars="0" w:right="1470"/>
        <w:rPr>
          <w:rFonts w:hint="eastAsia" w:ascii="宋体" w:hAnsi="宋体" w:eastAsia="宋体" w:cs="宋体"/>
          <w:color w:val="auto"/>
          <w:highlight w:val="none"/>
        </w:rPr>
      </w:pPr>
    </w:p>
    <w:p w14:paraId="5DD795C7">
      <w:pPr>
        <w:pStyle w:val="12"/>
        <w:spacing w:after="0" w:line="400" w:lineRule="exact"/>
        <w:ind w:left="0" w:leftChars="0" w:right="1470"/>
        <w:rPr>
          <w:rFonts w:hint="eastAsia" w:ascii="宋体" w:hAnsi="宋体" w:eastAsia="宋体" w:cs="宋体"/>
          <w:color w:val="auto"/>
          <w:highlight w:val="none"/>
        </w:rPr>
      </w:pPr>
    </w:p>
    <w:p w14:paraId="33A35049">
      <w:pPr>
        <w:pStyle w:val="12"/>
        <w:spacing w:after="0" w:line="400" w:lineRule="exact"/>
        <w:ind w:left="0" w:leftChars="0" w:right="1470"/>
        <w:rPr>
          <w:rFonts w:hint="eastAsia" w:ascii="宋体" w:hAnsi="宋体" w:eastAsia="宋体" w:cs="宋体"/>
          <w:color w:val="auto"/>
          <w:highlight w:val="none"/>
        </w:rPr>
      </w:pPr>
    </w:p>
    <w:p w14:paraId="17BF5D21">
      <w:pPr>
        <w:pStyle w:val="12"/>
        <w:spacing w:after="0" w:line="400" w:lineRule="exact"/>
        <w:ind w:left="0" w:leftChars="0" w:right="1470"/>
        <w:rPr>
          <w:rFonts w:hint="eastAsia" w:ascii="宋体" w:hAnsi="宋体" w:eastAsia="宋体" w:cs="宋体"/>
          <w:color w:val="auto"/>
          <w:highlight w:val="none"/>
        </w:rPr>
      </w:pPr>
    </w:p>
    <w:p w14:paraId="5A9B2B24">
      <w:pPr>
        <w:pStyle w:val="12"/>
        <w:spacing w:after="0" w:line="400" w:lineRule="exact"/>
        <w:ind w:left="0" w:leftChars="0" w:right="1470"/>
        <w:rPr>
          <w:rFonts w:hint="eastAsia" w:ascii="宋体" w:hAnsi="宋体" w:eastAsia="宋体" w:cs="宋体"/>
          <w:color w:val="auto"/>
          <w:highlight w:val="none"/>
        </w:rPr>
      </w:pPr>
    </w:p>
    <w:p w14:paraId="74ECB622">
      <w:pPr>
        <w:pStyle w:val="12"/>
        <w:spacing w:after="0" w:line="400" w:lineRule="exact"/>
        <w:ind w:left="0" w:leftChars="0" w:right="1470"/>
        <w:rPr>
          <w:rFonts w:hint="eastAsia" w:ascii="宋体" w:hAnsi="宋体" w:eastAsia="宋体" w:cs="宋体"/>
          <w:color w:val="auto"/>
          <w:highlight w:val="none"/>
        </w:rPr>
      </w:pPr>
    </w:p>
    <w:p w14:paraId="7DACAD52">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565C7A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（注：符合条件的残疾人福利性单位请提供本函，不符合的不提供本函）</w:t>
      </w:r>
    </w:p>
    <w:p w14:paraId="2B439127">
      <w:pPr>
        <w:spacing w:line="400" w:lineRule="exact"/>
        <w:rPr>
          <w:rFonts w:hint="eastAsia" w:ascii="宋体" w:hAnsi="宋体" w:eastAsia="宋体" w:cs="宋体"/>
          <w:b/>
          <w:color w:val="auto"/>
          <w:spacing w:val="6"/>
          <w:sz w:val="30"/>
          <w:szCs w:val="30"/>
          <w:highlight w:val="none"/>
        </w:rPr>
      </w:pPr>
    </w:p>
    <w:p w14:paraId="30F05ACE">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8633EE">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35824309">
      <w:pPr>
        <w:spacing w:line="400" w:lineRule="exact"/>
        <w:ind w:firstLine="504" w:firstLineChars="200"/>
        <w:rPr>
          <w:rFonts w:hint="eastAsia" w:ascii="宋体" w:hAnsi="宋体" w:eastAsia="宋体" w:cs="宋体"/>
          <w:color w:val="auto"/>
          <w:spacing w:val="6"/>
          <w:sz w:val="24"/>
          <w:szCs w:val="24"/>
          <w:highlight w:val="none"/>
        </w:rPr>
      </w:pPr>
    </w:p>
    <w:p w14:paraId="3DB405E9">
      <w:pPr>
        <w:tabs>
          <w:tab w:val="left" w:pos="4860"/>
        </w:tabs>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单位名称（电子签章或公章）：</w:t>
      </w:r>
    </w:p>
    <w:p w14:paraId="4201BAA6">
      <w:pPr>
        <w:tabs>
          <w:tab w:val="left" w:pos="4860"/>
        </w:tabs>
        <w:spacing w:line="400" w:lineRule="exact"/>
        <w:ind w:firstLine="504"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w:t>
      </w:r>
    </w:p>
    <w:p w14:paraId="4E3302EA">
      <w:pPr>
        <w:spacing w:line="400" w:lineRule="exact"/>
        <w:rPr>
          <w:rFonts w:hint="eastAsia" w:ascii="宋体" w:hAnsi="宋体" w:eastAsia="宋体" w:cs="宋体"/>
          <w:b/>
          <w:color w:val="auto"/>
          <w:sz w:val="24"/>
          <w:szCs w:val="24"/>
          <w:highlight w:val="none"/>
        </w:rPr>
      </w:pPr>
    </w:p>
    <w:p w14:paraId="6975E171">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2FFB49D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C4E546C">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二、资格文件部分封面格式</w:t>
      </w:r>
    </w:p>
    <w:p w14:paraId="2942CBD5">
      <w:pPr>
        <w:snapToGrid w:val="0"/>
        <w:spacing w:before="120" w:beforeLines="50" w:after="50"/>
        <w:jc w:val="center"/>
        <w:rPr>
          <w:rFonts w:hint="eastAsia" w:ascii="宋体" w:hAnsi="宋体" w:eastAsia="宋体" w:cs="宋体"/>
          <w:b/>
          <w:bCs/>
          <w:color w:val="auto"/>
          <w:sz w:val="24"/>
          <w:highlight w:val="none"/>
        </w:rPr>
      </w:pPr>
    </w:p>
    <w:p w14:paraId="0541A1EB">
      <w:pPr>
        <w:snapToGrid w:val="0"/>
        <w:spacing w:line="400" w:lineRule="exact"/>
        <w:rPr>
          <w:rFonts w:hint="eastAsia" w:ascii="宋体" w:hAnsi="宋体" w:eastAsia="宋体" w:cs="宋体"/>
          <w:b/>
          <w:bCs/>
          <w:color w:val="auto"/>
          <w:sz w:val="24"/>
          <w:szCs w:val="20"/>
          <w:highlight w:val="none"/>
        </w:rPr>
      </w:pPr>
    </w:p>
    <w:p w14:paraId="7965D1E5">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2"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D82BAA">
                            <w:pPr>
                              <w:snapToGrid w:val="0"/>
                              <w:spacing w:before="120" w:beforeLines="50" w:after="50"/>
                              <w:jc w:val="right"/>
                              <w:rPr>
                                <w:rFonts w:ascii="宋体" w:hAnsi="宋体"/>
                                <w:b/>
                                <w:bCs/>
                                <w:sz w:val="32"/>
                                <w:szCs w:val="20"/>
                              </w:rPr>
                            </w:pPr>
                          </w:p>
                          <w:p w14:paraId="62D8B300">
                            <w:pPr>
                              <w:snapToGrid w:val="0"/>
                              <w:spacing w:before="120" w:beforeLines="50" w:after="50"/>
                              <w:ind w:left="-850" w:leftChars="-405"/>
                              <w:rPr>
                                <w:rFonts w:ascii="宋体" w:hAnsi="宋体"/>
                                <w:sz w:val="24"/>
                                <w:szCs w:val="20"/>
                              </w:rPr>
                            </w:pPr>
                          </w:p>
                          <w:p w14:paraId="4871A78C">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52BEDAF7">
                            <w:pPr>
                              <w:snapToGrid w:val="0"/>
                              <w:spacing w:before="120" w:beforeLines="50" w:after="50"/>
                              <w:rPr>
                                <w:rFonts w:ascii="宋体" w:hAnsi="宋体"/>
                                <w:bCs/>
                                <w:sz w:val="24"/>
                                <w:szCs w:val="20"/>
                              </w:rPr>
                            </w:pPr>
                          </w:p>
                          <w:p w14:paraId="15E84833">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FDA075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AC450A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4EE3F3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BFB0D3E">
                            <w:pPr>
                              <w:snapToGrid w:val="0"/>
                              <w:spacing w:before="120" w:beforeLines="50" w:after="50"/>
                              <w:ind w:firstLine="1068" w:firstLineChars="445"/>
                              <w:rPr>
                                <w:rFonts w:ascii="宋体" w:hAnsi="宋体"/>
                                <w:bCs/>
                                <w:sz w:val="24"/>
                              </w:rPr>
                            </w:pPr>
                          </w:p>
                          <w:p w14:paraId="589EFCA6">
                            <w:pPr>
                              <w:snapToGrid w:val="0"/>
                              <w:spacing w:before="120" w:beforeLines="50" w:after="50"/>
                              <w:ind w:firstLine="4080" w:firstLineChars="1700"/>
                              <w:rPr>
                                <w:rFonts w:ascii="宋体" w:hAnsi="宋体"/>
                                <w:sz w:val="24"/>
                                <w:szCs w:val="20"/>
                              </w:rPr>
                            </w:pPr>
                          </w:p>
                          <w:p w14:paraId="374229A0">
                            <w:pPr>
                              <w:jc w:val="center"/>
                            </w:pPr>
                            <w:r>
                              <w:rPr>
                                <w:rFonts w:hint="eastAsia"/>
                                <w:sz w:val="24"/>
                              </w:rPr>
                              <w:t>年  月  日</w:t>
                            </w:r>
                          </w:p>
                        </w:txbxContent>
                      </wps:txbx>
                      <wps:bodyPr wrap="square" anchor="t" anchorCtr="0"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osQ32QAAAAkBAAAP&#10;AAAAAAAAAAEAIAAAACIAAABkcnMvZG93bnJldi54bWxQSwECFAAUAAAACACHTuJAluvhORcCAABf&#10;BAAADgAAAAAAAAABACAAAAAoAQAAZHJzL2Uyb0RvYy54bWxQSwUGAAAAAAYABgBZAQAAsQUAAAAA&#10;">
                <v:fill on="t" focussize="0,0"/>
                <v:stroke color="#000000" joinstyle="miter"/>
                <v:imagedata o:title=""/>
                <o:lock v:ext="edit" aspectratio="f"/>
                <v:textbox>
                  <w:txbxContent>
                    <w:p w14:paraId="64D82BAA">
                      <w:pPr>
                        <w:snapToGrid w:val="0"/>
                        <w:spacing w:before="120" w:beforeLines="50" w:after="50"/>
                        <w:jc w:val="right"/>
                        <w:rPr>
                          <w:rFonts w:ascii="宋体" w:hAnsi="宋体"/>
                          <w:b/>
                          <w:bCs/>
                          <w:sz w:val="32"/>
                          <w:szCs w:val="20"/>
                        </w:rPr>
                      </w:pPr>
                    </w:p>
                    <w:p w14:paraId="62D8B300">
                      <w:pPr>
                        <w:snapToGrid w:val="0"/>
                        <w:spacing w:before="120" w:beforeLines="50" w:after="50"/>
                        <w:ind w:left="-850" w:leftChars="-405"/>
                        <w:rPr>
                          <w:rFonts w:ascii="宋体" w:hAnsi="宋体"/>
                          <w:sz w:val="24"/>
                          <w:szCs w:val="20"/>
                        </w:rPr>
                      </w:pPr>
                    </w:p>
                    <w:p w14:paraId="4871A78C">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52BEDAF7">
                      <w:pPr>
                        <w:snapToGrid w:val="0"/>
                        <w:spacing w:before="120" w:beforeLines="50" w:after="50"/>
                        <w:rPr>
                          <w:rFonts w:ascii="宋体" w:hAnsi="宋体"/>
                          <w:bCs/>
                          <w:sz w:val="24"/>
                          <w:szCs w:val="20"/>
                        </w:rPr>
                      </w:pPr>
                    </w:p>
                    <w:p w14:paraId="15E84833">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FDA075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AC450A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4EE3F3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BFB0D3E">
                      <w:pPr>
                        <w:snapToGrid w:val="0"/>
                        <w:spacing w:before="120" w:beforeLines="50" w:after="50"/>
                        <w:ind w:firstLine="1068" w:firstLineChars="445"/>
                        <w:rPr>
                          <w:rFonts w:ascii="宋体" w:hAnsi="宋体"/>
                          <w:bCs/>
                          <w:sz w:val="24"/>
                        </w:rPr>
                      </w:pPr>
                    </w:p>
                    <w:p w14:paraId="589EFCA6">
                      <w:pPr>
                        <w:snapToGrid w:val="0"/>
                        <w:spacing w:before="120" w:beforeLines="50" w:after="50"/>
                        <w:ind w:firstLine="4080" w:firstLineChars="1700"/>
                        <w:rPr>
                          <w:rFonts w:ascii="宋体" w:hAnsi="宋体"/>
                          <w:sz w:val="24"/>
                          <w:szCs w:val="20"/>
                        </w:rPr>
                      </w:pPr>
                    </w:p>
                    <w:p w14:paraId="374229A0">
                      <w:pPr>
                        <w:jc w:val="center"/>
                      </w:pPr>
                      <w:r>
                        <w:rPr>
                          <w:rFonts w:hint="eastAsia"/>
                          <w:sz w:val="24"/>
                        </w:rPr>
                        <w:t>年  月  日</w:t>
                      </w:r>
                    </w:p>
                  </w:txbxContent>
                </v:textbox>
                <w10:wrap type="topAndBottom"/>
              </v:shape>
            </w:pict>
          </mc:Fallback>
        </mc:AlternateContent>
      </w:r>
    </w:p>
    <w:p w14:paraId="6D5B81F8">
      <w:pPr>
        <w:snapToGrid w:val="0"/>
        <w:spacing w:before="120" w:beforeLines="50" w:after="50"/>
        <w:jc w:val="center"/>
        <w:rPr>
          <w:rFonts w:hint="eastAsia" w:ascii="宋体" w:hAnsi="宋体" w:eastAsia="宋体" w:cs="宋体"/>
          <w:b/>
          <w:bCs/>
          <w:color w:val="auto"/>
          <w:sz w:val="24"/>
          <w:highlight w:val="none"/>
        </w:rPr>
      </w:pPr>
    </w:p>
    <w:p w14:paraId="04E1527A">
      <w:pPr>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br w:type="page"/>
      </w:r>
    </w:p>
    <w:p w14:paraId="53EBFB4B">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附件4</w:t>
      </w:r>
    </w:p>
    <w:p w14:paraId="71879E90">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 xml:space="preserve"> 资格文件</w:t>
      </w:r>
    </w:p>
    <w:p w14:paraId="476A6F62">
      <w:pPr>
        <w:pStyle w:val="12"/>
        <w:spacing w:after="0" w:line="400" w:lineRule="exact"/>
        <w:ind w:left="0" w:leftChars="0" w:right="1470"/>
        <w:rPr>
          <w:rFonts w:hint="eastAsia" w:ascii="宋体" w:hAnsi="宋体" w:eastAsia="宋体" w:cs="宋体"/>
          <w:color w:val="auto"/>
          <w:highlight w:val="none"/>
        </w:rPr>
      </w:pPr>
    </w:p>
    <w:p w14:paraId="2BB0408E">
      <w:pPr>
        <w:snapToGrid w:val="0"/>
        <w:spacing w:line="400" w:lineRule="exact"/>
        <w:jc w:val="center"/>
        <w:rPr>
          <w:rFonts w:hint="eastAsia" w:ascii="宋体" w:hAnsi="宋体" w:eastAsia="宋体" w:cs="宋体"/>
          <w:b/>
          <w:color w:val="auto"/>
          <w:spacing w:val="-6"/>
          <w:sz w:val="24"/>
          <w:szCs w:val="24"/>
          <w:highlight w:val="none"/>
        </w:rPr>
      </w:pPr>
    </w:p>
    <w:p w14:paraId="4127AA12">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附件4-1</w:t>
      </w:r>
    </w:p>
    <w:p w14:paraId="36AEF853">
      <w:pPr>
        <w:spacing w:line="360" w:lineRule="auto"/>
        <w:jc w:val="center"/>
        <w:rPr>
          <w:rFonts w:hint="eastAsia" w:ascii="宋体" w:hAnsi="宋体" w:eastAsia="宋体" w:cs="宋体"/>
          <w:b/>
          <w:color w:val="auto"/>
          <w:sz w:val="22"/>
          <w:highlight w:val="none"/>
        </w:rPr>
      </w:pPr>
    </w:p>
    <w:p w14:paraId="778F9734">
      <w:pPr>
        <w:spacing w:line="36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有效的法人或者其他组织的营业执照等证明文件，自然人的身份证明（五选一）</w:t>
      </w:r>
    </w:p>
    <w:p w14:paraId="00B78AF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2"/>
          <w:highlight w:val="none"/>
          <w:u w:val="single"/>
        </w:rPr>
        <w:t>（如为联合体投标，则联合体各方均须提供）</w:t>
      </w:r>
    </w:p>
    <w:p w14:paraId="64E6CD68">
      <w:pPr>
        <w:spacing w:line="360" w:lineRule="auto"/>
        <w:rPr>
          <w:rFonts w:hint="eastAsia" w:ascii="宋体" w:hAnsi="宋体" w:eastAsia="宋体" w:cs="宋体"/>
          <w:b/>
          <w:color w:val="auto"/>
          <w:sz w:val="22"/>
          <w:highlight w:val="none"/>
        </w:rPr>
      </w:pPr>
    </w:p>
    <w:p w14:paraId="72F9B24D">
      <w:pPr>
        <w:spacing w:line="360" w:lineRule="auto"/>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说明：</w:t>
      </w:r>
    </w:p>
    <w:p w14:paraId="55CC1FEB">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1.如投标人是企业（包括合伙企业），提供有效“企业法人营业执照”或“营业执照”；</w:t>
      </w:r>
    </w:p>
    <w:p w14:paraId="1A865498">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2.如投标人是事业单位，提供有效的“事业单位法人证书”；</w:t>
      </w:r>
    </w:p>
    <w:p w14:paraId="103F57DF">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3.如投标人是非企业专业服务机构的，提供执业许可证等证明文件；</w:t>
      </w:r>
    </w:p>
    <w:p w14:paraId="05C18B36">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4.如投标人是个体工商户，提供有效的“个体工商户营业执照”；</w:t>
      </w:r>
    </w:p>
    <w:p w14:paraId="737850BE">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5.如投标人是自然人，提供有效的自然人身份证明（居民身份证正反面或公安机关出具的临时居民身份证正反面或港澳台胞证或证照）。</w:t>
      </w:r>
    </w:p>
    <w:p w14:paraId="14EFB188">
      <w:pP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br w:type="page"/>
      </w:r>
    </w:p>
    <w:p w14:paraId="1FEC18D9">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附件4-2</w:t>
      </w:r>
    </w:p>
    <w:p w14:paraId="438BF55D">
      <w:pPr>
        <w:pStyle w:val="30"/>
        <w:ind w:firstLine="321"/>
        <w:rPr>
          <w:rFonts w:hint="eastAsia" w:ascii="宋体" w:hAnsi="宋体" w:eastAsia="宋体" w:cs="宋体"/>
          <w:color w:val="auto"/>
          <w:highlight w:val="none"/>
        </w:rPr>
      </w:pPr>
    </w:p>
    <w:p w14:paraId="008DFA4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关于符合《中华人民共和国政府采购法》第二十二条规定的承诺函</w:t>
      </w:r>
    </w:p>
    <w:p w14:paraId="5003B1C6">
      <w:pPr>
        <w:spacing w:line="360" w:lineRule="auto"/>
        <w:jc w:val="center"/>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（如为联合体投标，则联合体各方均须提供，并各自加盖电子签章或公章）</w:t>
      </w:r>
    </w:p>
    <w:p w14:paraId="0D9059FE">
      <w:pPr>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致：</w:t>
      </w:r>
      <w:r>
        <w:rPr>
          <w:rFonts w:hint="eastAsia" w:ascii="宋体" w:hAnsi="宋体" w:eastAsia="宋体" w:cs="宋体"/>
          <w:color w:val="auto"/>
          <w:sz w:val="22"/>
          <w:highlight w:val="none"/>
        </w:rPr>
        <w:t>文成县卫生健康局、浙江乐诚工程咨询有限公司</w:t>
      </w:r>
      <w:r>
        <w:rPr>
          <w:rFonts w:hint="eastAsia" w:ascii="宋体" w:hAnsi="宋体" w:eastAsia="宋体" w:cs="宋体"/>
          <w:color w:val="auto"/>
          <w:spacing w:val="-6"/>
          <w:sz w:val="22"/>
          <w:highlight w:val="none"/>
        </w:rPr>
        <w:t>：</w:t>
      </w:r>
    </w:p>
    <w:p w14:paraId="721F7F5D">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1、我方符合《中华人民共和国政府采购法》第22条规定的资格条件：</w:t>
      </w:r>
    </w:p>
    <w:p w14:paraId="40BE50C6">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具有独立承担民事责任的能力；</w:t>
      </w:r>
    </w:p>
    <w:p w14:paraId="1E456CAC">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具有良好的商业信誉和健全的财务会计制度；</w:t>
      </w:r>
    </w:p>
    <w:p w14:paraId="2B95C2F1">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（3）</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具有履行合同所必需的设备和专业技术能力；</w:t>
      </w:r>
    </w:p>
    <w:p w14:paraId="50BB0451">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（4）</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有依法缴纳税收和社会保障资金的良好记录；</w:t>
      </w:r>
    </w:p>
    <w:p w14:paraId="157619DD">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3B37CEF">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（6）我方具有法律、行政法规规定的其他条件。</w:t>
      </w:r>
    </w:p>
    <w:p w14:paraId="349D9B7F">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未被“信用中国”（www.creditchina.gov.cn）、中国政府采购网（www.ccgp.gov.cn）列入失信被执行人、重大税收违法案件当事人名单、政府采购严重违法失信行为记录名单：以采购代理机构在开标当日查询记录为准。</w:t>
      </w:r>
    </w:p>
    <w:p w14:paraId="4BA56D56">
      <w:pPr>
        <w:adjustRightInd w:val="0"/>
        <w:snapToGrid w:val="0"/>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3、不存在以下情况：</w:t>
      </w:r>
    </w:p>
    <w:p w14:paraId="2D63711C">
      <w:pPr>
        <w:adjustRightInd w:val="0"/>
        <w:snapToGrid w:val="0"/>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（1）单位负责人为同一人或者存在直接控股、管理关系的不同供应商参加同一合同项下的政府采购活动的；</w:t>
      </w:r>
    </w:p>
    <w:p w14:paraId="43ED8EC2">
      <w:pPr>
        <w:adjustRightInd w:val="0"/>
        <w:snapToGrid w:val="0"/>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（2）为采购项目提供整体设计、规范编制或者项目管理、监理、检测等服务后再参加该采购项目的其他采购活动的。</w:t>
      </w:r>
    </w:p>
    <w:p w14:paraId="76E4D2C3">
      <w:pPr>
        <w:pStyle w:val="27"/>
        <w:spacing w:before="0" w:beforeAutospacing="0" w:after="0" w:afterAutospacing="0" w:line="360" w:lineRule="exact"/>
        <w:ind w:firstLine="442" w:firstLineChars="200"/>
        <w:rPr>
          <w:rStyle w:val="82"/>
          <w:rFonts w:hint="eastAsia" w:ascii="宋体" w:hAnsi="宋体" w:eastAsia="宋体" w:cs="宋体"/>
          <w:color w:val="auto"/>
          <w:sz w:val="22"/>
          <w:highlight w:val="none"/>
        </w:rPr>
      </w:pPr>
      <w:r>
        <w:rPr>
          <w:rStyle w:val="82"/>
          <w:rFonts w:hint="eastAsia" w:ascii="宋体" w:hAnsi="宋体" w:eastAsia="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82"/>
          <w:rFonts w:hint="eastAsia" w:ascii="宋体" w:hAnsi="宋体" w:eastAsia="宋体" w:cs="宋体"/>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中华人民共和国政府采购法实施条例》第十九条第一款规定的“</w:t>
      </w:r>
      <w:r>
        <w:rPr>
          <w:rFonts w:hint="eastAsia" w:ascii="宋体" w:hAnsi="宋体" w:eastAsia="宋体" w:cs="宋体"/>
          <w:color w:val="auto"/>
          <w:kern w:val="2"/>
          <w:sz w:val="22"/>
          <w:highlight w:val="none"/>
        </w:rPr>
        <w:t>较大数额罚款</w:t>
      </w:r>
      <w:r>
        <w:rPr>
          <w:rStyle w:val="82"/>
          <w:rFonts w:hint="eastAsia" w:ascii="宋体" w:hAnsi="宋体" w:eastAsia="宋体" w:cs="宋体"/>
          <w:color w:val="auto"/>
          <w:sz w:val="22"/>
          <w:highlight w:val="none"/>
        </w:rPr>
        <w:t>”认定为200万元以上的罚款，法律、行政法规以及国务院有关部门明确规定相关领域“</w:t>
      </w:r>
      <w:r>
        <w:rPr>
          <w:rFonts w:hint="eastAsia" w:ascii="宋体" w:hAnsi="宋体" w:eastAsia="宋体" w:cs="宋体"/>
          <w:color w:val="auto"/>
          <w:kern w:val="2"/>
          <w:sz w:val="22"/>
          <w:highlight w:val="none"/>
        </w:rPr>
        <w:t>较大数额罚款</w:t>
      </w:r>
      <w:r>
        <w:rPr>
          <w:rStyle w:val="82"/>
          <w:rFonts w:hint="eastAsia" w:ascii="宋体" w:hAnsi="宋体" w:eastAsia="宋体" w:cs="宋体"/>
          <w:color w:val="auto"/>
          <w:sz w:val="22"/>
          <w:highlight w:val="none"/>
        </w:rPr>
        <w:t>”标准高于200万元的，从其规定。</w:t>
      </w:r>
    </w:p>
    <w:p w14:paraId="232080A2">
      <w:pPr>
        <w:pStyle w:val="27"/>
        <w:spacing w:before="0" w:beforeAutospacing="0" w:after="0" w:afterAutospacing="0" w:line="360" w:lineRule="exact"/>
        <w:ind w:firstLine="440" w:firstLineChars="200"/>
        <w:rPr>
          <w:rStyle w:val="82"/>
          <w:rFonts w:hint="eastAsia" w:ascii="宋体" w:hAnsi="宋体" w:eastAsia="宋体" w:cs="宋体"/>
          <w:color w:val="auto"/>
          <w:sz w:val="22"/>
          <w:highlight w:val="none"/>
        </w:rPr>
      </w:pPr>
      <w:r>
        <w:rPr>
          <w:rStyle w:val="82"/>
          <w:rFonts w:hint="eastAsia" w:ascii="宋体" w:hAnsi="宋体" w:eastAsia="宋体" w:cs="宋体"/>
          <w:color w:val="auto"/>
          <w:sz w:val="22"/>
          <w:highlight w:val="none"/>
        </w:rPr>
        <w:t>我单位已知晓前述法律规定，对此无任何异议。</w:t>
      </w:r>
    </w:p>
    <w:p w14:paraId="38CACF9B">
      <w:pPr>
        <w:spacing w:line="360" w:lineRule="exac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w:t>
      </w:r>
      <w:r>
        <w:rPr>
          <w:rStyle w:val="82"/>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u w:val="single"/>
        </w:rPr>
        <w:t>本承诺函必须提供。</w:t>
      </w:r>
    </w:p>
    <w:p w14:paraId="0EEF70E6">
      <w:pPr>
        <w:spacing w:line="360" w:lineRule="auto"/>
        <w:ind w:left="4620" w:leftChars="2200"/>
        <w:rPr>
          <w:rFonts w:hint="eastAsia" w:ascii="宋体" w:hAnsi="宋体" w:eastAsia="宋体" w:cs="宋体"/>
          <w:color w:val="auto"/>
          <w:szCs w:val="21"/>
          <w:highlight w:val="none"/>
        </w:rPr>
      </w:pPr>
    </w:p>
    <w:p w14:paraId="63B3EC3A">
      <w:pPr>
        <w:widowControl/>
        <w:spacing w:line="360" w:lineRule="auto"/>
        <w:jc w:val="lef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65306FC0">
      <w:pPr>
        <w:widowControl/>
        <w:spacing w:line="360" w:lineRule="auto"/>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6C40ECDD">
      <w:pPr>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72B84058">
      <w:pPr>
        <w:spacing w:line="360" w:lineRule="exact"/>
        <w:jc w:val="left"/>
        <w:rPr>
          <w:rFonts w:hint="eastAsia" w:ascii="宋体" w:hAnsi="宋体" w:eastAsia="宋体" w:cs="宋体"/>
          <w:b/>
          <w:color w:val="auto"/>
          <w:sz w:val="24"/>
          <w:szCs w:val="24"/>
          <w:highlight w:val="none"/>
        </w:rPr>
      </w:pPr>
    </w:p>
    <w:p w14:paraId="066BD924">
      <w:pPr>
        <w:spacing w:line="400" w:lineRule="exact"/>
        <w:rPr>
          <w:rFonts w:hint="eastAsia" w:ascii="宋体" w:hAnsi="宋体" w:eastAsia="宋体" w:cs="宋体"/>
          <w:b/>
          <w:color w:val="auto"/>
          <w:sz w:val="24"/>
          <w:szCs w:val="24"/>
          <w:highlight w:val="none"/>
        </w:rPr>
      </w:pPr>
    </w:p>
    <w:p w14:paraId="5990911A">
      <w:pPr>
        <w:spacing w:line="400" w:lineRule="exact"/>
        <w:rPr>
          <w:rFonts w:hint="eastAsia" w:ascii="宋体" w:hAnsi="宋体" w:eastAsia="宋体" w:cs="宋体"/>
          <w:b/>
          <w:color w:val="auto"/>
          <w:sz w:val="24"/>
          <w:szCs w:val="24"/>
          <w:highlight w:val="none"/>
        </w:rPr>
      </w:pPr>
    </w:p>
    <w:p w14:paraId="62F19CEA">
      <w:pPr>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4"/>
          <w:szCs w:val="24"/>
          <w:highlight w:val="none"/>
        </w:rPr>
        <w:t>附件4-3</w:t>
      </w:r>
    </w:p>
    <w:p w14:paraId="472A7196">
      <w:pPr>
        <w:numPr>
          <w:ilvl w:val="1"/>
          <w:numId w:val="0"/>
        </w:num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联合体投标协议书</w:t>
      </w:r>
    </w:p>
    <w:p w14:paraId="0570F970">
      <w:pPr>
        <w:widowControl/>
        <w:snapToGrid w:val="0"/>
        <w:spacing w:line="360" w:lineRule="auto"/>
        <w:jc w:val="center"/>
        <w:rPr>
          <w:rFonts w:hint="eastAsia" w:ascii="宋体" w:hAnsi="宋体" w:eastAsia="宋体" w:cs="宋体"/>
          <w:color w:val="auto"/>
          <w:sz w:val="22"/>
          <w:highlight w:val="none"/>
        </w:rPr>
      </w:pPr>
      <w:r>
        <w:rPr>
          <w:rFonts w:hint="eastAsia" w:ascii="宋体" w:hAnsi="宋体" w:eastAsia="宋体" w:cs="宋体"/>
          <w:b/>
          <w:color w:val="auto"/>
          <w:sz w:val="22"/>
          <w:highlight w:val="none"/>
        </w:rPr>
        <w:t>（以联合体形式投标的提供联合投标协议，项目不接受联合体投标或投标人不以联合体形式投标的则不需要提供）</w:t>
      </w:r>
    </w:p>
    <w:p w14:paraId="1997C5F5">
      <w:pPr>
        <w:snapToGrid w:val="0"/>
        <w:spacing w:line="360" w:lineRule="exact"/>
        <w:ind w:firstLine="442" w:firstLineChars="201"/>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_______</w:t>
      </w:r>
      <w:r>
        <w:rPr>
          <w:rFonts w:hint="eastAsia" w:ascii="宋体" w:hAnsi="宋体" w:eastAsia="宋体" w:cs="宋体"/>
          <w:color w:val="auto"/>
          <w:kern w:val="0"/>
          <w:sz w:val="22"/>
          <w:highlight w:val="none"/>
          <w:u w:val="single"/>
        </w:rPr>
        <w:t>（联合体所有成员名称）</w:t>
      </w:r>
      <w:r>
        <w:rPr>
          <w:rFonts w:hint="eastAsia" w:ascii="宋体" w:hAnsi="宋体" w:eastAsia="宋体" w:cs="宋体"/>
          <w:color w:val="auto"/>
          <w:kern w:val="0"/>
          <w:sz w:val="22"/>
          <w:highlight w:val="none"/>
        </w:rPr>
        <w:t>自愿</w:t>
      </w:r>
      <w:r>
        <w:rPr>
          <w:rFonts w:hint="eastAsia" w:ascii="宋体" w:hAnsi="宋体" w:eastAsia="宋体" w:cs="宋体"/>
          <w:color w:val="auto"/>
          <w:kern w:val="0"/>
          <w:sz w:val="22"/>
          <w:highlight w:val="none"/>
          <w:lang w:val="zh-CN"/>
        </w:rPr>
        <w:t>组成一个联合体，以一个投标人的身份</w:t>
      </w:r>
      <w:r>
        <w:rPr>
          <w:rFonts w:hint="eastAsia" w:ascii="宋体" w:hAnsi="宋体" w:eastAsia="宋体" w:cs="宋体"/>
          <w:color w:val="auto"/>
          <w:kern w:val="0"/>
          <w:sz w:val="22"/>
          <w:highlight w:val="none"/>
        </w:rPr>
        <w:t>参加_______</w:t>
      </w:r>
      <w:r>
        <w:rPr>
          <w:rFonts w:hint="eastAsia" w:ascii="宋体" w:hAnsi="宋体" w:eastAsia="宋体" w:cs="宋体"/>
          <w:color w:val="auto"/>
          <w:sz w:val="22"/>
          <w:highlight w:val="none"/>
        </w:rPr>
        <w:t>（项目名称）</w:t>
      </w:r>
      <w:r>
        <w:rPr>
          <w:rFonts w:hint="eastAsia" w:ascii="宋体" w:hAnsi="宋体" w:eastAsia="宋体" w:cs="宋体"/>
          <w:color w:val="auto"/>
          <w:kern w:val="0"/>
          <w:sz w:val="22"/>
          <w:highlight w:val="none"/>
        </w:rPr>
        <w:t>_______</w:t>
      </w:r>
      <w:r>
        <w:rPr>
          <w:rFonts w:hint="eastAsia" w:ascii="宋体" w:hAnsi="宋体" w:eastAsia="宋体" w:cs="宋体"/>
          <w:color w:val="auto"/>
          <w:sz w:val="22"/>
          <w:highlight w:val="none"/>
        </w:rPr>
        <w:t>（项目编号）</w:t>
      </w:r>
      <w:r>
        <w:rPr>
          <w:rFonts w:hint="eastAsia" w:ascii="宋体" w:hAnsi="宋体" w:eastAsia="宋体" w:cs="宋体"/>
          <w:bCs/>
          <w:color w:val="auto"/>
          <w:kern w:val="0"/>
          <w:sz w:val="22"/>
          <w:highlight w:val="none"/>
        </w:rPr>
        <w:t>的政府采购活动</w:t>
      </w:r>
      <w:r>
        <w:rPr>
          <w:rFonts w:hint="eastAsia" w:ascii="宋体" w:hAnsi="宋体" w:eastAsia="宋体" w:cs="宋体"/>
          <w:color w:val="auto"/>
          <w:kern w:val="0"/>
          <w:sz w:val="22"/>
          <w:highlight w:val="none"/>
          <w:lang w:val="zh-CN"/>
        </w:rPr>
        <w:t>。</w:t>
      </w:r>
    </w:p>
    <w:p w14:paraId="12F9A5C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现就有关联合投标事宜订立协议如下： </w:t>
      </w:r>
    </w:p>
    <w:p w14:paraId="352A2DC6">
      <w:pPr>
        <w:widowControl/>
        <w:numPr>
          <w:ilvl w:val="0"/>
          <w:numId w:val="5"/>
        </w:numPr>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（牵头人全称）              </w:t>
      </w:r>
      <w:r>
        <w:rPr>
          <w:rFonts w:hint="eastAsia" w:ascii="宋体" w:hAnsi="宋体" w:eastAsia="宋体" w:cs="宋体"/>
          <w:color w:val="auto"/>
          <w:kern w:val="0"/>
          <w:sz w:val="22"/>
          <w:highlight w:val="none"/>
        </w:rPr>
        <w:t>为联合体的牵头人，</w:t>
      </w:r>
    </w:p>
    <w:p w14:paraId="6FF74163">
      <w:pPr>
        <w:widowControl/>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（联合体其他成员全称）         </w:t>
      </w:r>
      <w:r>
        <w:rPr>
          <w:rFonts w:hint="eastAsia" w:ascii="宋体" w:hAnsi="宋体" w:eastAsia="宋体" w:cs="宋体"/>
          <w:color w:val="auto"/>
          <w:kern w:val="0"/>
          <w:sz w:val="22"/>
          <w:highlight w:val="none"/>
        </w:rPr>
        <w:t xml:space="preserve">为联合体的成员方； </w:t>
      </w:r>
    </w:p>
    <w:p w14:paraId="1E9985FE">
      <w:pPr>
        <w:pStyle w:val="10"/>
        <w:spacing w:line="360" w:lineRule="exact"/>
        <w:ind w:left="440" w:hanging="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p w14:paraId="0C1C3136">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2、联合体内部有关事项规定如下： </w:t>
      </w:r>
    </w:p>
    <w:p w14:paraId="213A8385">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（1）由牵头人代表本联合体与采购人联系，负责协调工作。 </w:t>
      </w:r>
    </w:p>
    <w:p w14:paraId="056FCDDD">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39B30B0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4730AA86">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（4）如中标，联合体内部将遵守以下规定： </w:t>
      </w:r>
    </w:p>
    <w:p w14:paraId="0A7B366E">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a．联合体牵头人和成员共同与采购人签订采购合同，并就中标项目向采购人负责有连带的和各自的法律责任； </w:t>
      </w:r>
    </w:p>
    <w:p w14:paraId="7F0D7D76">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414087E0">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c．联合体各方承担的工作和义务详细安排如下： </w:t>
      </w:r>
    </w:p>
    <w:p w14:paraId="199E1459">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6ED7F5AD">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0E2B452A">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30B19F7F">
      <w:pPr>
        <w:widowControl/>
        <w:spacing w:line="400" w:lineRule="exact"/>
        <w:jc w:val="left"/>
        <w:rPr>
          <w:rFonts w:hint="eastAsia" w:ascii="宋体" w:hAnsi="宋体" w:eastAsia="宋体" w:cs="宋体"/>
          <w:bCs/>
          <w:color w:val="auto"/>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66B56621">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（5）投标工作和联合体在中标后项目实施过程中的有关合同占比按各自承担的工作量分摊，具体说明如下： </w:t>
      </w:r>
    </w:p>
    <w:p w14:paraId="5621B8FD">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____________________________________________________________________________________  </w:t>
      </w:r>
    </w:p>
    <w:p w14:paraId="5FB16950">
      <w:pPr>
        <w:widowControl/>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____________________________________________________________________________________</w:t>
      </w:r>
      <w:r>
        <w:rPr>
          <w:rFonts w:hint="eastAsia" w:ascii="宋体" w:hAnsi="宋体" w:eastAsia="宋体" w:cs="宋体"/>
          <w:color w:val="auto"/>
          <w:kern w:val="0"/>
          <w:sz w:val="22"/>
          <w:highlight w:val="none"/>
          <w:u w:val="single"/>
        </w:rPr>
        <w:t xml:space="preserve">（牵头人全称）            </w:t>
      </w:r>
      <w:r>
        <w:rPr>
          <w:rFonts w:hint="eastAsia" w:ascii="宋体" w:hAnsi="宋体" w:eastAsia="宋体" w:cs="宋体"/>
          <w:color w:val="auto"/>
          <w:kern w:val="0"/>
          <w:sz w:val="22"/>
          <w:highlight w:val="none"/>
        </w:rPr>
        <w:t>合同占比：_______%</w:t>
      </w:r>
    </w:p>
    <w:p w14:paraId="4DC8C8CD">
      <w:pPr>
        <w:widowControl/>
        <w:spacing w:line="400" w:lineRule="exact"/>
        <w:jc w:val="left"/>
        <w:rPr>
          <w:rFonts w:hint="eastAsia" w:ascii="宋体" w:hAnsi="宋体" w:eastAsia="宋体" w:cs="宋体"/>
          <w:b/>
          <w:color w:val="auto"/>
          <w:kern w:val="0"/>
          <w:sz w:val="22"/>
          <w:highlight w:val="none"/>
        </w:rPr>
      </w:pPr>
      <w:r>
        <w:rPr>
          <w:rFonts w:hint="eastAsia" w:ascii="宋体" w:hAnsi="宋体" w:eastAsia="宋体" w:cs="宋体"/>
          <w:color w:val="auto"/>
          <w:kern w:val="0"/>
          <w:sz w:val="22"/>
          <w:highlight w:val="none"/>
          <w:u w:val="single"/>
        </w:rPr>
        <w:t xml:space="preserve">（联合体其他成员全称）    </w:t>
      </w:r>
      <w:r>
        <w:rPr>
          <w:rFonts w:hint="eastAsia" w:ascii="宋体" w:hAnsi="宋体" w:eastAsia="宋体" w:cs="宋体"/>
          <w:color w:val="auto"/>
          <w:kern w:val="0"/>
          <w:sz w:val="22"/>
          <w:highlight w:val="none"/>
        </w:rPr>
        <w:t>合同占比：_______%</w:t>
      </w:r>
    </w:p>
    <w:p w14:paraId="684455F9">
      <w:pPr>
        <w:pStyle w:val="10"/>
        <w:spacing w:line="360" w:lineRule="exact"/>
        <w:ind w:left="440" w:hanging="440"/>
        <w:jc w:val="left"/>
        <w:rPr>
          <w:rFonts w:hint="eastAsia" w:ascii="宋体" w:hAnsi="宋体" w:eastAsia="宋体" w:cs="宋体"/>
          <w:color w:val="auto"/>
          <w:highlight w:val="none"/>
        </w:rPr>
      </w:pPr>
      <w:r>
        <w:rPr>
          <w:rFonts w:hint="eastAsia" w:ascii="宋体" w:hAnsi="宋体" w:eastAsia="宋体" w:cs="宋体"/>
          <w:color w:val="auto"/>
          <w:sz w:val="22"/>
          <w:highlight w:val="none"/>
        </w:rPr>
        <w:t>......</w:t>
      </w:r>
    </w:p>
    <w:p w14:paraId="25931BB0">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、有关本次联合投标的其他事宜：</w:t>
      </w:r>
    </w:p>
    <w:p w14:paraId="1FF1898C">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）联合体各方不再单独参加或者与其他供应商另外组成联合体参加同一合同项下的政府采购活动。</w:t>
      </w:r>
    </w:p>
    <w:p w14:paraId="79505318">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2</w:t>
      </w:r>
      <w:r>
        <w:rPr>
          <w:rFonts w:hint="eastAsia" w:ascii="宋体" w:hAnsi="宋体" w:eastAsia="宋体" w:cs="宋体"/>
          <w:color w:val="auto"/>
          <w:kern w:val="0"/>
          <w:sz w:val="22"/>
          <w:highlight w:val="none"/>
          <w:lang w:val="zh-CN"/>
        </w:rPr>
        <w:t>）联合体中有同类资质的各方按照联合体分工承担相同工作的，按照资质等级较低的供应商确定资质等级。</w:t>
      </w:r>
    </w:p>
    <w:p w14:paraId="7A7CDBCD">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）本协议提交采购人、采购机构后，联合体各方不得以任何形式对上述内容进行修改或撤销。</w:t>
      </w:r>
    </w:p>
    <w:p w14:paraId="71E97F44">
      <w:pPr>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4</w:t>
      </w:r>
      <w:r>
        <w:rPr>
          <w:rFonts w:hint="eastAsia" w:ascii="宋体" w:hAnsi="宋体" w:eastAsia="宋体" w:cs="宋体"/>
          <w:color w:val="auto"/>
          <w:kern w:val="0"/>
          <w:sz w:val="22"/>
          <w:highlight w:val="none"/>
          <w:lang w:val="zh-CN"/>
        </w:rPr>
        <w:t>）（联</w:t>
      </w:r>
      <w:r>
        <w:rPr>
          <w:rFonts w:hint="eastAsia" w:ascii="宋体" w:hAnsi="宋体" w:eastAsia="宋体" w:cs="宋体"/>
          <w:color w:val="auto"/>
          <w:sz w:val="22"/>
          <w:highlight w:val="none"/>
        </w:rPr>
        <w:t>合体牵头人</w:t>
      </w:r>
      <w:r>
        <w:rPr>
          <w:rFonts w:hint="eastAsia" w:ascii="宋体" w:hAnsi="宋体" w:eastAsia="宋体" w:cs="宋体"/>
          <w:color w:val="auto"/>
          <w:kern w:val="0"/>
          <w:sz w:val="22"/>
          <w:highlight w:val="none"/>
          <w:lang w:val="zh-CN"/>
        </w:rPr>
        <w:t>）</w:t>
      </w:r>
      <w:r>
        <w:rPr>
          <w:rFonts w:hint="eastAsia" w:ascii="宋体" w:hAnsi="宋体" w:eastAsia="宋体" w:cs="宋体"/>
          <w:color w:val="auto"/>
          <w:sz w:val="22"/>
          <w:highlight w:val="none"/>
        </w:rPr>
        <w:t>与（</w:t>
      </w:r>
      <w:r>
        <w:rPr>
          <w:rFonts w:hint="eastAsia" w:ascii="宋体" w:hAnsi="宋体" w:eastAsia="宋体" w:cs="宋体"/>
          <w:color w:val="auto"/>
          <w:kern w:val="0"/>
          <w:sz w:val="22"/>
          <w:highlight w:val="none"/>
        </w:rPr>
        <w:t>联合体的成员方</w:t>
      </w:r>
      <w:r>
        <w:rPr>
          <w:rFonts w:hint="eastAsia" w:ascii="宋体" w:hAnsi="宋体" w:eastAsia="宋体" w:cs="宋体"/>
          <w:color w:val="auto"/>
          <w:sz w:val="22"/>
          <w:highlight w:val="none"/>
        </w:rPr>
        <w:t>）之间（填写是或者否）存在直接控股、管理关系。</w:t>
      </w:r>
    </w:p>
    <w:p w14:paraId="2334C6A8">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276D15A7">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5、如中标，本项目的采购代理服务费由联合体牵头人缴纳，合同款支付至合同约定的牵头人账号。</w:t>
      </w:r>
    </w:p>
    <w:p w14:paraId="79C0A9C0">
      <w:pPr>
        <w:widowControl/>
        <w:spacing w:line="360" w:lineRule="exact"/>
        <w:jc w:val="left"/>
        <w:rPr>
          <w:rFonts w:hint="eastAsia" w:ascii="宋体" w:hAnsi="宋体" w:eastAsia="宋体" w:cs="宋体"/>
          <w:color w:val="auto"/>
          <w:kern w:val="0"/>
          <w:sz w:val="22"/>
          <w:highlight w:val="none"/>
        </w:rPr>
      </w:pPr>
    </w:p>
    <w:p w14:paraId="519E076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单位名称（盖章）：                                   单位名称（盖章）： </w:t>
      </w:r>
    </w:p>
    <w:p w14:paraId="041D0C3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地址： </w:t>
      </w:r>
    </w:p>
    <w:p w14:paraId="48D01D7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法定代表人或授权代表（签字或盖章）：                 法定代表人或授权代表（签字或盖章）： </w:t>
      </w:r>
    </w:p>
    <w:p w14:paraId="7B2F0B25">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联系方式：                                           联系方式： </w:t>
      </w:r>
    </w:p>
    <w:p w14:paraId="1B47D485">
      <w:pPr>
        <w:widowControl/>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协议签订时间：                                       协议签订时间：</w:t>
      </w:r>
    </w:p>
    <w:p w14:paraId="3654415F">
      <w:pP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br w:type="page"/>
      </w:r>
    </w:p>
    <w:p w14:paraId="0674CFF6">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附件4-4</w:t>
      </w:r>
    </w:p>
    <w:p w14:paraId="18ECA906">
      <w:pPr>
        <w:snapToGrid w:val="0"/>
        <w:spacing w:line="400" w:lineRule="exact"/>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分包意向协议</w:t>
      </w:r>
    </w:p>
    <w:p w14:paraId="7E3EE988">
      <w:pPr>
        <w:widowControl/>
        <w:snapToGrid w:val="0"/>
        <w:spacing w:line="360" w:lineRule="exact"/>
        <w:ind w:left="-210" w:leftChars="-100"/>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（中标后以分包方式履行合同的提供分包意向协议，采购人不同意分包或中标后不以分包方式履行合同的则不需要提供）</w:t>
      </w:r>
    </w:p>
    <w:p w14:paraId="209CEAD6">
      <w:pPr>
        <w:snapToGrid w:val="0"/>
        <w:spacing w:line="360" w:lineRule="exact"/>
        <w:ind w:firstLine="440" w:firstLineChars="200"/>
        <w:jc w:val="left"/>
        <w:rPr>
          <w:rFonts w:hint="eastAsia" w:ascii="宋体" w:hAnsi="宋体" w:eastAsia="宋体" w:cs="宋体"/>
          <w:color w:val="auto"/>
          <w:kern w:val="0"/>
          <w:sz w:val="22"/>
          <w:highlight w:val="none"/>
          <w:u w:val="single"/>
        </w:rPr>
      </w:pPr>
    </w:p>
    <w:p w14:paraId="593CD9C5">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若成为</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sz w:val="24"/>
          <w:szCs w:val="24"/>
          <w:highlight w:val="none"/>
          <w:u w:val="single"/>
        </w:rPr>
        <w:t>（项目编号：   ）</w:t>
      </w:r>
      <w:r>
        <w:rPr>
          <w:rFonts w:hint="eastAsia" w:ascii="宋体" w:hAnsi="宋体" w:eastAsia="宋体" w:cs="宋体"/>
          <w:color w:val="auto"/>
          <w:kern w:val="0"/>
          <w:sz w:val="24"/>
          <w:szCs w:val="24"/>
          <w:highlight w:val="none"/>
          <w:lang w:val="zh-CN"/>
        </w:rPr>
        <w:t>的中标</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val="zh-CN"/>
        </w:rPr>
        <w:t>，将依法采取分包方式履行合同。</w:t>
      </w: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（所有分包供应商名称）</w:t>
      </w:r>
      <w:r>
        <w:rPr>
          <w:rFonts w:hint="eastAsia" w:ascii="宋体" w:hAnsi="宋体" w:eastAsia="宋体" w:cs="宋体"/>
          <w:color w:val="auto"/>
          <w:kern w:val="0"/>
          <w:sz w:val="24"/>
          <w:szCs w:val="24"/>
          <w:highlight w:val="none"/>
        </w:rPr>
        <w:t>达成分包意向协议</w:t>
      </w:r>
      <w:r>
        <w:rPr>
          <w:rFonts w:hint="eastAsia" w:ascii="宋体" w:hAnsi="宋体" w:eastAsia="宋体" w:cs="宋体"/>
          <w:color w:val="auto"/>
          <w:kern w:val="0"/>
          <w:sz w:val="24"/>
          <w:szCs w:val="24"/>
          <w:highlight w:val="none"/>
          <w:lang w:val="zh-CN"/>
        </w:rPr>
        <w:t>。</w:t>
      </w:r>
    </w:p>
    <w:p w14:paraId="65DEEE2B">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一、分包标的及数量</w:t>
      </w:r>
    </w:p>
    <w:p w14:paraId="2264D67C">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sz w:val="24"/>
          <w:szCs w:val="24"/>
          <w:highlight w:val="none"/>
          <w:u w:val="single"/>
        </w:rPr>
        <w:t>XX工作内容</w:t>
      </w:r>
      <w:r>
        <w:rPr>
          <w:rFonts w:hint="eastAsia" w:ascii="宋体" w:hAnsi="宋体" w:eastAsia="宋体" w:cs="宋体"/>
          <w:color w:val="auto"/>
          <w:sz w:val="24"/>
          <w:szCs w:val="24"/>
          <w:highlight w:val="none"/>
        </w:rPr>
        <w:t>分包给</w:t>
      </w: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lang w:val="zh-CN"/>
        </w:rPr>
        <w:t>具备承</w:t>
      </w:r>
      <w:r>
        <w:rPr>
          <w:rFonts w:hint="eastAsia" w:ascii="宋体" w:hAnsi="宋体" w:eastAsia="宋体" w:cs="宋体"/>
          <w:color w:val="auto"/>
          <w:kern w:val="0"/>
          <w:sz w:val="24"/>
          <w:szCs w:val="24"/>
          <w:highlight w:val="none"/>
        </w:rPr>
        <w:t>担</w:t>
      </w:r>
      <w:r>
        <w:rPr>
          <w:rFonts w:hint="eastAsia" w:ascii="宋体" w:hAnsi="宋体" w:eastAsia="宋体" w:cs="宋体"/>
          <w:color w:val="auto"/>
          <w:sz w:val="24"/>
          <w:szCs w:val="24"/>
          <w:highlight w:val="none"/>
          <w:u w:val="single"/>
        </w:rPr>
        <w:t>XX工作内容</w:t>
      </w:r>
      <w:r>
        <w:rPr>
          <w:rFonts w:hint="eastAsia" w:ascii="宋体" w:hAnsi="宋体" w:eastAsia="宋体" w:cs="宋体"/>
          <w:color w:val="auto"/>
          <w:kern w:val="0"/>
          <w:sz w:val="24"/>
          <w:szCs w:val="24"/>
          <w:highlight w:val="none"/>
          <w:lang w:val="zh-CN"/>
        </w:rPr>
        <w:t>相应资质条件且不得再次分包；</w:t>
      </w:r>
    </w:p>
    <w:p w14:paraId="7112C5EF">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198E31AB">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二、分包工作履行期限、地点、方式：</w:t>
      </w:r>
    </w:p>
    <w:p w14:paraId="42A04D29">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三、质量：</w:t>
      </w:r>
    </w:p>
    <w:p w14:paraId="65C3E7CB">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四、价款或者报酬：</w:t>
      </w:r>
    </w:p>
    <w:p w14:paraId="2A747D08">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五、违约责任：</w:t>
      </w:r>
    </w:p>
    <w:p w14:paraId="7712A5E0">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六、争议解决的办法：</w:t>
      </w:r>
    </w:p>
    <w:p w14:paraId="1487B25E">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七、其他：</w:t>
      </w:r>
    </w:p>
    <w:p w14:paraId="589949A5">
      <w:pPr>
        <w:snapToGrid w:val="0"/>
        <w:spacing w:line="360" w:lineRule="auto"/>
        <w:ind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u w:val="single"/>
          <w:lang w:val="zh-CN"/>
        </w:rPr>
        <w:t>的合同份额占到合同总金额     %以上。</w:t>
      </w:r>
    </w:p>
    <w:p w14:paraId="16F927E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八、（投标</w:t>
      </w:r>
      <w:r>
        <w:rPr>
          <w:rFonts w:hint="eastAsia" w:ascii="宋体" w:hAnsi="宋体" w:eastAsia="宋体" w:cs="宋体"/>
          <w:color w:val="auto"/>
          <w:sz w:val="24"/>
          <w:szCs w:val="24"/>
          <w:highlight w:val="none"/>
        </w:rPr>
        <w:t>人</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与（分包企业）之间（填写是或者否）存在直接控股、管理关系。</w:t>
      </w:r>
    </w:p>
    <w:p w14:paraId="11547E09">
      <w:pPr>
        <w:snapToGrid w:val="0"/>
        <w:spacing w:line="360" w:lineRule="auto"/>
        <w:ind w:firstLine="480" w:firstLineChars="200"/>
        <w:rPr>
          <w:rFonts w:hint="eastAsia" w:ascii="宋体" w:hAnsi="宋体" w:eastAsia="宋体" w:cs="宋体"/>
          <w:color w:val="auto"/>
          <w:kern w:val="0"/>
          <w:sz w:val="24"/>
          <w:szCs w:val="24"/>
          <w:highlight w:val="none"/>
          <w:lang w:val="zh-CN"/>
        </w:rPr>
      </w:pPr>
    </w:p>
    <w:p w14:paraId="238A6039">
      <w:pPr>
        <w:snapToGrid w:val="0"/>
        <w:spacing w:line="360" w:lineRule="auto"/>
        <w:ind w:firstLine="482" w:firstLineChars="200"/>
        <w:rPr>
          <w:rFonts w:hint="eastAsia" w:ascii="宋体" w:hAnsi="宋体" w:eastAsia="宋体" w:cs="宋体"/>
          <w:b/>
          <w:bCs/>
          <w:color w:val="auto"/>
          <w:kern w:val="0"/>
          <w:sz w:val="24"/>
          <w:szCs w:val="24"/>
          <w:highlight w:val="none"/>
          <w:lang w:val="zh-CN"/>
        </w:rPr>
      </w:pPr>
    </w:p>
    <w:p w14:paraId="24BB3E14">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7FDABCE9">
      <w:pPr>
        <w:widowControl/>
        <w:spacing w:line="40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分包供应商名称（电子签章或公章）：</w:t>
      </w:r>
    </w:p>
    <w:p w14:paraId="35438175">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C2DBD5D">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7832676">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三、商务和技术文件部分封面格式</w:t>
      </w:r>
    </w:p>
    <w:p w14:paraId="7826BAC8">
      <w:pPr>
        <w:snapToGrid w:val="0"/>
        <w:spacing w:before="120" w:beforeLines="50" w:after="50"/>
        <w:rPr>
          <w:rFonts w:hint="eastAsia" w:ascii="宋体" w:hAnsi="宋体" w:eastAsia="宋体" w:cs="宋体"/>
          <w:b/>
          <w:bCs/>
          <w:color w:val="auto"/>
          <w:sz w:val="24"/>
          <w:highlight w:val="none"/>
        </w:rPr>
      </w:pPr>
    </w:p>
    <w:p w14:paraId="32B46B87">
      <w:pPr>
        <w:pStyle w:val="12"/>
        <w:ind w:left="0" w:leftChars="0" w:right="1470"/>
        <w:rPr>
          <w:rFonts w:hint="eastAsia" w:ascii="宋体" w:hAnsi="宋体" w:eastAsia="宋体" w:cs="宋体"/>
          <w:b/>
          <w:color w:val="auto"/>
          <w:sz w:val="24"/>
          <w:szCs w:val="24"/>
          <w:highlight w:val="none"/>
        </w:rPr>
      </w:pPr>
    </w:p>
    <w:p w14:paraId="41B73548">
      <w:pPr>
        <w:snapToGrid w:val="0"/>
        <w:spacing w:line="400" w:lineRule="exact"/>
        <w:jc w:val="center"/>
        <w:rPr>
          <w:rFonts w:hint="eastAsia" w:ascii="宋体" w:hAnsi="宋体" w:eastAsia="宋体" w:cs="宋体"/>
          <w:b/>
          <w:bCs/>
          <w:color w:val="auto"/>
          <w:sz w:val="24"/>
          <w:szCs w:val="20"/>
          <w:highlight w:val="none"/>
        </w:rPr>
      </w:pPr>
    </w:p>
    <w:p w14:paraId="4EA8D1AA">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3"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B81503">
                            <w:pPr>
                              <w:snapToGrid w:val="0"/>
                              <w:spacing w:before="120" w:beforeLines="50" w:after="50"/>
                              <w:jc w:val="right"/>
                              <w:rPr>
                                <w:rFonts w:ascii="宋体" w:hAnsi="宋体"/>
                                <w:b/>
                                <w:bCs/>
                                <w:sz w:val="32"/>
                                <w:szCs w:val="20"/>
                              </w:rPr>
                            </w:pPr>
                          </w:p>
                          <w:p w14:paraId="336AFED4">
                            <w:pPr>
                              <w:snapToGrid w:val="0"/>
                              <w:spacing w:before="120" w:beforeLines="50" w:after="50"/>
                              <w:ind w:left="-850" w:leftChars="-405"/>
                              <w:rPr>
                                <w:rFonts w:ascii="宋体" w:hAnsi="宋体"/>
                                <w:sz w:val="24"/>
                                <w:szCs w:val="20"/>
                              </w:rPr>
                            </w:pPr>
                          </w:p>
                          <w:p w14:paraId="1C588E9D">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649FFFE7">
                            <w:pPr>
                              <w:snapToGrid w:val="0"/>
                              <w:spacing w:before="120" w:beforeLines="50" w:after="50"/>
                              <w:rPr>
                                <w:rFonts w:ascii="宋体" w:hAnsi="宋体"/>
                                <w:bCs/>
                                <w:sz w:val="24"/>
                                <w:szCs w:val="20"/>
                              </w:rPr>
                            </w:pPr>
                          </w:p>
                          <w:p w14:paraId="7B5DC5C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B22E4C8">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2A76954">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32F81AA">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662D29D">
                            <w:pPr>
                              <w:snapToGrid w:val="0"/>
                              <w:spacing w:before="120" w:beforeLines="50" w:after="50"/>
                              <w:ind w:firstLine="1068" w:firstLineChars="445"/>
                              <w:rPr>
                                <w:rFonts w:ascii="宋体" w:hAnsi="宋体"/>
                                <w:bCs/>
                                <w:sz w:val="24"/>
                              </w:rPr>
                            </w:pPr>
                          </w:p>
                          <w:p w14:paraId="5DCD7B6A">
                            <w:pPr>
                              <w:snapToGrid w:val="0"/>
                              <w:spacing w:before="120" w:beforeLines="50" w:after="50"/>
                              <w:ind w:firstLine="4080" w:firstLineChars="1700"/>
                              <w:rPr>
                                <w:rFonts w:ascii="宋体" w:hAnsi="宋体"/>
                                <w:sz w:val="24"/>
                                <w:szCs w:val="20"/>
                              </w:rPr>
                            </w:pPr>
                          </w:p>
                          <w:p w14:paraId="14E84471">
                            <w:pPr>
                              <w:jc w:val="center"/>
                            </w:pPr>
                            <w:r>
                              <w:rPr>
                                <w:rFonts w:hint="eastAsia"/>
                                <w:sz w:val="24"/>
                              </w:rPr>
                              <w:t>年  月  日</w:t>
                            </w:r>
                          </w:p>
                        </w:txbxContent>
                      </wps:txbx>
                      <wps:bodyPr wrap="square" anchor="t" anchorCtr="0"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OixDfZAAAACQEA&#10;AA8AAAAAAAAAAQAgAAAAIgAAAGRycy9kb3ducmV2LnhtbFBLAQIUABQAAAAIAIdO4kCobudBGQIA&#10;AF8EAAAOAAAAAAAAAAEAIAAAACgBAABkcnMvZTJvRG9jLnhtbFBLBQYAAAAABgAGAFkBAACzBQAA&#10;AAA=&#10;">
                <v:fill on="t" focussize="0,0"/>
                <v:stroke color="#000000" joinstyle="miter"/>
                <v:imagedata o:title=""/>
                <o:lock v:ext="edit" aspectratio="f"/>
                <v:textbox>
                  <w:txbxContent>
                    <w:p w14:paraId="16B81503">
                      <w:pPr>
                        <w:snapToGrid w:val="0"/>
                        <w:spacing w:before="120" w:beforeLines="50" w:after="50"/>
                        <w:jc w:val="right"/>
                        <w:rPr>
                          <w:rFonts w:ascii="宋体" w:hAnsi="宋体"/>
                          <w:b/>
                          <w:bCs/>
                          <w:sz w:val="32"/>
                          <w:szCs w:val="20"/>
                        </w:rPr>
                      </w:pPr>
                    </w:p>
                    <w:p w14:paraId="336AFED4">
                      <w:pPr>
                        <w:snapToGrid w:val="0"/>
                        <w:spacing w:before="120" w:beforeLines="50" w:after="50"/>
                        <w:ind w:left="-850" w:leftChars="-405"/>
                        <w:rPr>
                          <w:rFonts w:ascii="宋体" w:hAnsi="宋体"/>
                          <w:sz w:val="24"/>
                          <w:szCs w:val="20"/>
                        </w:rPr>
                      </w:pPr>
                    </w:p>
                    <w:p w14:paraId="1C588E9D">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649FFFE7">
                      <w:pPr>
                        <w:snapToGrid w:val="0"/>
                        <w:spacing w:before="120" w:beforeLines="50" w:after="50"/>
                        <w:rPr>
                          <w:rFonts w:ascii="宋体" w:hAnsi="宋体"/>
                          <w:bCs/>
                          <w:sz w:val="24"/>
                          <w:szCs w:val="20"/>
                        </w:rPr>
                      </w:pPr>
                    </w:p>
                    <w:p w14:paraId="7B5DC5C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B22E4C8">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2A76954">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32F81AA">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662D29D">
                      <w:pPr>
                        <w:snapToGrid w:val="0"/>
                        <w:spacing w:before="120" w:beforeLines="50" w:after="50"/>
                        <w:ind w:firstLine="1068" w:firstLineChars="445"/>
                        <w:rPr>
                          <w:rFonts w:ascii="宋体" w:hAnsi="宋体"/>
                          <w:bCs/>
                          <w:sz w:val="24"/>
                        </w:rPr>
                      </w:pPr>
                    </w:p>
                    <w:p w14:paraId="5DCD7B6A">
                      <w:pPr>
                        <w:snapToGrid w:val="0"/>
                        <w:spacing w:before="120" w:beforeLines="50" w:after="50"/>
                        <w:ind w:firstLine="4080" w:firstLineChars="1700"/>
                        <w:rPr>
                          <w:rFonts w:ascii="宋体" w:hAnsi="宋体"/>
                          <w:sz w:val="24"/>
                          <w:szCs w:val="20"/>
                        </w:rPr>
                      </w:pPr>
                    </w:p>
                    <w:p w14:paraId="14E84471">
                      <w:pPr>
                        <w:jc w:val="center"/>
                      </w:pPr>
                      <w:r>
                        <w:rPr>
                          <w:rFonts w:hint="eastAsia"/>
                          <w:sz w:val="24"/>
                        </w:rPr>
                        <w:t>年  月  日</w:t>
                      </w:r>
                    </w:p>
                  </w:txbxContent>
                </v:textbox>
                <w10:wrap type="topAndBottom"/>
              </v:shape>
            </w:pict>
          </mc:Fallback>
        </mc:AlternateContent>
      </w:r>
    </w:p>
    <w:p w14:paraId="214CA10E">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BD0DABA">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highlight w:val="none"/>
        </w:rPr>
        <w:t>商务和技术文件</w:t>
      </w:r>
    </w:p>
    <w:p w14:paraId="70E75E7D">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附件5</w:t>
      </w:r>
    </w:p>
    <w:p w14:paraId="4662295F">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商务和技术文件投标文件</w:t>
      </w:r>
    </w:p>
    <w:p w14:paraId="6C964BD6">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评分索引表</w:t>
      </w:r>
    </w:p>
    <w:p w14:paraId="220EE709">
      <w:pPr>
        <w:spacing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为了方便专家评审投标文件，针对招标文件评分细则要求，投标人应制作投标文件索引，置于投标文件首页，格式如下：</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3FF7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ECDF463">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序号</w:t>
            </w:r>
          </w:p>
        </w:tc>
        <w:tc>
          <w:tcPr>
            <w:tcW w:w="6956" w:type="dxa"/>
            <w:vAlign w:val="center"/>
          </w:tcPr>
          <w:p w14:paraId="120E5BF8">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评分内容</w:t>
            </w:r>
          </w:p>
        </w:tc>
        <w:tc>
          <w:tcPr>
            <w:tcW w:w="1313" w:type="dxa"/>
            <w:vAlign w:val="center"/>
          </w:tcPr>
          <w:p w14:paraId="501DADA4">
            <w:pPr>
              <w:pStyle w:val="59"/>
              <w:spacing w:line="400" w:lineRule="exact"/>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页码</w:t>
            </w:r>
          </w:p>
        </w:tc>
      </w:tr>
      <w:tr w14:paraId="1B4C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4233EBE">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w:t>
            </w:r>
          </w:p>
        </w:tc>
        <w:tc>
          <w:tcPr>
            <w:tcW w:w="6956" w:type="dxa"/>
            <w:vAlign w:val="center"/>
          </w:tcPr>
          <w:p w14:paraId="1B843470">
            <w:pPr>
              <w:spacing w:line="400" w:lineRule="exact"/>
              <w:jc w:val="left"/>
              <w:rPr>
                <w:rFonts w:hint="eastAsia" w:ascii="宋体" w:hAnsi="宋体" w:eastAsia="宋体" w:cs="宋体"/>
                <w:color w:val="auto"/>
                <w:kern w:val="0"/>
                <w:sz w:val="24"/>
                <w:szCs w:val="24"/>
                <w:highlight w:val="none"/>
              </w:rPr>
            </w:pPr>
          </w:p>
          <w:p w14:paraId="13A5DE86">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14:paraId="775F3B34">
            <w:pPr>
              <w:pStyle w:val="10"/>
              <w:spacing w:line="400" w:lineRule="exact"/>
              <w:ind w:left="456" w:hanging="456"/>
              <w:rPr>
                <w:rFonts w:hint="eastAsia" w:ascii="宋体" w:hAnsi="宋体" w:eastAsia="宋体" w:cs="宋体"/>
                <w:color w:val="auto"/>
                <w:spacing w:val="-6"/>
                <w:szCs w:val="24"/>
                <w:highlight w:val="none"/>
              </w:rPr>
            </w:pPr>
          </w:p>
        </w:tc>
      </w:tr>
      <w:tr w14:paraId="4ABC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FB99FC6">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2</w:t>
            </w:r>
          </w:p>
        </w:tc>
        <w:tc>
          <w:tcPr>
            <w:tcW w:w="6956" w:type="dxa"/>
            <w:vAlign w:val="center"/>
          </w:tcPr>
          <w:p w14:paraId="2A4E2FEE">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14:paraId="52AFB4E3">
            <w:pPr>
              <w:pStyle w:val="10"/>
              <w:spacing w:line="400" w:lineRule="exact"/>
              <w:rPr>
                <w:rFonts w:hint="eastAsia" w:ascii="宋体" w:hAnsi="宋体" w:eastAsia="宋体" w:cs="宋体"/>
                <w:color w:val="auto"/>
                <w:szCs w:val="24"/>
                <w:highlight w:val="none"/>
              </w:rPr>
            </w:pPr>
          </w:p>
        </w:tc>
      </w:tr>
      <w:tr w14:paraId="6BA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906E58E">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6956" w:type="dxa"/>
            <w:vAlign w:val="center"/>
          </w:tcPr>
          <w:p w14:paraId="1D08DBA5">
            <w:pPr>
              <w:spacing w:line="400" w:lineRule="exact"/>
              <w:rPr>
                <w:rFonts w:hint="eastAsia" w:ascii="宋体" w:hAnsi="宋体" w:eastAsia="宋体" w:cs="宋体"/>
                <w:color w:val="auto"/>
                <w:sz w:val="24"/>
                <w:szCs w:val="24"/>
                <w:highlight w:val="none"/>
              </w:rPr>
            </w:pPr>
          </w:p>
        </w:tc>
        <w:tc>
          <w:tcPr>
            <w:tcW w:w="1313" w:type="dxa"/>
          </w:tcPr>
          <w:p w14:paraId="0355ACE4">
            <w:pPr>
              <w:spacing w:line="400" w:lineRule="exact"/>
              <w:rPr>
                <w:rFonts w:hint="eastAsia" w:ascii="宋体" w:hAnsi="宋体" w:eastAsia="宋体" w:cs="宋体"/>
                <w:bCs/>
                <w:color w:val="auto"/>
                <w:sz w:val="24"/>
                <w:szCs w:val="24"/>
                <w:highlight w:val="none"/>
              </w:rPr>
            </w:pPr>
          </w:p>
        </w:tc>
      </w:tr>
      <w:tr w14:paraId="2FDE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C7DB12D">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p>
        </w:tc>
        <w:tc>
          <w:tcPr>
            <w:tcW w:w="6956" w:type="dxa"/>
            <w:vAlign w:val="center"/>
          </w:tcPr>
          <w:p w14:paraId="5FC56EAE">
            <w:pPr>
              <w:spacing w:line="400" w:lineRule="exact"/>
              <w:rPr>
                <w:rFonts w:hint="eastAsia" w:ascii="宋体" w:hAnsi="宋体" w:eastAsia="宋体" w:cs="宋体"/>
                <w:color w:val="auto"/>
                <w:sz w:val="24"/>
                <w:szCs w:val="24"/>
                <w:highlight w:val="none"/>
              </w:rPr>
            </w:pPr>
          </w:p>
        </w:tc>
        <w:tc>
          <w:tcPr>
            <w:tcW w:w="1313" w:type="dxa"/>
          </w:tcPr>
          <w:p w14:paraId="207062DB">
            <w:pPr>
              <w:spacing w:line="400" w:lineRule="exact"/>
              <w:rPr>
                <w:rFonts w:hint="eastAsia" w:ascii="宋体" w:hAnsi="宋体" w:eastAsia="宋体" w:cs="宋体"/>
                <w:bCs/>
                <w:color w:val="auto"/>
                <w:sz w:val="24"/>
                <w:szCs w:val="24"/>
                <w:highlight w:val="none"/>
              </w:rPr>
            </w:pPr>
          </w:p>
        </w:tc>
      </w:tr>
      <w:tr w14:paraId="675B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9F30697">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6956" w:type="dxa"/>
            <w:vAlign w:val="center"/>
          </w:tcPr>
          <w:p w14:paraId="2E3D1546">
            <w:pPr>
              <w:spacing w:line="400" w:lineRule="exact"/>
              <w:jc w:val="left"/>
              <w:rPr>
                <w:rFonts w:hint="eastAsia" w:ascii="宋体" w:hAnsi="宋体" w:eastAsia="宋体" w:cs="宋体"/>
                <w:color w:val="auto"/>
                <w:sz w:val="24"/>
                <w:szCs w:val="24"/>
                <w:highlight w:val="none"/>
              </w:rPr>
            </w:pPr>
          </w:p>
        </w:tc>
        <w:tc>
          <w:tcPr>
            <w:tcW w:w="1313" w:type="dxa"/>
          </w:tcPr>
          <w:p w14:paraId="10A9AC9C">
            <w:pPr>
              <w:spacing w:line="400" w:lineRule="exact"/>
              <w:rPr>
                <w:rFonts w:hint="eastAsia" w:ascii="宋体" w:hAnsi="宋体" w:eastAsia="宋体" w:cs="宋体"/>
                <w:bCs/>
                <w:color w:val="auto"/>
                <w:sz w:val="24"/>
                <w:szCs w:val="24"/>
                <w:highlight w:val="none"/>
              </w:rPr>
            </w:pPr>
          </w:p>
        </w:tc>
      </w:tr>
      <w:tr w14:paraId="0DDB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CEAA219">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w:t>
            </w:r>
          </w:p>
        </w:tc>
        <w:tc>
          <w:tcPr>
            <w:tcW w:w="6956" w:type="dxa"/>
            <w:vAlign w:val="center"/>
          </w:tcPr>
          <w:p w14:paraId="465FA5D2">
            <w:pPr>
              <w:spacing w:line="400" w:lineRule="exact"/>
              <w:jc w:val="left"/>
              <w:rPr>
                <w:rFonts w:hint="eastAsia" w:ascii="宋体" w:hAnsi="宋体" w:eastAsia="宋体" w:cs="宋体"/>
                <w:color w:val="auto"/>
                <w:sz w:val="24"/>
                <w:szCs w:val="24"/>
                <w:highlight w:val="none"/>
              </w:rPr>
            </w:pPr>
          </w:p>
        </w:tc>
        <w:tc>
          <w:tcPr>
            <w:tcW w:w="1313" w:type="dxa"/>
          </w:tcPr>
          <w:p w14:paraId="1142BE57">
            <w:pPr>
              <w:spacing w:line="400" w:lineRule="exact"/>
              <w:rPr>
                <w:rFonts w:hint="eastAsia" w:ascii="宋体" w:hAnsi="宋体" w:eastAsia="宋体" w:cs="宋体"/>
                <w:bCs/>
                <w:color w:val="auto"/>
                <w:sz w:val="24"/>
                <w:szCs w:val="24"/>
                <w:highlight w:val="none"/>
              </w:rPr>
            </w:pPr>
          </w:p>
        </w:tc>
      </w:tr>
      <w:tr w14:paraId="014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2336CB6">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w:t>
            </w:r>
          </w:p>
        </w:tc>
        <w:tc>
          <w:tcPr>
            <w:tcW w:w="6956" w:type="dxa"/>
            <w:vAlign w:val="center"/>
          </w:tcPr>
          <w:p w14:paraId="64B2998C">
            <w:pPr>
              <w:spacing w:line="400" w:lineRule="exact"/>
              <w:jc w:val="left"/>
              <w:rPr>
                <w:rFonts w:hint="eastAsia" w:ascii="宋体" w:hAnsi="宋体" w:eastAsia="宋体" w:cs="宋体"/>
                <w:color w:val="auto"/>
                <w:sz w:val="24"/>
                <w:szCs w:val="24"/>
                <w:highlight w:val="none"/>
              </w:rPr>
            </w:pPr>
          </w:p>
        </w:tc>
        <w:tc>
          <w:tcPr>
            <w:tcW w:w="1313" w:type="dxa"/>
          </w:tcPr>
          <w:p w14:paraId="570590DF">
            <w:pPr>
              <w:spacing w:line="400" w:lineRule="exact"/>
              <w:rPr>
                <w:rFonts w:hint="eastAsia" w:ascii="宋体" w:hAnsi="宋体" w:eastAsia="宋体" w:cs="宋体"/>
                <w:bCs/>
                <w:color w:val="auto"/>
                <w:sz w:val="24"/>
                <w:szCs w:val="24"/>
                <w:highlight w:val="none"/>
              </w:rPr>
            </w:pPr>
          </w:p>
        </w:tc>
      </w:tr>
      <w:tr w14:paraId="47A9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5E4A2FC">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w:t>
            </w:r>
          </w:p>
        </w:tc>
        <w:tc>
          <w:tcPr>
            <w:tcW w:w="6956" w:type="dxa"/>
            <w:vAlign w:val="center"/>
          </w:tcPr>
          <w:p w14:paraId="659E41A3">
            <w:pPr>
              <w:spacing w:line="400" w:lineRule="exact"/>
              <w:rPr>
                <w:rFonts w:hint="eastAsia" w:ascii="宋体" w:hAnsi="宋体" w:eastAsia="宋体" w:cs="宋体"/>
                <w:color w:val="auto"/>
                <w:sz w:val="24"/>
                <w:szCs w:val="24"/>
                <w:highlight w:val="none"/>
              </w:rPr>
            </w:pPr>
          </w:p>
        </w:tc>
        <w:tc>
          <w:tcPr>
            <w:tcW w:w="1313" w:type="dxa"/>
          </w:tcPr>
          <w:p w14:paraId="0639DCA6">
            <w:pPr>
              <w:spacing w:line="400" w:lineRule="exact"/>
              <w:rPr>
                <w:rFonts w:hint="eastAsia" w:ascii="宋体" w:hAnsi="宋体" w:eastAsia="宋体" w:cs="宋体"/>
                <w:bCs/>
                <w:color w:val="auto"/>
                <w:sz w:val="24"/>
                <w:szCs w:val="24"/>
                <w:highlight w:val="none"/>
              </w:rPr>
            </w:pPr>
          </w:p>
        </w:tc>
      </w:tr>
      <w:tr w14:paraId="5F0D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3D3842C">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tc>
        <w:tc>
          <w:tcPr>
            <w:tcW w:w="6956" w:type="dxa"/>
            <w:vAlign w:val="center"/>
          </w:tcPr>
          <w:p w14:paraId="0DFD0731">
            <w:pPr>
              <w:spacing w:line="400" w:lineRule="exact"/>
              <w:jc w:val="left"/>
              <w:rPr>
                <w:rFonts w:hint="eastAsia" w:ascii="宋体" w:hAnsi="宋体" w:eastAsia="宋体" w:cs="宋体"/>
                <w:color w:val="auto"/>
                <w:sz w:val="24"/>
                <w:szCs w:val="24"/>
                <w:highlight w:val="none"/>
              </w:rPr>
            </w:pPr>
          </w:p>
        </w:tc>
        <w:tc>
          <w:tcPr>
            <w:tcW w:w="1313" w:type="dxa"/>
          </w:tcPr>
          <w:p w14:paraId="686BE67E">
            <w:pPr>
              <w:spacing w:line="400" w:lineRule="exact"/>
              <w:rPr>
                <w:rFonts w:hint="eastAsia" w:ascii="宋体" w:hAnsi="宋体" w:eastAsia="宋体" w:cs="宋体"/>
                <w:bCs/>
                <w:color w:val="auto"/>
                <w:sz w:val="24"/>
                <w:szCs w:val="24"/>
                <w:highlight w:val="none"/>
              </w:rPr>
            </w:pPr>
          </w:p>
        </w:tc>
      </w:tr>
    </w:tbl>
    <w:p w14:paraId="6FD1E70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备注：一.“评分内容”对应“第六部分”评标原则及方法。</w:t>
      </w:r>
    </w:p>
    <w:p w14:paraId="537B412C">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二.评标内容自行添加。本表可扩展。</w:t>
      </w:r>
    </w:p>
    <w:p w14:paraId="3B13BAC4">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三.各投标人在投标文件最前页根据本评标细则制作评分索引表，清楚标注响应内容及证明材料的所在页码。</w:t>
      </w:r>
    </w:p>
    <w:p w14:paraId="08091CD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20694DC">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附件6</w:t>
      </w:r>
    </w:p>
    <w:p w14:paraId="2318060E">
      <w:pPr>
        <w:pStyle w:val="10"/>
        <w:ind w:left="0" w:firstLine="0" w:firstLineChars="0"/>
        <w:rPr>
          <w:rFonts w:hint="eastAsia" w:ascii="宋体" w:hAnsi="宋体" w:eastAsia="宋体" w:cs="宋体"/>
          <w:color w:val="auto"/>
          <w:szCs w:val="24"/>
          <w:highlight w:val="none"/>
        </w:rPr>
      </w:pPr>
    </w:p>
    <w:p w14:paraId="033B0203">
      <w:pPr>
        <w:ind w:right="-1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法定代表人资格证明书</w:t>
      </w:r>
      <w:r>
        <w:rPr>
          <w:rFonts w:hint="eastAsia" w:ascii="宋体" w:hAnsi="宋体" w:eastAsia="宋体" w:cs="宋体"/>
          <w:b/>
          <w:bCs/>
          <w:color w:val="auto"/>
          <w:sz w:val="28"/>
          <w:szCs w:val="28"/>
          <w:highlight w:val="none"/>
          <w:lang w:val="zh-CN"/>
        </w:rPr>
        <w:t>（适用于非联合体响应）</w:t>
      </w:r>
    </w:p>
    <w:p w14:paraId="7F583BEE">
      <w:pPr>
        <w:spacing w:line="480" w:lineRule="auto"/>
        <w:jc w:val="left"/>
        <w:rPr>
          <w:rFonts w:hint="eastAsia" w:ascii="宋体" w:hAnsi="宋体" w:eastAsia="宋体" w:cs="宋体"/>
          <w:color w:val="auto"/>
          <w:sz w:val="24"/>
          <w:szCs w:val="24"/>
          <w:highlight w:val="none"/>
        </w:rPr>
      </w:pPr>
    </w:p>
    <w:p w14:paraId="10FCEC2A">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致：文成县卫生健康局、浙江乐诚工程咨询有限公司：</w:t>
      </w:r>
    </w:p>
    <w:p w14:paraId="687DD566">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（姓名、性别、年龄）</w:t>
      </w:r>
      <w:r>
        <w:rPr>
          <w:rFonts w:hint="eastAsia" w:ascii="宋体" w:hAnsi="宋体" w:eastAsia="宋体" w:cs="宋体"/>
          <w:color w:val="auto"/>
          <w:sz w:val="24"/>
          <w:szCs w:val="24"/>
          <w:highlight w:val="none"/>
        </w:rPr>
        <w:t>在我单位任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（职务名称）职务，是我单位的法定代表人。</w:t>
      </w:r>
    </w:p>
    <w:p w14:paraId="05080E4E">
      <w:pPr>
        <w:spacing w:line="48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3E9C9AD">
      <w:pPr>
        <w:spacing w:line="400" w:lineRule="exact"/>
        <w:jc w:val="left"/>
        <w:rPr>
          <w:rFonts w:hint="eastAsia" w:ascii="宋体" w:hAnsi="宋体" w:eastAsia="宋体" w:cs="宋体"/>
          <w:b/>
          <w:bCs/>
          <w:color w:val="auto"/>
          <w:sz w:val="24"/>
          <w:szCs w:val="24"/>
          <w:highlight w:val="none"/>
        </w:rPr>
      </w:pPr>
    </w:p>
    <w:p w14:paraId="2FC030BD">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法定代表人身份证号：（身份证复印附后）</w:t>
      </w:r>
    </w:p>
    <w:p w14:paraId="66707644">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法定代表人电话：</w:t>
      </w:r>
    </w:p>
    <w:p w14:paraId="3E7A57A0">
      <w:pPr>
        <w:spacing w:line="400" w:lineRule="exact"/>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投标人全称（电子签章或公章）</w:t>
      </w:r>
    </w:p>
    <w:p w14:paraId="3EE1F267">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 期：   年  月  日</w:t>
      </w:r>
    </w:p>
    <w:p w14:paraId="71E3CC64">
      <w:pPr>
        <w:spacing w:line="400" w:lineRule="exact"/>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4"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8A146F">
                            <w:pPr>
                              <w:rPr>
                                <w:rFonts w:ascii="宋体" w:hAnsi="宋体" w:cs="宋体"/>
                                <w:sz w:val="24"/>
                                <w:szCs w:val="24"/>
                              </w:rPr>
                            </w:pPr>
                            <w:r>
                              <w:rPr>
                                <w:rFonts w:hint="eastAsia" w:ascii="宋体" w:hAnsi="宋体" w:cs="宋体"/>
                                <w:sz w:val="24"/>
                                <w:szCs w:val="24"/>
                              </w:rPr>
                              <w:t>法人代表身份证复印件粘贴：</w:t>
                            </w:r>
                          </w:p>
                        </w:txbxContent>
                      </wps:txbx>
                      <wps:bodyPr wrap="square" anchor="t" anchorCtr="0" upright="1"/>
                    </wps:wsp>
                  </a:graphicData>
                </a:graphic>
              </wp:anchor>
            </w:drawing>
          </mc:Choice>
          <mc:Fallback>
            <w:pict>
              <v:shape id="Quad Arrow 4"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XyYO2AAAAAkBAAAP&#10;AAAAAAAAAAEAIAAAACIAAABkcnMvZG93bnJldi54bWxQSwECFAAUAAAACACHTuJAt54s8xgCAABf&#10;BAAADgAAAAAAAAABACAAAAAnAQAAZHJzL2Uyb0RvYy54bWxQSwUGAAAAAAYABgBZAQAAsQUAAAAA&#10;">
                <v:fill on="t" focussize="0,0"/>
                <v:stroke color="#000000" joinstyle="miter"/>
                <v:imagedata o:title=""/>
                <o:lock v:ext="edit" aspectratio="f"/>
                <v:textbox>
                  <w:txbxContent>
                    <w:p w14:paraId="658A146F">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286F03A2">
      <w:pPr>
        <w:spacing w:line="400" w:lineRule="exact"/>
        <w:rPr>
          <w:rFonts w:hint="eastAsia" w:ascii="宋体" w:hAnsi="宋体" w:eastAsia="宋体" w:cs="宋体"/>
          <w:b/>
          <w:bCs/>
          <w:color w:val="auto"/>
          <w:sz w:val="24"/>
          <w:szCs w:val="24"/>
          <w:highlight w:val="none"/>
        </w:rPr>
      </w:pPr>
    </w:p>
    <w:p w14:paraId="4EA7FD55">
      <w:pPr>
        <w:spacing w:line="400" w:lineRule="exact"/>
        <w:rPr>
          <w:rFonts w:hint="eastAsia" w:ascii="宋体" w:hAnsi="宋体" w:eastAsia="宋体" w:cs="宋体"/>
          <w:b/>
          <w:bCs/>
          <w:color w:val="auto"/>
          <w:sz w:val="24"/>
          <w:szCs w:val="24"/>
          <w:highlight w:val="none"/>
        </w:rPr>
      </w:pPr>
    </w:p>
    <w:p w14:paraId="32C11552">
      <w:pPr>
        <w:spacing w:line="400" w:lineRule="exact"/>
        <w:rPr>
          <w:rFonts w:hint="eastAsia" w:ascii="宋体" w:hAnsi="宋体" w:eastAsia="宋体" w:cs="宋体"/>
          <w:b/>
          <w:bCs/>
          <w:color w:val="auto"/>
          <w:sz w:val="24"/>
          <w:szCs w:val="24"/>
          <w:highlight w:val="none"/>
        </w:rPr>
      </w:pPr>
    </w:p>
    <w:p w14:paraId="56E983A9">
      <w:pPr>
        <w:spacing w:line="400" w:lineRule="exact"/>
        <w:rPr>
          <w:rFonts w:hint="eastAsia" w:ascii="宋体" w:hAnsi="宋体" w:eastAsia="宋体" w:cs="宋体"/>
          <w:b/>
          <w:bCs/>
          <w:color w:val="auto"/>
          <w:sz w:val="24"/>
          <w:szCs w:val="24"/>
          <w:highlight w:val="none"/>
        </w:rPr>
      </w:pPr>
    </w:p>
    <w:p w14:paraId="549CF591">
      <w:pPr>
        <w:spacing w:line="400" w:lineRule="exact"/>
        <w:rPr>
          <w:rFonts w:hint="eastAsia" w:ascii="宋体" w:hAnsi="宋体" w:eastAsia="宋体" w:cs="宋体"/>
          <w:b/>
          <w:bCs/>
          <w:color w:val="auto"/>
          <w:sz w:val="24"/>
          <w:szCs w:val="24"/>
          <w:highlight w:val="none"/>
        </w:rPr>
      </w:pPr>
    </w:p>
    <w:p w14:paraId="53C95A7A">
      <w:pPr>
        <w:spacing w:line="400" w:lineRule="exact"/>
        <w:rPr>
          <w:rFonts w:hint="eastAsia" w:ascii="宋体" w:hAnsi="宋体" w:eastAsia="宋体" w:cs="宋体"/>
          <w:b/>
          <w:bCs/>
          <w:color w:val="auto"/>
          <w:sz w:val="24"/>
          <w:szCs w:val="24"/>
          <w:highlight w:val="none"/>
        </w:rPr>
      </w:pPr>
    </w:p>
    <w:p w14:paraId="2D495ADD">
      <w:pPr>
        <w:spacing w:line="400" w:lineRule="exact"/>
        <w:rPr>
          <w:rFonts w:hint="eastAsia" w:ascii="宋体" w:hAnsi="宋体" w:eastAsia="宋体" w:cs="宋体"/>
          <w:b/>
          <w:bCs/>
          <w:color w:val="auto"/>
          <w:sz w:val="24"/>
          <w:szCs w:val="24"/>
          <w:highlight w:val="none"/>
        </w:rPr>
      </w:pPr>
    </w:p>
    <w:p w14:paraId="56D9296D">
      <w:pPr>
        <w:spacing w:line="400" w:lineRule="exact"/>
        <w:rPr>
          <w:rFonts w:hint="eastAsia" w:ascii="宋体" w:hAnsi="宋体" w:eastAsia="宋体" w:cs="宋体"/>
          <w:b/>
          <w:bCs/>
          <w:color w:val="auto"/>
          <w:sz w:val="24"/>
          <w:szCs w:val="24"/>
          <w:highlight w:val="none"/>
        </w:rPr>
      </w:pPr>
    </w:p>
    <w:p w14:paraId="02FE3520">
      <w:pPr>
        <w:spacing w:line="400" w:lineRule="exact"/>
        <w:rPr>
          <w:rFonts w:hint="eastAsia" w:ascii="宋体" w:hAnsi="宋体" w:eastAsia="宋体" w:cs="宋体"/>
          <w:b/>
          <w:bCs/>
          <w:color w:val="auto"/>
          <w:sz w:val="24"/>
          <w:szCs w:val="24"/>
          <w:highlight w:val="none"/>
        </w:rPr>
      </w:pPr>
    </w:p>
    <w:p w14:paraId="4CB54A32">
      <w:pPr>
        <w:spacing w:line="400" w:lineRule="exact"/>
        <w:rPr>
          <w:rFonts w:hint="eastAsia" w:ascii="宋体" w:hAnsi="宋体" w:eastAsia="宋体" w:cs="宋体"/>
          <w:b/>
          <w:bCs/>
          <w:color w:val="auto"/>
          <w:sz w:val="24"/>
          <w:szCs w:val="24"/>
          <w:highlight w:val="none"/>
        </w:rPr>
      </w:pPr>
    </w:p>
    <w:p w14:paraId="7473666B">
      <w:pPr>
        <w:spacing w:line="400" w:lineRule="exact"/>
        <w:rPr>
          <w:rFonts w:hint="eastAsia" w:ascii="宋体" w:hAnsi="宋体" w:eastAsia="宋体" w:cs="宋体"/>
          <w:b/>
          <w:bCs/>
          <w:color w:val="auto"/>
          <w:sz w:val="24"/>
          <w:szCs w:val="24"/>
          <w:highlight w:val="none"/>
        </w:rPr>
      </w:pPr>
    </w:p>
    <w:p w14:paraId="0D55F4D9">
      <w:pPr>
        <w:spacing w:line="400" w:lineRule="exac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说明：投标人的法定代表人参加投标，须在投标文件中提供法定代表人资格证明书；投标人的法定代表人委托授权代表参加投标，须在投标文件中提供授权委托书。</w:t>
      </w:r>
    </w:p>
    <w:p w14:paraId="2923474A">
      <w:pPr>
        <w:rPr>
          <w:rFonts w:hint="eastAsia" w:ascii="宋体" w:hAnsi="宋体" w:eastAsia="宋体" w:cs="宋体"/>
          <w:color w:val="auto"/>
          <w:highlight w:val="none"/>
        </w:rPr>
      </w:pPr>
    </w:p>
    <w:p w14:paraId="3E98C16C">
      <w:pP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br w:type="page"/>
      </w:r>
    </w:p>
    <w:p w14:paraId="137BFEA0">
      <w:pPr>
        <w:snapToGrid w:val="0"/>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授权委托书</w:t>
      </w:r>
      <w:r>
        <w:rPr>
          <w:rFonts w:hint="eastAsia" w:ascii="宋体" w:hAnsi="宋体" w:eastAsia="宋体" w:cs="宋体"/>
          <w:b/>
          <w:color w:val="auto"/>
          <w:spacing w:val="-6"/>
          <w:sz w:val="28"/>
          <w:szCs w:val="28"/>
          <w:highlight w:val="none"/>
          <w:lang w:val="zh-CN"/>
        </w:rPr>
        <w:t>（适用于非联合体响应）</w:t>
      </w:r>
    </w:p>
    <w:p w14:paraId="0132C923">
      <w:pPr>
        <w:snapToGrid w:val="0"/>
        <w:spacing w:line="360" w:lineRule="auto"/>
        <w:rPr>
          <w:rFonts w:hint="eastAsia" w:ascii="宋体" w:hAnsi="宋体" w:eastAsia="宋体" w:cs="宋体"/>
          <w:b/>
          <w:bCs/>
          <w:color w:val="auto"/>
          <w:spacing w:val="-6"/>
          <w:sz w:val="24"/>
          <w:szCs w:val="24"/>
          <w:highlight w:val="none"/>
        </w:rPr>
      </w:pPr>
      <w:r>
        <w:rPr>
          <w:rFonts w:hint="eastAsia" w:ascii="宋体" w:hAnsi="宋体" w:eastAsia="宋体" w:cs="宋体"/>
          <w:bCs/>
          <w:color w:val="auto"/>
          <w:spacing w:val="-6"/>
          <w:sz w:val="24"/>
          <w:szCs w:val="24"/>
          <w:highlight w:val="none"/>
        </w:rPr>
        <w:t>致：</w:t>
      </w:r>
      <w:r>
        <w:rPr>
          <w:rFonts w:hint="eastAsia" w:ascii="宋体" w:hAnsi="宋体" w:eastAsia="宋体" w:cs="宋体"/>
          <w:color w:val="auto"/>
          <w:sz w:val="24"/>
          <w:szCs w:val="24"/>
          <w:highlight w:val="none"/>
        </w:rPr>
        <w:t>文成县卫生健康局、浙江乐诚工程咨询有限公司</w:t>
      </w:r>
      <w:r>
        <w:rPr>
          <w:rFonts w:hint="eastAsia" w:ascii="宋体" w:hAnsi="宋体" w:eastAsia="宋体" w:cs="宋体"/>
          <w:color w:val="auto"/>
          <w:spacing w:val="-6"/>
          <w:sz w:val="24"/>
          <w:szCs w:val="24"/>
          <w:highlight w:val="none"/>
        </w:rPr>
        <w:t>：</w:t>
      </w:r>
    </w:p>
    <w:p w14:paraId="04B3E742">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（投标人名称）的法定代表人，现授权委托本单位在职职工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 xml:space="preserve"> （姓名）（身份证号：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）以我方的名义参加文成县卫生健康局（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采购项目）项目（项目编号：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）的投标活动，并代表我方全权办理针对上述项目的投标、开标、评标、签约等具体事务和签署相关文件。</w:t>
      </w:r>
    </w:p>
    <w:p w14:paraId="0875372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我方对被授权人的签名负全部责任。</w:t>
      </w:r>
    </w:p>
    <w:p w14:paraId="6FFF4694">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委托期限</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zh-CN"/>
        </w:rPr>
        <w:t>自</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日起至</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日止。</w:t>
      </w:r>
    </w:p>
    <w:p w14:paraId="4042FF7E">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在撤销授权的书面通知以前，本授权书一直有效。被授权人在授权书有效期内签署的所有文件不因授权的撤销而失效。</w:t>
      </w:r>
    </w:p>
    <w:p w14:paraId="6C37515B">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被授权人无转委托权，特此委托。</w:t>
      </w:r>
    </w:p>
    <w:p w14:paraId="69C4C799">
      <w:pPr>
        <w:snapToGrid w:val="0"/>
        <w:spacing w:line="288" w:lineRule="auto"/>
        <w:rPr>
          <w:rFonts w:hint="eastAsia" w:ascii="宋体" w:hAnsi="宋体" w:eastAsia="宋体" w:cs="宋体"/>
          <w:color w:val="auto"/>
          <w:spacing w:val="-6"/>
          <w:sz w:val="24"/>
          <w:szCs w:val="24"/>
          <w:highlight w:val="none"/>
        </w:rPr>
      </w:pPr>
    </w:p>
    <w:p w14:paraId="273FB4BD">
      <w:pPr>
        <w:snapToGrid w:val="0"/>
        <w:spacing w:line="288" w:lineRule="auto"/>
        <w:rPr>
          <w:rFonts w:hint="eastAsia" w:ascii="宋体" w:hAnsi="宋体" w:eastAsia="宋体" w:cs="宋体"/>
          <w:color w:val="auto"/>
          <w:spacing w:val="-6"/>
          <w:sz w:val="24"/>
          <w:szCs w:val="24"/>
          <w:highlight w:val="none"/>
        </w:rPr>
      </w:pPr>
    </w:p>
    <w:p w14:paraId="382CC381">
      <w:pPr>
        <w:snapToGrid w:val="0"/>
        <w:spacing w:line="288" w:lineRule="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被授权人签字</w:t>
      </w:r>
      <w:r>
        <w:rPr>
          <w:rFonts w:hint="eastAsia" w:ascii="宋体" w:hAnsi="宋体" w:eastAsia="宋体" w:cs="宋体"/>
          <w:color w:val="auto"/>
          <w:kern w:val="0"/>
          <w:sz w:val="24"/>
          <w:szCs w:val="24"/>
          <w:highlight w:val="none"/>
        </w:rPr>
        <w:t>或盖章</w:t>
      </w:r>
      <w:r>
        <w:rPr>
          <w:rFonts w:hint="eastAsia" w:ascii="宋体" w:hAnsi="宋体" w:eastAsia="宋体" w:cs="宋体"/>
          <w:color w:val="auto"/>
          <w:spacing w:val="-6"/>
          <w:sz w:val="24"/>
          <w:szCs w:val="24"/>
          <w:highlight w:val="none"/>
        </w:rPr>
        <w:t>：                        法定代表人签字或签章：</w:t>
      </w:r>
    </w:p>
    <w:p w14:paraId="7EE45E9A">
      <w:pPr>
        <w:snapToGrid w:val="0"/>
        <w:spacing w:line="288" w:lineRule="auto"/>
        <w:ind w:firstLine="912" w:firstLineChars="4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职务：                               职务：</w:t>
      </w:r>
    </w:p>
    <w:p w14:paraId="06251FCD">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被授权人身份证号码：</w:t>
      </w:r>
    </w:p>
    <w:p w14:paraId="37153EEA">
      <w:pPr>
        <w:pStyle w:val="31"/>
        <w:ind w:left="456" w:hanging="456"/>
        <w:rPr>
          <w:rFonts w:hint="eastAsia" w:ascii="宋体" w:hAnsi="宋体" w:eastAsia="宋体" w:cs="宋体"/>
          <w:color w:val="auto"/>
          <w:highlight w:val="none"/>
          <w:u w:val="single"/>
        </w:rPr>
      </w:pPr>
      <w:r>
        <w:rPr>
          <w:rFonts w:hint="eastAsia" w:ascii="宋体" w:hAnsi="宋体" w:eastAsia="宋体" w:cs="宋体"/>
          <w:color w:val="auto"/>
          <w:spacing w:val="-6"/>
          <w:szCs w:val="24"/>
          <w:highlight w:val="none"/>
        </w:rPr>
        <w:t>被授权人手机号码：</w:t>
      </w:r>
    </w:p>
    <w:p w14:paraId="6FD98DBF">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供应商名称（电子签章或公章）：</w:t>
      </w:r>
    </w:p>
    <w:p w14:paraId="709A8C30">
      <w:pPr>
        <w:snapToGrid w:val="0"/>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年    月    日</w:t>
      </w:r>
    </w:p>
    <w:p w14:paraId="47472472">
      <w:pPr>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9" name="文本框 1"/>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BE0959">
                            <w:pPr>
                              <w:rPr>
                                <w:rFonts w:ascii="宋体"/>
                                <w:sz w:val="24"/>
                              </w:rPr>
                            </w:pPr>
                            <w:r>
                              <w:rPr>
                                <w:rFonts w:hint="eastAsia" w:ascii="新宋体" w:hAnsi="新宋体" w:eastAsia="新宋体"/>
                                <w:sz w:val="22"/>
                              </w:rPr>
                              <w:t>被授权人</w:t>
                            </w:r>
                            <w:r>
                              <w:rPr>
                                <w:rFonts w:hint="eastAsia" w:ascii="宋体" w:hAnsi="宋体"/>
                                <w:sz w:val="24"/>
                              </w:rPr>
                              <w:t>身份证：</w:t>
                            </w:r>
                          </w:p>
                          <w:p w14:paraId="56AF2750">
                            <w:pPr>
                              <w:rPr>
                                <w:rFonts w:ascii="宋体"/>
                                <w:sz w:val="24"/>
                              </w:rPr>
                            </w:pPr>
                          </w:p>
                          <w:p w14:paraId="10250633">
                            <w:pPr>
                              <w:rPr>
                                <w:rFonts w:ascii="宋体"/>
                                <w:sz w:val="24"/>
                              </w:rPr>
                            </w:pPr>
                          </w:p>
                          <w:p w14:paraId="09A988E5">
                            <w:pPr>
                              <w:rPr>
                                <w:rFonts w:ascii="宋体"/>
                                <w:sz w:val="24"/>
                              </w:rPr>
                            </w:pPr>
                          </w:p>
                          <w:p w14:paraId="182F1B4D">
                            <w:pPr>
                              <w:rPr>
                                <w:rFonts w:ascii="宋体"/>
                                <w:sz w:val="24"/>
                              </w:rPr>
                            </w:pPr>
                            <w:r>
                              <w:rPr>
                                <w:rFonts w:hint="eastAsia" w:ascii="宋体" w:hAnsi="宋体"/>
                                <w:sz w:val="24"/>
                              </w:rPr>
                              <w:t>复印件粘贴处</w:t>
                            </w:r>
                          </w:p>
                        </w:txbxContent>
                      </wps:txbx>
                      <wps:bodyPr wrap="square" anchor="t" anchorCtr="0" upright="1"/>
                    </wps:wsp>
                  </a:graphicData>
                </a:graphic>
              </wp:anchor>
            </w:drawing>
          </mc:Choice>
          <mc:Fallback>
            <w:pict>
              <v:shape id="文本框 1" o:spid="_x0000_s1026" o:spt="202" type="#_x0000_t202" style="position:absolute;left:0pt;margin-left:40.35pt;margin-top:11.7pt;height:185.85pt;width:408.75pt;z-index:251666432;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0pX&#10;ydkAAAAJAQAADwAAAAAAAAABACAAAAAiAAAAZHJzL2Rvd25yZXYueG1sUEsBAhQAFAAAAAgAh07i&#10;QFxE8zkhAgAAXgQAAA4AAAAAAAAAAQAgAAAAKAEAAGRycy9lMm9Eb2MueG1sUEsFBgAAAAAGAAYA&#10;WQEAALsFAAAAAA==&#10;">
                <v:fill on="t" focussize="0,0"/>
                <v:stroke color="#000000" joinstyle="miter"/>
                <v:imagedata o:title=""/>
                <o:lock v:ext="edit" aspectratio="f"/>
                <v:textbox>
                  <w:txbxContent>
                    <w:p w14:paraId="42BE0959">
                      <w:pPr>
                        <w:rPr>
                          <w:rFonts w:ascii="宋体"/>
                          <w:sz w:val="24"/>
                        </w:rPr>
                      </w:pPr>
                      <w:r>
                        <w:rPr>
                          <w:rFonts w:hint="eastAsia" w:ascii="新宋体" w:hAnsi="新宋体" w:eastAsia="新宋体"/>
                          <w:sz w:val="22"/>
                        </w:rPr>
                        <w:t>被授权人</w:t>
                      </w:r>
                      <w:r>
                        <w:rPr>
                          <w:rFonts w:hint="eastAsia" w:ascii="宋体" w:hAnsi="宋体"/>
                          <w:sz w:val="24"/>
                        </w:rPr>
                        <w:t>身份证：</w:t>
                      </w:r>
                    </w:p>
                    <w:p w14:paraId="56AF2750">
                      <w:pPr>
                        <w:rPr>
                          <w:rFonts w:ascii="宋体"/>
                          <w:sz w:val="24"/>
                        </w:rPr>
                      </w:pPr>
                    </w:p>
                    <w:p w14:paraId="10250633">
                      <w:pPr>
                        <w:rPr>
                          <w:rFonts w:ascii="宋体"/>
                          <w:sz w:val="24"/>
                        </w:rPr>
                      </w:pPr>
                    </w:p>
                    <w:p w14:paraId="09A988E5">
                      <w:pPr>
                        <w:rPr>
                          <w:rFonts w:ascii="宋体"/>
                          <w:sz w:val="24"/>
                        </w:rPr>
                      </w:pPr>
                    </w:p>
                    <w:p w14:paraId="182F1B4D">
                      <w:pPr>
                        <w:rPr>
                          <w:rFonts w:ascii="宋体"/>
                          <w:sz w:val="24"/>
                        </w:rPr>
                      </w:pPr>
                      <w:r>
                        <w:rPr>
                          <w:rFonts w:hint="eastAsia" w:ascii="宋体" w:hAnsi="宋体"/>
                          <w:sz w:val="24"/>
                        </w:rPr>
                        <w:t>复印件粘贴处</w:t>
                      </w:r>
                    </w:p>
                  </w:txbxContent>
                </v:textbox>
              </v:shape>
            </w:pict>
          </mc:Fallback>
        </mc:AlternateContent>
      </w:r>
    </w:p>
    <w:p w14:paraId="42061AEA">
      <w:pPr>
        <w:spacing w:line="288" w:lineRule="auto"/>
        <w:rPr>
          <w:rFonts w:hint="eastAsia" w:ascii="宋体" w:hAnsi="宋体" w:eastAsia="宋体" w:cs="宋体"/>
          <w:color w:val="auto"/>
          <w:spacing w:val="-6"/>
          <w:sz w:val="24"/>
          <w:szCs w:val="24"/>
          <w:highlight w:val="none"/>
        </w:rPr>
      </w:pPr>
    </w:p>
    <w:p w14:paraId="0C6CCF8E">
      <w:pPr>
        <w:spacing w:line="288" w:lineRule="auto"/>
        <w:rPr>
          <w:rFonts w:hint="eastAsia" w:ascii="宋体" w:hAnsi="宋体" w:eastAsia="宋体" w:cs="宋体"/>
          <w:color w:val="auto"/>
          <w:spacing w:val="-6"/>
          <w:sz w:val="24"/>
          <w:szCs w:val="24"/>
          <w:highlight w:val="none"/>
        </w:rPr>
      </w:pPr>
    </w:p>
    <w:p w14:paraId="47822805">
      <w:pPr>
        <w:spacing w:line="288" w:lineRule="auto"/>
        <w:rPr>
          <w:rFonts w:hint="eastAsia" w:ascii="宋体" w:hAnsi="宋体" w:eastAsia="宋体" w:cs="宋体"/>
          <w:color w:val="auto"/>
          <w:spacing w:val="-6"/>
          <w:sz w:val="24"/>
          <w:szCs w:val="24"/>
          <w:highlight w:val="none"/>
        </w:rPr>
      </w:pPr>
    </w:p>
    <w:p w14:paraId="1884B22E">
      <w:pPr>
        <w:spacing w:line="288" w:lineRule="auto"/>
        <w:rPr>
          <w:rFonts w:hint="eastAsia" w:ascii="宋体" w:hAnsi="宋体" w:eastAsia="宋体" w:cs="宋体"/>
          <w:color w:val="auto"/>
          <w:spacing w:val="-6"/>
          <w:sz w:val="24"/>
          <w:szCs w:val="24"/>
          <w:highlight w:val="none"/>
        </w:rPr>
      </w:pPr>
    </w:p>
    <w:p w14:paraId="703D3F7A">
      <w:pPr>
        <w:spacing w:line="288" w:lineRule="auto"/>
        <w:rPr>
          <w:rFonts w:hint="eastAsia" w:ascii="宋体" w:hAnsi="宋体" w:eastAsia="宋体" w:cs="宋体"/>
          <w:color w:val="auto"/>
          <w:spacing w:val="-6"/>
          <w:sz w:val="24"/>
          <w:szCs w:val="24"/>
          <w:highlight w:val="none"/>
        </w:rPr>
      </w:pPr>
    </w:p>
    <w:p w14:paraId="4E51B2AF">
      <w:pPr>
        <w:spacing w:line="288" w:lineRule="auto"/>
        <w:rPr>
          <w:rFonts w:hint="eastAsia" w:ascii="宋体" w:hAnsi="宋体" w:eastAsia="宋体" w:cs="宋体"/>
          <w:color w:val="auto"/>
          <w:spacing w:val="-6"/>
          <w:sz w:val="24"/>
          <w:szCs w:val="24"/>
          <w:highlight w:val="none"/>
        </w:rPr>
      </w:pPr>
    </w:p>
    <w:p w14:paraId="4621B55A">
      <w:pPr>
        <w:spacing w:line="288" w:lineRule="auto"/>
        <w:rPr>
          <w:rFonts w:hint="eastAsia" w:ascii="宋体" w:hAnsi="宋体" w:eastAsia="宋体" w:cs="宋体"/>
          <w:color w:val="auto"/>
          <w:spacing w:val="-6"/>
          <w:sz w:val="24"/>
          <w:szCs w:val="24"/>
          <w:highlight w:val="none"/>
        </w:rPr>
      </w:pPr>
    </w:p>
    <w:p w14:paraId="7B95461D">
      <w:pPr>
        <w:spacing w:line="288" w:lineRule="auto"/>
        <w:rPr>
          <w:rFonts w:hint="eastAsia" w:ascii="宋体" w:hAnsi="宋体" w:eastAsia="宋体" w:cs="宋体"/>
          <w:color w:val="auto"/>
          <w:spacing w:val="-6"/>
          <w:sz w:val="24"/>
          <w:szCs w:val="24"/>
          <w:highlight w:val="none"/>
        </w:rPr>
      </w:pPr>
    </w:p>
    <w:p w14:paraId="38B28E0E">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法定代表人授权书</w:t>
      </w:r>
    </w:p>
    <w:p w14:paraId="6FB3C3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EA2B166">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 w:val="28"/>
          <w:szCs w:val="28"/>
          <w:highlight w:val="none"/>
        </w:rPr>
        <w:t>联合投标授权委托书（联合体投标须提供）</w:t>
      </w:r>
    </w:p>
    <w:p w14:paraId="4FC63FAD">
      <w:pPr>
        <w:pStyle w:val="7"/>
        <w:overflowPunct w:val="0"/>
        <w:spacing w:line="360" w:lineRule="auto"/>
        <w:ind w:firstLine="0"/>
        <w:rPr>
          <w:rFonts w:hint="eastAsia" w:ascii="宋体" w:hAnsi="宋体" w:eastAsia="宋体" w:cs="宋体"/>
          <w:color w:val="auto"/>
          <w:sz w:val="24"/>
          <w:szCs w:val="24"/>
          <w:highlight w:val="none"/>
        </w:rPr>
      </w:pPr>
    </w:p>
    <w:p w14:paraId="27640E39">
      <w:pPr>
        <w:snapToGrid w:val="0"/>
        <w:spacing w:line="360" w:lineRule="auto"/>
        <w:rPr>
          <w:rFonts w:hint="eastAsia" w:ascii="宋体" w:hAnsi="宋体" w:eastAsia="宋体" w:cs="宋体"/>
          <w:b/>
          <w:bCs/>
          <w:color w:val="auto"/>
          <w:spacing w:val="-6"/>
          <w:sz w:val="24"/>
          <w:szCs w:val="24"/>
          <w:highlight w:val="none"/>
        </w:rPr>
      </w:pPr>
      <w:bookmarkStart w:id="127" w:name="_Hlk112340065"/>
      <w:r>
        <w:rPr>
          <w:rFonts w:hint="eastAsia" w:ascii="宋体" w:hAnsi="宋体" w:eastAsia="宋体" w:cs="宋体"/>
          <w:bCs/>
          <w:color w:val="auto"/>
          <w:spacing w:val="-6"/>
          <w:sz w:val="24"/>
          <w:szCs w:val="24"/>
          <w:highlight w:val="none"/>
        </w:rPr>
        <w:t>致：</w:t>
      </w:r>
      <w:r>
        <w:rPr>
          <w:rFonts w:hint="eastAsia" w:ascii="宋体" w:hAnsi="宋体" w:eastAsia="宋体" w:cs="宋体"/>
          <w:color w:val="auto"/>
          <w:sz w:val="24"/>
          <w:szCs w:val="24"/>
          <w:highlight w:val="none"/>
        </w:rPr>
        <w:t>文成县卫生健康局、浙江乐诚工程咨询有限公司</w:t>
      </w:r>
      <w:r>
        <w:rPr>
          <w:rFonts w:hint="eastAsia" w:ascii="宋体" w:hAnsi="宋体" w:eastAsia="宋体" w:cs="宋体"/>
          <w:color w:val="auto"/>
          <w:spacing w:val="-6"/>
          <w:sz w:val="24"/>
          <w:szCs w:val="24"/>
          <w:highlight w:val="none"/>
        </w:rPr>
        <w:t>：</w:t>
      </w:r>
    </w:p>
    <w:bookmarkEnd w:id="127"/>
    <w:p w14:paraId="68C4BDB6">
      <w:pPr>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项目名称</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sz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6"/>
          <w:sz w:val="24"/>
          <w:szCs w:val="24"/>
          <w:highlight w:val="none"/>
        </w:rPr>
        <w:t>的投标活动，并代表我方全权办理针对上述项目的投标、开标、评标、签约等具体事务和签署相关文件。</w:t>
      </w:r>
    </w:p>
    <w:p w14:paraId="0B70EDEF">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我方对被授权人的签名负全部责任。</w:t>
      </w:r>
    </w:p>
    <w:p w14:paraId="09DF8524">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委托期限</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zh-CN"/>
        </w:rPr>
        <w:t>自</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日起至</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日止。</w:t>
      </w:r>
    </w:p>
    <w:p w14:paraId="51DB8A95">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在撤销授权的书面通知以前，本授权书一直有效。被授权人在授权书有效期内签署的所有文件不因授权的撤销而失效。</w:t>
      </w:r>
    </w:p>
    <w:p w14:paraId="6199E200">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被授权人无转委托权，特此委托。</w:t>
      </w:r>
    </w:p>
    <w:p w14:paraId="0ECD40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35288B23">
      <w:pPr>
        <w:snapToGrid w:val="0"/>
        <w:spacing w:line="360" w:lineRule="auto"/>
        <w:ind w:firstLine="5016" w:firstLineChars="2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被授权人签字</w:t>
      </w:r>
      <w:r>
        <w:rPr>
          <w:rFonts w:hint="eastAsia" w:ascii="宋体" w:hAnsi="宋体" w:eastAsia="宋体" w:cs="宋体"/>
          <w:color w:val="auto"/>
          <w:kern w:val="0"/>
          <w:sz w:val="24"/>
          <w:szCs w:val="24"/>
          <w:highlight w:val="none"/>
        </w:rPr>
        <w:t>或盖章</w:t>
      </w:r>
      <w:r>
        <w:rPr>
          <w:rFonts w:hint="eastAsia" w:ascii="宋体" w:hAnsi="宋体" w:eastAsia="宋体" w:cs="宋体"/>
          <w:color w:val="auto"/>
          <w:spacing w:val="-6"/>
          <w:sz w:val="24"/>
          <w:szCs w:val="24"/>
          <w:highlight w:val="none"/>
        </w:rPr>
        <w:t>：</w:t>
      </w:r>
    </w:p>
    <w:p w14:paraId="5E492A2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w:t>
      </w:r>
      <w:r>
        <w:rPr>
          <w:rFonts w:hint="eastAsia" w:ascii="宋体" w:hAnsi="宋体" w:eastAsia="宋体" w:cs="宋体"/>
          <w:color w:val="auto"/>
          <w:spacing w:val="-6"/>
          <w:sz w:val="24"/>
          <w:szCs w:val="24"/>
          <w:highlight w:val="none"/>
        </w:rPr>
        <w:t>签章</w:t>
      </w:r>
      <w:r>
        <w:rPr>
          <w:rFonts w:hint="eastAsia" w:ascii="宋体" w:hAnsi="宋体" w:eastAsia="宋体" w:cs="宋体"/>
          <w:color w:val="auto"/>
          <w:kern w:val="0"/>
          <w:sz w:val="24"/>
          <w:highlight w:val="none"/>
          <w:lang w:val="zh-CN"/>
        </w:rPr>
        <w:t>或公章）：</w:t>
      </w:r>
    </w:p>
    <w:p w14:paraId="7C055D9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w:t>
      </w:r>
      <w:r>
        <w:rPr>
          <w:rFonts w:hint="eastAsia" w:ascii="宋体" w:hAnsi="宋体" w:eastAsia="宋体" w:cs="宋体"/>
          <w:color w:val="auto"/>
          <w:spacing w:val="-6"/>
          <w:sz w:val="24"/>
          <w:szCs w:val="24"/>
          <w:highlight w:val="none"/>
        </w:rPr>
        <w:t>签章</w:t>
      </w:r>
      <w:r>
        <w:rPr>
          <w:rFonts w:hint="eastAsia" w:ascii="宋体" w:hAnsi="宋体" w:eastAsia="宋体" w:cs="宋体"/>
          <w:color w:val="auto"/>
          <w:kern w:val="0"/>
          <w:sz w:val="24"/>
          <w:highlight w:val="none"/>
          <w:lang w:val="zh-CN"/>
        </w:rPr>
        <w:t>或公章）：</w:t>
      </w:r>
    </w:p>
    <w:p w14:paraId="084AF6B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56AA9C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C8D7A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59829D2">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附件7</w:t>
      </w:r>
    </w:p>
    <w:p w14:paraId="0EA78E5A">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函</w:t>
      </w:r>
    </w:p>
    <w:p w14:paraId="660B987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文成县卫生健康局、浙江乐诚工程咨询有限公司</w:t>
      </w:r>
    </w:p>
    <w:p w14:paraId="60E8CC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根据贵方为文成县卫生健康局项目（项目编号：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）的投标邀请，我方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（投标人名称）作为投标人正式授权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（授权代表全名，职务）代表我方处理本次项目中的一切投标相关事宜。</w:t>
      </w:r>
    </w:p>
    <w:p w14:paraId="5612D80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我方己完全明白招标文件的所有条款要求，并重申以下几点：</w:t>
      </w:r>
    </w:p>
    <w:p w14:paraId="36B4E0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（一）本投标文件的有效期自提交投标文件的截止之日起 </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天内有效，如中标，有效期将延至合同终止日为止；</w:t>
      </w:r>
    </w:p>
    <w:p w14:paraId="7D1D6B2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4402E62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（三）我方明白并愿意在规定的开标时间之后，投标人在投标有效期内不撤回投标；</w:t>
      </w:r>
    </w:p>
    <w:p w14:paraId="345A5A4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（四）我方同意提供按照贵方可能要求的与投标有关的一切数据或资料；</w:t>
      </w:r>
    </w:p>
    <w:p w14:paraId="60EA243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（五）我方理解贵方不一定接受最低报价。</w:t>
      </w:r>
    </w:p>
    <w:p w14:paraId="420399B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14:paraId="5D6B47D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（七）所有与本投标有关的函件请发往下列地址：</w:t>
      </w:r>
    </w:p>
    <w:p w14:paraId="10DFEF62">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p>
    <w:p w14:paraId="4321E132">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3FCF9F2C">
      <w:pPr>
        <w:spacing w:line="40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1022AAC7">
      <w:pPr>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14:paraId="101A922B">
      <w:pPr>
        <w:spacing w:line="400" w:lineRule="exact"/>
        <w:rPr>
          <w:rFonts w:hint="eastAsia" w:ascii="宋体" w:hAnsi="宋体" w:eastAsia="宋体" w:cs="宋体"/>
          <w:color w:val="auto"/>
          <w:sz w:val="24"/>
          <w:szCs w:val="24"/>
          <w:highlight w:val="none"/>
        </w:rPr>
      </w:pPr>
    </w:p>
    <w:p w14:paraId="4928F250">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0811932C">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14:paraId="3CC597AD">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5ADF4765">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32E1475">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附件8</w:t>
      </w:r>
    </w:p>
    <w:p w14:paraId="59DDBCCA">
      <w:pPr>
        <w:snapToGrid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投标声明书</w:t>
      </w:r>
    </w:p>
    <w:p w14:paraId="724988CC">
      <w:pPr>
        <w:spacing w:line="400" w:lineRule="exact"/>
        <w:rPr>
          <w:rFonts w:hint="eastAsia" w:ascii="宋体" w:hAnsi="宋体" w:eastAsia="宋体" w:cs="宋体"/>
          <w:color w:val="auto"/>
          <w:sz w:val="24"/>
          <w:szCs w:val="24"/>
          <w:highlight w:val="none"/>
        </w:rPr>
      </w:pPr>
    </w:p>
    <w:p w14:paraId="5FDF953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文成县卫生健康局、浙江乐诚工程咨询有限公司</w:t>
      </w:r>
      <w:r>
        <w:rPr>
          <w:rFonts w:hint="eastAsia" w:ascii="宋体" w:hAnsi="宋体" w:eastAsia="宋体" w:cs="宋体"/>
          <w:color w:val="auto"/>
          <w:sz w:val="24"/>
          <w:szCs w:val="24"/>
          <w:highlight w:val="none"/>
        </w:rPr>
        <w:t>：</w:t>
      </w:r>
    </w:p>
    <w:p w14:paraId="7A109554">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56DD63">
      <w:pPr>
        <w:snapToGrid w:val="0"/>
        <w:spacing w:line="4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）的投标，为便于贵方公正、择优地确定中标人及其服务，我方就本次投标有关事项郑重声明如下：</w:t>
      </w:r>
    </w:p>
    <w:p w14:paraId="37D0B42C">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1.我方向贵方提交的所有投标文件、资料都是准确的和真实的；</w:t>
      </w:r>
    </w:p>
    <w:p w14:paraId="02FC95E1">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2.我方不是采购人的附属机构；在获知本项目采购信息后，与采购人聘请的为此项目提供咨询服务的公司及其附属机构没有任何联系；</w:t>
      </w:r>
    </w:p>
    <w:p w14:paraId="5904A468">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3.我方在参加政府采购活动前3年内：</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（填写“有”或“没有”，如实填写，如不填写视同未按要求填写）</w:t>
      </w:r>
      <w:r>
        <w:rPr>
          <w:rFonts w:hint="eastAsia" w:ascii="宋体" w:hAnsi="宋体" w:eastAsia="宋体" w:cs="宋体"/>
          <w:color w:val="auto"/>
          <w:spacing w:val="-6"/>
          <w:sz w:val="24"/>
          <w:szCs w:val="24"/>
          <w:highlight w:val="none"/>
        </w:rPr>
        <w:t>因违法经营被禁止在一定期限内参加政府采购活动，且期限未满的情形；</w:t>
      </w:r>
    </w:p>
    <w:p w14:paraId="45DDD14C">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4.以上事项如有虚假或隐瞒，我方愿意承担一切后果和责任。</w:t>
      </w:r>
    </w:p>
    <w:p w14:paraId="6B3D59ED">
      <w:pPr>
        <w:pStyle w:val="11"/>
        <w:tabs>
          <w:tab w:val="left" w:pos="939"/>
        </w:tabs>
        <w:snapToGrid w:val="0"/>
        <w:spacing w:line="400" w:lineRule="exact"/>
        <w:ind w:left="458" w:leftChars="0" w:hanging="458" w:hangingChars="191"/>
        <w:rPr>
          <w:rFonts w:hint="eastAsia" w:ascii="宋体" w:hAnsi="宋体" w:eastAsia="宋体" w:cs="宋体"/>
          <w:color w:val="auto"/>
          <w:sz w:val="24"/>
          <w:szCs w:val="24"/>
          <w:highlight w:val="none"/>
        </w:rPr>
      </w:pPr>
    </w:p>
    <w:p w14:paraId="61D4EB71">
      <w:pPr>
        <w:pStyle w:val="60"/>
        <w:snapToGrid w:val="0"/>
        <w:spacing w:line="400" w:lineRule="exact"/>
        <w:ind w:firstLine="200"/>
        <w:rPr>
          <w:rFonts w:hint="eastAsia" w:ascii="宋体" w:hAnsi="宋体" w:eastAsia="宋体" w:cs="宋体"/>
          <w:color w:val="auto"/>
          <w:highlight w:val="none"/>
        </w:rPr>
      </w:pPr>
    </w:p>
    <w:p w14:paraId="43947138">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0DDC89A0">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14:paraId="122934DD">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74380CD1">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14:paraId="09AF36E8">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附件9</w:t>
      </w:r>
    </w:p>
    <w:p w14:paraId="65A65630">
      <w:pPr>
        <w:spacing w:line="400" w:lineRule="exact"/>
        <w:ind w:firstLine="435"/>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投标人基本情况表</w:t>
      </w:r>
    </w:p>
    <w:tbl>
      <w:tblPr>
        <w:tblStyle w:val="32"/>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5CAD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417707C">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p>
        </w:tc>
        <w:tc>
          <w:tcPr>
            <w:tcW w:w="8490" w:type="dxa"/>
            <w:gridSpan w:val="3"/>
            <w:vAlign w:val="center"/>
          </w:tcPr>
          <w:p w14:paraId="1A557CE9">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w:t>
            </w:r>
          </w:p>
        </w:tc>
      </w:tr>
      <w:tr w14:paraId="7695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9E55DB2">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p>
        </w:tc>
        <w:tc>
          <w:tcPr>
            <w:tcW w:w="8490" w:type="dxa"/>
            <w:gridSpan w:val="3"/>
            <w:vAlign w:val="center"/>
          </w:tcPr>
          <w:p w14:paraId="2F33AC87">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总部地址：</w:t>
            </w:r>
          </w:p>
        </w:tc>
      </w:tr>
      <w:tr w14:paraId="3AA1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C3D15B5">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w:t>
            </w:r>
          </w:p>
        </w:tc>
        <w:tc>
          <w:tcPr>
            <w:tcW w:w="8490" w:type="dxa"/>
            <w:gridSpan w:val="3"/>
            <w:vAlign w:val="center"/>
          </w:tcPr>
          <w:p w14:paraId="3667DD3B">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当地代表处地址：</w:t>
            </w:r>
          </w:p>
        </w:tc>
      </w:tr>
      <w:tr w14:paraId="0659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972C164">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w:t>
            </w:r>
          </w:p>
        </w:tc>
        <w:tc>
          <w:tcPr>
            <w:tcW w:w="4305" w:type="dxa"/>
            <w:gridSpan w:val="2"/>
            <w:vAlign w:val="center"/>
          </w:tcPr>
          <w:p w14:paraId="79625893">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4185" w:type="dxa"/>
            <w:vAlign w:val="center"/>
          </w:tcPr>
          <w:p w14:paraId="16FBCFF5">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p>
        </w:tc>
      </w:tr>
      <w:tr w14:paraId="39CB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23E2177">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w:t>
            </w:r>
          </w:p>
        </w:tc>
        <w:tc>
          <w:tcPr>
            <w:tcW w:w="4305" w:type="dxa"/>
            <w:gridSpan w:val="2"/>
            <w:vAlign w:val="center"/>
          </w:tcPr>
          <w:p w14:paraId="56FA59AF">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4185" w:type="dxa"/>
            <w:vAlign w:val="center"/>
          </w:tcPr>
          <w:p w14:paraId="5172D791">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电子信箱：</w:t>
            </w:r>
          </w:p>
        </w:tc>
      </w:tr>
      <w:tr w14:paraId="68C8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5CD979C">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w:t>
            </w:r>
          </w:p>
        </w:tc>
        <w:tc>
          <w:tcPr>
            <w:tcW w:w="4305" w:type="dxa"/>
            <w:gridSpan w:val="2"/>
            <w:vAlign w:val="center"/>
          </w:tcPr>
          <w:p w14:paraId="314BFF7A">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注册地：</w:t>
            </w:r>
          </w:p>
        </w:tc>
        <w:tc>
          <w:tcPr>
            <w:tcW w:w="4185" w:type="dxa"/>
            <w:vAlign w:val="center"/>
          </w:tcPr>
          <w:p w14:paraId="1DE1B767">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注册年份：</w:t>
            </w:r>
          </w:p>
        </w:tc>
      </w:tr>
      <w:tr w14:paraId="740C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03026CF">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w:t>
            </w:r>
          </w:p>
        </w:tc>
        <w:tc>
          <w:tcPr>
            <w:tcW w:w="8490" w:type="dxa"/>
            <w:gridSpan w:val="3"/>
            <w:vAlign w:val="center"/>
          </w:tcPr>
          <w:p w14:paraId="0F80F4A3">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公司的资质等级（请附上有关证书）</w:t>
            </w:r>
          </w:p>
        </w:tc>
      </w:tr>
      <w:tr w14:paraId="2162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BF7190E">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w:t>
            </w:r>
          </w:p>
        </w:tc>
        <w:tc>
          <w:tcPr>
            <w:tcW w:w="8490" w:type="dxa"/>
            <w:gridSpan w:val="3"/>
            <w:vAlign w:val="center"/>
          </w:tcPr>
          <w:p w14:paraId="51F895D6">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公司（是否通过，何种）质量保证体系认证（如通过请附相关证书，提供认证机构年审监督报告）</w:t>
            </w:r>
          </w:p>
        </w:tc>
      </w:tr>
      <w:tr w14:paraId="090A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071AEE0">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w:t>
            </w:r>
          </w:p>
        </w:tc>
        <w:tc>
          <w:tcPr>
            <w:tcW w:w="2520" w:type="dxa"/>
            <w:vAlign w:val="center"/>
          </w:tcPr>
          <w:p w14:paraId="1261884A">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其他需要说明的情况</w:t>
            </w:r>
          </w:p>
        </w:tc>
        <w:tc>
          <w:tcPr>
            <w:tcW w:w="5970" w:type="dxa"/>
            <w:gridSpan w:val="2"/>
            <w:vAlign w:val="center"/>
          </w:tcPr>
          <w:p w14:paraId="3AF6796F">
            <w:pPr>
              <w:spacing w:line="400" w:lineRule="exact"/>
              <w:rPr>
                <w:rFonts w:hint="eastAsia" w:ascii="宋体" w:hAnsi="宋体" w:eastAsia="宋体" w:cs="宋体"/>
                <w:color w:val="auto"/>
                <w:spacing w:val="-6"/>
                <w:sz w:val="24"/>
                <w:highlight w:val="none"/>
              </w:rPr>
            </w:pPr>
          </w:p>
        </w:tc>
      </w:tr>
    </w:tbl>
    <w:p w14:paraId="618A110E">
      <w:pPr>
        <w:spacing w:line="400" w:lineRule="exact"/>
        <w:rPr>
          <w:rFonts w:hint="eastAsia" w:ascii="宋体" w:hAnsi="宋体" w:eastAsia="宋体" w:cs="宋体"/>
          <w:color w:val="auto"/>
          <w:spacing w:val="-6"/>
          <w:sz w:val="24"/>
          <w:highlight w:val="none"/>
        </w:rPr>
      </w:pPr>
    </w:p>
    <w:p w14:paraId="0B7730E6">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说明：所有投标人都须填写此表。</w:t>
      </w:r>
    </w:p>
    <w:p w14:paraId="167667E0">
      <w:pPr>
        <w:spacing w:line="400" w:lineRule="exact"/>
        <w:rPr>
          <w:rFonts w:hint="eastAsia" w:ascii="宋体" w:hAnsi="宋体" w:eastAsia="宋体" w:cs="宋体"/>
          <w:color w:val="auto"/>
          <w:spacing w:val="-6"/>
          <w:sz w:val="24"/>
          <w:highlight w:val="none"/>
        </w:rPr>
      </w:pPr>
    </w:p>
    <w:p w14:paraId="706AE237">
      <w:pPr>
        <w:spacing w:line="400" w:lineRule="exact"/>
        <w:rPr>
          <w:rFonts w:hint="eastAsia" w:ascii="宋体" w:hAnsi="宋体" w:eastAsia="宋体" w:cs="宋体"/>
          <w:color w:val="auto"/>
          <w:spacing w:val="-6"/>
          <w:sz w:val="24"/>
          <w:highlight w:val="none"/>
        </w:rPr>
      </w:pPr>
    </w:p>
    <w:p w14:paraId="21989348">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0C8FAC04">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14:paraId="2282E25E">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77F32E5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0B3E293">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附件10</w:t>
      </w:r>
    </w:p>
    <w:p w14:paraId="783103DE">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节能、环保产品证明材料（如有）</w:t>
      </w:r>
    </w:p>
    <w:p w14:paraId="1305D37D">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9EDA296">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关于印发环境标志产品政府采购品目清单的通知（财库〔2019〕18号）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http://www.ccgp.gov.cn/zcfg/mof/201903/t20190330_11833800.htm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关于印发节能产品政府采购品目清单的通知（财库〔2019〕19号）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http://www.ccgp.gov.cn/zcfg/mof/201904/t20190403_11849836.htm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797E4F04">
      <w:pPr>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▲注：</w:t>
      </w:r>
      <w:r>
        <w:rPr>
          <w:rFonts w:hint="eastAsia" w:ascii="宋体" w:hAnsi="宋体" w:cs="宋体"/>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eastAsia="宋体" w:cs="宋体"/>
          <w:color w:val="auto"/>
          <w:sz w:val="22"/>
          <w:highlight w:val="none"/>
          <w:u w:val="single"/>
        </w:rPr>
        <w:t>，否则其投标无效。</w:t>
      </w:r>
    </w:p>
    <w:p w14:paraId="128758C7">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2、评审小组成员审查此项只根据投标文件本身的内容，不再寻求其他的外部证据。</w:t>
      </w:r>
    </w:p>
    <w:p w14:paraId="6C77BBE3">
      <w:pPr>
        <w:spacing w:line="400" w:lineRule="exact"/>
        <w:jc w:val="center"/>
        <w:rPr>
          <w:rFonts w:hint="eastAsia" w:ascii="宋体" w:hAnsi="宋体" w:eastAsia="宋体" w:cs="宋体"/>
          <w:b/>
          <w:color w:val="auto"/>
          <w:sz w:val="24"/>
          <w:szCs w:val="24"/>
          <w:highlight w:val="none"/>
        </w:rPr>
      </w:pPr>
    </w:p>
    <w:p w14:paraId="2D2172A4">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p>
    <w:p w14:paraId="173A492C">
      <w:pPr>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（1）投标产品中节能产品明细清单</w:t>
      </w:r>
    </w:p>
    <w:tbl>
      <w:tblPr>
        <w:tblStyle w:val="3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21CB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ADE9620">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0859B71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5A47CD3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456C71DF">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1D9A5306">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4B7710F3">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3A58839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0A5A339F">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16ED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E02E855">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7D7923BE">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1803202F">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81DEB8A">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3817840">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57B8FEC9">
            <w:pPr>
              <w:jc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FBDF729">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1D87E310">
            <w:pPr>
              <w:rPr>
                <w:rFonts w:hint="eastAsia" w:ascii="宋体" w:hAnsi="宋体" w:eastAsia="宋体" w:cs="宋体"/>
                <w:color w:val="auto"/>
                <w:sz w:val="22"/>
                <w:highlight w:val="none"/>
              </w:rPr>
            </w:pPr>
          </w:p>
        </w:tc>
      </w:tr>
      <w:tr w14:paraId="314F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8A99C60">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416BC2F0">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7AA81CA1">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FBD1DE7">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C95C73B">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344610D8">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905D9C7">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5B61C30">
            <w:pPr>
              <w:rPr>
                <w:rFonts w:hint="eastAsia" w:ascii="宋体" w:hAnsi="宋体" w:eastAsia="宋体" w:cs="宋体"/>
                <w:color w:val="auto"/>
                <w:sz w:val="22"/>
                <w:highlight w:val="none"/>
              </w:rPr>
            </w:pPr>
          </w:p>
        </w:tc>
      </w:tr>
    </w:tbl>
    <w:p w14:paraId="6AD8A709">
      <w:pPr>
        <w:rPr>
          <w:rFonts w:hint="eastAsia" w:ascii="宋体" w:hAnsi="宋体" w:eastAsia="宋体" w:cs="宋体"/>
          <w:color w:val="auto"/>
          <w:sz w:val="22"/>
          <w:highlight w:val="none"/>
        </w:rPr>
      </w:pPr>
    </w:p>
    <w:p w14:paraId="636629FA">
      <w:pPr>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（2）投标产品中环保产品明细清单</w:t>
      </w:r>
    </w:p>
    <w:tbl>
      <w:tblPr>
        <w:tblStyle w:val="3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5615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CB5D40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6DAEBBC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6D4C72F1">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514C7155">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79222860">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7019181B">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56F07804">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7CC10F36">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2BD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817B66D">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151A2AFF">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6EDD1E58">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4B3A1B9E">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27A7A197">
            <w:pP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40BF22A7">
            <w:pPr>
              <w:jc w:val="cente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6D4149D">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6A60E8D">
            <w:pPr>
              <w:rPr>
                <w:rFonts w:hint="eastAsia" w:ascii="宋体" w:hAnsi="宋体" w:eastAsia="宋体" w:cs="宋体"/>
                <w:color w:val="auto"/>
                <w:sz w:val="22"/>
                <w:highlight w:val="none"/>
              </w:rPr>
            </w:pPr>
          </w:p>
        </w:tc>
      </w:tr>
      <w:tr w14:paraId="674F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E65FBD1">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008C60CD">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18D69A38">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43EE0282">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73000E5B">
            <w:pPr>
              <w:jc w:val="cente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FF97C1B">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404E560">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F14D452">
            <w:pPr>
              <w:rPr>
                <w:rFonts w:hint="eastAsia" w:ascii="宋体" w:hAnsi="宋体" w:eastAsia="宋体" w:cs="宋体"/>
                <w:color w:val="auto"/>
                <w:sz w:val="22"/>
                <w:highlight w:val="none"/>
              </w:rPr>
            </w:pPr>
          </w:p>
        </w:tc>
      </w:tr>
    </w:tbl>
    <w:p w14:paraId="04E1D5FD">
      <w:pPr>
        <w:rPr>
          <w:rFonts w:hint="eastAsia" w:ascii="宋体" w:hAnsi="宋体" w:eastAsia="宋体" w:cs="宋体"/>
          <w:color w:val="auto"/>
          <w:sz w:val="22"/>
          <w:highlight w:val="none"/>
        </w:rPr>
      </w:pPr>
    </w:p>
    <w:p w14:paraId="574D1693">
      <w:pP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备注：节能产品、环境标志产品认证证书附后</w:t>
      </w:r>
    </w:p>
    <w:p w14:paraId="0A97A05F">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46FC478">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附件11</w:t>
      </w:r>
    </w:p>
    <w:p w14:paraId="043E04CC">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投标人同类项目业绩一览表（如有）</w:t>
      </w:r>
    </w:p>
    <w:p w14:paraId="36554408">
      <w:pPr>
        <w:spacing w:line="400" w:lineRule="exact"/>
        <w:rPr>
          <w:rFonts w:hint="eastAsia" w:ascii="宋体" w:hAnsi="宋体" w:eastAsia="宋体" w:cs="宋体"/>
          <w:b/>
          <w:bCs/>
          <w:color w:val="auto"/>
          <w:sz w:val="24"/>
          <w:szCs w:val="24"/>
          <w:highlight w:val="none"/>
        </w:rPr>
      </w:pPr>
    </w:p>
    <w:p w14:paraId="6FFE1AE6">
      <w:pPr>
        <w:pStyle w:val="12"/>
        <w:spacing w:after="0" w:line="400" w:lineRule="exact"/>
        <w:ind w:left="0" w:leftChars="0" w:right="1470"/>
        <w:rPr>
          <w:rFonts w:hint="eastAsia" w:ascii="宋体" w:hAnsi="宋体" w:eastAsia="宋体" w:cs="宋体"/>
          <w:bCs/>
          <w:color w:val="auto"/>
          <w:sz w:val="24"/>
          <w:szCs w:val="24"/>
          <w:highlight w:val="none"/>
        </w:rPr>
      </w:pPr>
      <w:r>
        <w:rPr>
          <w:rFonts w:hint="eastAsia" w:ascii="宋体" w:hAnsi="宋体" w:eastAsia="宋体" w:cs="宋体"/>
          <w:b/>
          <w:color w:val="auto"/>
          <w:sz w:val="22"/>
          <w:highlight w:val="none"/>
        </w:rPr>
        <w:t>项</w:t>
      </w:r>
      <w:r>
        <w:rPr>
          <w:rFonts w:hint="eastAsia" w:ascii="宋体" w:hAnsi="宋体" w:eastAsia="宋体" w:cs="宋体"/>
          <w:b/>
          <w:color w:val="auto"/>
          <w:sz w:val="24"/>
          <w:szCs w:val="24"/>
          <w:highlight w:val="none"/>
        </w:rPr>
        <w:t xml:space="preserve">目名称：                              项目编号：                  </w:t>
      </w:r>
    </w:p>
    <w:tbl>
      <w:tblPr>
        <w:tblStyle w:val="32"/>
        <w:tblW w:w="98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728"/>
        <w:gridCol w:w="2316"/>
      </w:tblGrid>
      <w:tr w14:paraId="11C9B2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883735D">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序号</w:t>
            </w:r>
          </w:p>
        </w:tc>
        <w:tc>
          <w:tcPr>
            <w:tcW w:w="1833" w:type="dxa"/>
            <w:vAlign w:val="center"/>
          </w:tcPr>
          <w:p w14:paraId="71C2C581">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采购单位名称</w:t>
            </w:r>
          </w:p>
        </w:tc>
        <w:tc>
          <w:tcPr>
            <w:tcW w:w="1614" w:type="dxa"/>
            <w:vAlign w:val="center"/>
          </w:tcPr>
          <w:p w14:paraId="677DB2F2">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项目名称</w:t>
            </w:r>
          </w:p>
        </w:tc>
        <w:tc>
          <w:tcPr>
            <w:tcW w:w="1464" w:type="dxa"/>
            <w:vAlign w:val="center"/>
          </w:tcPr>
          <w:p w14:paraId="1D76A9F4">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合同金额</w:t>
            </w:r>
          </w:p>
        </w:tc>
        <w:tc>
          <w:tcPr>
            <w:tcW w:w="1728" w:type="dxa"/>
            <w:vAlign w:val="center"/>
          </w:tcPr>
          <w:p w14:paraId="49B8AF62">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合同签订时间</w:t>
            </w:r>
          </w:p>
        </w:tc>
        <w:tc>
          <w:tcPr>
            <w:tcW w:w="2316" w:type="dxa"/>
            <w:vAlign w:val="center"/>
          </w:tcPr>
          <w:p w14:paraId="12D6FB1D">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采购单位联系人及</w:t>
            </w:r>
          </w:p>
          <w:p w14:paraId="3183A3F2">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联系电话</w:t>
            </w:r>
          </w:p>
        </w:tc>
      </w:tr>
      <w:tr w14:paraId="0AB90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E93BDD9">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30109C5C">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06810A7F">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1187C58F">
            <w:pPr>
              <w:spacing w:line="400" w:lineRule="exact"/>
              <w:jc w:val="center"/>
              <w:rPr>
                <w:rFonts w:hint="eastAsia" w:ascii="宋体" w:hAnsi="宋体" w:eastAsia="宋体" w:cs="宋体"/>
                <w:b/>
                <w:bCs/>
                <w:color w:val="auto"/>
                <w:sz w:val="24"/>
                <w:szCs w:val="24"/>
                <w:highlight w:val="none"/>
              </w:rPr>
            </w:pPr>
          </w:p>
        </w:tc>
        <w:tc>
          <w:tcPr>
            <w:tcW w:w="1728" w:type="dxa"/>
          </w:tcPr>
          <w:p w14:paraId="0B308185">
            <w:pPr>
              <w:spacing w:line="400" w:lineRule="exact"/>
              <w:jc w:val="center"/>
              <w:rPr>
                <w:rFonts w:hint="eastAsia" w:ascii="宋体" w:hAnsi="宋体" w:eastAsia="宋体" w:cs="宋体"/>
                <w:b/>
                <w:bCs/>
                <w:color w:val="auto"/>
                <w:sz w:val="24"/>
                <w:szCs w:val="24"/>
                <w:highlight w:val="none"/>
              </w:rPr>
            </w:pPr>
          </w:p>
        </w:tc>
        <w:tc>
          <w:tcPr>
            <w:tcW w:w="2316" w:type="dxa"/>
          </w:tcPr>
          <w:p w14:paraId="550151BE">
            <w:pPr>
              <w:spacing w:line="400" w:lineRule="exact"/>
              <w:jc w:val="center"/>
              <w:rPr>
                <w:rFonts w:hint="eastAsia" w:ascii="宋体" w:hAnsi="宋体" w:eastAsia="宋体" w:cs="宋体"/>
                <w:b/>
                <w:bCs/>
                <w:color w:val="auto"/>
                <w:sz w:val="24"/>
                <w:szCs w:val="24"/>
                <w:highlight w:val="none"/>
              </w:rPr>
            </w:pPr>
          </w:p>
        </w:tc>
      </w:tr>
      <w:tr w14:paraId="68E5D1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E39D9E0">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6EEB7E46">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16284EDC">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2213A5A5">
            <w:pPr>
              <w:spacing w:line="400" w:lineRule="exact"/>
              <w:jc w:val="center"/>
              <w:rPr>
                <w:rFonts w:hint="eastAsia" w:ascii="宋体" w:hAnsi="宋体" w:eastAsia="宋体" w:cs="宋体"/>
                <w:b/>
                <w:bCs/>
                <w:color w:val="auto"/>
                <w:sz w:val="24"/>
                <w:szCs w:val="24"/>
                <w:highlight w:val="none"/>
              </w:rPr>
            </w:pPr>
          </w:p>
        </w:tc>
        <w:tc>
          <w:tcPr>
            <w:tcW w:w="1728" w:type="dxa"/>
          </w:tcPr>
          <w:p w14:paraId="059D7572">
            <w:pPr>
              <w:spacing w:line="400" w:lineRule="exact"/>
              <w:jc w:val="center"/>
              <w:rPr>
                <w:rFonts w:hint="eastAsia" w:ascii="宋体" w:hAnsi="宋体" w:eastAsia="宋体" w:cs="宋体"/>
                <w:b/>
                <w:bCs/>
                <w:color w:val="auto"/>
                <w:sz w:val="24"/>
                <w:szCs w:val="24"/>
                <w:highlight w:val="none"/>
              </w:rPr>
            </w:pPr>
          </w:p>
        </w:tc>
        <w:tc>
          <w:tcPr>
            <w:tcW w:w="2316" w:type="dxa"/>
          </w:tcPr>
          <w:p w14:paraId="2578EB49">
            <w:pPr>
              <w:spacing w:line="400" w:lineRule="exact"/>
              <w:jc w:val="center"/>
              <w:rPr>
                <w:rFonts w:hint="eastAsia" w:ascii="宋体" w:hAnsi="宋体" w:eastAsia="宋体" w:cs="宋体"/>
                <w:b/>
                <w:bCs/>
                <w:color w:val="auto"/>
                <w:sz w:val="24"/>
                <w:szCs w:val="24"/>
                <w:highlight w:val="none"/>
              </w:rPr>
            </w:pPr>
          </w:p>
        </w:tc>
      </w:tr>
      <w:tr w14:paraId="0EB7CE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2DE8177">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0AEA715F">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5001F71C">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08142F05">
            <w:pPr>
              <w:spacing w:line="400" w:lineRule="exact"/>
              <w:jc w:val="center"/>
              <w:rPr>
                <w:rFonts w:hint="eastAsia" w:ascii="宋体" w:hAnsi="宋体" w:eastAsia="宋体" w:cs="宋体"/>
                <w:b/>
                <w:bCs/>
                <w:color w:val="auto"/>
                <w:sz w:val="24"/>
                <w:szCs w:val="24"/>
                <w:highlight w:val="none"/>
              </w:rPr>
            </w:pPr>
          </w:p>
        </w:tc>
        <w:tc>
          <w:tcPr>
            <w:tcW w:w="1728" w:type="dxa"/>
          </w:tcPr>
          <w:p w14:paraId="64541DE2">
            <w:pPr>
              <w:spacing w:line="400" w:lineRule="exact"/>
              <w:jc w:val="center"/>
              <w:rPr>
                <w:rFonts w:hint="eastAsia" w:ascii="宋体" w:hAnsi="宋体" w:eastAsia="宋体" w:cs="宋体"/>
                <w:b/>
                <w:bCs/>
                <w:color w:val="auto"/>
                <w:sz w:val="24"/>
                <w:szCs w:val="24"/>
                <w:highlight w:val="none"/>
              </w:rPr>
            </w:pPr>
          </w:p>
        </w:tc>
        <w:tc>
          <w:tcPr>
            <w:tcW w:w="2316" w:type="dxa"/>
          </w:tcPr>
          <w:p w14:paraId="5FB24406">
            <w:pPr>
              <w:spacing w:line="400" w:lineRule="exact"/>
              <w:jc w:val="center"/>
              <w:rPr>
                <w:rFonts w:hint="eastAsia" w:ascii="宋体" w:hAnsi="宋体" w:eastAsia="宋体" w:cs="宋体"/>
                <w:b/>
                <w:bCs/>
                <w:color w:val="auto"/>
                <w:sz w:val="24"/>
                <w:szCs w:val="24"/>
                <w:highlight w:val="none"/>
              </w:rPr>
            </w:pPr>
          </w:p>
        </w:tc>
      </w:tr>
      <w:tr w14:paraId="60FF3B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22AE479">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406E505E">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72A79F66">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0F6AE93E">
            <w:pPr>
              <w:spacing w:line="400" w:lineRule="exact"/>
              <w:jc w:val="center"/>
              <w:rPr>
                <w:rFonts w:hint="eastAsia" w:ascii="宋体" w:hAnsi="宋体" w:eastAsia="宋体" w:cs="宋体"/>
                <w:b/>
                <w:bCs/>
                <w:color w:val="auto"/>
                <w:sz w:val="24"/>
                <w:szCs w:val="24"/>
                <w:highlight w:val="none"/>
              </w:rPr>
            </w:pPr>
          </w:p>
        </w:tc>
        <w:tc>
          <w:tcPr>
            <w:tcW w:w="1728" w:type="dxa"/>
          </w:tcPr>
          <w:p w14:paraId="7A5F4C0F">
            <w:pPr>
              <w:spacing w:line="400" w:lineRule="exact"/>
              <w:jc w:val="center"/>
              <w:rPr>
                <w:rFonts w:hint="eastAsia" w:ascii="宋体" w:hAnsi="宋体" w:eastAsia="宋体" w:cs="宋体"/>
                <w:b/>
                <w:bCs/>
                <w:color w:val="auto"/>
                <w:sz w:val="24"/>
                <w:szCs w:val="24"/>
                <w:highlight w:val="none"/>
              </w:rPr>
            </w:pPr>
          </w:p>
        </w:tc>
        <w:tc>
          <w:tcPr>
            <w:tcW w:w="2316" w:type="dxa"/>
          </w:tcPr>
          <w:p w14:paraId="0ED81F9D">
            <w:pPr>
              <w:spacing w:line="400" w:lineRule="exact"/>
              <w:jc w:val="center"/>
              <w:rPr>
                <w:rFonts w:hint="eastAsia" w:ascii="宋体" w:hAnsi="宋体" w:eastAsia="宋体" w:cs="宋体"/>
                <w:b/>
                <w:bCs/>
                <w:color w:val="auto"/>
                <w:sz w:val="24"/>
                <w:szCs w:val="24"/>
                <w:highlight w:val="none"/>
              </w:rPr>
            </w:pPr>
          </w:p>
        </w:tc>
      </w:tr>
      <w:tr w14:paraId="4A60B4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677A8A7">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3FDB013B">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2D821FD1">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27EED88A">
            <w:pPr>
              <w:spacing w:line="400" w:lineRule="exact"/>
              <w:jc w:val="center"/>
              <w:rPr>
                <w:rFonts w:hint="eastAsia" w:ascii="宋体" w:hAnsi="宋体" w:eastAsia="宋体" w:cs="宋体"/>
                <w:b/>
                <w:bCs/>
                <w:color w:val="auto"/>
                <w:sz w:val="24"/>
                <w:szCs w:val="24"/>
                <w:highlight w:val="none"/>
              </w:rPr>
            </w:pPr>
          </w:p>
        </w:tc>
        <w:tc>
          <w:tcPr>
            <w:tcW w:w="1728" w:type="dxa"/>
          </w:tcPr>
          <w:p w14:paraId="21B8CCF9">
            <w:pPr>
              <w:spacing w:line="400" w:lineRule="exact"/>
              <w:jc w:val="center"/>
              <w:rPr>
                <w:rFonts w:hint="eastAsia" w:ascii="宋体" w:hAnsi="宋体" w:eastAsia="宋体" w:cs="宋体"/>
                <w:b/>
                <w:bCs/>
                <w:color w:val="auto"/>
                <w:sz w:val="24"/>
                <w:szCs w:val="24"/>
                <w:highlight w:val="none"/>
              </w:rPr>
            </w:pPr>
          </w:p>
        </w:tc>
        <w:tc>
          <w:tcPr>
            <w:tcW w:w="2316" w:type="dxa"/>
          </w:tcPr>
          <w:p w14:paraId="1D27A751">
            <w:pPr>
              <w:spacing w:line="400" w:lineRule="exact"/>
              <w:jc w:val="center"/>
              <w:rPr>
                <w:rFonts w:hint="eastAsia" w:ascii="宋体" w:hAnsi="宋体" w:eastAsia="宋体" w:cs="宋体"/>
                <w:b/>
                <w:bCs/>
                <w:color w:val="auto"/>
                <w:sz w:val="24"/>
                <w:szCs w:val="24"/>
                <w:highlight w:val="none"/>
              </w:rPr>
            </w:pPr>
          </w:p>
        </w:tc>
      </w:tr>
      <w:tr w14:paraId="3A0915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4327DCB">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691E4349">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11899908">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3FD0998F">
            <w:pPr>
              <w:spacing w:line="400" w:lineRule="exact"/>
              <w:jc w:val="center"/>
              <w:rPr>
                <w:rFonts w:hint="eastAsia" w:ascii="宋体" w:hAnsi="宋体" w:eastAsia="宋体" w:cs="宋体"/>
                <w:b/>
                <w:bCs/>
                <w:color w:val="auto"/>
                <w:sz w:val="24"/>
                <w:szCs w:val="24"/>
                <w:highlight w:val="none"/>
              </w:rPr>
            </w:pPr>
          </w:p>
        </w:tc>
        <w:tc>
          <w:tcPr>
            <w:tcW w:w="1728" w:type="dxa"/>
          </w:tcPr>
          <w:p w14:paraId="798F8E16">
            <w:pPr>
              <w:spacing w:line="400" w:lineRule="exact"/>
              <w:jc w:val="center"/>
              <w:rPr>
                <w:rFonts w:hint="eastAsia" w:ascii="宋体" w:hAnsi="宋体" w:eastAsia="宋体" w:cs="宋体"/>
                <w:b/>
                <w:bCs/>
                <w:color w:val="auto"/>
                <w:sz w:val="24"/>
                <w:szCs w:val="24"/>
                <w:highlight w:val="none"/>
              </w:rPr>
            </w:pPr>
          </w:p>
        </w:tc>
        <w:tc>
          <w:tcPr>
            <w:tcW w:w="2316" w:type="dxa"/>
          </w:tcPr>
          <w:p w14:paraId="17686556">
            <w:pPr>
              <w:spacing w:line="400" w:lineRule="exact"/>
              <w:jc w:val="center"/>
              <w:rPr>
                <w:rFonts w:hint="eastAsia" w:ascii="宋体" w:hAnsi="宋体" w:eastAsia="宋体" w:cs="宋体"/>
                <w:b/>
                <w:bCs/>
                <w:color w:val="auto"/>
                <w:sz w:val="24"/>
                <w:szCs w:val="24"/>
                <w:highlight w:val="none"/>
              </w:rPr>
            </w:pPr>
          </w:p>
        </w:tc>
      </w:tr>
      <w:tr w14:paraId="30E05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E9E1A5C">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7E880447">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41356C26">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3774EC78">
            <w:pPr>
              <w:spacing w:line="400" w:lineRule="exact"/>
              <w:jc w:val="center"/>
              <w:rPr>
                <w:rFonts w:hint="eastAsia" w:ascii="宋体" w:hAnsi="宋体" w:eastAsia="宋体" w:cs="宋体"/>
                <w:b/>
                <w:bCs/>
                <w:color w:val="auto"/>
                <w:sz w:val="24"/>
                <w:szCs w:val="24"/>
                <w:highlight w:val="none"/>
              </w:rPr>
            </w:pPr>
          </w:p>
        </w:tc>
        <w:tc>
          <w:tcPr>
            <w:tcW w:w="1728" w:type="dxa"/>
          </w:tcPr>
          <w:p w14:paraId="3B469992">
            <w:pPr>
              <w:spacing w:line="400" w:lineRule="exact"/>
              <w:jc w:val="center"/>
              <w:rPr>
                <w:rFonts w:hint="eastAsia" w:ascii="宋体" w:hAnsi="宋体" w:eastAsia="宋体" w:cs="宋体"/>
                <w:b/>
                <w:bCs/>
                <w:color w:val="auto"/>
                <w:sz w:val="24"/>
                <w:szCs w:val="24"/>
                <w:highlight w:val="none"/>
              </w:rPr>
            </w:pPr>
          </w:p>
        </w:tc>
        <w:tc>
          <w:tcPr>
            <w:tcW w:w="2316" w:type="dxa"/>
          </w:tcPr>
          <w:p w14:paraId="272A885C">
            <w:pPr>
              <w:spacing w:line="400" w:lineRule="exact"/>
              <w:jc w:val="center"/>
              <w:rPr>
                <w:rFonts w:hint="eastAsia" w:ascii="宋体" w:hAnsi="宋体" w:eastAsia="宋体" w:cs="宋体"/>
                <w:b/>
                <w:bCs/>
                <w:color w:val="auto"/>
                <w:sz w:val="24"/>
                <w:szCs w:val="24"/>
                <w:highlight w:val="none"/>
              </w:rPr>
            </w:pPr>
          </w:p>
        </w:tc>
      </w:tr>
      <w:tr w14:paraId="56E42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BDE32B0">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1F2E8D3E">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320173AC">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1F8E474A">
            <w:pPr>
              <w:spacing w:line="400" w:lineRule="exact"/>
              <w:jc w:val="center"/>
              <w:rPr>
                <w:rFonts w:hint="eastAsia" w:ascii="宋体" w:hAnsi="宋体" w:eastAsia="宋体" w:cs="宋体"/>
                <w:b/>
                <w:bCs/>
                <w:color w:val="auto"/>
                <w:sz w:val="24"/>
                <w:szCs w:val="24"/>
                <w:highlight w:val="none"/>
              </w:rPr>
            </w:pPr>
          </w:p>
        </w:tc>
        <w:tc>
          <w:tcPr>
            <w:tcW w:w="1728" w:type="dxa"/>
          </w:tcPr>
          <w:p w14:paraId="1DC9B655">
            <w:pPr>
              <w:spacing w:line="400" w:lineRule="exact"/>
              <w:jc w:val="center"/>
              <w:rPr>
                <w:rFonts w:hint="eastAsia" w:ascii="宋体" w:hAnsi="宋体" w:eastAsia="宋体" w:cs="宋体"/>
                <w:b/>
                <w:bCs/>
                <w:color w:val="auto"/>
                <w:sz w:val="24"/>
                <w:szCs w:val="24"/>
                <w:highlight w:val="none"/>
              </w:rPr>
            </w:pPr>
          </w:p>
        </w:tc>
        <w:tc>
          <w:tcPr>
            <w:tcW w:w="2316" w:type="dxa"/>
          </w:tcPr>
          <w:p w14:paraId="0165580A">
            <w:pPr>
              <w:spacing w:line="400" w:lineRule="exact"/>
              <w:jc w:val="center"/>
              <w:rPr>
                <w:rFonts w:hint="eastAsia" w:ascii="宋体" w:hAnsi="宋体" w:eastAsia="宋体" w:cs="宋体"/>
                <w:b/>
                <w:bCs/>
                <w:color w:val="auto"/>
                <w:sz w:val="24"/>
                <w:szCs w:val="24"/>
                <w:highlight w:val="none"/>
              </w:rPr>
            </w:pPr>
          </w:p>
        </w:tc>
      </w:tr>
      <w:tr w14:paraId="487412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4C2DD14">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3AD6353E">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4785EE36">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624D9BB1">
            <w:pPr>
              <w:spacing w:line="400" w:lineRule="exact"/>
              <w:jc w:val="center"/>
              <w:rPr>
                <w:rFonts w:hint="eastAsia" w:ascii="宋体" w:hAnsi="宋体" w:eastAsia="宋体" w:cs="宋体"/>
                <w:b/>
                <w:bCs/>
                <w:color w:val="auto"/>
                <w:sz w:val="24"/>
                <w:szCs w:val="24"/>
                <w:highlight w:val="none"/>
              </w:rPr>
            </w:pPr>
          </w:p>
        </w:tc>
        <w:tc>
          <w:tcPr>
            <w:tcW w:w="1728" w:type="dxa"/>
          </w:tcPr>
          <w:p w14:paraId="2359D43A">
            <w:pPr>
              <w:spacing w:line="400" w:lineRule="exact"/>
              <w:jc w:val="center"/>
              <w:rPr>
                <w:rFonts w:hint="eastAsia" w:ascii="宋体" w:hAnsi="宋体" w:eastAsia="宋体" w:cs="宋体"/>
                <w:b/>
                <w:bCs/>
                <w:color w:val="auto"/>
                <w:sz w:val="24"/>
                <w:szCs w:val="24"/>
                <w:highlight w:val="none"/>
              </w:rPr>
            </w:pPr>
          </w:p>
        </w:tc>
        <w:tc>
          <w:tcPr>
            <w:tcW w:w="2316" w:type="dxa"/>
          </w:tcPr>
          <w:p w14:paraId="7CD6BBCD">
            <w:pPr>
              <w:spacing w:line="400" w:lineRule="exact"/>
              <w:jc w:val="center"/>
              <w:rPr>
                <w:rFonts w:hint="eastAsia" w:ascii="宋体" w:hAnsi="宋体" w:eastAsia="宋体" w:cs="宋体"/>
                <w:b/>
                <w:bCs/>
                <w:color w:val="auto"/>
                <w:sz w:val="24"/>
                <w:szCs w:val="24"/>
                <w:highlight w:val="none"/>
              </w:rPr>
            </w:pPr>
          </w:p>
        </w:tc>
      </w:tr>
      <w:tr w14:paraId="58DF32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C12DDF5">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332FE107">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7408D72E">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693FB99A">
            <w:pPr>
              <w:spacing w:line="400" w:lineRule="exact"/>
              <w:jc w:val="center"/>
              <w:rPr>
                <w:rFonts w:hint="eastAsia" w:ascii="宋体" w:hAnsi="宋体" w:eastAsia="宋体" w:cs="宋体"/>
                <w:b/>
                <w:bCs/>
                <w:color w:val="auto"/>
                <w:sz w:val="24"/>
                <w:szCs w:val="24"/>
                <w:highlight w:val="none"/>
              </w:rPr>
            </w:pPr>
          </w:p>
        </w:tc>
        <w:tc>
          <w:tcPr>
            <w:tcW w:w="1728" w:type="dxa"/>
          </w:tcPr>
          <w:p w14:paraId="30059E84">
            <w:pPr>
              <w:spacing w:line="400" w:lineRule="exact"/>
              <w:jc w:val="center"/>
              <w:rPr>
                <w:rFonts w:hint="eastAsia" w:ascii="宋体" w:hAnsi="宋体" w:eastAsia="宋体" w:cs="宋体"/>
                <w:b/>
                <w:bCs/>
                <w:color w:val="auto"/>
                <w:sz w:val="24"/>
                <w:szCs w:val="24"/>
                <w:highlight w:val="none"/>
              </w:rPr>
            </w:pPr>
          </w:p>
        </w:tc>
        <w:tc>
          <w:tcPr>
            <w:tcW w:w="2316" w:type="dxa"/>
          </w:tcPr>
          <w:p w14:paraId="46277008">
            <w:pPr>
              <w:spacing w:line="400" w:lineRule="exact"/>
              <w:jc w:val="center"/>
              <w:rPr>
                <w:rFonts w:hint="eastAsia" w:ascii="宋体" w:hAnsi="宋体" w:eastAsia="宋体" w:cs="宋体"/>
                <w:b/>
                <w:bCs/>
                <w:color w:val="auto"/>
                <w:sz w:val="24"/>
                <w:szCs w:val="24"/>
                <w:highlight w:val="none"/>
              </w:rPr>
            </w:pPr>
          </w:p>
        </w:tc>
      </w:tr>
      <w:tr w14:paraId="04F2B8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58CCC1E">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657E7D14">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2707568C">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067BA255">
            <w:pPr>
              <w:spacing w:line="400" w:lineRule="exact"/>
              <w:jc w:val="center"/>
              <w:rPr>
                <w:rFonts w:hint="eastAsia" w:ascii="宋体" w:hAnsi="宋体" w:eastAsia="宋体" w:cs="宋体"/>
                <w:b/>
                <w:bCs/>
                <w:color w:val="auto"/>
                <w:sz w:val="24"/>
                <w:szCs w:val="24"/>
                <w:highlight w:val="none"/>
              </w:rPr>
            </w:pPr>
          </w:p>
        </w:tc>
        <w:tc>
          <w:tcPr>
            <w:tcW w:w="1728" w:type="dxa"/>
          </w:tcPr>
          <w:p w14:paraId="137519F7">
            <w:pPr>
              <w:spacing w:line="400" w:lineRule="exact"/>
              <w:jc w:val="center"/>
              <w:rPr>
                <w:rFonts w:hint="eastAsia" w:ascii="宋体" w:hAnsi="宋体" w:eastAsia="宋体" w:cs="宋体"/>
                <w:b/>
                <w:bCs/>
                <w:color w:val="auto"/>
                <w:sz w:val="24"/>
                <w:szCs w:val="24"/>
                <w:highlight w:val="none"/>
              </w:rPr>
            </w:pPr>
          </w:p>
        </w:tc>
        <w:tc>
          <w:tcPr>
            <w:tcW w:w="2316" w:type="dxa"/>
          </w:tcPr>
          <w:p w14:paraId="425B4653">
            <w:pPr>
              <w:spacing w:line="400" w:lineRule="exact"/>
              <w:jc w:val="center"/>
              <w:rPr>
                <w:rFonts w:hint="eastAsia" w:ascii="宋体" w:hAnsi="宋体" w:eastAsia="宋体" w:cs="宋体"/>
                <w:b/>
                <w:bCs/>
                <w:color w:val="auto"/>
                <w:sz w:val="24"/>
                <w:szCs w:val="24"/>
                <w:highlight w:val="none"/>
              </w:rPr>
            </w:pPr>
          </w:p>
        </w:tc>
      </w:tr>
    </w:tbl>
    <w:p w14:paraId="6C3E364A">
      <w:pPr>
        <w:spacing w:line="400" w:lineRule="exact"/>
        <w:ind w:left="647" w:hanging="646" w:hangingChars="294"/>
        <w:rPr>
          <w:rFonts w:hint="eastAsia" w:ascii="宋体" w:hAnsi="宋体" w:eastAsia="宋体" w:cs="宋体"/>
          <w:color w:val="auto"/>
          <w:sz w:val="22"/>
          <w:highlight w:val="none"/>
        </w:rPr>
      </w:pPr>
      <w:r>
        <w:rPr>
          <w:rFonts w:hint="eastAsia" w:ascii="宋体" w:hAnsi="宋体" w:eastAsia="宋体" w:cs="宋体"/>
          <w:color w:val="auto"/>
          <w:sz w:val="22"/>
          <w:highlight w:val="none"/>
        </w:rPr>
        <w:t>备注：证明材料附后</w:t>
      </w:r>
    </w:p>
    <w:p w14:paraId="62DA3CCC">
      <w:pPr>
        <w:widowControl/>
        <w:spacing w:line="400" w:lineRule="exact"/>
        <w:rPr>
          <w:rFonts w:hint="eastAsia" w:ascii="宋体" w:hAnsi="宋体" w:eastAsia="宋体" w:cs="宋体"/>
          <w:color w:val="auto"/>
          <w:kern w:val="0"/>
          <w:sz w:val="22"/>
          <w:highlight w:val="none"/>
        </w:rPr>
      </w:pPr>
    </w:p>
    <w:p w14:paraId="3694CFCC">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3E4DB3B0">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62F495AB">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1A4B04B6">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241DE05E">
      <w:pPr>
        <w:spacing w:line="400" w:lineRule="exact"/>
        <w:rPr>
          <w:rFonts w:hint="eastAsia" w:ascii="宋体" w:hAnsi="宋体" w:eastAsia="宋体" w:cs="宋体"/>
          <w:b/>
          <w:color w:val="auto"/>
          <w:szCs w:val="24"/>
          <w:highlight w:val="none"/>
        </w:rPr>
      </w:pPr>
      <w:r>
        <w:rPr>
          <w:rFonts w:hint="eastAsia" w:ascii="宋体" w:hAnsi="宋体" w:eastAsia="宋体" w:cs="宋体"/>
          <w:b/>
          <w:color w:val="auto"/>
          <w:sz w:val="24"/>
          <w:szCs w:val="24"/>
          <w:highlight w:val="none"/>
        </w:rPr>
        <w:t>附件12</w:t>
      </w:r>
    </w:p>
    <w:p w14:paraId="18E2FB1C">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采购需求偏离表</w:t>
      </w:r>
    </w:p>
    <w:p w14:paraId="378D323B">
      <w:pPr>
        <w:pStyle w:val="12"/>
        <w:spacing w:after="0" w:line="400" w:lineRule="exact"/>
        <w:ind w:left="0" w:leftChars="0" w:right="1470"/>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项目名称：                                                项目编号：                  </w:t>
      </w:r>
    </w:p>
    <w:tbl>
      <w:tblPr>
        <w:tblStyle w:val="32"/>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14:paraId="5442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63BF585">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序号</w:t>
            </w:r>
          </w:p>
        </w:tc>
        <w:tc>
          <w:tcPr>
            <w:tcW w:w="1656" w:type="dxa"/>
            <w:vAlign w:val="center"/>
          </w:tcPr>
          <w:p w14:paraId="039C170A">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招标文件要求</w:t>
            </w:r>
          </w:p>
        </w:tc>
        <w:tc>
          <w:tcPr>
            <w:tcW w:w="3219" w:type="dxa"/>
            <w:vAlign w:val="center"/>
          </w:tcPr>
          <w:p w14:paraId="49C53DCB">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投标文件对应规范</w:t>
            </w:r>
          </w:p>
        </w:tc>
        <w:tc>
          <w:tcPr>
            <w:tcW w:w="1822" w:type="dxa"/>
            <w:vAlign w:val="center"/>
          </w:tcPr>
          <w:p w14:paraId="257F4F6D">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是否偏离</w:t>
            </w:r>
          </w:p>
          <w:p w14:paraId="42426809">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（提供说明）</w:t>
            </w:r>
          </w:p>
        </w:tc>
        <w:tc>
          <w:tcPr>
            <w:tcW w:w="2092" w:type="dxa"/>
            <w:vAlign w:val="center"/>
          </w:tcPr>
          <w:p w14:paraId="705B0A9A">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要求提供的证明材料页码</w:t>
            </w:r>
          </w:p>
        </w:tc>
      </w:tr>
      <w:tr w14:paraId="2A5A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5E5C0FAB">
            <w:pPr>
              <w:snapToGrid w:val="0"/>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商务要求</w:t>
            </w:r>
          </w:p>
        </w:tc>
      </w:tr>
      <w:tr w14:paraId="55A5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C3F01D6">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4BB281D5">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5001B97A">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64B4C92C">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15893FD8">
            <w:pPr>
              <w:snapToGrid w:val="0"/>
              <w:spacing w:line="400" w:lineRule="exact"/>
              <w:jc w:val="center"/>
              <w:rPr>
                <w:rFonts w:hint="eastAsia" w:ascii="宋体" w:hAnsi="宋体" w:eastAsia="宋体" w:cs="宋体"/>
                <w:color w:val="auto"/>
                <w:spacing w:val="-6"/>
                <w:sz w:val="24"/>
                <w:highlight w:val="none"/>
              </w:rPr>
            </w:pPr>
          </w:p>
        </w:tc>
      </w:tr>
      <w:tr w14:paraId="5E37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1D3CD90">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4BF89E7B">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35F6CAB6">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69FFB213">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087F0C1B">
            <w:pPr>
              <w:snapToGrid w:val="0"/>
              <w:spacing w:line="400" w:lineRule="exact"/>
              <w:jc w:val="center"/>
              <w:rPr>
                <w:rFonts w:hint="eastAsia" w:ascii="宋体" w:hAnsi="宋体" w:eastAsia="宋体" w:cs="宋体"/>
                <w:color w:val="auto"/>
                <w:spacing w:val="-6"/>
                <w:sz w:val="24"/>
                <w:highlight w:val="none"/>
              </w:rPr>
            </w:pPr>
          </w:p>
        </w:tc>
      </w:tr>
      <w:tr w14:paraId="70A0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1E936B2">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112CBB7D">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19A9F2CA">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21BAAB6E">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3CBE6068">
            <w:pPr>
              <w:snapToGrid w:val="0"/>
              <w:spacing w:line="400" w:lineRule="exact"/>
              <w:jc w:val="center"/>
              <w:rPr>
                <w:rFonts w:hint="eastAsia" w:ascii="宋体" w:hAnsi="宋体" w:eastAsia="宋体" w:cs="宋体"/>
                <w:color w:val="auto"/>
                <w:spacing w:val="-6"/>
                <w:sz w:val="24"/>
                <w:highlight w:val="none"/>
              </w:rPr>
            </w:pPr>
          </w:p>
        </w:tc>
      </w:tr>
      <w:tr w14:paraId="4269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53D7D68">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6B7A4F9D">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371F9762">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4108808E">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116C0F43">
            <w:pPr>
              <w:snapToGrid w:val="0"/>
              <w:spacing w:line="400" w:lineRule="exact"/>
              <w:jc w:val="center"/>
              <w:rPr>
                <w:rFonts w:hint="eastAsia" w:ascii="宋体" w:hAnsi="宋体" w:eastAsia="宋体" w:cs="宋体"/>
                <w:color w:val="auto"/>
                <w:spacing w:val="-6"/>
                <w:sz w:val="24"/>
                <w:highlight w:val="none"/>
              </w:rPr>
            </w:pPr>
          </w:p>
        </w:tc>
      </w:tr>
      <w:tr w14:paraId="0D8C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2D150A82">
            <w:pPr>
              <w:snapToGrid w:val="0"/>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技术要求</w:t>
            </w:r>
          </w:p>
        </w:tc>
      </w:tr>
      <w:tr w14:paraId="34F3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9424910">
            <w:pPr>
              <w:snapToGrid w:val="0"/>
              <w:spacing w:line="400" w:lineRule="exact"/>
              <w:rPr>
                <w:rFonts w:hint="eastAsia" w:ascii="宋体" w:hAnsi="宋体" w:eastAsia="宋体" w:cs="宋体"/>
                <w:color w:val="auto"/>
                <w:spacing w:val="-6"/>
                <w:sz w:val="24"/>
                <w:highlight w:val="none"/>
              </w:rPr>
            </w:pPr>
          </w:p>
        </w:tc>
        <w:tc>
          <w:tcPr>
            <w:tcW w:w="1656" w:type="dxa"/>
            <w:vAlign w:val="center"/>
          </w:tcPr>
          <w:p w14:paraId="123E0E28">
            <w:pPr>
              <w:snapToGrid w:val="0"/>
              <w:spacing w:line="400" w:lineRule="exact"/>
              <w:rPr>
                <w:rFonts w:hint="eastAsia" w:ascii="宋体" w:hAnsi="宋体" w:eastAsia="宋体" w:cs="宋体"/>
                <w:color w:val="auto"/>
                <w:spacing w:val="-6"/>
                <w:sz w:val="24"/>
                <w:highlight w:val="none"/>
              </w:rPr>
            </w:pPr>
          </w:p>
        </w:tc>
        <w:tc>
          <w:tcPr>
            <w:tcW w:w="3219" w:type="dxa"/>
            <w:vAlign w:val="center"/>
          </w:tcPr>
          <w:p w14:paraId="65C269E0">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443701B7">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3B395388">
            <w:pPr>
              <w:snapToGrid w:val="0"/>
              <w:spacing w:line="400" w:lineRule="exact"/>
              <w:jc w:val="center"/>
              <w:rPr>
                <w:rFonts w:hint="eastAsia" w:ascii="宋体" w:hAnsi="宋体" w:eastAsia="宋体" w:cs="宋体"/>
                <w:color w:val="auto"/>
                <w:spacing w:val="-6"/>
                <w:sz w:val="24"/>
                <w:highlight w:val="none"/>
              </w:rPr>
            </w:pPr>
          </w:p>
        </w:tc>
      </w:tr>
      <w:tr w14:paraId="4C2A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6F519E3">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4117B77D">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2373624C">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3FAF3E50">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673463EB">
            <w:pPr>
              <w:snapToGrid w:val="0"/>
              <w:spacing w:line="400" w:lineRule="exact"/>
              <w:jc w:val="center"/>
              <w:rPr>
                <w:rFonts w:hint="eastAsia" w:ascii="宋体" w:hAnsi="宋体" w:eastAsia="宋体" w:cs="宋体"/>
                <w:color w:val="auto"/>
                <w:spacing w:val="-6"/>
                <w:sz w:val="24"/>
                <w:highlight w:val="none"/>
              </w:rPr>
            </w:pPr>
          </w:p>
        </w:tc>
      </w:tr>
      <w:tr w14:paraId="6775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45B92C">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0ECDCDFC">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3915BB1F">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0BBDBD8E">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32A46F1F">
            <w:pPr>
              <w:snapToGrid w:val="0"/>
              <w:spacing w:line="400" w:lineRule="exact"/>
              <w:jc w:val="center"/>
              <w:rPr>
                <w:rFonts w:hint="eastAsia" w:ascii="宋体" w:hAnsi="宋体" w:eastAsia="宋体" w:cs="宋体"/>
                <w:color w:val="auto"/>
                <w:spacing w:val="-6"/>
                <w:sz w:val="24"/>
                <w:highlight w:val="none"/>
              </w:rPr>
            </w:pPr>
          </w:p>
        </w:tc>
      </w:tr>
      <w:tr w14:paraId="391C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6722E3A">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46D3890C">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2EFD050A">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32226780">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7188F117">
            <w:pPr>
              <w:snapToGrid w:val="0"/>
              <w:spacing w:line="400" w:lineRule="exact"/>
              <w:jc w:val="center"/>
              <w:rPr>
                <w:rFonts w:hint="eastAsia" w:ascii="宋体" w:hAnsi="宋体" w:eastAsia="宋体" w:cs="宋体"/>
                <w:color w:val="auto"/>
                <w:spacing w:val="-6"/>
                <w:sz w:val="24"/>
                <w:highlight w:val="none"/>
              </w:rPr>
            </w:pPr>
          </w:p>
        </w:tc>
      </w:tr>
      <w:tr w14:paraId="79A2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05CA02E">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01EBCDC2">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381407AA">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2154360D">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4273DEC5">
            <w:pPr>
              <w:snapToGrid w:val="0"/>
              <w:spacing w:line="400" w:lineRule="exact"/>
              <w:jc w:val="center"/>
              <w:rPr>
                <w:rFonts w:hint="eastAsia" w:ascii="宋体" w:hAnsi="宋体" w:eastAsia="宋体" w:cs="宋体"/>
                <w:color w:val="auto"/>
                <w:spacing w:val="-6"/>
                <w:sz w:val="24"/>
                <w:highlight w:val="none"/>
              </w:rPr>
            </w:pPr>
          </w:p>
        </w:tc>
      </w:tr>
    </w:tbl>
    <w:p w14:paraId="2B94491A">
      <w:pPr>
        <w:adjustRightInd w:val="0"/>
        <w:snapToGrid w:val="0"/>
        <w:spacing w:line="40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注意：</w:t>
      </w:r>
    </w:p>
    <w:p w14:paraId="3EDD6472">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1.逐项按照采购文件要求填写响应规格；如不填写或留空，则视为完全响应采购文件的要求，自行承担投标响应风险。</w:t>
      </w:r>
    </w:p>
    <w:p w14:paraId="22882967">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72A341F9">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3.投标人保证：除采购需求偏离表列出的偏离外，投标人响应采购文件的全部要求。</w:t>
      </w:r>
    </w:p>
    <w:p w14:paraId="6B5B2F5F">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53DB2947">
      <w:pPr>
        <w:widowControl/>
        <w:spacing w:line="400" w:lineRule="exact"/>
        <w:rPr>
          <w:rFonts w:hint="eastAsia" w:ascii="宋体" w:hAnsi="宋体" w:eastAsia="宋体" w:cs="宋体"/>
          <w:color w:val="auto"/>
          <w:kern w:val="0"/>
          <w:sz w:val="22"/>
          <w:highlight w:val="none"/>
        </w:rPr>
      </w:pPr>
    </w:p>
    <w:p w14:paraId="5E09EA38">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77E22F42">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35A5CD42">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65E5E158">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7B23482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附件13</w:t>
      </w:r>
    </w:p>
    <w:p w14:paraId="6B0D15EB">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货物配置清单</w:t>
      </w:r>
    </w:p>
    <w:p w14:paraId="22847A63">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2"/>
          <w:highlight w:val="none"/>
        </w:rPr>
        <w:t>项目名称：                                                项目编号：</w:t>
      </w:r>
    </w:p>
    <w:tbl>
      <w:tblPr>
        <w:tblStyle w:val="32"/>
        <w:tblW w:w="95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538"/>
        <w:gridCol w:w="1342"/>
        <w:gridCol w:w="720"/>
      </w:tblGrid>
      <w:tr w14:paraId="4C749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EA5CBFB">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575AFC4A">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498627C1">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16BBAB0D">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4C02CD93">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44965C74">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091762C7">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单位及数量</w:t>
            </w:r>
          </w:p>
        </w:tc>
        <w:tc>
          <w:tcPr>
            <w:tcW w:w="1342" w:type="dxa"/>
            <w:tcBorders>
              <w:top w:val="single" w:color="auto" w:sz="4" w:space="0"/>
              <w:left w:val="single" w:color="auto" w:sz="4" w:space="0"/>
              <w:bottom w:val="single" w:color="auto" w:sz="4" w:space="0"/>
              <w:right w:val="single" w:color="auto" w:sz="4" w:space="0"/>
            </w:tcBorders>
            <w:vAlign w:val="center"/>
          </w:tcPr>
          <w:p w14:paraId="25977435">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性能及指标</w:t>
            </w:r>
          </w:p>
        </w:tc>
        <w:tc>
          <w:tcPr>
            <w:tcW w:w="720" w:type="dxa"/>
            <w:tcBorders>
              <w:top w:val="single" w:color="auto" w:sz="4" w:space="0"/>
              <w:left w:val="single" w:color="auto" w:sz="4" w:space="0"/>
              <w:bottom w:val="single" w:color="auto" w:sz="4" w:space="0"/>
            </w:tcBorders>
            <w:vAlign w:val="center"/>
          </w:tcPr>
          <w:p w14:paraId="4C2550C4">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518AB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7E79A99">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3413FBA">
            <w:pPr>
              <w:snapToGrid w:val="0"/>
              <w:spacing w:line="400" w:lineRule="exact"/>
              <w:jc w:val="center"/>
              <w:rPr>
                <w:rFonts w:hint="eastAsia" w:ascii="宋体" w:hAnsi="宋体" w:eastAsia="宋体" w:cs="宋体"/>
                <w:color w:val="auto"/>
                <w:sz w:val="22"/>
                <w:highlight w:val="none"/>
              </w:rPr>
            </w:pPr>
          </w:p>
          <w:p w14:paraId="4A2CE6F7">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5DF1E91E">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46AB5A95">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1BF31725">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294AB6DA">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6E0F2D6C">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ADD075B">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0AAE7F05">
            <w:pPr>
              <w:snapToGrid w:val="0"/>
              <w:spacing w:line="400" w:lineRule="exact"/>
              <w:jc w:val="center"/>
              <w:rPr>
                <w:rFonts w:hint="eastAsia" w:ascii="宋体" w:hAnsi="宋体" w:eastAsia="宋体" w:cs="宋体"/>
                <w:color w:val="auto"/>
                <w:sz w:val="22"/>
                <w:highlight w:val="none"/>
              </w:rPr>
            </w:pPr>
          </w:p>
        </w:tc>
      </w:tr>
      <w:tr w14:paraId="01EAD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652BCE6">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3BC1811">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59064928">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4F974AB9">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0A93F08">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E29676A">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4BB6F9DB">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CB34804">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1EAA9ADA">
            <w:pPr>
              <w:snapToGrid w:val="0"/>
              <w:spacing w:line="400" w:lineRule="exact"/>
              <w:jc w:val="center"/>
              <w:rPr>
                <w:rFonts w:hint="eastAsia" w:ascii="宋体" w:hAnsi="宋体" w:eastAsia="宋体" w:cs="宋体"/>
                <w:color w:val="auto"/>
                <w:sz w:val="22"/>
                <w:highlight w:val="none"/>
              </w:rPr>
            </w:pPr>
          </w:p>
        </w:tc>
      </w:tr>
      <w:tr w14:paraId="6797B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9D8EE94">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110C67C">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A8F553A">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19537FE5">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0DA5B2FE">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7E2093E0">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65F67649">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AC22437">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149049E4">
            <w:pPr>
              <w:snapToGrid w:val="0"/>
              <w:spacing w:line="400" w:lineRule="exact"/>
              <w:jc w:val="center"/>
              <w:rPr>
                <w:rFonts w:hint="eastAsia" w:ascii="宋体" w:hAnsi="宋体" w:eastAsia="宋体" w:cs="宋体"/>
                <w:color w:val="auto"/>
                <w:sz w:val="22"/>
                <w:highlight w:val="none"/>
              </w:rPr>
            </w:pPr>
          </w:p>
        </w:tc>
      </w:tr>
      <w:tr w14:paraId="46BCC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1A508E0">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6A45107">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00EF506">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6F720658">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1450636C">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CDA0030">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51C43B32">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nil"/>
              <w:right w:val="single" w:color="auto" w:sz="4" w:space="0"/>
            </w:tcBorders>
            <w:vAlign w:val="center"/>
          </w:tcPr>
          <w:p w14:paraId="48F3497B">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nil"/>
            </w:tcBorders>
            <w:vAlign w:val="center"/>
          </w:tcPr>
          <w:p w14:paraId="34E0DEFC">
            <w:pPr>
              <w:snapToGrid w:val="0"/>
              <w:spacing w:line="400" w:lineRule="exact"/>
              <w:jc w:val="center"/>
              <w:rPr>
                <w:rFonts w:hint="eastAsia" w:ascii="宋体" w:hAnsi="宋体" w:eastAsia="宋体" w:cs="宋体"/>
                <w:color w:val="auto"/>
                <w:sz w:val="22"/>
                <w:highlight w:val="none"/>
              </w:rPr>
            </w:pPr>
          </w:p>
        </w:tc>
      </w:tr>
      <w:tr w14:paraId="6A9A9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8902D38">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C3D80FA">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477CF6F">
            <w:pPr>
              <w:snapToGrid w:val="0"/>
              <w:spacing w:line="400" w:lineRule="exact"/>
              <w:ind w:hanging="480"/>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5AC1BC5F">
            <w:pPr>
              <w:snapToGrid w:val="0"/>
              <w:spacing w:line="400" w:lineRule="exact"/>
              <w:ind w:hanging="480"/>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B2A7812">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121174DA">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2B0C37AF">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68892F54">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72E0B050">
            <w:pPr>
              <w:snapToGrid w:val="0"/>
              <w:spacing w:line="400" w:lineRule="exact"/>
              <w:jc w:val="center"/>
              <w:rPr>
                <w:rFonts w:hint="eastAsia" w:ascii="宋体" w:hAnsi="宋体" w:eastAsia="宋体" w:cs="宋体"/>
                <w:color w:val="auto"/>
                <w:sz w:val="22"/>
                <w:highlight w:val="none"/>
              </w:rPr>
            </w:pPr>
          </w:p>
        </w:tc>
      </w:tr>
    </w:tbl>
    <w:p w14:paraId="148D54FC">
      <w:pPr>
        <w:adjustRightInd w:val="0"/>
        <w:spacing w:line="360" w:lineRule="auto"/>
        <w:ind w:firstLine="4042" w:firstLineChars="1925"/>
        <w:rPr>
          <w:rFonts w:hint="eastAsia" w:ascii="宋体" w:hAnsi="宋体" w:eastAsia="宋体" w:cs="宋体"/>
          <w:color w:val="auto"/>
          <w:szCs w:val="21"/>
          <w:highlight w:val="none"/>
        </w:rPr>
      </w:pPr>
    </w:p>
    <w:p w14:paraId="7346E927">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3BBB909E">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4D6FAEBE">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1DCE5D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80F3425">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附件14</w:t>
      </w:r>
    </w:p>
    <w:p w14:paraId="01018BB8">
      <w:pPr>
        <w:adjustRightInd w:val="0"/>
        <w:snapToGrid w:val="0"/>
        <w:spacing w:line="360" w:lineRule="auto"/>
        <w:jc w:val="center"/>
        <w:rPr>
          <w:rFonts w:hint="eastAsia" w:ascii="宋体" w:hAnsi="宋体" w:eastAsia="宋体" w:cs="宋体"/>
          <w:b/>
          <w:snapToGrid w:val="0"/>
          <w:color w:val="auto"/>
          <w:sz w:val="24"/>
          <w:szCs w:val="24"/>
          <w:highlight w:val="none"/>
        </w:rPr>
      </w:pPr>
      <w:r>
        <w:rPr>
          <w:rFonts w:hint="eastAsia" w:ascii="宋体" w:hAnsi="宋体" w:eastAsia="宋体" w:cs="宋体"/>
          <w:b/>
          <w:color w:val="auto"/>
          <w:sz w:val="24"/>
          <w:szCs w:val="24"/>
          <w:highlight w:val="none"/>
        </w:rPr>
        <w:t>常用材料、</w:t>
      </w:r>
      <w:r>
        <w:rPr>
          <w:rFonts w:hint="eastAsia" w:ascii="宋体" w:hAnsi="宋体" w:eastAsia="宋体" w:cs="宋体"/>
          <w:b/>
          <w:snapToGrid w:val="0"/>
          <w:color w:val="auto"/>
          <w:sz w:val="24"/>
          <w:szCs w:val="24"/>
          <w:highlight w:val="none"/>
        </w:rPr>
        <w:t>零配件及备品备件报价清单</w:t>
      </w:r>
    </w:p>
    <w:p w14:paraId="635FCC2B">
      <w:pPr>
        <w:pStyle w:val="13"/>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p>
    <w:p w14:paraId="08AD78DD">
      <w:pPr>
        <w:pStyle w:val="13"/>
        <w:snapToGrid w:val="0"/>
        <w:spacing w:line="288" w:lineRule="auto"/>
        <w:jc w:val="right"/>
        <w:rPr>
          <w:rFonts w:hint="eastAsia" w:ascii="宋体" w:hAnsi="宋体" w:eastAsia="宋体" w:cs="宋体"/>
          <w:color w:val="auto"/>
          <w:kern w:val="0"/>
          <w:sz w:val="22"/>
          <w:highlight w:val="none"/>
        </w:rPr>
      </w:pPr>
      <w:r>
        <w:rPr>
          <w:rFonts w:hint="eastAsia" w:ascii="宋体" w:hAnsi="宋体" w:eastAsia="宋体" w:cs="宋体"/>
          <w:color w:val="auto"/>
          <w:spacing w:val="-6"/>
          <w:sz w:val="22"/>
          <w:highlight w:val="none"/>
        </w:rPr>
        <w:t>金额单位：人民币（元）</w:t>
      </w:r>
    </w:p>
    <w:tbl>
      <w:tblPr>
        <w:tblStyle w:val="3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5CED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E7EC60E">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712" w:type="dxa"/>
            <w:vAlign w:val="center"/>
          </w:tcPr>
          <w:p w14:paraId="47409F9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名称</w:t>
            </w:r>
          </w:p>
        </w:tc>
        <w:tc>
          <w:tcPr>
            <w:tcW w:w="992" w:type="dxa"/>
            <w:vAlign w:val="center"/>
          </w:tcPr>
          <w:p w14:paraId="74165E2E">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制造商</w:t>
            </w:r>
          </w:p>
        </w:tc>
        <w:tc>
          <w:tcPr>
            <w:tcW w:w="808" w:type="dxa"/>
            <w:vAlign w:val="center"/>
          </w:tcPr>
          <w:p w14:paraId="5A601918">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产地</w:t>
            </w:r>
          </w:p>
        </w:tc>
        <w:tc>
          <w:tcPr>
            <w:tcW w:w="656" w:type="dxa"/>
            <w:vAlign w:val="center"/>
          </w:tcPr>
          <w:p w14:paraId="33893D43">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品牌</w:t>
            </w:r>
          </w:p>
        </w:tc>
        <w:tc>
          <w:tcPr>
            <w:tcW w:w="1238" w:type="dxa"/>
            <w:vAlign w:val="center"/>
          </w:tcPr>
          <w:p w14:paraId="7A06C165">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型号规格</w:t>
            </w:r>
          </w:p>
        </w:tc>
        <w:tc>
          <w:tcPr>
            <w:tcW w:w="675" w:type="dxa"/>
            <w:vAlign w:val="center"/>
          </w:tcPr>
          <w:p w14:paraId="5745B65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单位</w:t>
            </w:r>
          </w:p>
        </w:tc>
        <w:tc>
          <w:tcPr>
            <w:tcW w:w="675" w:type="dxa"/>
            <w:vAlign w:val="center"/>
          </w:tcPr>
          <w:p w14:paraId="6011DE2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数量</w:t>
            </w:r>
          </w:p>
        </w:tc>
        <w:tc>
          <w:tcPr>
            <w:tcW w:w="1237" w:type="dxa"/>
            <w:vAlign w:val="center"/>
          </w:tcPr>
          <w:p w14:paraId="40739141">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单价（元）</w:t>
            </w:r>
          </w:p>
        </w:tc>
        <w:tc>
          <w:tcPr>
            <w:tcW w:w="1350" w:type="dxa"/>
            <w:vAlign w:val="center"/>
          </w:tcPr>
          <w:p w14:paraId="516BC8E9">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总价（元）</w:t>
            </w:r>
          </w:p>
        </w:tc>
        <w:tc>
          <w:tcPr>
            <w:tcW w:w="656" w:type="dxa"/>
            <w:vAlign w:val="center"/>
          </w:tcPr>
          <w:p w14:paraId="5FD95976">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5158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A5ACA39">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271A9A20">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1300F5C3">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3B3E09EF">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3D0EF51">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430040E4">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7D5A635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B3BCE3C">
            <w:pPr>
              <w:pStyle w:val="20"/>
              <w:pBdr>
                <w:bottom w:val="none" w:color="auto" w:sz="0" w:space="0"/>
              </w:pBdr>
              <w:tabs>
                <w:tab w:val="left" w:pos="420"/>
              </w:tabs>
              <w:spacing w:line="360" w:lineRule="auto"/>
              <w:rPr>
                <w:rFonts w:hint="eastAsia" w:ascii="宋体" w:hAnsi="宋体" w:eastAsia="宋体" w:cs="宋体"/>
                <w:snapToGrid w:val="0"/>
                <w:color w:val="auto"/>
                <w:kern w:val="0"/>
                <w:sz w:val="22"/>
                <w:highlight w:val="none"/>
              </w:rPr>
            </w:pPr>
          </w:p>
        </w:tc>
        <w:tc>
          <w:tcPr>
            <w:tcW w:w="1237" w:type="dxa"/>
            <w:vAlign w:val="center"/>
          </w:tcPr>
          <w:p w14:paraId="74F4C5A9">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07E40317">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58F37DA">
            <w:pPr>
              <w:adjustRightInd w:val="0"/>
              <w:snapToGrid w:val="0"/>
              <w:spacing w:line="360" w:lineRule="auto"/>
              <w:rPr>
                <w:rFonts w:hint="eastAsia" w:ascii="宋体" w:hAnsi="宋体" w:eastAsia="宋体" w:cs="宋体"/>
                <w:snapToGrid w:val="0"/>
                <w:color w:val="auto"/>
                <w:kern w:val="0"/>
                <w:sz w:val="22"/>
                <w:highlight w:val="none"/>
              </w:rPr>
            </w:pPr>
          </w:p>
        </w:tc>
      </w:tr>
      <w:tr w14:paraId="705D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9DDD45E">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7DC32508">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47930542">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07D49F56">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6087E063">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769916A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DF4078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17AE80C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5758DFBE">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13F49575">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F485DC7">
            <w:pPr>
              <w:adjustRightInd w:val="0"/>
              <w:snapToGrid w:val="0"/>
              <w:spacing w:line="360" w:lineRule="auto"/>
              <w:rPr>
                <w:rFonts w:hint="eastAsia" w:ascii="宋体" w:hAnsi="宋体" w:eastAsia="宋体" w:cs="宋体"/>
                <w:snapToGrid w:val="0"/>
                <w:color w:val="auto"/>
                <w:kern w:val="0"/>
                <w:sz w:val="22"/>
                <w:highlight w:val="none"/>
              </w:rPr>
            </w:pPr>
          </w:p>
        </w:tc>
      </w:tr>
      <w:tr w14:paraId="140A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47C88F9">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3DEB8F6F">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681833B9">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790E77FA">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09FA4CF">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0D7F2424">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176D2D8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45B5C12E">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5B0C9DCF">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6C501F0F">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3EF6B2E">
            <w:pPr>
              <w:adjustRightInd w:val="0"/>
              <w:snapToGrid w:val="0"/>
              <w:spacing w:line="360" w:lineRule="auto"/>
              <w:rPr>
                <w:rFonts w:hint="eastAsia" w:ascii="宋体" w:hAnsi="宋体" w:eastAsia="宋体" w:cs="宋体"/>
                <w:snapToGrid w:val="0"/>
                <w:color w:val="auto"/>
                <w:kern w:val="0"/>
                <w:sz w:val="22"/>
                <w:highlight w:val="none"/>
              </w:rPr>
            </w:pPr>
          </w:p>
        </w:tc>
      </w:tr>
      <w:tr w14:paraId="4201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EE2244A">
            <w:pPr>
              <w:pStyle w:val="15"/>
              <w:adjustRightInd w:val="0"/>
              <w:snapToGrid w:val="0"/>
              <w:spacing w:line="360" w:lineRule="auto"/>
              <w:ind w:left="5250" w:leftChars="0"/>
              <w:rPr>
                <w:rFonts w:hint="eastAsia" w:ascii="宋体" w:hAnsi="宋体" w:eastAsia="宋体" w:cs="宋体"/>
                <w:snapToGrid w:val="0"/>
                <w:color w:val="auto"/>
                <w:kern w:val="0"/>
                <w:sz w:val="22"/>
                <w:szCs w:val="22"/>
                <w:highlight w:val="none"/>
              </w:rPr>
            </w:pPr>
          </w:p>
        </w:tc>
        <w:tc>
          <w:tcPr>
            <w:tcW w:w="712" w:type="dxa"/>
            <w:vAlign w:val="center"/>
          </w:tcPr>
          <w:p w14:paraId="4B362A7A">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001C7879">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53D9B698">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6910C099">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65F57BB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701AA8D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791EDE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5CA486B6">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5C39DD73">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41CA5EF">
            <w:pPr>
              <w:adjustRightInd w:val="0"/>
              <w:snapToGrid w:val="0"/>
              <w:spacing w:line="360" w:lineRule="auto"/>
              <w:rPr>
                <w:rFonts w:hint="eastAsia" w:ascii="宋体" w:hAnsi="宋体" w:eastAsia="宋体" w:cs="宋体"/>
                <w:snapToGrid w:val="0"/>
                <w:color w:val="auto"/>
                <w:kern w:val="0"/>
                <w:sz w:val="22"/>
                <w:highlight w:val="none"/>
              </w:rPr>
            </w:pPr>
          </w:p>
        </w:tc>
      </w:tr>
      <w:tr w14:paraId="4A7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31ABF22">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7BBAA3AC">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487DC7B4">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443586F5">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C87CCB4">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5D5E673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3C6CF58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3A80E06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4C5D62F1">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3EB877FF">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77EE239">
            <w:pPr>
              <w:adjustRightInd w:val="0"/>
              <w:snapToGrid w:val="0"/>
              <w:spacing w:line="360" w:lineRule="auto"/>
              <w:rPr>
                <w:rFonts w:hint="eastAsia" w:ascii="宋体" w:hAnsi="宋体" w:eastAsia="宋体" w:cs="宋体"/>
                <w:snapToGrid w:val="0"/>
                <w:color w:val="auto"/>
                <w:kern w:val="0"/>
                <w:sz w:val="22"/>
                <w:highlight w:val="none"/>
              </w:rPr>
            </w:pPr>
          </w:p>
        </w:tc>
      </w:tr>
      <w:tr w14:paraId="384F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DC73990">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63E77B59">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41114C8E">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71F1937F">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929D9E2">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73A39B7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AC4A2E7">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309797F0">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3A6353B0">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4647BAD1">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48EE4D0">
            <w:pPr>
              <w:adjustRightInd w:val="0"/>
              <w:snapToGrid w:val="0"/>
              <w:spacing w:line="360" w:lineRule="auto"/>
              <w:rPr>
                <w:rFonts w:hint="eastAsia" w:ascii="宋体" w:hAnsi="宋体" w:eastAsia="宋体" w:cs="宋体"/>
                <w:snapToGrid w:val="0"/>
                <w:color w:val="auto"/>
                <w:kern w:val="0"/>
                <w:sz w:val="22"/>
                <w:highlight w:val="none"/>
              </w:rPr>
            </w:pPr>
          </w:p>
        </w:tc>
      </w:tr>
      <w:tr w14:paraId="4537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ABA237A">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2E93F72D">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5C302F40">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2AACE20C">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B1B47EA">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017DFD9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133A5CF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4C47BC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7AC3175F">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0BC95640">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0CBE927">
            <w:pPr>
              <w:adjustRightInd w:val="0"/>
              <w:snapToGrid w:val="0"/>
              <w:spacing w:line="360" w:lineRule="auto"/>
              <w:rPr>
                <w:rFonts w:hint="eastAsia" w:ascii="宋体" w:hAnsi="宋体" w:eastAsia="宋体" w:cs="宋体"/>
                <w:snapToGrid w:val="0"/>
                <w:color w:val="auto"/>
                <w:kern w:val="0"/>
                <w:sz w:val="22"/>
                <w:highlight w:val="none"/>
              </w:rPr>
            </w:pPr>
          </w:p>
        </w:tc>
      </w:tr>
      <w:tr w14:paraId="5909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E53AB3D">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15167087">
            <w:pPr>
              <w:adjustRightInd w:val="0"/>
              <w:snapToGrid w:val="0"/>
              <w:spacing w:line="360" w:lineRule="auto"/>
              <w:jc w:val="center"/>
              <w:rPr>
                <w:rFonts w:hint="eastAsia" w:ascii="宋体" w:hAnsi="宋体" w:eastAsia="宋体" w:cs="宋体"/>
                <w:b/>
                <w:bCs/>
                <w:snapToGrid w:val="0"/>
                <w:color w:val="auto"/>
                <w:kern w:val="0"/>
                <w:sz w:val="22"/>
                <w:highlight w:val="none"/>
              </w:rPr>
            </w:pPr>
          </w:p>
        </w:tc>
        <w:tc>
          <w:tcPr>
            <w:tcW w:w="992" w:type="dxa"/>
            <w:vAlign w:val="center"/>
          </w:tcPr>
          <w:p w14:paraId="2E5830D2">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5A8B92E4">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FBC3077">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6D92F7D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CB76C64">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F11077C">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572B1464">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418284FF">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FCA6706">
            <w:pPr>
              <w:adjustRightInd w:val="0"/>
              <w:snapToGrid w:val="0"/>
              <w:spacing w:line="360" w:lineRule="auto"/>
              <w:rPr>
                <w:rFonts w:hint="eastAsia" w:ascii="宋体" w:hAnsi="宋体" w:eastAsia="宋体" w:cs="宋体"/>
                <w:snapToGrid w:val="0"/>
                <w:color w:val="auto"/>
                <w:kern w:val="0"/>
                <w:sz w:val="22"/>
                <w:highlight w:val="none"/>
              </w:rPr>
            </w:pPr>
          </w:p>
        </w:tc>
      </w:tr>
    </w:tbl>
    <w:p w14:paraId="2B5C3C6A">
      <w:pPr>
        <w:pStyle w:val="13"/>
        <w:snapToGrid w:val="0"/>
        <w:spacing w:line="360" w:lineRule="auto"/>
        <w:rPr>
          <w:rFonts w:hint="eastAsia" w:ascii="宋体" w:hAnsi="宋体" w:eastAsia="宋体" w:cs="宋体"/>
          <w:color w:val="auto"/>
          <w:kern w:val="0"/>
          <w:sz w:val="22"/>
          <w:highlight w:val="none"/>
        </w:rPr>
      </w:pPr>
    </w:p>
    <w:p w14:paraId="402466CA">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28400512">
      <w:pPr>
        <w:widowControl/>
        <w:spacing w:line="400" w:lineRule="exact"/>
        <w:rPr>
          <w:rFonts w:hint="eastAsia" w:ascii="宋体" w:hAnsi="宋体" w:eastAsia="宋体" w:cs="宋体"/>
          <w:color w:val="auto"/>
          <w:kern w:val="0"/>
          <w:sz w:val="24"/>
          <w:szCs w:val="24"/>
          <w:highlight w:val="none"/>
        </w:rPr>
      </w:pPr>
    </w:p>
    <w:p w14:paraId="491F00E5">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68B3CD7A">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530C995C">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2E309CEE">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3D72237C">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附件15</w:t>
      </w:r>
    </w:p>
    <w:p w14:paraId="56235040">
      <w:pPr>
        <w:pStyle w:val="13"/>
        <w:snapToGrid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承诺书</w:t>
      </w:r>
    </w:p>
    <w:p w14:paraId="401A485E">
      <w:pPr>
        <w:pStyle w:val="13"/>
        <w:snapToGrid w:val="0"/>
        <w:spacing w:line="400" w:lineRule="exact"/>
        <w:jc w:val="center"/>
        <w:rPr>
          <w:rFonts w:hint="eastAsia" w:ascii="宋体" w:hAnsi="宋体" w:eastAsia="宋体" w:cs="宋体"/>
          <w:b/>
          <w:color w:val="auto"/>
          <w:szCs w:val="24"/>
          <w:highlight w:val="none"/>
        </w:rPr>
      </w:pPr>
    </w:p>
    <w:p w14:paraId="24DEBAB1">
      <w:pPr>
        <w:spacing w:line="50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u w:val="single"/>
        </w:rPr>
        <w:t>文成县卫生健康局</w:t>
      </w:r>
      <w:r>
        <w:rPr>
          <w:rFonts w:hint="eastAsia" w:ascii="宋体" w:hAnsi="宋体" w:eastAsia="宋体" w:cs="宋体"/>
          <w:color w:val="auto"/>
          <w:sz w:val="22"/>
          <w:highlight w:val="none"/>
        </w:rPr>
        <w:t>：</w:t>
      </w:r>
    </w:p>
    <w:p w14:paraId="2907ADA8">
      <w:pPr>
        <w:spacing w:line="5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我单位就</w:t>
      </w:r>
      <w:r>
        <w:rPr>
          <w:rFonts w:hint="eastAsia" w:ascii="宋体" w:hAnsi="宋体" w:eastAsia="宋体" w:cs="宋体"/>
          <w:color w:val="auto"/>
          <w:sz w:val="22"/>
          <w:highlight w:val="none"/>
          <w:u w:val="single"/>
        </w:rPr>
        <w:t xml:space="preserve">                   （项目编号：           ）</w:t>
      </w:r>
      <w:r>
        <w:rPr>
          <w:rFonts w:hint="eastAsia" w:ascii="宋体" w:hAnsi="宋体" w:eastAsia="宋体" w:cs="宋体"/>
          <w:color w:val="auto"/>
          <w:sz w:val="22"/>
          <w:highlight w:val="none"/>
        </w:rPr>
        <w:t>项目承诺如下：</w:t>
      </w:r>
    </w:p>
    <w:p w14:paraId="2E26D43F">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02420C3B">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0D3FDDEA">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4BF9D760">
      <w:pPr>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若不能落实到位，我方无条件接受采购人的任何处理决定，我单位对此无任何异议。</w:t>
      </w:r>
    </w:p>
    <w:p w14:paraId="23505A9D">
      <w:pPr>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特此承诺！</w:t>
      </w:r>
    </w:p>
    <w:p w14:paraId="3A27165E">
      <w:pPr>
        <w:pStyle w:val="2"/>
        <w:spacing w:before="0" w:after="0"/>
        <w:jc w:val="left"/>
        <w:rPr>
          <w:rFonts w:hint="eastAsia" w:ascii="宋体" w:hAnsi="宋体" w:eastAsia="宋体" w:cs="宋体"/>
          <w:b w:val="0"/>
          <w:bCs w:val="0"/>
          <w:color w:val="auto"/>
          <w:kern w:val="2"/>
          <w:sz w:val="22"/>
          <w:szCs w:val="22"/>
          <w:highlight w:val="none"/>
        </w:rPr>
      </w:pPr>
    </w:p>
    <w:p w14:paraId="00D72904">
      <w:pPr>
        <w:rPr>
          <w:rFonts w:hint="eastAsia" w:ascii="宋体" w:hAnsi="宋体" w:eastAsia="宋体" w:cs="宋体"/>
          <w:color w:val="auto"/>
          <w:sz w:val="22"/>
          <w:highlight w:val="none"/>
        </w:rPr>
      </w:pPr>
    </w:p>
    <w:p w14:paraId="7DE06F30">
      <w:pPr>
        <w:widowControl/>
        <w:spacing w:line="400" w:lineRule="exact"/>
        <w:rPr>
          <w:rFonts w:hint="eastAsia" w:ascii="宋体" w:hAnsi="宋体" w:eastAsia="宋体" w:cs="宋体"/>
          <w:color w:val="auto"/>
          <w:kern w:val="0"/>
          <w:sz w:val="22"/>
          <w:highlight w:val="none"/>
        </w:rPr>
      </w:pPr>
    </w:p>
    <w:p w14:paraId="2FDA6788">
      <w:pPr>
        <w:widowControl/>
        <w:spacing w:line="400" w:lineRule="exact"/>
        <w:rPr>
          <w:rFonts w:hint="eastAsia" w:ascii="宋体" w:hAnsi="宋体" w:eastAsia="宋体" w:cs="宋体"/>
          <w:color w:val="auto"/>
          <w:kern w:val="0"/>
          <w:sz w:val="24"/>
          <w:szCs w:val="24"/>
          <w:highlight w:val="none"/>
        </w:rPr>
      </w:pPr>
    </w:p>
    <w:p w14:paraId="24112EAF">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6BA4007F">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57044624">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627440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F616148">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附件16</w:t>
      </w:r>
    </w:p>
    <w:p w14:paraId="20CC5091">
      <w:pPr>
        <w:spacing w:line="400"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投标</w:t>
      </w:r>
      <w:r>
        <w:rPr>
          <w:rFonts w:hint="eastAsia" w:ascii="宋体" w:hAnsi="宋体" w:eastAsia="宋体" w:cs="宋体"/>
          <w:b/>
          <w:bCs/>
          <w:color w:val="auto"/>
          <w:sz w:val="28"/>
          <w:szCs w:val="28"/>
          <w:highlight w:val="none"/>
        </w:rPr>
        <w:t>产品</w:t>
      </w:r>
      <w:r>
        <w:rPr>
          <w:rFonts w:hint="eastAsia" w:ascii="宋体" w:hAnsi="宋体" w:eastAsia="宋体" w:cs="宋体"/>
          <w:b/>
          <w:color w:val="auto"/>
          <w:spacing w:val="-6"/>
          <w:sz w:val="28"/>
          <w:szCs w:val="28"/>
          <w:highlight w:val="none"/>
        </w:rPr>
        <w:t>技术支持材料</w:t>
      </w:r>
    </w:p>
    <w:p w14:paraId="6A1EC027">
      <w:pPr>
        <w:spacing w:line="400" w:lineRule="exact"/>
        <w:rPr>
          <w:rFonts w:hint="eastAsia" w:ascii="宋体" w:hAnsi="宋体" w:eastAsia="宋体" w:cs="宋体"/>
          <w:b/>
          <w:color w:val="auto"/>
          <w:spacing w:val="-6"/>
          <w:sz w:val="24"/>
          <w:highlight w:val="none"/>
        </w:rPr>
      </w:pPr>
    </w:p>
    <w:p w14:paraId="1EEC8FB9">
      <w:pPr>
        <w:spacing w:line="400" w:lineRule="exact"/>
        <w:rPr>
          <w:rFonts w:hint="eastAsia" w:ascii="宋体" w:hAnsi="宋体" w:eastAsia="宋体" w:cs="宋体"/>
          <w:b/>
          <w:color w:val="auto"/>
          <w:spacing w:val="-6"/>
          <w:sz w:val="24"/>
          <w:highlight w:val="none"/>
        </w:rPr>
      </w:pPr>
    </w:p>
    <w:p w14:paraId="1BC8EE47">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14:paraId="0B125AC4">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1.投标人提供技术支持资料以证明其对技术指标的应答；</w:t>
      </w:r>
    </w:p>
    <w:p w14:paraId="519705E0">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2.技术支持资料应是制造商公开发布的印刷资料（彩页、Datasheet）或由有关政府部门或检测机构合法出具的文件或报告；</w:t>
      </w:r>
    </w:p>
    <w:p w14:paraId="1FC71CD2">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3.不符合上述要求的资料，可被视为是无效的技术支持资料；</w:t>
      </w:r>
    </w:p>
    <w:p w14:paraId="36A3CC7A">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4.如上述资料之间存在不一致的，以有关政府部门或检测机构合法出具的文件或报告为准；</w:t>
      </w:r>
    </w:p>
    <w:p w14:paraId="25C04653">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eastAsia="宋体" w:cs="宋体"/>
          <w:b/>
          <w:bCs/>
          <w:color w:val="auto"/>
          <w:spacing w:val="-6"/>
          <w:sz w:val="24"/>
          <w:highlight w:val="none"/>
        </w:rPr>
        <w:t>将作出不利于投标人的技术评审，其后果将由投标人自行承担</w:t>
      </w:r>
      <w:r>
        <w:rPr>
          <w:rFonts w:hint="eastAsia" w:ascii="宋体" w:hAnsi="宋体" w:eastAsia="宋体" w:cs="宋体"/>
          <w:b/>
          <w:color w:val="auto"/>
          <w:spacing w:val="-6"/>
          <w:sz w:val="24"/>
          <w:highlight w:val="none"/>
        </w:rPr>
        <w:t>；</w:t>
      </w:r>
    </w:p>
    <w:p w14:paraId="715858E0">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6.投标人可提供同等于或优于招标文件要求的产品和服务。</w:t>
      </w:r>
    </w:p>
    <w:p w14:paraId="79E7CA6D">
      <w:pPr>
        <w:spacing w:line="400" w:lineRule="exact"/>
        <w:ind w:firstLine="482" w:firstLineChars="200"/>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pacing w:val="-6"/>
          <w:sz w:val="24"/>
          <w:highlight w:val="none"/>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14:paraId="5183C5C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BCF90B4">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附件17</w:t>
      </w:r>
    </w:p>
    <w:p w14:paraId="0986D061">
      <w:pPr>
        <w:pStyle w:val="66"/>
        <w:snapToGrid w:val="0"/>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14:paraId="7CF57B5A">
      <w:pPr>
        <w:pStyle w:val="66"/>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14:paraId="40CD2971">
      <w:pPr>
        <w:pStyle w:val="66"/>
        <w:snapToGrid w:val="0"/>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 xml:space="preserve">单位）           </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）标项政府采购活动，经与本单位法人代表（负责人）联系确认，现就有关公平竞争事项郑重声明如下： </w:t>
      </w:r>
    </w:p>
    <w:p w14:paraId="3FE58435">
      <w:pPr>
        <w:pStyle w:val="66"/>
        <w:numPr>
          <w:ilvl w:val="0"/>
          <w:numId w:val="6"/>
        </w:num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261C562E">
      <w:pPr>
        <w:pStyle w:val="66"/>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2D40F799">
      <w:pPr>
        <w:pStyle w:val="66"/>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45B0C177">
      <w:pPr>
        <w:pStyle w:val="67"/>
        <w:widowControl/>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7BB7B146">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3D851A32">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500E8F14">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6878970E">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6EED8132">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0BFFA174">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4709207">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4C68D57E">
      <w:pPr>
        <w:pStyle w:val="66"/>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04A51BC7">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2712229B">
      <w:pPr>
        <w:pStyle w:val="67"/>
        <w:widowControl/>
        <w:numPr>
          <w:ilvl w:val="0"/>
          <w:numId w:val="7"/>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464D8ACB">
      <w:pPr>
        <w:pStyle w:val="67"/>
        <w:widowControl/>
        <w:numPr>
          <w:ilvl w:val="0"/>
          <w:numId w:val="7"/>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03FD7208">
      <w:pPr>
        <w:pStyle w:val="66"/>
        <w:snapToGrid w:val="0"/>
        <w:spacing w:line="400" w:lineRule="exact"/>
        <w:ind w:firstLine="480" w:firstLineChars="200"/>
        <w:rPr>
          <w:rFonts w:hint="eastAsia" w:ascii="宋体" w:hAnsi="宋体" w:eastAsia="宋体" w:cs="宋体"/>
          <w:color w:val="auto"/>
          <w:sz w:val="24"/>
          <w:szCs w:val="24"/>
          <w:highlight w:val="none"/>
        </w:rPr>
      </w:pPr>
    </w:p>
    <w:p w14:paraId="6D68E994">
      <w:pPr>
        <w:pStyle w:val="66"/>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供应商授权代表签名：</w:t>
      </w:r>
    </w:p>
    <w:p w14:paraId="1F7DB1D9">
      <w:pPr>
        <w:pStyle w:val="66"/>
        <w:snapToGrid w:val="0"/>
        <w:spacing w:line="600" w:lineRule="exact"/>
        <w:ind w:right="2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2024年  月   日  </w:t>
      </w:r>
    </w:p>
    <w:p w14:paraId="253FE3B4">
      <w:pPr>
        <w:spacing w:line="400" w:lineRule="exact"/>
        <w:rPr>
          <w:rFonts w:hint="eastAsia" w:ascii="宋体" w:hAnsi="宋体" w:eastAsia="宋体" w:cs="宋体"/>
          <w:b/>
          <w:color w:val="auto"/>
          <w:sz w:val="24"/>
          <w:szCs w:val="24"/>
          <w:highlight w:val="none"/>
        </w:rPr>
      </w:pPr>
    </w:p>
    <w:p w14:paraId="5E5E949B">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"mailto:投标人在投标文件解密后，通过电子邮件形式，向邮箱地址（1783329431@qq.com）发送《政府采购活动现场确认声明书》（上表）。" </w:instrText>
      </w:r>
      <w:r>
        <w:rPr>
          <w:rFonts w:hint="eastAsia" w:ascii="宋体" w:hAnsi="宋体" w:eastAsia="宋体" w:cs="宋体"/>
          <w:color w:val="auto"/>
          <w:highlight w:val="none"/>
        </w:rPr>
        <w:fldChar w:fldCharType="separate"/>
      </w:r>
      <w:r>
        <w:rPr>
          <w:rStyle w:val="39"/>
          <w:rFonts w:hint="eastAsia" w:ascii="宋体" w:hAnsi="宋体" w:eastAsia="宋体" w:cs="宋体"/>
          <w:b/>
          <w:bCs/>
          <w:color w:val="auto"/>
          <w:sz w:val="24"/>
          <w:highlight w:val="none"/>
        </w:rPr>
        <w:t>投标人在投标文件解密后，通过电子邮件形式，向邮箱地址（58000634@qq.com）发送《政府采购活动现场确认声明书》（上表）。</w:t>
      </w:r>
      <w:r>
        <w:rPr>
          <w:rStyle w:val="39"/>
          <w:rFonts w:hint="eastAsia" w:ascii="宋体" w:hAnsi="宋体" w:eastAsia="宋体" w:cs="宋体"/>
          <w:b/>
          <w:bCs/>
          <w:color w:val="auto"/>
          <w:sz w:val="24"/>
          <w:highlight w:val="none"/>
        </w:rPr>
        <w:fldChar w:fldCharType="end"/>
      </w:r>
    </w:p>
    <w:p w14:paraId="616F2D34">
      <w:pPr>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附件18</w:t>
      </w:r>
    </w:p>
    <w:p w14:paraId="1D4A16D7">
      <w:pPr>
        <w:widowControl/>
        <w:spacing w:line="315"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质保期外年维保报价</w:t>
      </w:r>
    </w:p>
    <w:p w14:paraId="1FA4C5B4">
      <w:pPr>
        <w:pStyle w:val="13"/>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p>
    <w:p w14:paraId="359B09A3">
      <w:pPr>
        <w:pStyle w:val="13"/>
        <w:snapToGrid w:val="0"/>
        <w:spacing w:line="288" w:lineRule="auto"/>
        <w:jc w:val="right"/>
        <w:rPr>
          <w:rFonts w:hint="eastAsia" w:ascii="宋体" w:hAnsi="宋体" w:eastAsia="宋体" w:cs="宋体"/>
          <w:color w:val="auto"/>
          <w:kern w:val="0"/>
          <w:sz w:val="22"/>
          <w:highlight w:val="none"/>
        </w:rPr>
      </w:pPr>
      <w:r>
        <w:rPr>
          <w:rFonts w:hint="eastAsia" w:ascii="宋体" w:hAnsi="宋体" w:eastAsia="宋体" w:cs="宋体"/>
          <w:color w:val="auto"/>
          <w:spacing w:val="-6"/>
          <w:sz w:val="22"/>
          <w:highlight w:val="none"/>
        </w:rPr>
        <w:t>金额单位：人民币（元）</w:t>
      </w:r>
    </w:p>
    <w:tbl>
      <w:tblPr>
        <w:tblStyle w:val="32"/>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6"/>
        <w:gridCol w:w="2635"/>
        <w:gridCol w:w="1416"/>
      </w:tblGrid>
      <w:tr w14:paraId="356B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04F7056E">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3056" w:type="dxa"/>
            <w:vAlign w:val="center"/>
          </w:tcPr>
          <w:p w14:paraId="714A750E">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内容</w:t>
            </w:r>
          </w:p>
        </w:tc>
        <w:tc>
          <w:tcPr>
            <w:tcW w:w="2635" w:type="dxa"/>
            <w:vAlign w:val="center"/>
          </w:tcPr>
          <w:p w14:paraId="2A175816">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报价（元）</w:t>
            </w:r>
          </w:p>
        </w:tc>
        <w:tc>
          <w:tcPr>
            <w:tcW w:w="1416" w:type="dxa"/>
            <w:vAlign w:val="center"/>
          </w:tcPr>
          <w:p w14:paraId="1B36FCB2">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39C1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221B9484">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69B7AF87">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质保期外1年维保服务</w:t>
            </w:r>
          </w:p>
        </w:tc>
        <w:tc>
          <w:tcPr>
            <w:tcW w:w="2635" w:type="dxa"/>
            <w:vAlign w:val="center"/>
          </w:tcPr>
          <w:p w14:paraId="4DCC9A34">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63F153CD">
            <w:pPr>
              <w:adjustRightInd w:val="0"/>
              <w:snapToGrid w:val="0"/>
              <w:spacing w:line="360" w:lineRule="auto"/>
              <w:rPr>
                <w:rFonts w:hint="eastAsia" w:ascii="宋体" w:hAnsi="宋体" w:eastAsia="宋体" w:cs="宋体"/>
                <w:snapToGrid w:val="0"/>
                <w:color w:val="auto"/>
                <w:kern w:val="0"/>
                <w:sz w:val="22"/>
                <w:highlight w:val="none"/>
              </w:rPr>
            </w:pPr>
          </w:p>
        </w:tc>
      </w:tr>
      <w:tr w14:paraId="08EE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01C61FE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542B94C7">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14548248">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7DADBB07">
            <w:pPr>
              <w:adjustRightInd w:val="0"/>
              <w:snapToGrid w:val="0"/>
              <w:spacing w:line="360" w:lineRule="auto"/>
              <w:rPr>
                <w:rFonts w:hint="eastAsia" w:ascii="宋体" w:hAnsi="宋体" w:eastAsia="宋体" w:cs="宋体"/>
                <w:snapToGrid w:val="0"/>
                <w:color w:val="auto"/>
                <w:kern w:val="0"/>
                <w:sz w:val="22"/>
                <w:highlight w:val="none"/>
              </w:rPr>
            </w:pPr>
          </w:p>
        </w:tc>
      </w:tr>
      <w:tr w14:paraId="054C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579BC6BA">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24E7159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040A6D45">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07A162E4">
            <w:pPr>
              <w:adjustRightInd w:val="0"/>
              <w:snapToGrid w:val="0"/>
              <w:spacing w:line="360" w:lineRule="auto"/>
              <w:rPr>
                <w:rFonts w:hint="eastAsia" w:ascii="宋体" w:hAnsi="宋体" w:eastAsia="宋体" w:cs="宋体"/>
                <w:snapToGrid w:val="0"/>
                <w:color w:val="auto"/>
                <w:kern w:val="0"/>
                <w:sz w:val="22"/>
                <w:highlight w:val="none"/>
              </w:rPr>
            </w:pPr>
          </w:p>
        </w:tc>
      </w:tr>
      <w:tr w14:paraId="0A92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3845F618">
            <w:pPr>
              <w:pStyle w:val="15"/>
              <w:adjustRightInd w:val="0"/>
              <w:snapToGrid w:val="0"/>
              <w:spacing w:line="360" w:lineRule="auto"/>
              <w:ind w:left="5250" w:leftChars="0"/>
              <w:jc w:val="center"/>
              <w:rPr>
                <w:rFonts w:hint="eastAsia" w:ascii="宋体" w:hAnsi="宋体" w:eastAsia="宋体" w:cs="宋体"/>
                <w:snapToGrid w:val="0"/>
                <w:color w:val="auto"/>
                <w:kern w:val="0"/>
                <w:sz w:val="22"/>
                <w:szCs w:val="22"/>
                <w:highlight w:val="none"/>
              </w:rPr>
            </w:pPr>
          </w:p>
        </w:tc>
        <w:tc>
          <w:tcPr>
            <w:tcW w:w="3056" w:type="dxa"/>
            <w:vAlign w:val="center"/>
          </w:tcPr>
          <w:p w14:paraId="38AFE2D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054386F6">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0BBCEEEC">
            <w:pPr>
              <w:adjustRightInd w:val="0"/>
              <w:snapToGrid w:val="0"/>
              <w:spacing w:line="360" w:lineRule="auto"/>
              <w:rPr>
                <w:rFonts w:hint="eastAsia" w:ascii="宋体" w:hAnsi="宋体" w:eastAsia="宋体" w:cs="宋体"/>
                <w:snapToGrid w:val="0"/>
                <w:color w:val="auto"/>
                <w:kern w:val="0"/>
                <w:sz w:val="22"/>
                <w:highlight w:val="none"/>
              </w:rPr>
            </w:pPr>
          </w:p>
        </w:tc>
      </w:tr>
      <w:tr w14:paraId="6111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51BA904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69384F2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4F721593">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2B7A21FC">
            <w:pPr>
              <w:adjustRightInd w:val="0"/>
              <w:snapToGrid w:val="0"/>
              <w:spacing w:line="360" w:lineRule="auto"/>
              <w:rPr>
                <w:rFonts w:hint="eastAsia" w:ascii="宋体" w:hAnsi="宋体" w:eastAsia="宋体" w:cs="宋体"/>
                <w:snapToGrid w:val="0"/>
                <w:color w:val="auto"/>
                <w:kern w:val="0"/>
                <w:sz w:val="22"/>
                <w:highlight w:val="none"/>
              </w:rPr>
            </w:pPr>
          </w:p>
        </w:tc>
      </w:tr>
      <w:tr w14:paraId="2CD4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720899D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6A3BAB0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1DB1B5A9">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65BC2845">
            <w:pPr>
              <w:adjustRightInd w:val="0"/>
              <w:snapToGrid w:val="0"/>
              <w:spacing w:line="360" w:lineRule="auto"/>
              <w:rPr>
                <w:rFonts w:hint="eastAsia" w:ascii="宋体" w:hAnsi="宋体" w:eastAsia="宋体" w:cs="宋体"/>
                <w:snapToGrid w:val="0"/>
                <w:color w:val="auto"/>
                <w:kern w:val="0"/>
                <w:sz w:val="22"/>
                <w:highlight w:val="none"/>
              </w:rPr>
            </w:pPr>
          </w:p>
        </w:tc>
      </w:tr>
      <w:tr w14:paraId="5052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1A61539C">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25B8992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73D4D5F2">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7B5BE278">
            <w:pPr>
              <w:adjustRightInd w:val="0"/>
              <w:snapToGrid w:val="0"/>
              <w:spacing w:line="360" w:lineRule="auto"/>
              <w:rPr>
                <w:rFonts w:hint="eastAsia" w:ascii="宋体" w:hAnsi="宋体" w:eastAsia="宋体" w:cs="宋体"/>
                <w:snapToGrid w:val="0"/>
                <w:color w:val="auto"/>
                <w:kern w:val="0"/>
                <w:sz w:val="22"/>
                <w:highlight w:val="none"/>
              </w:rPr>
            </w:pPr>
          </w:p>
        </w:tc>
      </w:tr>
      <w:tr w14:paraId="68D6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58F3682C">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2FC54A1E">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2C3B8583">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45CA15D2">
            <w:pPr>
              <w:adjustRightInd w:val="0"/>
              <w:snapToGrid w:val="0"/>
              <w:spacing w:line="360" w:lineRule="auto"/>
              <w:rPr>
                <w:rFonts w:hint="eastAsia" w:ascii="宋体" w:hAnsi="宋体" w:eastAsia="宋体" w:cs="宋体"/>
                <w:snapToGrid w:val="0"/>
                <w:color w:val="auto"/>
                <w:kern w:val="0"/>
                <w:sz w:val="22"/>
                <w:highlight w:val="none"/>
              </w:rPr>
            </w:pPr>
          </w:p>
        </w:tc>
      </w:tr>
    </w:tbl>
    <w:p w14:paraId="0C307D45">
      <w:pPr>
        <w:pStyle w:val="13"/>
        <w:snapToGrid w:val="0"/>
        <w:spacing w:line="360" w:lineRule="auto"/>
        <w:rPr>
          <w:rFonts w:hint="eastAsia" w:ascii="宋体" w:hAnsi="宋体" w:eastAsia="宋体" w:cs="宋体"/>
          <w:color w:val="auto"/>
          <w:kern w:val="0"/>
          <w:sz w:val="22"/>
          <w:highlight w:val="none"/>
        </w:rPr>
      </w:pPr>
    </w:p>
    <w:p w14:paraId="23B683DC">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5BDF5FCB">
      <w:pPr>
        <w:widowControl/>
        <w:spacing w:line="400" w:lineRule="exact"/>
        <w:rPr>
          <w:rFonts w:hint="eastAsia" w:ascii="宋体" w:hAnsi="宋体" w:eastAsia="宋体" w:cs="宋体"/>
          <w:color w:val="auto"/>
          <w:kern w:val="0"/>
          <w:sz w:val="24"/>
          <w:szCs w:val="24"/>
          <w:highlight w:val="none"/>
        </w:rPr>
      </w:pPr>
    </w:p>
    <w:p w14:paraId="5066E960">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5A96CE67">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10B41D99">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9547EBC">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6E8BFB92">
      <w:pPr>
        <w:numPr>
          <w:ilvl w:val="0"/>
          <w:numId w:val="8"/>
        </w:numPr>
        <w:spacing w:line="400" w:lineRule="exact"/>
        <w:jc w:val="center"/>
        <w:outlineLvl w:val="0"/>
        <w:rPr>
          <w:rFonts w:hint="eastAsia" w:ascii="宋体" w:hAnsi="宋体" w:eastAsia="宋体" w:cs="宋体"/>
          <w:b/>
          <w:color w:val="auto"/>
          <w:sz w:val="32"/>
          <w:highlight w:val="none"/>
        </w:rPr>
      </w:pPr>
      <w:bookmarkStart w:id="128" w:name="_Toc11523"/>
      <w:r>
        <w:rPr>
          <w:rFonts w:hint="eastAsia" w:ascii="宋体" w:hAnsi="宋体" w:eastAsia="宋体" w:cs="宋体"/>
          <w:b/>
          <w:color w:val="auto"/>
          <w:sz w:val="32"/>
          <w:highlight w:val="none"/>
        </w:rPr>
        <w:t>采购需求</w:t>
      </w:r>
      <w:bookmarkEnd w:id="128"/>
    </w:p>
    <w:p w14:paraId="37455BAD">
      <w:pPr>
        <w:snapToGrid w:val="0"/>
        <w:spacing w:line="400" w:lineRule="exact"/>
        <w:outlineLvl w:val="1"/>
        <w:rPr>
          <w:rFonts w:hint="eastAsia" w:ascii="宋体" w:hAnsi="宋体" w:eastAsia="宋体" w:cs="宋体"/>
          <w:b/>
          <w:bCs/>
          <w:color w:val="auto"/>
          <w:spacing w:val="-6"/>
          <w:sz w:val="22"/>
          <w:highlight w:val="none"/>
        </w:rPr>
      </w:pPr>
      <w:bookmarkStart w:id="129" w:name="_Toc8423"/>
      <w:bookmarkStart w:id="130" w:name="_Toc17877"/>
      <w:bookmarkStart w:id="131" w:name="_Toc30101"/>
      <w:r>
        <w:rPr>
          <w:rFonts w:hint="eastAsia" w:ascii="宋体" w:hAnsi="宋体" w:eastAsia="宋体" w:cs="宋体"/>
          <w:b/>
          <w:bCs/>
          <w:color w:val="auto"/>
          <w:spacing w:val="-6"/>
          <w:sz w:val="22"/>
          <w:highlight w:val="none"/>
        </w:rPr>
        <w:t>一、总则</w:t>
      </w:r>
      <w:bookmarkEnd w:id="129"/>
      <w:bookmarkEnd w:id="130"/>
      <w:bookmarkEnd w:id="131"/>
    </w:p>
    <w:p w14:paraId="4F5BD98A">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本采购需求只是设备及安装的一些原则性规定，并不是详尽的要求，投标人有责任对该货物设计符合采购需求要求负责。</w:t>
      </w:r>
    </w:p>
    <w:p w14:paraId="022AE768">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的设备所涉及的产品标准、规范，验收标准、规范，应符合国家有关条例及规范，如有新的标准应采纳新标准，如是国际相应标准应征得采购人认可，并提供采用的国家和国际标准、规范以及所采用的版本的有关技术资料。投标人采用其它标准和规范时，应在投标文件中注明是采用何种标准，并应保证设备达到或优于国家规定的现行相关标准。对国家规定有强制性规范或条例或认证要求的设备或材料，投标人提供的设备或材料应符合该类要求。</w:t>
      </w:r>
    </w:p>
    <w:p w14:paraId="48035C4D">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投标人应根据招标文件所提出的设备技术规格、产品、产量和服务要求，综合考虑设备的适应性，选择具有最佳性能和价格比的设备前来投标。</w:t>
      </w:r>
    </w:p>
    <w:p w14:paraId="189B7800">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所投标产品及主要部件的名称、品牌、型号、技术参数、性能、数量、单价、合价、厂商、产地、质保期等应在投标文件中明确，对招标文件的技术条款及要求应予以明确响应，如有偏离应在偏离表中注明。</w:t>
      </w:r>
    </w:p>
    <w:p w14:paraId="6726EEFF">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带“▲且加下划线”的有关条款为实质性条款，投标人必须做出实质性响应，不允许低于采购要求（负偏离），出现负偏离的将导致投标无效。打★的条款为重要指标，允许低于采购要求（负偏离），但在技术评分时会重点扣分，具体见评标办法。</w:t>
      </w:r>
    </w:p>
    <w:p w14:paraId="3240E7E3">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技术部分中需要提供的证明材料有有效期的必须在有效期内，否则视为未提供。</w:t>
      </w:r>
    </w:p>
    <w:p w14:paraId="08A8C512">
      <w:pPr>
        <w:spacing w:line="380" w:lineRule="exact"/>
        <w:rPr>
          <w:rFonts w:hint="eastAsia" w:ascii="宋体" w:hAnsi="宋体" w:eastAsia="宋体" w:cs="宋体"/>
          <w:b/>
          <w:bCs/>
          <w:color w:val="auto"/>
          <w:spacing w:val="-6"/>
          <w:sz w:val="22"/>
          <w:highlight w:val="none"/>
        </w:rPr>
      </w:pPr>
      <w:r>
        <w:rPr>
          <w:rFonts w:hint="eastAsia" w:ascii="宋体" w:hAnsi="宋体" w:eastAsia="宋体" w:cs="宋体"/>
          <w:b/>
          <w:color w:val="auto"/>
          <w:sz w:val="22"/>
          <w:highlight w:val="none"/>
        </w:rPr>
        <w:t>二、商务</w:t>
      </w:r>
      <w:r>
        <w:rPr>
          <w:rFonts w:hint="eastAsia" w:ascii="宋体" w:hAnsi="宋体" w:eastAsia="宋体" w:cs="宋体"/>
          <w:b/>
          <w:bCs/>
          <w:color w:val="auto"/>
          <w:spacing w:val="-6"/>
          <w:sz w:val="22"/>
          <w:highlight w:val="none"/>
        </w:rPr>
        <w:t>要求（技术要求里另有注明的以技术要求为准）</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620"/>
      </w:tblGrid>
      <w:tr w14:paraId="7278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D0041F5">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7620" w:type="dxa"/>
            <w:tcBorders>
              <w:tl2br w:val="nil"/>
              <w:tr2bl w:val="nil"/>
            </w:tcBorders>
            <w:shd w:val="clear" w:color="auto" w:fill="auto"/>
            <w:vAlign w:val="center"/>
          </w:tcPr>
          <w:p w14:paraId="43F59011">
            <w:pPr>
              <w:adjustRightInd w:val="0"/>
              <w:snapToGrid w:val="0"/>
              <w:spacing w:line="380" w:lineRule="exact"/>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1.合同签订后5个工作日内，中标人向采购人提交合同总价1%的履约保证金，履约保证金在合同履约期间无违约情形的，项目验收合格后，于5个工作日内退还（不计息）；</w:t>
            </w:r>
          </w:p>
          <w:p w14:paraId="615F0562">
            <w:pPr>
              <w:adjustRightInd w:val="0"/>
              <w:snapToGrid w:val="0"/>
              <w:spacing w:line="380" w:lineRule="exact"/>
              <w:rPr>
                <w:rFonts w:hint="eastAsia" w:ascii="宋体" w:hAnsi="宋体" w:eastAsia="宋体" w:cs="宋体"/>
                <w:b/>
                <w:bCs/>
                <w:color w:val="auto"/>
                <w:spacing w:val="-6"/>
                <w:sz w:val="22"/>
                <w:highlight w:val="none"/>
                <w:u w:val="single"/>
              </w:rPr>
            </w:pPr>
            <w:r>
              <w:rPr>
                <w:rFonts w:hint="eastAsia" w:ascii="宋体" w:hAnsi="宋体" w:eastAsia="宋体" w:cs="宋体"/>
                <w:color w:val="auto"/>
                <w:spacing w:val="-6"/>
                <w:sz w:val="22"/>
                <w:highlight w:val="none"/>
                <w:u w:val="single"/>
              </w:rPr>
              <w:t>2.提交方式：支票、汇票、本票或金融机构、担保机构出具的保函等非现金形式。</w:t>
            </w:r>
          </w:p>
        </w:tc>
      </w:tr>
      <w:tr w14:paraId="1A56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37008E04">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7620" w:type="dxa"/>
            <w:tcBorders>
              <w:tl2br w:val="nil"/>
              <w:tr2bl w:val="nil"/>
            </w:tcBorders>
            <w:shd w:val="clear" w:color="auto" w:fill="auto"/>
            <w:vAlign w:val="center"/>
          </w:tcPr>
          <w:p w14:paraId="3E56FC75">
            <w:pPr>
              <w:adjustRightInd w:val="0"/>
              <w:snapToGrid w:val="0"/>
              <w:spacing w:line="380" w:lineRule="exact"/>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▲合同生效、具备实施条件后7个工作日内，采购人向中标人支付合同总价</w:t>
            </w:r>
            <w:r>
              <w:rPr>
                <w:rFonts w:hint="eastAsia" w:ascii="宋体" w:hAnsi="宋体" w:cs="宋体"/>
                <w:color w:val="auto"/>
                <w:spacing w:val="-6"/>
                <w:sz w:val="22"/>
                <w:highlight w:val="none"/>
                <w:u w:val="single"/>
                <w:lang w:val="en-US" w:eastAsia="zh-CN"/>
              </w:rPr>
              <w:t>7</w:t>
            </w:r>
            <w:r>
              <w:rPr>
                <w:rFonts w:hint="eastAsia" w:ascii="宋体" w:hAnsi="宋体" w:eastAsia="宋体" w:cs="宋体"/>
                <w:color w:val="auto"/>
                <w:spacing w:val="-6"/>
                <w:sz w:val="22"/>
                <w:highlight w:val="none"/>
                <w:u w:val="single"/>
              </w:rPr>
              <w:t>0%的预付款，合同尾款在项目验收合格后支付</w:t>
            </w:r>
            <w:r>
              <w:rPr>
                <w:rFonts w:hint="eastAsia" w:ascii="宋体" w:hAnsi="宋体" w:eastAsia="宋体" w:cs="宋体"/>
                <w:color w:val="auto"/>
                <w:spacing w:val="-6"/>
                <w:sz w:val="22"/>
                <w:highlight w:val="none"/>
                <w:u w:val="single"/>
                <w:lang w:val="zh-CN"/>
              </w:rPr>
              <w:t>。</w:t>
            </w:r>
          </w:p>
          <w:p w14:paraId="7C75999B">
            <w:pPr>
              <w:adjustRightInd w:val="0"/>
              <w:snapToGrid w:val="0"/>
              <w:spacing w:line="380" w:lineRule="exact"/>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注：在合同签订时，中标人明确表示无需预付款或者主动要求降低预付款比例的，按实际比例计。采购人对于满足合同约定支付条件的，自收到发票后7个工作日内将资金支付到合同约定的中标人账户。</w:t>
            </w:r>
          </w:p>
        </w:tc>
      </w:tr>
      <w:tr w14:paraId="1138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0AE4B0F2">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7620" w:type="dxa"/>
            <w:tcBorders>
              <w:tl2br w:val="nil"/>
              <w:tr2bl w:val="nil"/>
            </w:tcBorders>
            <w:shd w:val="clear" w:color="auto" w:fill="auto"/>
            <w:vAlign w:val="center"/>
          </w:tcPr>
          <w:p w14:paraId="6C153DDE">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w:t>
            </w:r>
            <w:r>
              <w:rPr>
                <w:rFonts w:hint="eastAsia" w:ascii="宋体" w:hAnsi="宋体" w:cs="宋体"/>
                <w:color w:val="auto"/>
                <w:sz w:val="22"/>
                <w:highlight w:val="none"/>
                <w:u w:val="single"/>
                <w:lang w:val="en-US" w:eastAsia="zh-CN"/>
              </w:rPr>
              <w:t>所有产品</w:t>
            </w:r>
            <w:r>
              <w:rPr>
                <w:rFonts w:hint="eastAsia" w:ascii="宋体" w:hAnsi="宋体" w:eastAsia="宋体" w:cs="宋体"/>
                <w:color w:val="auto"/>
                <w:sz w:val="22"/>
                <w:highlight w:val="none"/>
                <w:u w:val="single"/>
              </w:rPr>
              <w:t>自验收合格之日起质保期</w:t>
            </w:r>
            <w:r>
              <w:rPr>
                <w:rFonts w:hint="eastAsia" w:ascii="宋体" w:hAnsi="宋体" w:cs="宋体"/>
                <w:color w:val="auto"/>
                <w:sz w:val="22"/>
                <w:highlight w:val="none"/>
                <w:u w:val="single"/>
                <w:lang w:val="en-US" w:eastAsia="zh-CN"/>
              </w:rPr>
              <w:t>3</w:t>
            </w:r>
            <w:r>
              <w:rPr>
                <w:rFonts w:hint="eastAsia" w:ascii="宋体" w:hAnsi="宋体" w:eastAsia="宋体" w:cs="宋体"/>
                <w:color w:val="auto"/>
                <w:sz w:val="22"/>
                <w:highlight w:val="none"/>
                <w:u w:val="single"/>
              </w:rPr>
              <w:t>年，终身维修</w:t>
            </w:r>
            <w:r>
              <w:rPr>
                <w:rFonts w:hint="eastAsia" w:ascii="宋体" w:hAnsi="宋体" w:eastAsia="宋体" w:cs="宋体"/>
                <w:color w:val="auto"/>
                <w:sz w:val="22"/>
                <w:highlight w:val="none"/>
              </w:rPr>
              <w:t>。</w:t>
            </w:r>
          </w:p>
        </w:tc>
      </w:tr>
      <w:tr w14:paraId="1FB2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33A5E696">
            <w:pPr>
              <w:spacing w:line="380" w:lineRule="exact"/>
              <w:jc w:val="center"/>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交付时间</w:t>
            </w:r>
          </w:p>
        </w:tc>
        <w:tc>
          <w:tcPr>
            <w:tcW w:w="7620" w:type="dxa"/>
            <w:tcBorders>
              <w:tl2br w:val="nil"/>
              <w:tr2bl w:val="nil"/>
            </w:tcBorders>
            <w:shd w:val="clear" w:color="auto" w:fill="auto"/>
            <w:vAlign w:val="center"/>
          </w:tcPr>
          <w:p w14:paraId="2FEBABB3">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自合同签订之日起</w:t>
            </w:r>
            <w:r>
              <w:rPr>
                <w:rFonts w:hint="eastAsia" w:ascii="宋体" w:hAnsi="宋体" w:cs="宋体"/>
                <w:color w:val="auto"/>
                <w:sz w:val="22"/>
                <w:highlight w:val="none"/>
                <w:lang w:val="en-US" w:eastAsia="zh-CN"/>
              </w:rPr>
              <w:t>两</w:t>
            </w:r>
            <w:r>
              <w:rPr>
                <w:rFonts w:hint="eastAsia" w:ascii="宋体" w:hAnsi="宋体" w:eastAsia="宋体" w:cs="宋体"/>
                <w:color w:val="auto"/>
                <w:sz w:val="22"/>
                <w:highlight w:val="none"/>
              </w:rPr>
              <w:t>个月内交付使用。</w:t>
            </w:r>
          </w:p>
        </w:tc>
      </w:tr>
      <w:tr w14:paraId="3470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01E26B7C">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7620" w:type="dxa"/>
            <w:tcBorders>
              <w:tl2br w:val="nil"/>
              <w:tr2bl w:val="nil"/>
            </w:tcBorders>
            <w:shd w:val="clear" w:color="auto" w:fill="auto"/>
            <w:vAlign w:val="center"/>
          </w:tcPr>
          <w:p w14:paraId="3025E3EC">
            <w:pPr>
              <w:spacing w:line="38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文成县卫生健康局指定地点。</w:t>
            </w:r>
          </w:p>
        </w:tc>
      </w:tr>
      <w:tr w14:paraId="616F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17493FD5">
            <w:pPr>
              <w:adjustRightInd w:val="0"/>
              <w:snapToGrid w:val="0"/>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售后服务</w:t>
            </w:r>
          </w:p>
        </w:tc>
        <w:tc>
          <w:tcPr>
            <w:tcW w:w="7620" w:type="dxa"/>
            <w:tcBorders>
              <w:tl2br w:val="nil"/>
              <w:tr2bl w:val="nil"/>
            </w:tcBorders>
            <w:shd w:val="clear" w:color="auto" w:fill="auto"/>
            <w:vAlign w:val="center"/>
          </w:tcPr>
          <w:p w14:paraId="6ECF21B1">
            <w:pPr>
              <w:snapToGrid w:val="0"/>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1.在质保期内，供应商应对货物出现的质量及安全问题负责处理解决并承担一切费用。</w:t>
            </w:r>
          </w:p>
          <w:p w14:paraId="1EE9193C">
            <w:pPr>
              <w:snapToGrid w:val="0"/>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2.质保期内出现无法排除的故障，供应商需无条件更换同型号产品。</w:t>
            </w:r>
          </w:p>
          <w:p w14:paraId="1989904B">
            <w:pPr>
              <w:snapToGrid w:val="0"/>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3.质保期满后，供应商继续为采购人服务，仅收取零配件成本费。零配件在该设备停产后仍需保证十年的供应。维修过程中所需零配件供应商在接到通知后最长不超过3天必须送达采购人。</w:t>
            </w:r>
          </w:p>
          <w:p w14:paraId="47329818">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提供7×24小时技术支持，对采购人的需求应当积极响应，如在使用过程中发生质量问题，供应商维修响应时间：4小时以内；电话技术支持时间：8小时以内；若需上门维修，则在36小时内到达现场并进行维修；以保证系统的正常运行。</w:t>
            </w:r>
          </w:p>
          <w:p w14:paraId="509A68BA">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5.投标人应在投标文件中提供消耗品或易耗品价格。</w:t>
            </w:r>
          </w:p>
          <w:p w14:paraId="2B986829">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6.投标人应在投标文件中应详细说明收费标准，包括保修价格、设备配件价格，维修服务费。提供维修点的分布情况。</w:t>
            </w:r>
          </w:p>
          <w:p w14:paraId="2B9595C1">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7.投标人应在投标文件中提供售后服务方案，如售后服务机构备品备件储备，售后服务机构技术服务人员情况。</w:t>
            </w:r>
          </w:p>
        </w:tc>
      </w:tr>
      <w:tr w14:paraId="4318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C064E74">
            <w:pPr>
              <w:adjustRightInd w:val="0"/>
              <w:snapToGrid w:val="0"/>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包装和运输</w:t>
            </w:r>
          </w:p>
        </w:tc>
        <w:tc>
          <w:tcPr>
            <w:tcW w:w="7620" w:type="dxa"/>
            <w:tcBorders>
              <w:tl2br w:val="nil"/>
              <w:tr2bl w:val="nil"/>
            </w:tcBorders>
            <w:shd w:val="clear" w:color="auto" w:fill="auto"/>
            <w:vAlign w:val="center"/>
          </w:tcPr>
          <w:p w14:paraId="6251637F">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投标人承担。</w:t>
            </w:r>
          </w:p>
          <w:p w14:paraId="40AA83A0">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投标人提供产品及相关快递服务的具体包装要求应符合《商品包装政府采购需求标准（试行）》《快递包装政府采购需求标准（试行）》，并作为履约验收的内容，必要时采购人可以要求投标人在履约验收环节出具检测报告。 </w:t>
            </w:r>
          </w:p>
        </w:tc>
      </w:tr>
      <w:tr w14:paraId="52EB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56F25F0A">
            <w:pPr>
              <w:adjustRightInd w:val="0"/>
              <w:snapToGrid w:val="0"/>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7620" w:type="dxa"/>
            <w:tcBorders>
              <w:tl2br w:val="nil"/>
              <w:tr2bl w:val="nil"/>
            </w:tcBorders>
            <w:shd w:val="clear" w:color="auto" w:fill="auto"/>
            <w:vAlign w:val="center"/>
          </w:tcPr>
          <w:p w14:paraId="3CECBCAA">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w:t>
            </w:r>
          </w:p>
          <w:p w14:paraId="21E7572D">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2.验收依据：</w:t>
            </w:r>
          </w:p>
          <w:p w14:paraId="086919BA">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2.1合同、招标文件、投标文件；</w:t>
            </w:r>
          </w:p>
          <w:p w14:paraId="708A5025">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2.2中标人投标文件中提供的经采购人认可的合同货物的验收标准（符合中国有关的国家、地方、行业标准）和检测办法及相应检测手段。</w:t>
            </w:r>
          </w:p>
          <w:p w14:paraId="60CC47EE">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3.中标人应派员在所供货物到采购人处时进行到货验收，有需要时能联系产品制造商共同验收，若发现任何损坏及质量问题，中标人负责妥善处理直至采购人满意，由此产生的费用由中标人承担。</w:t>
            </w:r>
          </w:p>
          <w:p w14:paraId="2F1B32B0">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4.验收合格的条件：</w:t>
            </w:r>
          </w:p>
          <w:p w14:paraId="58112F44">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4.1所供货物符合合同的要求；</w:t>
            </w:r>
          </w:p>
          <w:p w14:paraId="2720AFDE">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4.2在进行测试和验收过程中发现的问题已被解决并得到采购人的认可；</w:t>
            </w:r>
          </w:p>
          <w:p w14:paraId="1C0C797F">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4.3合同中规定的所有货物和材料均已交付；</w:t>
            </w:r>
          </w:p>
          <w:p w14:paraId="72AEA1B5">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4.4所供货物已通过使用单位组织的验收；</w:t>
            </w:r>
          </w:p>
          <w:p w14:paraId="475F9117">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4.5所有相关的技术文件及资料均已提交并得到接受。</w:t>
            </w:r>
          </w:p>
          <w:p w14:paraId="3FD54573">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5.以上验收费用产生的费用由中标人承担。</w:t>
            </w:r>
          </w:p>
        </w:tc>
      </w:tr>
      <w:tr w14:paraId="39C8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195C6D66">
            <w:pPr>
              <w:adjustRightInd w:val="0"/>
              <w:snapToGrid w:val="0"/>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7620" w:type="dxa"/>
            <w:tcBorders>
              <w:tl2br w:val="nil"/>
              <w:tr2bl w:val="nil"/>
            </w:tcBorders>
            <w:shd w:val="clear" w:color="auto" w:fill="auto"/>
            <w:vAlign w:val="center"/>
          </w:tcPr>
          <w:p w14:paraId="0FB3C21F">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1.投标人应按招标文件规定的货物性能、技术要求、质量标准向采购人提供未经使用的全新产品，符合国家法律规定和技术规格、质量标准的出厂原装合格产品。</w:t>
            </w:r>
          </w:p>
          <w:p w14:paraId="4635B9DC">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2.技术支持：中标人应提供免费软件升级。</w:t>
            </w:r>
          </w:p>
          <w:p w14:paraId="789DA833">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3.培训</w:t>
            </w:r>
          </w:p>
          <w:p w14:paraId="3379CFA1">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3.1投标人应对用户的维修人员提供培训，使其能对设备进行日常的维护保养及能对一般故障进行维修，并向培训人员提供维修图纸及维修手册、维修密码及软件备份。</w:t>
            </w:r>
          </w:p>
          <w:p w14:paraId="51AE9E4C">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3.2投标人应对用户的操作人员进行操作培训，使其能对设备进行熟练的操作。</w:t>
            </w:r>
          </w:p>
          <w:p w14:paraId="139D5302">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3.3投标人应在投标文件的培训方案中详细说明。</w:t>
            </w:r>
          </w:p>
          <w:p w14:paraId="6D19D9A1">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4.安装调试</w:t>
            </w:r>
          </w:p>
          <w:p w14:paraId="4B888212">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4.1安装地点：文成县卫生健康局指定地点。</w:t>
            </w:r>
          </w:p>
          <w:p w14:paraId="2357B21A">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4.2安装完成时间：接到采购人通知后1周内完成安装和调试，如在规定的时间内由于投标人的原因不能完成安装和调试，投标人应承担由此给采购人造成的损失。</w:t>
            </w:r>
          </w:p>
          <w:p w14:paraId="0914B417">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4.3安装标准：符合我国国家有关技术规范要求和技术标准。</w:t>
            </w:r>
          </w:p>
          <w:p w14:paraId="1D1BA515">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4.4安装过程中发生的费用由投标人负责。</w:t>
            </w:r>
          </w:p>
          <w:p w14:paraId="4C4F38B9">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4.5投标人应在投标文件中提供安装调试方案和安装调试过程中采购人需配合的内容。</w:t>
            </w:r>
          </w:p>
          <w:p w14:paraId="57BAE57E">
            <w:pPr>
              <w:spacing w:line="38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4.6随机资料：提供使用操作手册2份，维修手册1份。</w:t>
            </w:r>
          </w:p>
          <w:p w14:paraId="1C44959F">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5.投标人应保证所提供的货物或其中任何一部分均不会侵犯第三方的知识产权。</w:t>
            </w:r>
          </w:p>
          <w:p w14:paraId="29C8448B">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6.投标人在安装调试中造成的人员伤亡及财产损失，由投标人自行承担。</w:t>
            </w:r>
          </w:p>
        </w:tc>
      </w:tr>
      <w:tr w14:paraId="64A9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2744DFC">
            <w:pPr>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报价方式</w:t>
            </w:r>
          </w:p>
        </w:tc>
        <w:tc>
          <w:tcPr>
            <w:tcW w:w="7620" w:type="dxa"/>
            <w:tcBorders>
              <w:tl2br w:val="nil"/>
              <w:tr2bl w:val="nil"/>
            </w:tcBorders>
            <w:shd w:val="clear" w:color="auto" w:fill="auto"/>
            <w:vAlign w:val="center"/>
          </w:tcPr>
          <w:p w14:paraId="53D70371">
            <w:p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采购项目包括货物及其货物及其附件的采购、制造、税金、安装费、检验费、质保期内维修保护费、售后服务费、保险费用、采购代理服务费、验收费以及完成合同所需的一切本身和不可或缺的所有工作开支、政策性文件规定，合同包含的所有风险、责任等相关各项其他可能产生的全部费用，实行固定费用总包干。</w:t>
            </w:r>
          </w:p>
          <w:p w14:paraId="5E1F0822">
            <w:pPr>
              <w:adjustRightInd w:val="0"/>
              <w:snapToGrid w:val="0"/>
              <w:spacing w:line="360" w:lineRule="exact"/>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质保期后的维保费单独报价（不包括在投标价中），选购件单独分项报价（不包括在投标价中）。</w:t>
            </w:r>
          </w:p>
        </w:tc>
      </w:tr>
    </w:tbl>
    <w:p w14:paraId="68FBEC57">
      <w:pPr>
        <w:snapToGrid w:val="0"/>
        <w:spacing w:line="34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三、技术要求</w:t>
      </w:r>
    </w:p>
    <w:p w14:paraId="2B3E5BA7">
      <w:pPr>
        <w:pStyle w:val="3"/>
        <w:numPr>
          <w:ilvl w:val="1"/>
          <w:numId w:val="0"/>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（一）</w:t>
      </w:r>
      <w:bookmarkStart w:id="132" w:name="_Toc28591"/>
      <w:r>
        <w:rPr>
          <w:rFonts w:hint="eastAsia" w:ascii="宋体" w:hAnsi="宋体" w:eastAsia="宋体" w:cs="宋体"/>
          <w:color w:val="auto"/>
          <w:sz w:val="22"/>
          <w:szCs w:val="22"/>
          <w:highlight w:val="none"/>
        </w:rPr>
        <w:t>采购内容清单</w:t>
      </w:r>
      <w:bookmarkEnd w:id="132"/>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244"/>
        <w:gridCol w:w="1133"/>
        <w:gridCol w:w="933"/>
        <w:gridCol w:w="1189"/>
        <w:gridCol w:w="1912"/>
      </w:tblGrid>
      <w:tr w14:paraId="4F3F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696AA841">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序号</w:t>
            </w:r>
          </w:p>
        </w:tc>
        <w:tc>
          <w:tcPr>
            <w:tcW w:w="2244" w:type="dxa"/>
            <w:tcBorders>
              <w:right w:val="single" w:color="000000" w:sz="4" w:space="0"/>
            </w:tcBorders>
            <w:vAlign w:val="center"/>
          </w:tcPr>
          <w:p w14:paraId="7AC29287">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标的名称</w:t>
            </w:r>
          </w:p>
        </w:tc>
        <w:tc>
          <w:tcPr>
            <w:tcW w:w="1133" w:type="dxa"/>
            <w:tcBorders>
              <w:left w:val="single" w:color="000000" w:sz="4" w:space="0"/>
            </w:tcBorders>
            <w:shd w:val="clear" w:color="auto" w:fill="auto"/>
            <w:vAlign w:val="center"/>
          </w:tcPr>
          <w:p w14:paraId="48C4480B">
            <w:pPr>
              <w:widowControl/>
              <w:spacing w:line="360" w:lineRule="exact"/>
              <w:jc w:val="center"/>
              <w:rPr>
                <w:rFonts w:hint="eastAsia" w:ascii="宋体" w:hAnsi="宋体" w:eastAsia="宋体" w:cs="宋体"/>
                <w:iCs/>
                <w:caps/>
                <w:color w:val="auto"/>
                <w:sz w:val="22"/>
                <w:highlight w:val="none"/>
                <w:shd w:val="clear" w:color="auto" w:fill="FFFFFF"/>
              </w:rPr>
            </w:pPr>
            <w:r>
              <w:rPr>
                <w:rFonts w:hint="eastAsia" w:ascii="宋体" w:hAnsi="宋体" w:eastAsia="宋体" w:cs="宋体"/>
                <w:iCs/>
                <w:caps/>
                <w:color w:val="auto"/>
                <w:sz w:val="22"/>
                <w:highlight w:val="none"/>
                <w:shd w:val="clear" w:color="auto" w:fill="FFFFFF"/>
              </w:rPr>
              <w:t>计量单位</w:t>
            </w:r>
          </w:p>
        </w:tc>
        <w:tc>
          <w:tcPr>
            <w:tcW w:w="933" w:type="dxa"/>
            <w:tcBorders>
              <w:left w:val="single" w:color="000000" w:sz="4" w:space="0"/>
            </w:tcBorders>
            <w:shd w:val="clear" w:color="auto" w:fill="auto"/>
            <w:vAlign w:val="center"/>
          </w:tcPr>
          <w:p w14:paraId="19951AFA">
            <w:pPr>
              <w:widowControl/>
              <w:spacing w:line="360" w:lineRule="exact"/>
              <w:jc w:val="center"/>
              <w:rPr>
                <w:rFonts w:hint="eastAsia" w:ascii="宋体" w:hAnsi="宋体" w:eastAsia="宋体" w:cs="宋体"/>
                <w:iCs/>
                <w:caps/>
                <w:color w:val="auto"/>
                <w:sz w:val="22"/>
                <w:highlight w:val="none"/>
                <w:shd w:val="clear" w:color="auto" w:fill="FFFFFF"/>
              </w:rPr>
            </w:pPr>
            <w:r>
              <w:rPr>
                <w:rFonts w:hint="eastAsia" w:ascii="宋体" w:hAnsi="宋体" w:eastAsia="宋体" w:cs="宋体"/>
                <w:iCs/>
                <w:caps/>
                <w:color w:val="auto"/>
                <w:sz w:val="22"/>
                <w:highlight w:val="none"/>
                <w:shd w:val="clear" w:color="auto" w:fill="FFFFFF"/>
              </w:rPr>
              <w:t>数量</w:t>
            </w:r>
          </w:p>
        </w:tc>
        <w:tc>
          <w:tcPr>
            <w:tcW w:w="1189" w:type="dxa"/>
            <w:tcBorders>
              <w:left w:val="single" w:color="000000" w:sz="4" w:space="0"/>
            </w:tcBorders>
            <w:shd w:val="clear" w:color="auto" w:fill="auto"/>
            <w:vAlign w:val="center"/>
          </w:tcPr>
          <w:p w14:paraId="23B49DE4">
            <w:pPr>
              <w:widowControl/>
              <w:spacing w:line="360" w:lineRule="exact"/>
              <w:jc w:val="center"/>
              <w:rPr>
                <w:rFonts w:hint="eastAsia" w:ascii="宋体" w:hAnsi="宋体" w:eastAsia="宋体" w:cs="宋体"/>
                <w:iCs/>
                <w:caps/>
                <w:color w:val="auto"/>
                <w:sz w:val="22"/>
                <w:highlight w:val="none"/>
                <w:shd w:val="clear" w:color="auto" w:fill="FFFFFF"/>
              </w:rPr>
            </w:pPr>
            <w:r>
              <w:rPr>
                <w:rFonts w:hint="eastAsia" w:ascii="宋体" w:hAnsi="宋体" w:eastAsia="宋体" w:cs="宋体"/>
                <w:iCs/>
                <w:caps/>
                <w:color w:val="auto"/>
                <w:sz w:val="22"/>
                <w:highlight w:val="none"/>
                <w:shd w:val="clear" w:color="auto" w:fill="FFFFFF"/>
              </w:rPr>
              <w:t>是否进口</w:t>
            </w:r>
          </w:p>
        </w:tc>
        <w:tc>
          <w:tcPr>
            <w:tcW w:w="1912" w:type="dxa"/>
            <w:vAlign w:val="center"/>
          </w:tcPr>
          <w:p w14:paraId="075BCB58">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备注</w:t>
            </w:r>
          </w:p>
        </w:tc>
      </w:tr>
      <w:tr w14:paraId="3821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7455A0D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1</w:t>
            </w:r>
          </w:p>
        </w:tc>
        <w:tc>
          <w:tcPr>
            <w:tcW w:w="2244" w:type="dxa"/>
            <w:tcBorders>
              <w:right w:val="single" w:color="000000" w:sz="4" w:space="0"/>
            </w:tcBorders>
            <w:vAlign w:val="center"/>
          </w:tcPr>
          <w:p w14:paraId="4FE5F85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lang w:val="zh-CN" w:eastAsia="zh-CN"/>
              </w:rPr>
            </w:pPr>
            <w:r>
              <w:rPr>
                <w:rFonts w:hint="eastAsia" w:ascii="宋体" w:hAnsi="宋体" w:eastAsia="宋体" w:cs="宋体"/>
                <w:bCs/>
                <w:color w:val="auto"/>
                <w:spacing w:val="-6"/>
                <w:sz w:val="22"/>
                <w:szCs w:val="22"/>
                <w:highlight w:val="none"/>
                <w:lang w:val="en-US" w:eastAsia="zh-CN"/>
              </w:rPr>
              <w:t>全自动血液分析仪</w:t>
            </w:r>
          </w:p>
        </w:tc>
        <w:tc>
          <w:tcPr>
            <w:tcW w:w="1133" w:type="dxa"/>
            <w:tcBorders>
              <w:left w:val="single" w:color="000000" w:sz="4" w:space="0"/>
            </w:tcBorders>
            <w:shd w:val="clear" w:color="auto" w:fill="auto"/>
            <w:vAlign w:val="center"/>
          </w:tcPr>
          <w:p w14:paraId="4A53D16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4E6178B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2</w:t>
            </w:r>
          </w:p>
        </w:tc>
        <w:tc>
          <w:tcPr>
            <w:tcW w:w="1189" w:type="dxa"/>
            <w:tcBorders>
              <w:left w:val="single" w:color="000000" w:sz="4" w:space="0"/>
            </w:tcBorders>
            <w:shd w:val="clear" w:color="auto" w:fill="auto"/>
            <w:vAlign w:val="center"/>
          </w:tcPr>
          <w:p w14:paraId="7FBA643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139E5C9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r w14:paraId="02BC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70416A4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2</w:t>
            </w:r>
          </w:p>
        </w:tc>
        <w:tc>
          <w:tcPr>
            <w:tcW w:w="2244" w:type="dxa"/>
            <w:tcBorders>
              <w:right w:val="single" w:color="000000" w:sz="4" w:space="0"/>
            </w:tcBorders>
            <w:vAlign w:val="center"/>
          </w:tcPr>
          <w:p w14:paraId="2FFBC8C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lang w:eastAsia="zh-CN"/>
              </w:rPr>
            </w:pPr>
            <w:r>
              <w:rPr>
                <w:rFonts w:hint="eastAsia" w:ascii="宋体" w:hAnsi="宋体" w:eastAsia="宋体" w:cs="宋体"/>
                <w:bCs/>
                <w:color w:val="auto"/>
                <w:spacing w:val="-6"/>
                <w:sz w:val="22"/>
                <w:szCs w:val="22"/>
                <w:highlight w:val="none"/>
                <w:lang w:val="en-US" w:eastAsia="zh-CN"/>
              </w:rPr>
              <w:t>全自动尿液分析系统</w:t>
            </w:r>
          </w:p>
        </w:tc>
        <w:tc>
          <w:tcPr>
            <w:tcW w:w="1133" w:type="dxa"/>
            <w:tcBorders>
              <w:left w:val="single" w:color="000000" w:sz="4" w:space="0"/>
            </w:tcBorders>
            <w:shd w:val="clear" w:color="auto" w:fill="auto"/>
            <w:vAlign w:val="center"/>
          </w:tcPr>
          <w:p w14:paraId="084C09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套</w:t>
            </w:r>
          </w:p>
        </w:tc>
        <w:tc>
          <w:tcPr>
            <w:tcW w:w="933" w:type="dxa"/>
            <w:tcBorders>
              <w:left w:val="single" w:color="000000" w:sz="4" w:space="0"/>
            </w:tcBorders>
            <w:shd w:val="clear" w:color="auto" w:fill="auto"/>
            <w:vAlign w:val="center"/>
          </w:tcPr>
          <w:p w14:paraId="08376E7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1</w:t>
            </w:r>
          </w:p>
        </w:tc>
        <w:tc>
          <w:tcPr>
            <w:tcW w:w="1189" w:type="dxa"/>
            <w:tcBorders>
              <w:left w:val="single" w:color="000000" w:sz="4" w:space="0"/>
            </w:tcBorders>
            <w:shd w:val="clear" w:color="auto" w:fill="auto"/>
            <w:vAlign w:val="center"/>
          </w:tcPr>
          <w:p w14:paraId="023D755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1DDFCE9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r w14:paraId="2A37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42364AB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3</w:t>
            </w:r>
          </w:p>
        </w:tc>
        <w:tc>
          <w:tcPr>
            <w:tcW w:w="2244" w:type="dxa"/>
            <w:tcBorders>
              <w:right w:val="single" w:color="000000" w:sz="4" w:space="0"/>
            </w:tcBorders>
            <w:vAlign w:val="center"/>
          </w:tcPr>
          <w:p w14:paraId="534DB6D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lang w:eastAsia="zh-CN"/>
              </w:rPr>
            </w:pPr>
            <w:r>
              <w:rPr>
                <w:rFonts w:hint="eastAsia" w:ascii="宋体" w:hAnsi="宋体" w:eastAsia="宋体" w:cs="宋体"/>
                <w:bCs/>
                <w:color w:val="auto"/>
                <w:spacing w:val="-6"/>
                <w:sz w:val="22"/>
                <w:szCs w:val="22"/>
                <w:highlight w:val="none"/>
                <w:lang w:val="en-US" w:eastAsia="zh-CN"/>
              </w:rPr>
              <w:t>血沉分析仪</w:t>
            </w:r>
          </w:p>
        </w:tc>
        <w:tc>
          <w:tcPr>
            <w:tcW w:w="1133" w:type="dxa"/>
            <w:tcBorders>
              <w:left w:val="single" w:color="000000" w:sz="4" w:space="0"/>
            </w:tcBorders>
            <w:shd w:val="clear" w:color="auto" w:fill="auto"/>
            <w:vAlign w:val="center"/>
          </w:tcPr>
          <w:p w14:paraId="35540F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2E5620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1</w:t>
            </w:r>
          </w:p>
        </w:tc>
        <w:tc>
          <w:tcPr>
            <w:tcW w:w="1189" w:type="dxa"/>
            <w:tcBorders>
              <w:left w:val="single" w:color="000000" w:sz="4" w:space="0"/>
            </w:tcBorders>
            <w:shd w:val="clear" w:color="auto" w:fill="auto"/>
            <w:vAlign w:val="center"/>
          </w:tcPr>
          <w:p w14:paraId="0DCF84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2F65CE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r w14:paraId="3BA2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489BDD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4</w:t>
            </w:r>
          </w:p>
        </w:tc>
        <w:tc>
          <w:tcPr>
            <w:tcW w:w="2244" w:type="dxa"/>
            <w:tcBorders>
              <w:right w:val="single" w:color="000000" w:sz="4" w:space="0"/>
            </w:tcBorders>
            <w:vAlign w:val="center"/>
          </w:tcPr>
          <w:p w14:paraId="65BE65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lang w:eastAsia="zh-CN"/>
              </w:rPr>
            </w:pPr>
            <w:r>
              <w:rPr>
                <w:rFonts w:hint="eastAsia" w:ascii="宋体" w:hAnsi="宋体" w:eastAsia="宋体" w:cs="宋体"/>
                <w:bCs/>
                <w:color w:val="auto"/>
                <w:spacing w:val="-6"/>
                <w:sz w:val="22"/>
                <w:szCs w:val="22"/>
                <w:highlight w:val="none"/>
                <w:lang w:val="en-US" w:eastAsia="zh-CN"/>
              </w:rPr>
              <w:t>生物安全柜</w:t>
            </w:r>
          </w:p>
        </w:tc>
        <w:tc>
          <w:tcPr>
            <w:tcW w:w="1133" w:type="dxa"/>
            <w:tcBorders>
              <w:left w:val="single" w:color="000000" w:sz="4" w:space="0"/>
            </w:tcBorders>
            <w:shd w:val="clear" w:color="auto" w:fill="auto"/>
            <w:vAlign w:val="center"/>
          </w:tcPr>
          <w:p w14:paraId="62B17B7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5F04473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4</w:t>
            </w:r>
          </w:p>
        </w:tc>
        <w:tc>
          <w:tcPr>
            <w:tcW w:w="1189" w:type="dxa"/>
            <w:tcBorders>
              <w:left w:val="single" w:color="000000" w:sz="4" w:space="0"/>
            </w:tcBorders>
            <w:shd w:val="clear" w:color="auto" w:fill="auto"/>
            <w:vAlign w:val="center"/>
          </w:tcPr>
          <w:p w14:paraId="61A5EC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06068B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r w14:paraId="1C8E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1A3FA34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5</w:t>
            </w:r>
          </w:p>
        </w:tc>
        <w:tc>
          <w:tcPr>
            <w:tcW w:w="2244" w:type="dxa"/>
            <w:tcBorders>
              <w:right w:val="single" w:color="000000" w:sz="4" w:space="0"/>
            </w:tcBorders>
            <w:vAlign w:val="center"/>
          </w:tcPr>
          <w:p w14:paraId="7B7BBFF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lang w:eastAsia="zh-CN"/>
              </w:rPr>
            </w:pPr>
            <w:r>
              <w:rPr>
                <w:rFonts w:hint="eastAsia" w:ascii="宋体" w:hAnsi="宋体" w:eastAsia="宋体" w:cs="宋体"/>
                <w:bCs/>
                <w:color w:val="auto"/>
                <w:spacing w:val="-6"/>
                <w:sz w:val="22"/>
                <w:szCs w:val="22"/>
                <w:highlight w:val="none"/>
                <w:lang w:val="en-US" w:eastAsia="zh-CN"/>
              </w:rPr>
              <w:t>尿液分析仪</w:t>
            </w:r>
          </w:p>
        </w:tc>
        <w:tc>
          <w:tcPr>
            <w:tcW w:w="1133" w:type="dxa"/>
            <w:tcBorders>
              <w:left w:val="single" w:color="000000" w:sz="4" w:space="0"/>
            </w:tcBorders>
            <w:shd w:val="clear" w:color="auto" w:fill="auto"/>
            <w:vAlign w:val="center"/>
          </w:tcPr>
          <w:p w14:paraId="7B9E07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1E228C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5</w:t>
            </w:r>
          </w:p>
        </w:tc>
        <w:tc>
          <w:tcPr>
            <w:tcW w:w="1189" w:type="dxa"/>
            <w:tcBorders>
              <w:left w:val="single" w:color="000000" w:sz="4" w:space="0"/>
            </w:tcBorders>
            <w:shd w:val="clear" w:color="auto" w:fill="auto"/>
            <w:vAlign w:val="center"/>
          </w:tcPr>
          <w:p w14:paraId="46EC04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5B94B70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r w14:paraId="7673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0C33C02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6</w:t>
            </w:r>
          </w:p>
        </w:tc>
        <w:tc>
          <w:tcPr>
            <w:tcW w:w="2244" w:type="dxa"/>
            <w:tcBorders>
              <w:right w:val="single" w:color="000000" w:sz="4" w:space="0"/>
            </w:tcBorders>
            <w:vAlign w:val="center"/>
          </w:tcPr>
          <w:p w14:paraId="13FEBF2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lang w:eastAsia="zh-CN"/>
              </w:rPr>
            </w:pPr>
            <w:r>
              <w:rPr>
                <w:rFonts w:hint="eastAsia" w:ascii="宋体" w:hAnsi="宋体" w:eastAsia="宋体" w:cs="宋体"/>
                <w:bCs/>
                <w:color w:val="auto"/>
                <w:spacing w:val="-6"/>
                <w:sz w:val="22"/>
                <w:szCs w:val="22"/>
                <w:highlight w:val="none"/>
                <w:lang w:val="en-US" w:eastAsia="zh-CN"/>
              </w:rPr>
              <w:t>尿液低速离心机</w:t>
            </w:r>
          </w:p>
        </w:tc>
        <w:tc>
          <w:tcPr>
            <w:tcW w:w="1133" w:type="dxa"/>
            <w:tcBorders>
              <w:left w:val="single" w:color="000000" w:sz="4" w:space="0"/>
            </w:tcBorders>
            <w:shd w:val="clear" w:color="auto" w:fill="auto"/>
            <w:vAlign w:val="center"/>
          </w:tcPr>
          <w:p w14:paraId="70B53F3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03B455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1</w:t>
            </w:r>
          </w:p>
        </w:tc>
        <w:tc>
          <w:tcPr>
            <w:tcW w:w="1189" w:type="dxa"/>
            <w:tcBorders>
              <w:left w:val="single" w:color="000000" w:sz="4" w:space="0"/>
            </w:tcBorders>
            <w:shd w:val="clear" w:color="auto" w:fill="auto"/>
            <w:vAlign w:val="center"/>
          </w:tcPr>
          <w:p w14:paraId="3B37F65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6513C8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r w14:paraId="4896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77617B3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auto"/>
                <w:spacing w:val="-6"/>
                <w:sz w:val="22"/>
                <w:szCs w:val="22"/>
                <w:highlight w:val="none"/>
                <w:lang w:val="en-US" w:eastAsia="zh-CN"/>
              </w:rPr>
            </w:pPr>
            <w:r>
              <w:rPr>
                <w:rFonts w:hint="eastAsia" w:ascii="宋体" w:hAnsi="宋体" w:cs="宋体"/>
                <w:bCs/>
                <w:color w:val="auto"/>
                <w:spacing w:val="-6"/>
                <w:sz w:val="22"/>
                <w:szCs w:val="22"/>
                <w:highlight w:val="none"/>
                <w:lang w:val="en-US" w:eastAsia="zh-CN"/>
              </w:rPr>
              <w:t>7</w:t>
            </w:r>
          </w:p>
        </w:tc>
        <w:tc>
          <w:tcPr>
            <w:tcW w:w="2244" w:type="dxa"/>
            <w:tcBorders>
              <w:right w:val="single" w:color="000000" w:sz="4" w:space="0"/>
            </w:tcBorders>
            <w:vAlign w:val="center"/>
          </w:tcPr>
          <w:p w14:paraId="666DC5D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auto"/>
                <w:spacing w:val="-6"/>
                <w:sz w:val="22"/>
                <w:szCs w:val="22"/>
                <w:highlight w:val="none"/>
                <w:lang w:val="en-US" w:eastAsia="zh-CN"/>
              </w:rPr>
            </w:pPr>
            <w:r>
              <w:rPr>
                <w:rFonts w:hint="eastAsia" w:ascii="宋体" w:hAnsi="宋体" w:cs="宋体"/>
                <w:bCs/>
                <w:color w:val="auto"/>
                <w:spacing w:val="-6"/>
                <w:sz w:val="22"/>
                <w:szCs w:val="22"/>
                <w:highlight w:val="none"/>
                <w:lang w:val="en-US" w:eastAsia="zh-CN"/>
              </w:rPr>
              <w:t>血液离心机</w:t>
            </w:r>
          </w:p>
        </w:tc>
        <w:tc>
          <w:tcPr>
            <w:tcW w:w="1133" w:type="dxa"/>
            <w:tcBorders>
              <w:left w:val="single" w:color="000000" w:sz="4" w:space="0"/>
            </w:tcBorders>
            <w:shd w:val="clear" w:color="auto" w:fill="auto"/>
            <w:vAlign w:val="center"/>
          </w:tcPr>
          <w:p w14:paraId="3E6B1FF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kern w:val="2"/>
                <w:sz w:val="22"/>
                <w:szCs w:val="22"/>
                <w:highlight w:val="none"/>
                <w:lang w:val="en-US" w:eastAsia="zh-CN" w:bidi="ar-SA"/>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515547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kern w:val="2"/>
                <w:sz w:val="22"/>
                <w:szCs w:val="22"/>
                <w:highlight w:val="none"/>
                <w:lang w:val="en-US" w:eastAsia="zh-CN" w:bidi="ar-SA"/>
              </w:rPr>
            </w:pPr>
            <w:r>
              <w:rPr>
                <w:rFonts w:hint="eastAsia" w:ascii="宋体" w:hAnsi="宋体" w:eastAsia="宋体" w:cs="宋体"/>
                <w:bCs/>
                <w:color w:val="auto"/>
                <w:spacing w:val="-6"/>
                <w:sz w:val="22"/>
                <w:szCs w:val="22"/>
                <w:highlight w:val="none"/>
                <w:lang w:val="en-US" w:eastAsia="zh-CN"/>
              </w:rPr>
              <w:t>1</w:t>
            </w:r>
          </w:p>
        </w:tc>
        <w:tc>
          <w:tcPr>
            <w:tcW w:w="1189" w:type="dxa"/>
            <w:tcBorders>
              <w:left w:val="single" w:color="000000" w:sz="4" w:space="0"/>
            </w:tcBorders>
            <w:shd w:val="clear" w:color="auto" w:fill="auto"/>
            <w:vAlign w:val="center"/>
          </w:tcPr>
          <w:p w14:paraId="6BB459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kern w:val="2"/>
                <w:sz w:val="22"/>
                <w:szCs w:val="22"/>
                <w:highlight w:val="none"/>
                <w:lang w:val="en-US" w:eastAsia="zh-CN" w:bidi="ar-SA"/>
              </w:rPr>
            </w:pPr>
            <w:r>
              <w:rPr>
                <w:rFonts w:hint="eastAsia" w:ascii="宋体" w:hAnsi="宋体" w:eastAsia="宋体" w:cs="宋体"/>
                <w:bCs/>
                <w:color w:val="auto"/>
                <w:spacing w:val="-6"/>
                <w:sz w:val="22"/>
                <w:szCs w:val="22"/>
                <w:highlight w:val="none"/>
              </w:rPr>
              <w:t>否</w:t>
            </w:r>
          </w:p>
        </w:tc>
        <w:tc>
          <w:tcPr>
            <w:tcW w:w="1912" w:type="dxa"/>
            <w:shd w:val="clear" w:color="auto" w:fill="auto"/>
            <w:vAlign w:val="center"/>
          </w:tcPr>
          <w:p w14:paraId="312721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kern w:val="2"/>
                <w:sz w:val="22"/>
                <w:szCs w:val="22"/>
                <w:highlight w:val="none"/>
                <w:lang w:val="en-US" w:eastAsia="zh-CN" w:bidi="ar-SA"/>
              </w:rPr>
            </w:pPr>
            <w:r>
              <w:rPr>
                <w:rFonts w:hint="eastAsia" w:ascii="宋体" w:hAnsi="宋体" w:eastAsia="宋体" w:cs="宋体"/>
                <w:bCs/>
                <w:color w:val="auto"/>
                <w:spacing w:val="-6"/>
                <w:sz w:val="22"/>
                <w:szCs w:val="22"/>
                <w:highlight w:val="none"/>
              </w:rPr>
              <w:t>含全套技术资料</w:t>
            </w:r>
          </w:p>
        </w:tc>
      </w:tr>
    </w:tbl>
    <w:p w14:paraId="22AFCDA2">
      <w:pPr>
        <w:pStyle w:val="31"/>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（二）货物技术参数要求</w:t>
      </w:r>
    </w:p>
    <w:tbl>
      <w:tblPr>
        <w:tblStyle w:val="3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863"/>
        <w:gridCol w:w="7191"/>
        <w:gridCol w:w="1124"/>
      </w:tblGrid>
      <w:tr w14:paraId="3221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273699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序号</w:t>
            </w:r>
          </w:p>
        </w:tc>
        <w:tc>
          <w:tcPr>
            <w:tcW w:w="7191" w:type="dxa"/>
            <w:vAlign w:val="center"/>
          </w:tcPr>
          <w:p w14:paraId="370A69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主要参数及性能</w:t>
            </w:r>
          </w:p>
        </w:tc>
        <w:tc>
          <w:tcPr>
            <w:tcW w:w="1124" w:type="dxa"/>
            <w:vAlign w:val="center"/>
          </w:tcPr>
          <w:p w14:paraId="73C05D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color w:val="auto"/>
                <w:sz w:val="22"/>
                <w:szCs w:val="22"/>
                <w:highlight w:val="none"/>
              </w:rPr>
              <w:t>条款分值</w:t>
            </w:r>
          </w:p>
        </w:tc>
      </w:tr>
      <w:tr w14:paraId="39A7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4F7F209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1</w:t>
            </w:r>
          </w:p>
        </w:tc>
        <w:tc>
          <w:tcPr>
            <w:tcW w:w="7191" w:type="dxa"/>
            <w:shd w:val="clear" w:color="auto" w:fill="auto"/>
            <w:vAlign w:val="center"/>
          </w:tcPr>
          <w:p w14:paraId="056CFE1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全自动血液分析仪</w:t>
            </w:r>
          </w:p>
        </w:tc>
        <w:tc>
          <w:tcPr>
            <w:tcW w:w="1124" w:type="dxa"/>
            <w:shd w:val="clear" w:color="auto" w:fill="auto"/>
            <w:vAlign w:val="center"/>
          </w:tcPr>
          <w:p w14:paraId="0246E23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2"/>
                <w:sz w:val="22"/>
                <w:szCs w:val="22"/>
                <w:highlight w:val="none"/>
                <w:lang w:val="en-US" w:eastAsia="zh-CN" w:bidi="ar-SA"/>
              </w:rPr>
            </w:pPr>
          </w:p>
        </w:tc>
      </w:tr>
      <w:tr w14:paraId="4ED6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0A5BE6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w:t>
            </w:r>
            <w:r>
              <w:rPr>
                <w:rFonts w:hint="eastAsia" w:ascii="宋体" w:hAnsi="宋体" w:cs="宋体"/>
                <w:color w:val="auto"/>
                <w:sz w:val="22"/>
                <w:szCs w:val="22"/>
                <w:highlight w:val="none"/>
                <w:u w:val="single"/>
                <w:lang w:val="en-US" w:eastAsia="zh-CN"/>
              </w:rPr>
              <w:t>1.1</w:t>
            </w:r>
          </w:p>
        </w:tc>
        <w:tc>
          <w:tcPr>
            <w:tcW w:w="7191" w:type="dxa"/>
            <w:vAlign w:val="top"/>
          </w:tcPr>
          <w:p w14:paraId="7C2D744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检测原理：采用荧光染色、流式细胞计数法、液压聚焦阻抗法、SLS-血红蛋白法；</w:t>
            </w:r>
          </w:p>
        </w:tc>
        <w:tc>
          <w:tcPr>
            <w:tcW w:w="1124" w:type="dxa"/>
            <w:vAlign w:val="center"/>
          </w:tcPr>
          <w:p w14:paraId="38184F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sz w:val="22"/>
                <w:szCs w:val="22"/>
                <w:highlight w:val="none"/>
                <w:lang w:val="en-US" w:eastAsia="zh-CN"/>
              </w:rPr>
            </w:pPr>
          </w:p>
        </w:tc>
      </w:tr>
      <w:tr w14:paraId="2F62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60310E3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7191" w:type="dxa"/>
            <w:shd w:val="clear" w:color="auto" w:fill="auto"/>
            <w:vAlign w:val="center"/>
          </w:tcPr>
          <w:p w14:paraId="23490AC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白细胞计数：采用激光流式原理及核酸荧光染色技术，使白细胞计数免受难溶红细胞、巨大血小板、血小板簇及胞碎片等的干扰；</w:t>
            </w:r>
          </w:p>
        </w:tc>
        <w:tc>
          <w:tcPr>
            <w:tcW w:w="1124" w:type="dxa"/>
            <w:vAlign w:val="center"/>
          </w:tcPr>
          <w:p w14:paraId="7BC962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6AC7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1C8A6DB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7191" w:type="dxa"/>
            <w:shd w:val="clear" w:color="auto" w:fill="auto"/>
            <w:vAlign w:val="center"/>
          </w:tcPr>
          <w:p w14:paraId="3411F2D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检测速度：全血血常规五分类速度≥70T/h，低值白细胞检测≥50T/h，常见体液检测≥30T/h；</w:t>
            </w:r>
          </w:p>
        </w:tc>
        <w:tc>
          <w:tcPr>
            <w:tcW w:w="1124" w:type="dxa"/>
            <w:vAlign w:val="center"/>
          </w:tcPr>
          <w:p w14:paraId="205B51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0B0B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DE97C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1.4</w:t>
            </w:r>
          </w:p>
        </w:tc>
        <w:tc>
          <w:tcPr>
            <w:tcW w:w="7191" w:type="dxa"/>
            <w:shd w:val="clear" w:color="auto" w:fill="auto"/>
            <w:vAlign w:val="center"/>
          </w:tcPr>
          <w:p w14:paraId="60DF6DA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需血量：血常规检测最低需血量≤20ul，常见体液检测需样量≤70ul；</w:t>
            </w:r>
          </w:p>
        </w:tc>
        <w:tc>
          <w:tcPr>
            <w:tcW w:w="1124" w:type="dxa"/>
            <w:vAlign w:val="center"/>
          </w:tcPr>
          <w:p w14:paraId="293096E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2</w:t>
            </w:r>
          </w:p>
        </w:tc>
      </w:tr>
      <w:tr w14:paraId="4D5C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A631E4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7191" w:type="dxa"/>
            <w:shd w:val="clear" w:color="auto" w:fill="auto"/>
            <w:vAlign w:val="center"/>
          </w:tcPr>
          <w:p w14:paraId="62D915D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预稀释模式：支持稀释液自动配液，稀释比例微量血 1：7 稀释液；</w:t>
            </w:r>
          </w:p>
        </w:tc>
        <w:tc>
          <w:tcPr>
            <w:tcW w:w="1124" w:type="dxa"/>
            <w:shd w:val="clear" w:color="auto" w:fill="auto"/>
            <w:vAlign w:val="center"/>
          </w:tcPr>
          <w:p w14:paraId="1A4614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7B8D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FF1398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7191" w:type="dxa"/>
            <w:vAlign w:val="top"/>
          </w:tcPr>
          <w:p w14:paraId="1E7A6E6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样本类型：支持静脉全血、末梢微量血、预稀释血液、体液；</w:t>
            </w:r>
          </w:p>
        </w:tc>
        <w:tc>
          <w:tcPr>
            <w:tcW w:w="1124" w:type="dxa"/>
            <w:vAlign w:val="center"/>
          </w:tcPr>
          <w:p w14:paraId="57D7421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6D19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8400FE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7191" w:type="dxa"/>
            <w:shd w:val="clear" w:color="auto" w:fill="auto"/>
            <w:vAlign w:val="center"/>
          </w:tcPr>
          <w:p w14:paraId="0E3C1B5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检测项目（可报告参数）：≥26 项血液报告参数，≥6 项体液报告参数；</w:t>
            </w:r>
          </w:p>
        </w:tc>
        <w:tc>
          <w:tcPr>
            <w:tcW w:w="1124" w:type="dxa"/>
            <w:vAlign w:val="center"/>
          </w:tcPr>
          <w:p w14:paraId="51D1A3E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eastAsia="zh-CN"/>
              </w:rPr>
            </w:pPr>
            <w:r>
              <w:rPr>
                <w:rFonts w:hint="eastAsia" w:ascii="宋体" w:hAnsi="宋体" w:cs="宋体"/>
                <w:b/>
                <w:bCs/>
                <w:color w:val="auto"/>
                <w:sz w:val="22"/>
                <w:szCs w:val="22"/>
                <w:highlight w:val="none"/>
                <w:lang w:val="en-US" w:eastAsia="zh-CN"/>
              </w:rPr>
              <w:t>0.5</w:t>
            </w:r>
          </w:p>
        </w:tc>
      </w:tr>
      <w:tr w14:paraId="3B2D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421DCB1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7191" w:type="dxa"/>
            <w:shd w:val="clear" w:color="auto" w:fill="auto"/>
            <w:vAlign w:val="center"/>
          </w:tcPr>
          <w:p w14:paraId="43AA6EE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体液检测：可以对脑脊液、胸水、腹水、关节腔积液等体液进行红细胞和白细胞计数,并对白细胞进行分类；</w:t>
            </w:r>
          </w:p>
        </w:tc>
        <w:tc>
          <w:tcPr>
            <w:tcW w:w="1124" w:type="dxa"/>
            <w:vAlign w:val="center"/>
          </w:tcPr>
          <w:p w14:paraId="458A32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2DD9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017D3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7191" w:type="dxa"/>
            <w:shd w:val="clear" w:color="auto" w:fill="auto"/>
            <w:vAlign w:val="center"/>
          </w:tcPr>
          <w:p w14:paraId="64EB842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体液异常提示：体液检测中具有通过高荧光体液细胞参数对肿瘤细胞进行提示功能；</w:t>
            </w:r>
          </w:p>
        </w:tc>
        <w:tc>
          <w:tcPr>
            <w:tcW w:w="1124" w:type="dxa"/>
            <w:vAlign w:val="center"/>
          </w:tcPr>
          <w:p w14:paraId="6B5A4F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2B89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02D440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1.10</w:t>
            </w:r>
          </w:p>
        </w:tc>
        <w:tc>
          <w:tcPr>
            <w:tcW w:w="7191" w:type="dxa"/>
            <w:shd w:val="clear" w:color="auto" w:fill="auto"/>
            <w:vAlign w:val="center"/>
          </w:tcPr>
          <w:p w14:paraId="5B97CA8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bidi="ar-SA"/>
              </w:rPr>
              <w:t>准确度：WBC 检测范围内允许偏差不超过±4.5%，RBC 检测范围内允许偏差不超过±2%，HGB 检测范围内允许偏差不超过±2%，HCT 检测范围内允许偏差不超过±3%，PLT 检测范围内允许偏差不超过±7%</w:t>
            </w:r>
            <w:r>
              <w:rPr>
                <w:rFonts w:hint="eastAsia" w:ascii="宋体" w:hAnsi="宋体" w:cs="宋体"/>
                <w:color w:val="auto"/>
                <w:kern w:val="2"/>
                <w:sz w:val="22"/>
                <w:szCs w:val="22"/>
                <w:highlight w:val="none"/>
                <w:u w:val="none"/>
                <w:lang w:val="en-US" w:eastAsia="zh-CN" w:bidi="ar-SA"/>
              </w:rPr>
              <w:t>。</w:t>
            </w:r>
          </w:p>
        </w:tc>
        <w:tc>
          <w:tcPr>
            <w:tcW w:w="1124" w:type="dxa"/>
            <w:vAlign w:val="center"/>
          </w:tcPr>
          <w:p w14:paraId="4449372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2</w:t>
            </w:r>
          </w:p>
        </w:tc>
      </w:tr>
      <w:tr w14:paraId="4448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24B499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1.11</w:t>
            </w:r>
          </w:p>
        </w:tc>
        <w:tc>
          <w:tcPr>
            <w:tcW w:w="7191" w:type="dxa"/>
            <w:vAlign w:val="top"/>
          </w:tcPr>
          <w:p w14:paraId="343E3BF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bidi="ar-SA"/>
              </w:rPr>
              <w:t>最低检测限要求：WBC 0.01 x 103 /μL，RBC 0.01x 106 /μL，HGB 0.0g/dL，PLT 1x 103 /μL</w:t>
            </w:r>
            <w:r>
              <w:rPr>
                <w:rFonts w:hint="eastAsia" w:ascii="宋体" w:hAnsi="宋体" w:cs="宋体"/>
                <w:color w:val="auto"/>
                <w:kern w:val="2"/>
                <w:sz w:val="22"/>
                <w:szCs w:val="22"/>
                <w:highlight w:val="none"/>
                <w:u w:val="none"/>
                <w:lang w:val="en-US" w:eastAsia="zh-CN" w:bidi="ar-SA"/>
              </w:rPr>
              <w:t>。</w:t>
            </w:r>
          </w:p>
        </w:tc>
        <w:tc>
          <w:tcPr>
            <w:tcW w:w="1124" w:type="dxa"/>
            <w:vAlign w:val="center"/>
          </w:tcPr>
          <w:p w14:paraId="72DD83E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2</w:t>
            </w:r>
          </w:p>
        </w:tc>
      </w:tr>
      <w:tr w14:paraId="5491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00DE0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1.12</w:t>
            </w:r>
          </w:p>
        </w:tc>
        <w:tc>
          <w:tcPr>
            <w:tcW w:w="7191" w:type="dxa"/>
            <w:shd w:val="clear" w:color="auto" w:fill="auto"/>
            <w:vAlign w:val="center"/>
          </w:tcPr>
          <w:p w14:paraId="54CB53E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bidi="ar-SA"/>
              </w:rPr>
              <w:t>实时网络通讯系统：提供实时在线网络质控功能，通过室内质控实现实时的室间质评。</w:t>
            </w:r>
          </w:p>
        </w:tc>
        <w:tc>
          <w:tcPr>
            <w:tcW w:w="1124" w:type="dxa"/>
            <w:vAlign w:val="center"/>
          </w:tcPr>
          <w:p w14:paraId="4C772D2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2</w:t>
            </w:r>
          </w:p>
        </w:tc>
      </w:tr>
      <w:tr w14:paraId="0B60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11D8D3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p>
        </w:tc>
        <w:tc>
          <w:tcPr>
            <w:tcW w:w="7191" w:type="dxa"/>
            <w:shd w:val="clear" w:color="auto" w:fill="auto"/>
            <w:vAlign w:val="center"/>
          </w:tcPr>
          <w:p w14:paraId="5DE1F81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全自动尿液分析系统</w:t>
            </w:r>
          </w:p>
        </w:tc>
        <w:tc>
          <w:tcPr>
            <w:tcW w:w="1124" w:type="dxa"/>
            <w:vAlign w:val="center"/>
          </w:tcPr>
          <w:p w14:paraId="5C76A3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1FD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668B9E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p>
        </w:tc>
        <w:tc>
          <w:tcPr>
            <w:tcW w:w="7191" w:type="dxa"/>
            <w:shd w:val="clear" w:color="auto" w:fill="auto"/>
            <w:vAlign w:val="center"/>
          </w:tcPr>
          <w:p w14:paraId="54053F4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干化学检测项目：PH、胆红素、葡萄糖、维生素C、蛋白质、尿胆素原、隐血、亚硝酸盐、白细胞、酮体、比重、微量白蛋白、肌酐、尿钙离子等11项或14项。 </w:t>
            </w:r>
          </w:p>
          <w:p w14:paraId="072FAC8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形成分检测项目：红细胞、异常红细胞（G1型、面包圈型、影型、皱缩型）、白细胞、白细胞团、透明管型、颗粒管型、血液管型、细胞管型、腊样管型、宽幅管型、鳞状上皮、小圆上皮、非鳞状上皮、酵母菌、细菌（杆菌、链球菌）、一水草酸钙结晶、二水草酸钙结晶、尿酸结晶、磷酸铵镁结晶、磺胺结晶、亮氨酸结晶、粘液丝、寄生虫等多种尿液中的有形成分。</w:t>
            </w:r>
          </w:p>
        </w:tc>
        <w:tc>
          <w:tcPr>
            <w:tcW w:w="1124" w:type="dxa"/>
            <w:vAlign w:val="center"/>
          </w:tcPr>
          <w:p w14:paraId="51A1CB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270D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2A79E3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7191" w:type="dxa"/>
            <w:shd w:val="clear" w:color="auto" w:fill="auto"/>
            <w:vAlign w:val="center"/>
          </w:tcPr>
          <w:p w14:paraId="009852A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干化学检测原理：光电反射比色法。</w:t>
            </w:r>
          </w:p>
          <w:p w14:paraId="543B136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有形成分检测原理：采用机器视觉成像技术对尿液中的有形成分进行自动定位、调焦、采集、智能识别和分类计数。</w:t>
            </w:r>
          </w:p>
        </w:tc>
        <w:tc>
          <w:tcPr>
            <w:tcW w:w="1124" w:type="dxa"/>
            <w:vAlign w:val="center"/>
          </w:tcPr>
          <w:p w14:paraId="117255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2721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00E75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w:t>
            </w:r>
          </w:p>
        </w:tc>
        <w:tc>
          <w:tcPr>
            <w:tcW w:w="7191" w:type="dxa"/>
            <w:shd w:val="clear" w:color="auto" w:fill="auto"/>
            <w:vAlign w:val="center"/>
          </w:tcPr>
          <w:p w14:paraId="1B08733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干化学测试速度： </w:t>
            </w:r>
            <w:r>
              <w:rPr>
                <w:rFonts w:hint="default"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280标本/小时。</w:t>
            </w:r>
          </w:p>
          <w:p w14:paraId="6FCD19D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有形成分测试速度：</w:t>
            </w:r>
            <w:r>
              <w:rPr>
                <w:rFonts w:hint="default"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100标本/小时。</w:t>
            </w:r>
          </w:p>
        </w:tc>
        <w:tc>
          <w:tcPr>
            <w:tcW w:w="1124" w:type="dxa"/>
            <w:vAlign w:val="center"/>
          </w:tcPr>
          <w:p w14:paraId="20BE1BE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15C6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188E049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w:t>
            </w:r>
          </w:p>
        </w:tc>
        <w:tc>
          <w:tcPr>
            <w:tcW w:w="7191" w:type="dxa"/>
            <w:shd w:val="clear" w:color="auto" w:fill="auto"/>
            <w:vAlign w:val="center"/>
          </w:tcPr>
          <w:p w14:paraId="203EEE0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样本架容量：全自动进样，一次上机50个标本（可拓展至250-500个样本位）。</w:t>
            </w:r>
          </w:p>
        </w:tc>
        <w:tc>
          <w:tcPr>
            <w:tcW w:w="1124" w:type="dxa"/>
            <w:vAlign w:val="center"/>
          </w:tcPr>
          <w:p w14:paraId="458377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655D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32D8A3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7191" w:type="dxa"/>
            <w:shd w:val="clear" w:color="auto" w:fill="auto"/>
            <w:vAlign w:val="center"/>
          </w:tcPr>
          <w:p w14:paraId="6DB4B3F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急诊位：具有急诊插入功能。</w:t>
            </w:r>
          </w:p>
        </w:tc>
        <w:tc>
          <w:tcPr>
            <w:tcW w:w="1124" w:type="dxa"/>
            <w:vAlign w:val="center"/>
          </w:tcPr>
          <w:p w14:paraId="2DD613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68C5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A3DF88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w:t>
            </w:r>
          </w:p>
        </w:tc>
        <w:tc>
          <w:tcPr>
            <w:tcW w:w="7191" w:type="dxa"/>
            <w:shd w:val="clear" w:color="auto" w:fill="auto"/>
            <w:vAlign w:val="center"/>
          </w:tcPr>
          <w:p w14:paraId="0391137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样本量：最小量2ml，使用量0.3ml。</w:t>
            </w:r>
          </w:p>
        </w:tc>
        <w:tc>
          <w:tcPr>
            <w:tcW w:w="1124" w:type="dxa"/>
            <w:vAlign w:val="center"/>
          </w:tcPr>
          <w:p w14:paraId="4CEEA5D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1030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9DBC6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2.7</w:t>
            </w:r>
          </w:p>
        </w:tc>
        <w:tc>
          <w:tcPr>
            <w:tcW w:w="7191" w:type="dxa"/>
            <w:shd w:val="clear" w:color="auto" w:fill="auto"/>
            <w:vAlign w:val="center"/>
          </w:tcPr>
          <w:p w14:paraId="1AF657C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干化学试纸仓容量：500条。</w:t>
            </w:r>
          </w:p>
        </w:tc>
        <w:tc>
          <w:tcPr>
            <w:tcW w:w="1124" w:type="dxa"/>
            <w:vAlign w:val="center"/>
          </w:tcPr>
          <w:p w14:paraId="1F040E3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1B78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613FE05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2.8</w:t>
            </w:r>
          </w:p>
        </w:tc>
        <w:tc>
          <w:tcPr>
            <w:tcW w:w="7191" w:type="dxa"/>
            <w:shd w:val="clear" w:color="auto" w:fill="auto"/>
            <w:vAlign w:val="center"/>
          </w:tcPr>
          <w:p w14:paraId="3FC5D41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理学指标检测：样本颜色和浊度。</w:t>
            </w:r>
          </w:p>
        </w:tc>
        <w:tc>
          <w:tcPr>
            <w:tcW w:w="1124" w:type="dxa"/>
            <w:vAlign w:val="center"/>
          </w:tcPr>
          <w:p w14:paraId="0611C7D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05C2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47D50C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w:t>
            </w:r>
          </w:p>
        </w:tc>
        <w:tc>
          <w:tcPr>
            <w:tcW w:w="7191" w:type="dxa"/>
            <w:shd w:val="clear" w:color="auto" w:fill="auto"/>
            <w:vAlign w:val="center"/>
          </w:tcPr>
          <w:p w14:paraId="193203A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计算参数：MALB/CRE（尿微量白蛋白/肌酐）比值。</w:t>
            </w:r>
          </w:p>
        </w:tc>
        <w:tc>
          <w:tcPr>
            <w:tcW w:w="1124" w:type="dxa"/>
            <w:vAlign w:val="center"/>
          </w:tcPr>
          <w:p w14:paraId="3E0DFDF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73E8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451545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2.10</w:t>
            </w:r>
          </w:p>
        </w:tc>
        <w:tc>
          <w:tcPr>
            <w:tcW w:w="7191" w:type="dxa"/>
            <w:shd w:val="clear" w:color="auto" w:fill="auto"/>
            <w:vAlign w:val="center"/>
          </w:tcPr>
          <w:p w14:paraId="1C03087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有形成分自动稀释：仪器具有样本浓稠自动稀释功能，细胞测试线性范围更宽。</w:t>
            </w:r>
          </w:p>
        </w:tc>
        <w:tc>
          <w:tcPr>
            <w:tcW w:w="1124" w:type="dxa"/>
            <w:shd w:val="clear" w:color="auto" w:fill="auto"/>
            <w:vAlign w:val="center"/>
          </w:tcPr>
          <w:p w14:paraId="7C0E83B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66AD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F2A0E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cs="宋体"/>
                <w:color w:val="auto"/>
                <w:sz w:val="22"/>
                <w:szCs w:val="22"/>
                <w:highlight w:val="none"/>
                <w:lang w:val="en-US" w:eastAsia="zh-CN"/>
              </w:rPr>
              <w:t>2.11</w:t>
            </w:r>
          </w:p>
        </w:tc>
        <w:tc>
          <w:tcPr>
            <w:tcW w:w="7191" w:type="dxa"/>
            <w:shd w:val="clear" w:color="auto" w:fill="auto"/>
            <w:vAlign w:val="center"/>
          </w:tcPr>
          <w:p w14:paraId="6E4661F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有形成分离心：使用中速离心系统，加速细胞沉降并不破坏细胞形态。</w:t>
            </w:r>
          </w:p>
        </w:tc>
        <w:tc>
          <w:tcPr>
            <w:tcW w:w="1124" w:type="dxa"/>
            <w:shd w:val="clear" w:color="auto" w:fill="auto"/>
            <w:vAlign w:val="center"/>
          </w:tcPr>
          <w:p w14:paraId="2E99326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val="0"/>
                <w:color w:val="auto"/>
                <w:sz w:val="22"/>
                <w:szCs w:val="22"/>
                <w:highlight w:val="none"/>
                <w:lang w:val="en-US" w:eastAsia="zh-CN"/>
              </w:rPr>
              <w:t>2</w:t>
            </w:r>
          </w:p>
        </w:tc>
      </w:tr>
      <w:tr w14:paraId="2431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517659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2.12</w:t>
            </w:r>
          </w:p>
        </w:tc>
        <w:tc>
          <w:tcPr>
            <w:tcW w:w="7191" w:type="dxa"/>
            <w:shd w:val="clear" w:color="auto" w:fill="auto"/>
            <w:vAlign w:val="center"/>
          </w:tcPr>
          <w:p w14:paraId="6D9E373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有形成分图形处理：LED冷光源，</w:t>
            </w:r>
            <w:r>
              <w:rPr>
                <w:rFonts w:hint="eastAsia"/>
                <w:color w:val="auto"/>
                <w:sz w:val="22"/>
                <w:szCs w:val="22"/>
                <w:highlight w:val="none"/>
                <w:lang w:val="en-US" w:eastAsia="zh-CN"/>
              </w:rPr>
              <w:t>≥</w:t>
            </w:r>
            <w:r>
              <w:rPr>
                <w:rFonts w:hint="eastAsia" w:ascii="宋体" w:hAnsi="宋体" w:eastAsia="宋体" w:cs="宋体"/>
                <w:color w:val="auto"/>
                <w:kern w:val="2"/>
                <w:sz w:val="22"/>
                <w:szCs w:val="22"/>
                <w:highlight w:val="none"/>
                <w:lang w:val="en-US" w:eastAsia="zh-CN" w:bidi="ar-SA"/>
              </w:rPr>
              <w:t>300万像素彩色相机（图像分辨率2048*1536）。</w:t>
            </w:r>
          </w:p>
        </w:tc>
        <w:tc>
          <w:tcPr>
            <w:tcW w:w="1124" w:type="dxa"/>
            <w:shd w:val="clear" w:color="auto" w:fill="auto"/>
            <w:vAlign w:val="center"/>
          </w:tcPr>
          <w:p w14:paraId="0CE4D6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51F5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2BB775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2.13</w:t>
            </w:r>
          </w:p>
        </w:tc>
        <w:tc>
          <w:tcPr>
            <w:tcW w:w="7191" w:type="dxa"/>
            <w:shd w:val="clear" w:color="auto" w:fill="auto"/>
            <w:vAlign w:val="center"/>
          </w:tcPr>
          <w:p w14:paraId="7EF2ED7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结果储存：≥20万个结果。</w:t>
            </w:r>
          </w:p>
        </w:tc>
        <w:tc>
          <w:tcPr>
            <w:tcW w:w="1124" w:type="dxa"/>
            <w:shd w:val="clear" w:color="auto" w:fill="auto"/>
            <w:vAlign w:val="center"/>
          </w:tcPr>
          <w:p w14:paraId="3B2725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36F3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4CAE4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2.14</w:t>
            </w:r>
          </w:p>
        </w:tc>
        <w:tc>
          <w:tcPr>
            <w:tcW w:w="7191" w:type="dxa"/>
            <w:shd w:val="clear" w:color="auto" w:fill="auto"/>
            <w:vAlign w:val="center"/>
          </w:tcPr>
          <w:p w14:paraId="7079B35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有形成分性能指标：检出率≥95% ；重复性CV&lt;7% ；准确性≥95%；携带污染率&lt;0.05%。</w:t>
            </w:r>
          </w:p>
        </w:tc>
        <w:tc>
          <w:tcPr>
            <w:tcW w:w="1124" w:type="dxa"/>
            <w:shd w:val="clear" w:color="auto" w:fill="auto"/>
            <w:vAlign w:val="center"/>
          </w:tcPr>
          <w:p w14:paraId="0E0C3C4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704D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4778B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2.15</w:t>
            </w:r>
          </w:p>
        </w:tc>
        <w:tc>
          <w:tcPr>
            <w:tcW w:w="7191" w:type="dxa"/>
            <w:shd w:val="clear" w:color="auto" w:fill="auto"/>
            <w:vAlign w:val="center"/>
          </w:tcPr>
          <w:p w14:paraId="4913CFC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数据接口：USB接口、网络接口、RS232接口等，支持LIS双向连接。</w:t>
            </w:r>
          </w:p>
        </w:tc>
        <w:tc>
          <w:tcPr>
            <w:tcW w:w="1124" w:type="dxa"/>
            <w:shd w:val="clear" w:color="auto" w:fill="auto"/>
            <w:vAlign w:val="center"/>
          </w:tcPr>
          <w:p w14:paraId="723F98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5ED7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66B43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2.16</w:t>
            </w:r>
          </w:p>
        </w:tc>
        <w:tc>
          <w:tcPr>
            <w:tcW w:w="7191" w:type="dxa"/>
            <w:shd w:val="clear" w:color="auto" w:fill="auto"/>
            <w:vAlign w:val="center"/>
          </w:tcPr>
          <w:p w14:paraId="7F2262C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报告格式：使用</w:t>
            </w:r>
            <w:r>
              <w:rPr>
                <w:rFonts w:hint="eastAsia" w:ascii="宋体" w:hAnsi="宋体" w:cs="宋体"/>
                <w:color w:val="auto"/>
                <w:kern w:val="2"/>
                <w:sz w:val="22"/>
                <w:szCs w:val="22"/>
                <w:highlight w:val="none"/>
                <w:lang w:val="en-US" w:eastAsia="zh-CN" w:bidi="ar-SA"/>
              </w:rPr>
              <w:t>国</w:t>
            </w:r>
            <w:r>
              <w:rPr>
                <w:rFonts w:hint="eastAsia" w:ascii="宋体" w:hAnsi="宋体" w:eastAsia="宋体" w:cs="宋体"/>
                <w:color w:val="auto"/>
                <w:kern w:val="2"/>
                <w:sz w:val="22"/>
                <w:szCs w:val="22"/>
                <w:highlight w:val="none"/>
                <w:lang w:val="en-US" w:eastAsia="zh-CN" w:bidi="ar-SA"/>
              </w:rPr>
              <w:t>际通用规范化定量单位，可打印综合报告（干化学+有形成分）。</w:t>
            </w:r>
          </w:p>
        </w:tc>
        <w:tc>
          <w:tcPr>
            <w:tcW w:w="1124" w:type="dxa"/>
            <w:shd w:val="clear" w:color="auto" w:fill="auto"/>
            <w:vAlign w:val="center"/>
          </w:tcPr>
          <w:p w14:paraId="2164DFD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5158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0A4B7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2.17</w:t>
            </w:r>
          </w:p>
        </w:tc>
        <w:tc>
          <w:tcPr>
            <w:tcW w:w="7191" w:type="dxa"/>
            <w:shd w:val="clear" w:color="auto" w:fill="auto"/>
            <w:vAlign w:val="center"/>
          </w:tcPr>
          <w:p w14:paraId="6D9B524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计算机配置：工业级电脑，英特尔酷睿多核处理器，</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21.5寸液晶显示器。</w:t>
            </w:r>
          </w:p>
        </w:tc>
        <w:tc>
          <w:tcPr>
            <w:tcW w:w="1124" w:type="dxa"/>
            <w:shd w:val="clear" w:color="auto" w:fill="auto"/>
            <w:vAlign w:val="center"/>
          </w:tcPr>
          <w:p w14:paraId="70E836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0.5</w:t>
            </w:r>
          </w:p>
        </w:tc>
      </w:tr>
      <w:tr w14:paraId="55AC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8F4B7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w:t>
            </w:r>
            <w:r>
              <w:rPr>
                <w:rFonts w:hint="eastAsia" w:ascii="宋体" w:hAnsi="宋体" w:cs="宋体"/>
                <w:color w:val="auto"/>
                <w:sz w:val="22"/>
                <w:szCs w:val="22"/>
                <w:highlight w:val="none"/>
                <w:u w:val="single"/>
                <w:lang w:val="en-US" w:eastAsia="zh-CN"/>
              </w:rPr>
              <w:t>2.18</w:t>
            </w:r>
          </w:p>
        </w:tc>
        <w:tc>
          <w:tcPr>
            <w:tcW w:w="7191" w:type="dxa"/>
            <w:shd w:val="clear" w:color="auto" w:fill="auto"/>
            <w:vAlign w:val="center"/>
          </w:tcPr>
          <w:p w14:paraId="5C2F9FC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干化学纸条采用恒温孵育反应，消除温度对酶反应的影响，项目稳定性更好；</w:t>
            </w:r>
          </w:p>
        </w:tc>
        <w:tc>
          <w:tcPr>
            <w:tcW w:w="1124" w:type="dxa"/>
            <w:vAlign w:val="center"/>
          </w:tcPr>
          <w:p w14:paraId="0812464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1CC2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4117B2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2.19</w:t>
            </w:r>
          </w:p>
        </w:tc>
        <w:tc>
          <w:tcPr>
            <w:tcW w:w="7191" w:type="dxa"/>
            <w:shd w:val="clear" w:color="auto" w:fill="auto"/>
            <w:vAlign w:val="center"/>
          </w:tcPr>
          <w:p w14:paraId="51A9AF3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使用一次性16通道定量玻片，最大程度接近镜检，杜绝交叉污染；</w:t>
            </w:r>
          </w:p>
        </w:tc>
        <w:tc>
          <w:tcPr>
            <w:tcW w:w="1124" w:type="dxa"/>
            <w:shd w:val="clear" w:color="auto" w:fill="auto"/>
            <w:vAlign w:val="center"/>
          </w:tcPr>
          <w:p w14:paraId="46F0CEF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2</w:t>
            </w:r>
          </w:p>
        </w:tc>
      </w:tr>
      <w:tr w14:paraId="24ED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2D8109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2.20</w:t>
            </w:r>
          </w:p>
        </w:tc>
        <w:tc>
          <w:tcPr>
            <w:tcW w:w="7191" w:type="dxa"/>
            <w:shd w:val="clear" w:color="auto" w:fill="auto"/>
            <w:vAlign w:val="center"/>
          </w:tcPr>
          <w:p w14:paraId="3E142EA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使用活体染色技术，细胞轮廓更清晰，细胞形态特征更易于识别；</w:t>
            </w:r>
          </w:p>
        </w:tc>
        <w:tc>
          <w:tcPr>
            <w:tcW w:w="1124" w:type="dxa"/>
            <w:shd w:val="clear" w:color="auto" w:fill="auto"/>
            <w:vAlign w:val="center"/>
          </w:tcPr>
          <w:p w14:paraId="37FA4E5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2</w:t>
            </w:r>
          </w:p>
        </w:tc>
      </w:tr>
      <w:tr w14:paraId="20B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D5613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宋体" w:hAnsi="宋体" w:cs="宋体"/>
                <w:color w:val="auto"/>
                <w:sz w:val="22"/>
                <w:szCs w:val="22"/>
                <w:highlight w:val="none"/>
                <w:u w:val="none"/>
                <w:lang w:val="en-US" w:eastAsia="zh-CN"/>
              </w:rPr>
              <w:t>2.21</w:t>
            </w:r>
          </w:p>
        </w:tc>
        <w:tc>
          <w:tcPr>
            <w:tcW w:w="7191" w:type="dxa"/>
            <w:shd w:val="clear" w:color="auto" w:fill="auto"/>
            <w:vAlign w:val="center"/>
          </w:tcPr>
          <w:p w14:paraId="1C6EDFC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一次进样完成干化学、有形成分、颜色、浊度检测；</w:t>
            </w:r>
          </w:p>
          <w:p w14:paraId="1FE0032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对每个样本高低倍自动调焦，确保视图高度清晰；</w:t>
            </w:r>
          </w:p>
          <w:p w14:paraId="3CE6843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全视野扫描，阴性过筛，确保样本检测无漏检；</w:t>
            </w:r>
          </w:p>
          <w:p w14:paraId="79C1DDF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低倍镜对大目标进行识别，分类计数，对小目标进行定位；</w:t>
            </w:r>
          </w:p>
          <w:p w14:paraId="5F01A10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高倍镜自动追踪小目标，进行识别、分类计数；</w:t>
            </w:r>
          </w:p>
          <w:p w14:paraId="3A65895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红细胞位相分析及异常红细胞比率，可判断红细胞来源；</w:t>
            </w:r>
          </w:p>
          <w:p w14:paraId="126B985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7.</w:t>
            </w:r>
            <w:r>
              <w:rPr>
                <w:rFonts w:hint="eastAsia" w:ascii="宋体" w:hAnsi="宋体" w:eastAsia="宋体" w:cs="宋体"/>
                <w:color w:val="auto"/>
                <w:kern w:val="2"/>
                <w:sz w:val="22"/>
                <w:szCs w:val="22"/>
                <w:highlight w:val="none"/>
                <w:lang w:val="en-US" w:eastAsia="zh-CN" w:bidi="ar-SA"/>
              </w:rPr>
              <w:t>具有自动审核规则，人工复核时，可在结果查询界面切割图上复核修改，也可调取原始图片溯源修改；</w:t>
            </w:r>
          </w:p>
          <w:p w14:paraId="47AA018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w:t>
            </w:r>
            <w:r>
              <w:rPr>
                <w:rFonts w:hint="eastAsia" w:ascii="宋体" w:hAnsi="宋体" w:eastAsia="宋体" w:cs="宋体"/>
                <w:color w:val="auto"/>
                <w:kern w:val="2"/>
                <w:sz w:val="22"/>
                <w:szCs w:val="22"/>
                <w:highlight w:val="none"/>
                <w:lang w:val="en-US" w:eastAsia="zh-CN" w:bidi="ar-SA"/>
              </w:rPr>
              <w:t>使用人工智能深度学习、形态学、色度学等技术，细胞识别准确率高；</w:t>
            </w:r>
          </w:p>
          <w:p w14:paraId="1A881DD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lang w:val="en-US" w:eastAsia="zh-CN" w:bidi="ar-SA"/>
              </w:rPr>
              <w:t>9.</w:t>
            </w:r>
            <w:r>
              <w:rPr>
                <w:rFonts w:hint="eastAsia" w:ascii="宋体" w:hAnsi="宋体" w:eastAsia="宋体" w:cs="宋体"/>
                <w:color w:val="auto"/>
                <w:kern w:val="2"/>
                <w:sz w:val="22"/>
                <w:szCs w:val="22"/>
                <w:highlight w:val="none"/>
                <w:lang w:val="en-US" w:eastAsia="zh-CN" w:bidi="ar-SA"/>
              </w:rPr>
              <w:t>可选L型轨道进行能够实现模块化多级联机，最高测试速度可达600T/H, 适应不同科室。</w:t>
            </w:r>
          </w:p>
        </w:tc>
        <w:tc>
          <w:tcPr>
            <w:tcW w:w="1124" w:type="dxa"/>
            <w:vAlign w:val="center"/>
          </w:tcPr>
          <w:p w14:paraId="223EF47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p w14:paraId="2A6F0F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sz w:val="22"/>
                <w:szCs w:val="22"/>
                <w:highlight w:val="none"/>
                <w:lang w:val="en-US" w:eastAsia="zh-CN"/>
              </w:rPr>
            </w:pPr>
          </w:p>
        </w:tc>
      </w:tr>
      <w:tr w14:paraId="39B4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65520E9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w:t>
            </w:r>
          </w:p>
        </w:tc>
        <w:tc>
          <w:tcPr>
            <w:tcW w:w="7191" w:type="dxa"/>
            <w:shd w:val="clear" w:color="auto" w:fill="auto"/>
            <w:vAlign w:val="center"/>
          </w:tcPr>
          <w:p w14:paraId="722D243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血沉分析仪</w:t>
            </w:r>
          </w:p>
        </w:tc>
        <w:tc>
          <w:tcPr>
            <w:tcW w:w="1124" w:type="dxa"/>
            <w:vAlign w:val="center"/>
          </w:tcPr>
          <w:p w14:paraId="028CF5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420F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EA4986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7191" w:type="dxa"/>
            <w:shd w:val="clear" w:color="auto" w:fill="auto"/>
            <w:vAlign w:val="center"/>
          </w:tcPr>
          <w:p w14:paraId="2D99512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预期用途：用于血液样品红细胞沉降速度的测量</w:t>
            </w:r>
          </w:p>
          <w:p w14:paraId="1A8A9FC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测量方式：定时扫描红外检测</w:t>
            </w:r>
          </w:p>
          <w:p w14:paraId="325144E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测量有30分钟(对应魏氏法结果1小时)或60分钟(对应魏氏法结果2小时)，两种工作方式选择</w:t>
            </w:r>
          </w:p>
        </w:tc>
        <w:tc>
          <w:tcPr>
            <w:tcW w:w="1124" w:type="dxa"/>
            <w:vAlign w:val="center"/>
          </w:tcPr>
          <w:p w14:paraId="380264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0385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2AF24E1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w:t>
            </w:r>
          </w:p>
        </w:tc>
        <w:tc>
          <w:tcPr>
            <w:tcW w:w="7191" w:type="dxa"/>
            <w:shd w:val="clear" w:color="auto" w:fill="auto"/>
            <w:vAlign w:val="center"/>
          </w:tcPr>
          <w:p w14:paraId="683F206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分析容量：最大20个测试/每小时</w:t>
            </w:r>
          </w:p>
        </w:tc>
        <w:tc>
          <w:tcPr>
            <w:tcW w:w="1124" w:type="dxa"/>
            <w:vAlign w:val="center"/>
          </w:tcPr>
          <w:p w14:paraId="7EF650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2F1B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13E10E4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7191" w:type="dxa"/>
            <w:shd w:val="clear" w:color="auto" w:fill="auto"/>
            <w:vAlign w:val="center"/>
          </w:tcPr>
          <w:p w14:paraId="5A809F5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分析通道：</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10个</w:t>
            </w:r>
          </w:p>
        </w:tc>
        <w:tc>
          <w:tcPr>
            <w:tcW w:w="1124" w:type="dxa"/>
            <w:vAlign w:val="center"/>
          </w:tcPr>
          <w:p w14:paraId="410686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44ED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C7231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7191" w:type="dxa"/>
            <w:shd w:val="clear" w:color="auto" w:fill="auto"/>
            <w:vAlign w:val="center"/>
          </w:tcPr>
          <w:p w14:paraId="72ABF6D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装载容量：最大每批10个样本</w:t>
            </w:r>
          </w:p>
        </w:tc>
        <w:tc>
          <w:tcPr>
            <w:tcW w:w="1124" w:type="dxa"/>
            <w:vAlign w:val="center"/>
          </w:tcPr>
          <w:p w14:paraId="6EDDCE4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48BB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369B1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7191" w:type="dxa"/>
            <w:shd w:val="clear" w:color="auto" w:fill="auto"/>
            <w:vAlign w:val="center"/>
          </w:tcPr>
          <w:p w14:paraId="3D3275C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取样间隔：</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3min</w:t>
            </w:r>
          </w:p>
        </w:tc>
        <w:tc>
          <w:tcPr>
            <w:tcW w:w="1124" w:type="dxa"/>
            <w:vAlign w:val="center"/>
          </w:tcPr>
          <w:p w14:paraId="073458A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56CA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46D68EB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w:t>
            </w:r>
          </w:p>
        </w:tc>
        <w:tc>
          <w:tcPr>
            <w:tcW w:w="7191" w:type="dxa"/>
            <w:shd w:val="clear" w:color="auto" w:fill="auto"/>
            <w:vAlign w:val="center"/>
          </w:tcPr>
          <w:p w14:paraId="2DF4845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可根据血样中红细胞沉降高度与时间提供红细胞沉降的动态图形；</w:t>
            </w:r>
          </w:p>
          <w:p w14:paraId="1705377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自动将检测温度下（10℃-30℃）的血沉结果修正至18℃时的血沉值；</w:t>
            </w:r>
          </w:p>
        </w:tc>
        <w:tc>
          <w:tcPr>
            <w:tcW w:w="1124" w:type="dxa"/>
            <w:vAlign w:val="center"/>
          </w:tcPr>
          <w:p w14:paraId="482B38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02D0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EC3AA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w:t>
            </w:r>
            <w:r>
              <w:rPr>
                <w:rFonts w:hint="eastAsia" w:ascii="宋体" w:hAnsi="宋体" w:cs="宋体"/>
                <w:color w:val="auto"/>
                <w:sz w:val="22"/>
                <w:szCs w:val="22"/>
                <w:highlight w:val="none"/>
                <w:u w:val="single"/>
                <w:lang w:val="en-US" w:eastAsia="zh-CN"/>
              </w:rPr>
              <w:t>3.7</w:t>
            </w:r>
          </w:p>
        </w:tc>
        <w:tc>
          <w:tcPr>
            <w:tcW w:w="7191" w:type="dxa"/>
            <w:shd w:val="clear" w:color="auto" w:fill="auto"/>
            <w:vAlign w:val="center"/>
          </w:tcPr>
          <w:p w14:paraId="188F1F7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可同时对10个血沉测试管进行测试，最快测量速度可达20个样品/小时；</w:t>
            </w:r>
          </w:p>
        </w:tc>
        <w:tc>
          <w:tcPr>
            <w:tcW w:w="1124" w:type="dxa"/>
            <w:vAlign w:val="center"/>
          </w:tcPr>
          <w:p w14:paraId="228A6CD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1B7D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6A021C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38</w:t>
            </w:r>
          </w:p>
        </w:tc>
        <w:tc>
          <w:tcPr>
            <w:tcW w:w="7191" w:type="dxa"/>
            <w:shd w:val="clear" w:color="auto" w:fill="auto"/>
            <w:vAlign w:val="center"/>
          </w:tcPr>
          <w:p w14:paraId="779652E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可在血沉测试后，对离心后的血沉管进行压积测试计算；</w:t>
            </w:r>
          </w:p>
          <w:p w14:paraId="3C4E4BC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装载形式：随时测量</w:t>
            </w:r>
          </w:p>
        </w:tc>
        <w:tc>
          <w:tcPr>
            <w:tcW w:w="1124" w:type="dxa"/>
            <w:vAlign w:val="center"/>
          </w:tcPr>
          <w:p w14:paraId="5331CE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479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4BDC19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3.9</w:t>
            </w:r>
          </w:p>
        </w:tc>
        <w:tc>
          <w:tcPr>
            <w:tcW w:w="7191" w:type="dxa"/>
            <w:shd w:val="clear" w:color="auto" w:fill="auto"/>
            <w:vAlign w:val="center"/>
          </w:tcPr>
          <w:p w14:paraId="37BC3F3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读数精度：</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0.2 mm</w:t>
            </w:r>
          </w:p>
        </w:tc>
        <w:tc>
          <w:tcPr>
            <w:tcW w:w="1124" w:type="dxa"/>
            <w:vAlign w:val="center"/>
          </w:tcPr>
          <w:p w14:paraId="55166FF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2851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CA420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3.10</w:t>
            </w:r>
          </w:p>
        </w:tc>
        <w:tc>
          <w:tcPr>
            <w:tcW w:w="7191" w:type="dxa"/>
            <w:shd w:val="clear" w:color="auto" w:fill="auto"/>
            <w:vAlign w:val="center"/>
          </w:tcPr>
          <w:p w14:paraId="4E68EF5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结果分辨率：1mm/1h和1mm/2h</w:t>
            </w:r>
          </w:p>
          <w:p w14:paraId="73FDCDF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血液高度范围：50mm—64mm</w:t>
            </w:r>
          </w:p>
        </w:tc>
        <w:tc>
          <w:tcPr>
            <w:tcW w:w="1124" w:type="dxa"/>
            <w:vAlign w:val="center"/>
          </w:tcPr>
          <w:p w14:paraId="5EE3E18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603B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850EB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3.11</w:t>
            </w:r>
          </w:p>
        </w:tc>
        <w:tc>
          <w:tcPr>
            <w:tcW w:w="7191" w:type="dxa"/>
            <w:shd w:val="clear" w:color="auto" w:fill="auto"/>
            <w:vAlign w:val="center"/>
          </w:tcPr>
          <w:p w14:paraId="42ED6B6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显示：七</w:t>
            </w:r>
            <w:r>
              <w:rPr>
                <w:rFonts w:hint="eastAsia" w:ascii="宋体" w:hAnsi="宋体" w:cs="宋体"/>
                <w:color w:val="auto"/>
                <w:kern w:val="2"/>
                <w:sz w:val="22"/>
                <w:szCs w:val="22"/>
                <w:highlight w:val="none"/>
                <w:lang w:val="en-US" w:eastAsia="zh-CN" w:bidi="ar-SA"/>
              </w:rPr>
              <w:t>寸</w:t>
            </w:r>
            <w:r>
              <w:rPr>
                <w:rFonts w:hint="eastAsia" w:ascii="宋体" w:hAnsi="宋体" w:eastAsia="宋体" w:cs="宋体"/>
                <w:color w:val="auto"/>
                <w:kern w:val="2"/>
                <w:sz w:val="22"/>
                <w:szCs w:val="22"/>
                <w:highlight w:val="none"/>
                <w:lang w:val="en-US" w:eastAsia="zh-CN" w:bidi="ar-SA"/>
              </w:rPr>
              <w:t>液晶显示触摸屏</w:t>
            </w:r>
          </w:p>
          <w:p w14:paraId="14143DC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可输入15位数字的病人编号，支持条形码扫描输入且具有液面跟踪扫描功能；</w:t>
            </w:r>
          </w:p>
          <w:p w14:paraId="3D11E48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分析结果不仅在液晶显示屏上显示，可单个或批量测试结果查询，还可用内装打印机打印测量结果；</w:t>
            </w:r>
          </w:p>
          <w:p w14:paraId="01BC2EE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仪器设有RS-232标准接口，可与外部计算机连接，进行远距离通讯和数据处理；</w:t>
            </w:r>
          </w:p>
          <w:p w14:paraId="327088E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仪器具有标本异常，自动识别提示功能；</w:t>
            </w:r>
          </w:p>
          <w:p w14:paraId="7F182F5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仪器具有结果自动储存和断电后数据自动保存功能。</w:t>
            </w:r>
          </w:p>
        </w:tc>
        <w:tc>
          <w:tcPr>
            <w:tcW w:w="1124" w:type="dxa"/>
            <w:vAlign w:val="center"/>
          </w:tcPr>
          <w:p w14:paraId="2C97365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362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6EDD0B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4</w:t>
            </w:r>
          </w:p>
        </w:tc>
        <w:tc>
          <w:tcPr>
            <w:tcW w:w="7191" w:type="dxa"/>
            <w:shd w:val="clear" w:color="auto" w:fill="auto"/>
            <w:vAlign w:val="center"/>
          </w:tcPr>
          <w:p w14:paraId="44E1E92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生物安全柜</w:t>
            </w:r>
          </w:p>
        </w:tc>
        <w:tc>
          <w:tcPr>
            <w:tcW w:w="1124" w:type="dxa"/>
            <w:vAlign w:val="center"/>
          </w:tcPr>
          <w:p w14:paraId="2453F6B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1238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restart"/>
            <w:shd w:val="clear" w:color="auto" w:fill="auto"/>
            <w:vAlign w:val="center"/>
          </w:tcPr>
          <w:p w14:paraId="3760814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4.1</w:t>
            </w:r>
          </w:p>
        </w:tc>
        <w:tc>
          <w:tcPr>
            <w:tcW w:w="7191" w:type="dxa"/>
            <w:shd w:val="clear" w:color="auto" w:fill="auto"/>
            <w:vAlign w:val="center"/>
          </w:tcPr>
          <w:p w14:paraId="2A0B787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（1）分类：</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0%外排，70%循环</w:t>
            </w:r>
          </w:p>
          <w:p w14:paraId="26767B4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（2）外部尺寸（L</w:t>
            </w:r>
            <w:r>
              <w:rPr>
                <w:rFonts w:hint="eastAsia" w:ascii="宋体" w:hAnsi="宋体" w:eastAsia="宋体" w:cs="宋体"/>
                <w:color w:val="auto"/>
                <w:kern w:val="2"/>
                <w:sz w:val="22"/>
                <w:szCs w:val="22"/>
                <w:highlight w:val="none"/>
                <w:u w:val="none"/>
                <w:lang w:val="en-US" w:eastAsia="zh-CN" w:bidi="ar-SA"/>
              </w:rPr>
              <w:t>×D×H）700mm×650mm×1875mm</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10</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u w:val="none"/>
                <w:lang w:val="en-US" w:eastAsia="zh-CN" w:bidi="ar-SA"/>
              </w:rPr>
              <w:t>；</w:t>
            </w:r>
          </w:p>
          <w:p w14:paraId="506CC3F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（3）内部尺寸（L×D×H）600mm ×500mm×540mm</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10</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u w:val="none"/>
                <w:lang w:val="en-US" w:eastAsia="zh-CN" w:bidi="ar-SA"/>
              </w:rPr>
              <w:t>。</w:t>
            </w:r>
          </w:p>
          <w:p w14:paraId="5F43DB2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（4）台面距离地面高度：</w:t>
            </w:r>
            <w:r>
              <w:rPr>
                <w:rFonts w:hint="default" w:ascii="Arial" w:hAnsi="Arial" w:eastAsia="宋体" w:cs="Arial"/>
                <w:color w:val="auto"/>
                <w:kern w:val="2"/>
                <w:sz w:val="22"/>
                <w:szCs w:val="22"/>
                <w:highlight w:val="none"/>
                <w:u w:val="none"/>
                <w:lang w:val="en-US" w:eastAsia="zh-CN" w:bidi="ar-SA"/>
              </w:rPr>
              <w:t>≥</w:t>
            </w:r>
            <w:r>
              <w:rPr>
                <w:rFonts w:hint="eastAsia" w:ascii="宋体" w:hAnsi="宋体" w:eastAsia="宋体" w:cs="宋体"/>
                <w:color w:val="auto"/>
                <w:kern w:val="2"/>
                <w:sz w:val="22"/>
                <w:szCs w:val="22"/>
                <w:highlight w:val="none"/>
                <w:u w:val="none"/>
                <w:lang w:val="en-US" w:eastAsia="zh-CN" w:bidi="ar-SA"/>
              </w:rPr>
              <w:t>710mm（尺寸可根据要求订制修改）</w:t>
            </w:r>
          </w:p>
          <w:p w14:paraId="0455421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（5）风速：平均下降风速：0.33±0.025m/s； 平均吸入口风速0.53±0.025m/s</w:t>
            </w:r>
          </w:p>
        </w:tc>
        <w:tc>
          <w:tcPr>
            <w:tcW w:w="1124" w:type="dxa"/>
            <w:vAlign w:val="center"/>
          </w:tcPr>
          <w:p w14:paraId="69B19A7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0.5</w:t>
            </w:r>
          </w:p>
        </w:tc>
      </w:tr>
      <w:tr w14:paraId="4D1D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continue"/>
            <w:shd w:val="clear" w:color="auto" w:fill="auto"/>
            <w:vAlign w:val="center"/>
          </w:tcPr>
          <w:p w14:paraId="462E93C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sz w:val="22"/>
                <w:szCs w:val="22"/>
                <w:highlight w:val="none"/>
                <w:lang w:val="en-US" w:eastAsia="zh-CN"/>
              </w:rPr>
            </w:pPr>
          </w:p>
        </w:tc>
        <w:tc>
          <w:tcPr>
            <w:tcW w:w="7191" w:type="dxa"/>
            <w:shd w:val="clear" w:color="auto" w:fill="auto"/>
            <w:vAlign w:val="center"/>
          </w:tcPr>
          <w:p w14:paraId="2695D1A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）系统排风总量：≥230 m³/h</w:t>
            </w:r>
          </w:p>
          <w:p w14:paraId="0F83BF4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）额定功率：1000W（包含操作区插座负载500W，常规运行500W）</w:t>
            </w:r>
          </w:p>
          <w:p w14:paraId="530CD3F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）噪音等级：≤67dB（A）</w:t>
            </w:r>
          </w:p>
          <w:p w14:paraId="3D6EF9C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）照明：≥1000 lx</w:t>
            </w:r>
          </w:p>
          <w:p w14:paraId="33BAB20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）使用人数：单人</w:t>
            </w:r>
          </w:p>
        </w:tc>
        <w:tc>
          <w:tcPr>
            <w:tcW w:w="1124" w:type="dxa"/>
            <w:vAlign w:val="center"/>
          </w:tcPr>
          <w:p w14:paraId="7BEC243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0259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continue"/>
            <w:shd w:val="clear" w:color="auto" w:fill="auto"/>
            <w:vAlign w:val="center"/>
          </w:tcPr>
          <w:p w14:paraId="74F73F9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sz w:val="22"/>
                <w:szCs w:val="22"/>
                <w:highlight w:val="none"/>
                <w:lang w:val="en-US" w:eastAsia="zh-CN"/>
              </w:rPr>
            </w:pPr>
          </w:p>
        </w:tc>
        <w:tc>
          <w:tcPr>
            <w:tcW w:w="7191" w:type="dxa"/>
            <w:shd w:val="clear" w:color="auto" w:fill="auto"/>
            <w:vAlign w:val="center"/>
          </w:tcPr>
          <w:p w14:paraId="6499E1F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single"/>
                <w:lang w:val="en-US" w:eastAsia="zh-CN" w:bidi="ar-SA"/>
              </w:rPr>
              <w:t>▲过滤效率:送风和排风过滤器均采用硼硅酸盐玻璃纤维材质的ULPA超高效过滤器，对0.12μm颗粒过滤效率≥99.9995%</w:t>
            </w:r>
          </w:p>
        </w:tc>
        <w:tc>
          <w:tcPr>
            <w:tcW w:w="1124" w:type="dxa"/>
            <w:vAlign w:val="center"/>
          </w:tcPr>
          <w:p w14:paraId="3DC00E7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sz w:val="22"/>
                <w:szCs w:val="22"/>
                <w:highlight w:val="none"/>
              </w:rPr>
            </w:pPr>
          </w:p>
        </w:tc>
      </w:tr>
      <w:tr w14:paraId="683D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29B39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2</w:t>
            </w:r>
          </w:p>
        </w:tc>
        <w:tc>
          <w:tcPr>
            <w:tcW w:w="7191" w:type="dxa"/>
            <w:shd w:val="clear" w:color="auto" w:fill="auto"/>
            <w:vAlign w:val="center"/>
          </w:tcPr>
          <w:p w14:paraId="3145D04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生物安全性：</w:t>
            </w:r>
          </w:p>
          <w:p w14:paraId="709326A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（1）人员安全性：用碘化钾（KI）法测试，前窗操作口的保护因子应不小于1×105 </w:t>
            </w:r>
          </w:p>
          <w:p w14:paraId="3C5BECE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（2）产品安全性：菌落数≤5CFU/次 </w:t>
            </w:r>
          </w:p>
          <w:p w14:paraId="2CEE0E2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（3）交叉污染安全性：菌落数≤2CFU/次</w:t>
            </w:r>
          </w:p>
        </w:tc>
        <w:tc>
          <w:tcPr>
            <w:tcW w:w="1124" w:type="dxa"/>
            <w:vAlign w:val="center"/>
          </w:tcPr>
          <w:p w14:paraId="255264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2979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restart"/>
            <w:vAlign w:val="center"/>
          </w:tcPr>
          <w:p w14:paraId="38BDEAD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4.2</w:t>
            </w:r>
          </w:p>
        </w:tc>
        <w:tc>
          <w:tcPr>
            <w:tcW w:w="7191" w:type="dxa"/>
            <w:shd w:val="clear" w:color="auto" w:fill="auto"/>
            <w:vAlign w:val="center"/>
          </w:tcPr>
          <w:p w14:paraId="2BD0FD7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、安全柜裸露工作区三侧壁板采用优质304#不锈钢一体化结构，内部可清洗部位采用8mm大圆角处理，不留死角，易于清洁；</w:t>
            </w:r>
          </w:p>
          <w:p w14:paraId="00E27F2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、工作区采用四面（左右二侧、后部、底部）负压环绕设计工作区内，</w:t>
            </w:r>
          </w:p>
          <w:p w14:paraId="2775FEB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、工作台面材质为优质3</w:t>
            </w:r>
            <w:r>
              <w:rPr>
                <w:rFonts w:hint="eastAsia" w:ascii="宋体" w:hAnsi="宋体" w:eastAsia="宋体" w:cs="宋体"/>
                <w:color w:val="auto"/>
                <w:kern w:val="2"/>
                <w:sz w:val="22"/>
                <w:szCs w:val="22"/>
                <w:highlight w:val="none"/>
                <w:u w:val="none"/>
                <w:lang w:val="en-US" w:eastAsia="zh-CN" w:bidi="ar-SA"/>
              </w:rPr>
              <w:t>04#不锈钢，采用盆状式设计，即使实验有废液溢出，也不会流入积液槽中，便于清理；</w:t>
            </w:r>
          </w:p>
          <w:p w14:paraId="0D0E8F5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u w:val="none"/>
                <w:lang w:val="en-US" w:eastAsia="zh-CN" w:bidi="ar-SA"/>
              </w:rPr>
              <w:t>4</w:t>
            </w:r>
            <w:r>
              <w:rPr>
                <w:rFonts w:hint="eastAsia" w:ascii="宋体" w:hAnsi="宋体" w:eastAsia="宋体" w:cs="宋体"/>
                <w:color w:val="auto"/>
                <w:kern w:val="2"/>
                <w:sz w:val="22"/>
                <w:szCs w:val="22"/>
                <w:highlight w:val="none"/>
                <w:u w:val="none"/>
                <w:lang w:val="en-US" w:eastAsia="zh-CN" w:bidi="ar-SA"/>
              </w:rPr>
              <w:t>、福马脚轮设计：脚轮与支架一体化设计，安全柜即可通过脚轮安全移动，也可以通过调节脚轮支脚进行固定和调平；</w:t>
            </w:r>
            <w:r>
              <w:rPr>
                <w:rFonts w:hint="eastAsia" w:ascii="宋体" w:hAnsi="宋体" w:cs="宋体"/>
                <w:color w:val="auto"/>
                <w:kern w:val="2"/>
                <w:sz w:val="22"/>
                <w:szCs w:val="22"/>
                <w:highlight w:val="none"/>
                <w:u w:val="none"/>
                <w:lang w:val="en-US" w:eastAsia="zh-CN" w:bidi="ar-SA"/>
              </w:rPr>
              <w:t>方便使用</w:t>
            </w:r>
            <w:r>
              <w:rPr>
                <w:rFonts w:hint="eastAsia" w:ascii="宋体" w:hAnsi="宋体" w:eastAsia="宋体" w:cs="宋体"/>
                <w:color w:val="auto"/>
                <w:kern w:val="2"/>
                <w:sz w:val="22"/>
                <w:szCs w:val="22"/>
                <w:highlight w:val="none"/>
                <w:u w:val="none"/>
                <w:lang w:val="en-US" w:eastAsia="zh-CN" w:bidi="ar-SA"/>
              </w:rPr>
              <w:t>；</w:t>
            </w:r>
          </w:p>
          <w:p w14:paraId="49BD67B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u w:val="none"/>
                <w:lang w:val="en-US" w:eastAsia="zh-CN" w:bidi="ar-SA"/>
              </w:rPr>
              <w:t>5</w:t>
            </w:r>
            <w:r>
              <w:rPr>
                <w:rFonts w:hint="eastAsia" w:ascii="宋体" w:hAnsi="宋体" w:eastAsia="宋体" w:cs="宋体"/>
                <w:color w:val="auto"/>
                <w:kern w:val="2"/>
                <w:sz w:val="22"/>
                <w:szCs w:val="22"/>
                <w:highlight w:val="none"/>
                <w:u w:val="none"/>
                <w:lang w:val="en-US" w:eastAsia="zh-CN" w:bidi="ar-SA"/>
              </w:rPr>
              <w:t>、柜体和支架可分离，支架高度可根据实际情况订制修改；</w:t>
            </w:r>
          </w:p>
          <w:p w14:paraId="3ABB5FC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u w:val="none"/>
                <w:lang w:val="en-US" w:eastAsia="zh-CN" w:bidi="ar-SA"/>
              </w:rPr>
              <w:t>6</w:t>
            </w:r>
            <w:r>
              <w:rPr>
                <w:rFonts w:hint="eastAsia" w:ascii="宋体" w:hAnsi="宋体" w:eastAsia="宋体" w:cs="宋体"/>
                <w:color w:val="auto"/>
                <w:kern w:val="2"/>
                <w:sz w:val="22"/>
                <w:szCs w:val="22"/>
                <w:highlight w:val="none"/>
                <w:u w:val="none"/>
                <w:lang w:val="en-US" w:eastAsia="zh-CN" w:bidi="ar-SA"/>
              </w:rPr>
              <w:t>、合理的结构设计：安全柜过滤器和风机的维修、更换，都可在安全柜的前侧进行，更加方便、快捷；</w:t>
            </w:r>
          </w:p>
          <w:p w14:paraId="3D17D82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u w:val="none"/>
                <w:lang w:val="en-US" w:eastAsia="zh-CN" w:bidi="ar-SA"/>
              </w:rPr>
              <w:t>7</w:t>
            </w:r>
            <w:r>
              <w:rPr>
                <w:rFonts w:hint="eastAsia" w:ascii="宋体" w:hAnsi="宋体" w:eastAsia="宋体" w:cs="宋体"/>
                <w:color w:val="auto"/>
                <w:kern w:val="2"/>
                <w:sz w:val="22"/>
                <w:szCs w:val="22"/>
                <w:highlight w:val="none"/>
                <w:u w:val="none"/>
                <w:lang w:val="en-US" w:eastAsia="zh-CN" w:bidi="ar-SA"/>
              </w:rPr>
              <w:t>、前窗玻璃采用安全钢化玻璃；即使玻璃破损，也不会伤人，并且生物安全柜还能正常工作，直到实验结束，更好的保护了人员及实验的安全；</w:t>
            </w:r>
          </w:p>
        </w:tc>
        <w:tc>
          <w:tcPr>
            <w:tcW w:w="1124" w:type="dxa"/>
            <w:vAlign w:val="center"/>
          </w:tcPr>
          <w:p w14:paraId="2F8B90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6ECD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continue"/>
            <w:vAlign w:val="center"/>
          </w:tcPr>
          <w:p w14:paraId="20BC3E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 w:val="22"/>
                <w:szCs w:val="22"/>
                <w:highlight w:val="none"/>
                <w:lang w:val="en-US" w:eastAsia="zh-CN"/>
              </w:rPr>
            </w:pPr>
          </w:p>
        </w:tc>
        <w:tc>
          <w:tcPr>
            <w:tcW w:w="7191" w:type="dxa"/>
            <w:shd w:val="clear" w:color="auto" w:fill="auto"/>
            <w:vAlign w:val="center"/>
          </w:tcPr>
          <w:p w14:paraId="017BC7D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cs="宋体"/>
                <w:b w:val="0"/>
                <w:bCs w:val="0"/>
                <w:color w:val="auto"/>
                <w:kern w:val="2"/>
                <w:sz w:val="22"/>
                <w:szCs w:val="22"/>
                <w:highlight w:val="none"/>
                <w:u w:val="none"/>
                <w:lang w:val="en-US" w:eastAsia="zh-CN" w:bidi="ar-SA"/>
              </w:rPr>
              <w:t>1</w:t>
            </w:r>
            <w:r>
              <w:rPr>
                <w:rFonts w:hint="eastAsia" w:ascii="宋体" w:hAnsi="宋体" w:eastAsia="宋体" w:cs="宋体"/>
                <w:b w:val="0"/>
                <w:bCs w:val="0"/>
                <w:color w:val="auto"/>
                <w:kern w:val="2"/>
                <w:sz w:val="22"/>
                <w:szCs w:val="22"/>
                <w:highlight w:val="none"/>
                <w:u w:val="none"/>
                <w:lang w:val="en-US" w:eastAsia="zh-CN" w:bidi="ar-SA"/>
              </w:rPr>
              <w:t>、高亮度LCD显示屏,实时动态显示全部运行状态,一目了然；</w:t>
            </w:r>
          </w:p>
          <w:p w14:paraId="72C634E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、遥控控制：安全柜的所有按键操作，都可通过遥控控制实现，使安全柜的使用更加快捷方便；且遥控器的使用，大大减少了使用者与安全柜的直接接触，更加保护了使用者的人身安全；</w:t>
            </w:r>
          </w:p>
          <w:p w14:paraId="249DCE3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3、具有预约定时功能，能自动设定安全柜定时开机、关机及紫外灯消毒时间；</w:t>
            </w:r>
          </w:p>
          <w:p w14:paraId="4978EFF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4、严格的气密性检测：安全柜内加压500Pa，保持30min后气压不低于450Pa；</w:t>
            </w:r>
          </w:p>
          <w:p w14:paraId="05F18E2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5、前窗气流隔断设计：防止了气流通过前窗侧壁及上侧进行泄露，使试验更加安全；</w:t>
            </w:r>
          </w:p>
          <w:p w14:paraId="2C19BDE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6、风机：风机的电机当安全柜在正常运行而不调整电机的速度控制，经过滤器的风压下降50%时，风机的排气量下降不超过10%；</w:t>
            </w:r>
          </w:p>
          <w:p w14:paraId="27AE884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7、具有一键消毒功能，操作简单便捷。</w:t>
            </w:r>
          </w:p>
        </w:tc>
        <w:tc>
          <w:tcPr>
            <w:tcW w:w="1124" w:type="dxa"/>
            <w:vAlign w:val="center"/>
          </w:tcPr>
          <w:p w14:paraId="27C020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00B8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continue"/>
            <w:vAlign w:val="center"/>
          </w:tcPr>
          <w:p w14:paraId="5654B5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 w:val="22"/>
                <w:szCs w:val="22"/>
                <w:highlight w:val="none"/>
                <w:lang w:val="en-US" w:eastAsia="zh-CN"/>
              </w:rPr>
            </w:pPr>
          </w:p>
        </w:tc>
        <w:tc>
          <w:tcPr>
            <w:tcW w:w="7191" w:type="dxa"/>
            <w:shd w:val="clear" w:color="auto" w:fill="auto"/>
            <w:vAlign w:val="center"/>
          </w:tcPr>
          <w:p w14:paraId="0406793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报警系统：</w:t>
            </w:r>
          </w:p>
          <w:p w14:paraId="600C989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（1）玻璃门不在安全高度报警：玻璃门安全高度为200mm，当安全柜前侧高于或低于安全高度时，安全柜会声光报警；</w:t>
            </w:r>
          </w:p>
          <w:p w14:paraId="4F21918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（2）过滤器压力超高报警：当过滤器的阻力变大，安全柜会声光报警；</w:t>
            </w:r>
          </w:p>
          <w:p w14:paraId="0D0C4AE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（3）过滤器失效更换报警：当过滤器寿命使用到期后，会有过滤器更换声光报警；</w:t>
            </w:r>
          </w:p>
          <w:p w14:paraId="7C6C6AE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（4）气流波动报警：当安全柜的气流波动超过标称值的20%时，声光报警；</w:t>
            </w:r>
          </w:p>
        </w:tc>
        <w:tc>
          <w:tcPr>
            <w:tcW w:w="1124" w:type="dxa"/>
            <w:vAlign w:val="center"/>
          </w:tcPr>
          <w:p w14:paraId="4743D3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0EE4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continue"/>
            <w:vAlign w:val="center"/>
          </w:tcPr>
          <w:p w14:paraId="5AA5FD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 w:val="22"/>
                <w:szCs w:val="22"/>
                <w:highlight w:val="none"/>
                <w:lang w:val="en-US" w:eastAsia="zh-CN"/>
              </w:rPr>
            </w:pPr>
          </w:p>
        </w:tc>
        <w:tc>
          <w:tcPr>
            <w:tcW w:w="7191" w:type="dxa"/>
            <w:shd w:val="clear" w:color="auto" w:fill="auto"/>
            <w:vAlign w:val="center"/>
          </w:tcPr>
          <w:p w14:paraId="3F59DD3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安全的连锁保护设计：对误操作均设置连锁保护，即使误操作，也不会造成伤害</w:t>
            </w:r>
          </w:p>
          <w:p w14:paraId="0903994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（1）安全柜风机与玻璃门互锁：当安全柜玻璃门落到最底部时，安全柜风机自动关闭，更改保护了安全柜的使用，增加了安全柜的使用寿命；</w:t>
            </w:r>
          </w:p>
          <w:p w14:paraId="66CA895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（2）紫外灯与安全柜玻璃门、风机及照明灯互锁：当玻璃落到底部且照明灯不开启时，紫外灯才能开启，防止紫外灯误操作对人体造成危害，更加保护了人员的安全。</w:t>
            </w:r>
          </w:p>
        </w:tc>
        <w:tc>
          <w:tcPr>
            <w:tcW w:w="1124" w:type="dxa"/>
            <w:vAlign w:val="center"/>
          </w:tcPr>
          <w:p w14:paraId="64A15BB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0.5</w:t>
            </w:r>
          </w:p>
        </w:tc>
      </w:tr>
      <w:tr w14:paraId="3DDC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Merge w:val="continue"/>
            <w:vAlign w:val="center"/>
          </w:tcPr>
          <w:p w14:paraId="6FF6B0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 w:val="22"/>
                <w:szCs w:val="22"/>
                <w:highlight w:val="none"/>
                <w:lang w:val="en-US" w:eastAsia="zh-CN"/>
              </w:rPr>
            </w:pPr>
          </w:p>
        </w:tc>
        <w:tc>
          <w:tcPr>
            <w:tcW w:w="7191" w:type="dxa"/>
            <w:shd w:val="clear" w:color="auto" w:fill="auto"/>
            <w:vAlign w:val="center"/>
          </w:tcPr>
          <w:p w14:paraId="2F67CAF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▲1、柜体</w:t>
            </w:r>
            <w:r>
              <w:rPr>
                <w:rFonts w:hint="eastAsia" w:ascii="宋体" w:hAnsi="宋体" w:cs="宋体"/>
                <w:color w:val="auto"/>
                <w:kern w:val="2"/>
                <w:sz w:val="22"/>
                <w:szCs w:val="22"/>
                <w:highlight w:val="none"/>
                <w:u w:val="single"/>
                <w:lang w:val="en-US" w:eastAsia="zh-CN" w:bidi="ar-SA"/>
              </w:rPr>
              <w:t>需</w:t>
            </w:r>
            <w:r>
              <w:rPr>
                <w:rFonts w:hint="eastAsia" w:ascii="宋体" w:hAnsi="宋体" w:eastAsia="宋体" w:cs="宋体"/>
                <w:color w:val="auto"/>
                <w:kern w:val="2"/>
                <w:sz w:val="22"/>
                <w:szCs w:val="22"/>
                <w:highlight w:val="none"/>
                <w:u w:val="single"/>
                <w:lang w:val="en-US" w:eastAsia="zh-CN" w:bidi="ar-SA"/>
              </w:rPr>
              <w:t>采用垂直直面设计，操作视角开阔且更加</w:t>
            </w:r>
            <w:r>
              <w:rPr>
                <w:rFonts w:hint="eastAsia" w:ascii="宋体" w:hAnsi="宋体" w:cs="宋体"/>
                <w:color w:val="auto"/>
                <w:kern w:val="2"/>
                <w:sz w:val="22"/>
                <w:szCs w:val="22"/>
                <w:highlight w:val="none"/>
                <w:u w:val="single"/>
                <w:lang w:val="en-US" w:eastAsia="zh-CN" w:bidi="ar-SA"/>
              </w:rPr>
              <w:t>好用</w:t>
            </w:r>
            <w:r>
              <w:rPr>
                <w:rFonts w:hint="eastAsia" w:ascii="宋体" w:hAnsi="宋体" w:eastAsia="宋体" w:cs="宋体"/>
                <w:color w:val="auto"/>
                <w:kern w:val="2"/>
                <w:sz w:val="22"/>
                <w:szCs w:val="22"/>
                <w:highlight w:val="none"/>
                <w:u w:val="single"/>
                <w:lang w:val="en-US" w:eastAsia="zh-CN" w:bidi="ar-SA"/>
              </w:rPr>
              <w:t xml:space="preserve">；   </w:t>
            </w:r>
          </w:p>
          <w:p w14:paraId="6ED1CF7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▲2、电动控制前窗玻璃门，可同时采用按键控制或遥控控制，玻璃门升降到安全操作高度时，自动停止升降，使操作更加方便；且玻璃门升降时不用直接接触玻璃，使实验人员更安全；</w:t>
            </w:r>
          </w:p>
        </w:tc>
        <w:tc>
          <w:tcPr>
            <w:tcW w:w="1124" w:type="dxa"/>
            <w:vAlign w:val="center"/>
          </w:tcPr>
          <w:p w14:paraId="6621FF3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sz w:val="22"/>
                <w:szCs w:val="22"/>
                <w:highlight w:val="none"/>
              </w:rPr>
            </w:pPr>
          </w:p>
        </w:tc>
      </w:tr>
      <w:tr w14:paraId="791E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AFB6E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b w:val="0"/>
                <w:bCs w:val="0"/>
                <w:color w:val="auto"/>
                <w:kern w:val="2"/>
                <w:sz w:val="22"/>
                <w:szCs w:val="22"/>
                <w:highlight w:val="none"/>
                <w:u w:val="single"/>
                <w:lang w:val="en-US" w:eastAsia="zh-CN" w:bidi="ar-SA"/>
              </w:rPr>
              <w:t>▲</w:t>
            </w:r>
            <w:r>
              <w:rPr>
                <w:rFonts w:hint="eastAsia" w:ascii="宋体" w:hAnsi="宋体" w:cs="宋体"/>
                <w:color w:val="auto"/>
                <w:sz w:val="22"/>
                <w:szCs w:val="22"/>
                <w:highlight w:val="none"/>
                <w:u w:val="single"/>
                <w:lang w:val="en-US" w:eastAsia="zh-CN"/>
              </w:rPr>
              <w:t>4.3</w:t>
            </w:r>
          </w:p>
        </w:tc>
        <w:tc>
          <w:tcPr>
            <w:tcW w:w="7191" w:type="dxa"/>
            <w:shd w:val="clear" w:color="auto" w:fill="auto"/>
            <w:vAlign w:val="center"/>
          </w:tcPr>
          <w:p w14:paraId="5893423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设备配置清单</w:t>
            </w:r>
          </w:p>
          <w:p w14:paraId="0E63744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主机1台、底座1套、内风机1台、送风过滤器1套、排风过滤器1套、国标插座2个、遥控器1件、紫外灯1件、照明灯1件。</w:t>
            </w:r>
          </w:p>
        </w:tc>
        <w:tc>
          <w:tcPr>
            <w:tcW w:w="1124" w:type="dxa"/>
            <w:vAlign w:val="center"/>
          </w:tcPr>
          <w:p w14:paraId="6EA26F1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sz w:val="22"/>
                <w:szCs w:val="22"/>
                <w:highlight w:val="none"/>
                <w:lang w:val="en-US" w:eastAsia="zh-CN"/>
              </w:rPr>
            </w:pPr>
          </w:p>
        </w:tc>
      </w:tr>
      <w:tr w14:paraId="5F5E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7B3AD2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5</w:t>
            </w:r>
          </w:p>
        </w:tc>
        <w:tc>
          <w:tcPr>
            <w:tcW w:w="7191" w:type="dxa"/>
            <w:shd w:val="clear" w:color="auto" w:fill="auto"/>
            <w:vAlign w:val="center"/>
          </w:tcPr>
          <w:p w14:paraId="2E80798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尿液分析仪</w:t>
            </w:r>
          </w:p>
        </w:tc>
        <w:tc>
          <w:tcPr>
            <w:tcW w:w="1124" w:type="dxa"/>
            <w:vAlign w:val="center"/>
          </w:tcPr>
          <w:p w14:paraId="472082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4074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581D43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5.1</w:t>
            </w:r>
          </w:p>
        </w:tc>
        <w:tc>
          <w:tcPr>
            <w:tcW w:w="7191" w:type="dxa"/>
            <w:shd w:val="clear" w:color="auto" w:fill="auto"/>
            <w:vAlign w:val="center"/>
          </w:tcPr>
          <w:p w14:paraId="19C9053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检测项目： PH值、亚硝酸盐、蛋白质、尿比重、维生素C、隐血、葡萄糖、胆红素、尿胆素原、酮体、白细胞</w:t>
            </w:r>
            <w:r>
              <w:rPr>
                <w:rFonts w:hint="eastAsia" w:ascii="宋体" w:hAnsi="宋体" w:cs="宋体"/>
                <w:color w:val="auto"/>
                <w:kern w:val="2"/>
                <w:sz w:val="22"/>
                <w:szCs w:val="22"/>
                <w:highlight w:val="none"/>
                <w:lang w:val="en-US" w:eastAsia="zh-CN" w:bidi="ar-SA"/>
              </w:rPr>
              <w:t>等至少</w:t>
            </w:r>
            <w:r>
              <w:rPr>
                <w:rFonts w:hint="eastAsia" w:ascii="宋体" w:hAnsi="宋体" w:eastAsia="宋体" w:cs="宋体"/>
                <w:color w:val="auto"/>
                <w:kern w:val="2"/>
                <w:sz w:val="22"/>
                <w:szCs w:val="22"/>
                <w:highlight w:val="none"/>
                <w:lang w:val="en-US" w:eastAsia="zh-CN" w:bidi="ar-SA"/>
              </w:rPr>
              <w:t>11项。</w:t>
            </w:r>
          </w:p>
        </w:tc>
        <w:tc>
          <w:tcPr>
            <w:tcW w:w="1124" w:type="dxa"/>
            <w:vAlign w:val="center"/>
          </w:tcPr>
          <w:p w14:paraId="019634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1D97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7AC2B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5.2</w:t>
            </w:r>
          </w:p>
        </w:tc>
        <w:tc>
          <w:tcPr>
            <w:tcW w:w="7191" w:type="dxa"/>
            <w:shd w:val="clear" w:color="auto" w:fill="auto"/>
            <w:vAlign w:val="center"/>
          </w:tcPr>
          <w:p w14:paraId="3F28712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测量原理：用球面积分仪测量反射率。</w:t>
            </w:r>
          </w:p>
          <w:p w14:paraId="36E04A5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测量波长：550nm、620nm、720nm。</w:t>
            </w:r>
          </w:p>
          <w:p w14:paraId="1896CDB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屏幕显示：设有中英文操作界面；显示全部测量数据、测量时间、数值及打印输出。</w:t>
            </w:r>
          </w:p>
          <w:p w14:paraId="0385DDE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故障诊断：平均无故障率5000小时；仪器可进行自检和自动校正，不需额外校正。</w:t>
            </w:r>
          </w:p>
          <w:p w14:paraId="399C630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输出模式：标准RS232接口，三种输出格式。</w:t>
            </w:r>
          </w:p>
          <w:p w14:paraId="2E2F23B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检测方法：单步和连续进样。</w:t>
            </w:r>
          </w:p>
          <w:p w14:paraId="610E56A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报告方式：可选择报告半定量浓度或+/-系统，单位可选择SI单位、传统单位，并可注明异常值</w:t>
            </w:r>
          </w:p>
          <w:p w14:paraId="5CC7858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使用环境：5～30度；RH&lt;80%</w:t>
            </w:r>
          </w:p>
        </w:tc>
        <w:tc>
          <w:tcPr>
            <w:tcW w:w="1124" w:type="dxa"/>
            <w:vAlign w:val="center"/>
          </w:tcPr>
          <w:p w14:paraId="5C9822F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0667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849837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▲5.</w:t>
            </w:r>
            <w:r>
              <w:rPr>
                <w:rFonts w:hint="eastAsia" w:ascii="宋体" w:hAnsi="宋体" w:cs="宋体"/>
                <w:color w:val="auto"/>
                <w:kern w:val="2"/>
                <w:sz w:val="22"/>
                <w:szCs w:val="22"/>
                <w:highlight w:val="none"/>
                <w:u w:val="single"/>
                <w:lang w:val="en-US" w:eastAsia="zh-CN" w:bidi="ar-SA"/>
              </w:rPr>
              <w:t>3</w:t>
            </w:r>
          </w:p>
        </w:tc>
        <w:tc>
          <w:tcPr>
            <w:tcW w:w="7191" w:type="dxa"/>
            <w:shd w:val="clear" w:color="auto" w:fill="auto"/>
            <w:vAlign w:val="center"/>
          </w:tcPr>
          <w:p w14:paraId="79B2DE7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测量速度：600次/小时。</w:t>
            </w:r>
          </w:p>
        </w:tc>
        <w:tc>
          <w:tcPr>
            <w:tcW w:w="1124" w:type="dxa"/>
            <w:vAlign w:val="center"/>
          </w:tcPr>
          <w:p w14:paraId="73B427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5C63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6A86F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eastAsia="宋体" w:cs="宋体"/>
                <w:color w:val="auto"/>
                <w:kern w:val="2"/>
                <w:sz w:val="22"/>
                <w:szCs w:val="22"/>
                <w:highlight w:val="none"/>
                <w:u w:val="none"/>
                <w:lang w:val="en-US" w:eastAsia="zh-CN" w:bidi="ar-SA"/>
              </w:rPr>
              <w:t>5</w:t>
            </w:r>
            <w:r>
              <w:rPr>
                <w:rFonts w:hint="eastAsia" w:ascii="宋体" w:hAnsi="宋体" w:cs="宋体"/>
                <w:color w:val="auto"/>
                <w:kern w:val="2"/>
                <w:sz w:val="22"/>
                <w:szCs w:val="22"/>
                <w:highlight w:val="none"/>
                <w:u w:val="none"/>
                <w:lang w:val="en-US" w:eastAsia="zh-CN" w:bidi="ar-SA"/>
              </w:rPr>
              <w:t>.4</w:t>
            </w:r>
          </w:p>
        </w:tc>
        <w:tc>
          <w:tcPr>
            <w:tcW w:w="7191" w:type="dxa"/>
            <w:shd w:val="clear" w:color="auto" w:fill="auto"/>
            <w:vAlign w:val="center"/>
          </w:tcPr>
          <w:p w14:paraId="2D5DBF1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切纸功能：打印机具有选配切纸刀功能。</w:t>
            </w:r>
          </w:p>
        </w:tc>
        <w:tc>
          <w:tcPr>
            <w:tcW w:w="1124" w:type="dxa"/>
            <w:shd w:val="clear" w:color="auto" w:fill="auto"/>
            <w:vAlign w:val="center"/>
          </w:tcPr>
          <w:p w14:paraId="163F99E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val="0"/>
                <w:color w:val="auto"/>
                <w:sz w:val="22"/>
                <w:szCs w:val="22"/>
                <w:highlight w:val="none"/>
                <w:lang w:val="en-US" w:eastAsia="zh-CN"/>
              </w:rPr>
              <w:t>2</w:t>
            </w:r>
          </w:p>
        </w:tc>
      </w:tr>
      <w:tr w14:paraId="0EB5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4424039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kern w:val="2"/>
                <w:sz w:val="22"/>
                <w:szCs w:val="22"/>
                <w:highlight w:val="none"/>
                <w:u w:val="none"/>
                <w:lang w:val="en-US" w:eastAsia="zh-CN" w:bidi="ar-SA"/>
              </w:rPr>
              <w:t>5.</w:t>
            </w:r>
            <w:r>
              <w:rPr>
                <w:rFonts w:hint="eastAsia" w:ascii="宋体" w:hAnsi="宋体" w:cs="宋体"/>
                <w:color w:val="auto"/>
                <w:kern w:val="2"/>
                <w:sz w:val="22"/>
                <w:szCs w:val="22"/>
                <w:highlight w:val="none"/>
                <w:u w:val="none"/>
                <w:lang w:val="en-US" w:eastAsia="zh-CN" w:bidi="ar-SA"/>
              </w:rPr>
              <w:t>5</w:t>
            </w:r>
          </w:p>
        </w:tc>
        <w:tc>
          <w:tcPr>
            <w:tcW w:w="7191" w:type="dxa"/>
            <w:shd w:val="clear" w:color="auto" w:fill="auto"/>
            <w:vAlign w:val="center"/>
          </w:tcPr>
          <w:p w14:paraId="1A5E57B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进样方式：具有试纸条自动感应进样，废试纸条自动收集功能。</w:t>
            </w:r>
          </w:p>
          <w:p w14:paraId="002BB3B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储存功能：可储存</w:t>
            </w:r>
            <w:r>
              <w:rPr>
                <w:rFonts w:hint="default" w:ascii="Arial" w:hAnsi="Arial" w:eastAsia="宋体" w:cs="Arial"/>
                <w:color w:val="auto"/>
                <w:kern w:val="2"/>
                <w:sz w:val="22"/>
                <w:szCs w:val="22"/>
                <w:highlight w:val="none"/>
                <w:u w:val="none"/>
                <w:lang w:val="en-US" w:eastAsia="zh-CN" w:bidi="ar-SA"/>
              </w:rPr>
              <w:t>≥</w:t>
            </w:r>
            <w:r>
              <w:rPr>
                <w:rFonts w:hint="eastAsia" w:ascii="宋体" w:hAnsi="宋体" w:eastAsia="宋体" w:cs="宋体"/>
                <w:color w:val="auto"/>
                <w:kern w:val="2"/>
                <w:sz w:val="22"/>
                <w:szCs w:val="22"/>
                <w:highlight w:val="none"/>
                <w:u w:val="none"/>
                <w:lang w:val="en-US" w:eastAsia="zh-CN" w:bidi="ar-SA"/>
              </w:rPr>
              <w:t>2000个标本数据，供随时翻阅。</w:t>
            </w:r>
          </w:p>
          <w:p w14:paraId="28CF557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反应时间：单条反应时间</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60秒，连续进样反应时间</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6秒。</w:t>
            </w:r>
          </w:p>
          <w:p w14:paraId="03FCFE6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打印方式：可选择内置或外置打印机，中英文打印报告。</w:t>
            </w:r>
          </w:p>
        </w:tc>
        <w:tc>
          <w:tcPr>
            <w:tcW w:w="1124" w:type="dxa"/>
            <w:vAlign w:val="center"/>
          </w:tcPr>
          <w:p w14:paraId="1A6DFF9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795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4F27DDC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6</w:t>
            </w:r>
          </w:p>
        </w:tc>
        <w:tc>
          <w:tcPr>
            <w:tcW w:w="7191" w:type="dxa"/>
            <w:shd w:val="clear" w:color="auto" w:fill="auto"/>
            <w:vAlign w:val="center"/>
          </w:tcPr>
          <w:p w14:paraId="14C87F4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尿液低速离心机</w:t>
            </w:r>
          </w:p>
        </w:tc>
        <w:tc>
          <w:tcPr>
            <w:tcW w:w="1124" w:type="dxa"/>
            <w:vAlign w:val="center"/>
          </w:tcPr>
          <w:p w14:paraId="3777C7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1239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4FAB55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6.1</w:t>
            </w:r>
          </w:p>
        </w:tc>
        <w:tc>
          <w:tcPr>
            <w:tcW w:w="7191" w:type="dxa"/>
            <w:shd w:val="clear" w:color="auto" w:fill="auto"/>
            <w:vAlign w:val="center"/>
          </w:tcPr>
          <w:p w14:paraId="3C622C0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微机控制、直流无刷电机驱动。</w:t>
            </w:r>
          </w:p>
          <w:p w14:paraId="0955328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触摸面板，可编程操作，主机运行参数可根据需求设置且自动存储。</w:t>
            </w:r>
          </w:p>
        </w:tc>
        <w:tc>
          <w:tcPr>
            <w:tcW w:w="1124" w:type="dxa"/>
            <w:vAlign w:val="center"/>
          </w:tcPr>
          <w:p w14:paraId="06A291F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4276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24EB05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▲6.</w:t>
            </w:r>
            <w:r>
              <w:rPr>
                <w:rFonts w:hint="eastAsia" w:ascii="宋体" w:hAnsi="宋体" w:cs="宋体"/>
                <w:color w:val="auto"/>
                <w:kern w:val="2"/>
                <w:sz w:val="22"/>
                <w:szCs w:val="22"/>
                <w:highlight w:val="none"/>
                <w:u w:val="single"/>
                <w:lang w:val="en-US" w:eastAsia="zh-CN" w:bidi="ar-SA"/>
              </w:rPr>
              <w:t>2</w:t>
            </w:r>
          </w:p>
        </w:tc>
        <w:tc>
          <w:tcPr>
            <w:tcW w:w="7191" w:type="dxa"/>
            <w:shd w:val="clear" w:color="auto" w:fill="auto"/>
            <w:vAlign w:val="center"/>
          </w:tcPr>
          <w:p w14:paraId="2546087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实时rpm/RCF之间读数换算与设定，方便快捷。</w:t>
            </w:r>
          </w:p>
        </w:tc>
        <w:tc>
          <w:tcPr>
            <w:tcW w:w="1124" w:type="dxa"/>
            <w:vAlign w:val="center"/>
          </w:tcPr>
          <w:p w14:paraId="2C9C24F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3B5D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6FD9B1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eastAsia="宋体" w:cs="宋体"/>
                <w:color w:val="auto"/>
                <w:kern w:val="2"/>
                <w:sz w:val="22"/>
                <w:szCs w:val="22"/>
                <w:highlight w:val="none"/>
                <w:u w:val="none"/>
                <w:lang w:val="en-US" w:eastAsia="zh-CN" w:bidi="ar-SA"/>
              </w:rPr>
              <w:t>6.</w:t>
            </w:r>
            <w:r>
              <w:rPr>
                <w:rFonts w:hint="eastAsia" w:ascii="宋体" w:hAnsi="宋体" w:cs="宋体"/>
                <w:color w:val="auto"/>
                <w:kern w:val="2"/>
                <w:sz w:val="22"/>
                <w:szCs w:val="22"/>
                <w:highlight w:val="none"/>
                <w:u w:val="none"/>
                <w:lang w:val="en-US" w:eastAsia="zh-CN" w:bidi="ar-SA"/>
              </w:rPr>
              <w:t>3</w:t>
            </w:r>
          </w:p>
        </w:tc>
        <w:tc>
          <w:tcPr>
            <w:tcW w:w="7191" w:type="dxa"/>
            <w:shd w:val="clear" w:color="auto" w:fill="auto"/>
            <w:vAlign w:val="center"/>
          </w:tcPr>
          <w:p w14:paraId="3EF7D08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采用高强度ABS工程塑料一次注塑成型外壳，外形美观、抗腐蚀、耐酸碱</w:t>
            </w:r>
            <w:r>
              <w:rPr>
                <w:rFonts w:hint="eastAsia" w:ascii="宋体" w:hAnsi="宋体" w:cs="宋体"/>
                <w:color w:val="auto"/>
                <w:kern w:val="2"/>
                <w:sz w:val="22"/>
                <w:szCs w:val="22"/>
                <w:highlight w:val="none"/>
                <w:u w:val="none"/>
                <w:lang w:val="en-US" w:eastAsia="zh-CN" w:bidi="ar-SA"/>
              </w:rPr>
              <w:t>。</w:t>
            </w:r>
          </w:p>
        </w:tc>
        <w:tc>
          <w:tcPr>
            <w:tcW w:w="1124" w:type="dxa"/>
            <w:shd w:val="clear" w:color="auto" w:fill="auto"/>
            <w:vAlign w:val="center"/>
          </w:tcPr>
          <w:p w14:paraId="4221B70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val="0"/>
                <w:color w:val="auto"/>
                <w:sz w:val="22"/>
                <w:szCs w:val="22"/>
                <w:highlight w:val="none"/>
                <w:lang w:val="en-US" w:eastAsia="zh-CN"/>
              </w:rPr>
              <w:t>2</w:t>
            </w:r>
          </w:p>
        </w:tc>
      </w:tr>
      <w:tr w14:paraId="2BFF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68C041B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6.</w:t>
            </w:r>
            <w:r>
              <w:rPr>
                <w:rFonts w:hint="eastAsia" w:ascii="宋体" w:hAnsi="宋体" w:cs="宋体"/>
                <w:color w:val="auto"/>
                <w:kern w:val="2"/>
                <w:sz w:val="22"/>
                <w:szCs w:val="22"/>
                <w:highlight w:val="none"/>
                <w:lang w:val="en-US" w:eastAsia="zh-CN" w:bidi="ar-SA"/>
              </w:rPr>
              <w:t>4</w:t>
            </w:r>
          </w:p>
        </w:tc>
        <w:tc>
          <w:tcPr>
            <w:tcW w:w="7191" w:type="dxa"/>
            <w:shd w:val="clear" w:color="auto" w:fill="auto"/>
            <w:vAlign w:val="center"/>
          </w:tcPr>
          <w:p w14:paraId="2FED711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配备电子门锁，设有门盖保护、超速等多种保护功能；故障自动报警功能。</w:t>
            </w:r>
          </w:p>
          <w:p w14:paraId="1F6BE07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lang w:val="en-US" w:eastAsia="zh-CN" w:bidi="ar-SA"/>
              </w:rPr>
              <w:t>采用</w:t>
            </w:r>
            <w:r>
              <w:rPr>
                <w:rFonts w:hint="eastAsia" w:ascii="宋体" w:hAnsi="宋体" w:eastAsia="宋体" w:cs="宋体"/>
                <w:color w:val="auto"/>
                <w:kern w:val="2"/>
                <w:sz w:val="22"/>
                <w:szCs w:val="22"/>
                <w:highlight w:val="none"/>
                <w:lang w:val="en-US" w:eastAsia="zh-CN" w:bidi="ar-SA"/>
              </w:rPr>
              <w:t>风道设计，便于腔体散热。</w:t>
            </w:r>
          </w:p>
        </w:tc>
        <w:tc>
          <w:tcPr>
            <w:tcW w:w="1124" w:type="dxa"/>
            <w:vAlign w:val="center"/>
          </w:tcPr>
          <w:p w14:paraId="6832D2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0E01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4174DF2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6.</w:t>
            </w:r>
            <w:r>
              <w:rPr>
                <w:rFonts w:hint="eastAsia" w:ascii="宋体" w:hAnsi="宋体" w:cs="宋体"/>
                <w:color w:val="auto"/>
                <w:kern w:val="2"/>
                <w:sz w:val="22"/>
                <w:szCs w:val="22"/>
                <w:highlight w:val="none"/>
                <w:u w:val="none"/>
                <w:lang w:val="en-US" w:eastAsia="zh-CN" w:bidi="ar-SA"/>
              </w:rPr>
              <w:t>5</w:t>
            </w:r>
          </w:p>
        </w:tc>
        <w:tc>
          <w:tcPr>
            <w:tcW w:w="7191" w:type="dxa"/>
            <w:shd w:val="clear" w:color="auto" w:fill="auto"/>
            <w:vAlign w:val="center"/>
          </w:tcPr>
          <w:p w14:paraId="1F4671B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轴陀螺不平衡检测仪，具有不平衡检测灵敏度高，检测可靠性高，可根据不同离心机阻尼器调整检测控制阀值，响应速度快，可在线调阀值，调整方便，使用寿命长，抗冲击和抗振动性能好等优点。</w:t>
            </w:r>
          </w:p>
        </w:tc>
        <w:tc>
          <w:tcPr>
            <w:tcW w:w="1124" w:type="dxa"/>
            <w:vAlign w:val="center"/>
          </w:tcPr>
          <w:p w14:paraId="485DB9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0DB1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6E077B3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r>
              <w:rPr>
                <w:rFonts w:hint="eastAsia" w:ascii="宋体" w:hAnsi="宋体" w:cs="宋体"/>
                <w:color w:val="auto"/>
                <w:kern w:val="2"/>
                <w:sz w:val="22"/>
                <w:szCs w:val="22"/>
                <w:highlight w:val="none"/>
                <w:lang w:val="en-US" w:eastAsia="zh-CN" w:bidi="ar-SA"/>
              </w:rPr>
              <w:t>6</w:t>
            </w:r>
          </w:p>
        </w:tc>
        <w:tc>
          <w:tcPr>
            <w:tcW w:w="7191" w:type="dxa"/>
            <w:shd w:val="clear" w:color="auto" w:fill="auto"/>
            <w:vAlign w:val="center"/>
          </w:tcPr>
          <w:p w14:paraId="5BAD8FD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最高转速：</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5000r/min</w:t>
            </w:r>
          </w:p>
          <w:p w14:paraId="0531A70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最大相对离心力：</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4390×g</w:t>
            </w:r>
          </w:p>
        </w:tc>
        <w:tc>
          <w:tcPr>
            <w:tcW w:w="1124" w:type="dxa"/>
            <w:vAlign w:val="center"/>
          </w:tcPr>
          <w:p w14:paraId="6D19EF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479E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3536707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r>
              <w:rPr>
                <w:rFonts w:hint="eastAsia" w:ascii="宋体" w:hAnsi="宋体" w:cs="宋体"/>
                <w:color w:val="auto"/>
                <w:kern w:val="2"/>
                <w:sz w:val="22"/>
                <w:szCs w:val="22"/>
                <w:highlight w:val="none"/>
                <w:lang w:val="en-US" w:eastAsia="zh-CN" w:bidi="ar-SA"/>
              </w:rPr>
              <w:t>7</w:t>
            </w:r>
          </w:p>
        </w:tc>
        <w:tc>
          <w:tcPr>
            <w:tcW w:w="7191" w:type="dxa"/>
            <w:shd w:val="clear" w:color="auto" w:fill="auto"/>
            <w:vAlign w:val="center"/>
          </w:tcPr>
          <w:p w14:paraId="4CB9493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最大容量：</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100ml×8</w:t>
            </w:r>
          </w:p>
          <w:p w14:paraId="09560CA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转速精度：</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±30r/min</w:t>
            </w:r>
          </w:p>
        </w:tc>
        <w:tc>
          <w:tcPr>
            <w:tcW w:w="1124" w:type="dxa"/>
            <w:vAlign w:val="center"/>
          </w:tcPr>
          <w:p w14:paraId="738304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2578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981A0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6.8</w:t>
            </w:r>
          </w:p>
        </w:tc>
        <w:tc>
          <w:tcPr>
            <w:tcW w:w="7191" w:type="dxa"/>
            <w:shd w:val="clear" w:color="auto" w:fill="auto"/>
            <w:vAlign w:val="center"/>
          </w:tcPr>
          <w:p w14:paraId="6D0348F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整机噪音：＜65dB（A）</w:t>
            </w:r>
          </w:p>
          <w:p w14:paraId="5F0F64D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电源：AC220V  50Hz  10A</w:t>
            </w:r>
          </w:p>
          <w:p w14:paraId="2DF5A4E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整机功率：450W</w:t>
            </w:r>
          </w:p>
        </w:tc>
        <w:tc>
          <w:tcPr>
            <w:tcW w:w="1124" w:type="dxa"/>
            <w:vAlign w:val="center"/>
          </w:tcPr>
          <w:p w14:paraId="6D6105A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636C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606E2C0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7</w:t>
            </w:r>
          </w:p>
        </w:tc>
        <w:tc>
          <w:tcPr>
            <w:tcW w:w="7191" w:type="dxa"/>
            <w:shd w:val="clear" w:color="auto" w:fill="auto"/>
            <w:vAlign w:val="center"/>
          </w:tcPr>
          <w:p w14:paraId="61055D1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血液离心机</w:t>
            </w:r>
          </w:p>
        </w:tc>
        <w:tc>
          <w:tcPr>
            <w:tcW w:w="1124" w:type="dxa"/>
            <w:vAlign w:val="center"/>
          </w:tcPr>
          <w:p w14:paraId="33F3416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p>
        </w:tc>
      </w:tr>
      <w:tr w14:paraId="143F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798DEC7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7.1</w:t>
            </w:r>
          </w:p>
        </w:tc>
        <w:tc>
          <w:tcPr>
            <w:tcW w:w="7191" w:type="dxa"/>
            <w:shd w:val="clear" w:color="auto" w:fill="auto"/>
            <w:vAlign w:val="center"/>
          </w:tcPr>
          <w:p w14:paraId="73EBA33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微机控制、大力矩交流变频电机驱动。</w:t>
            </w:r>
          </w:p>
          <w:p w14:paraId="304D59C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触摸面板、可编程及存储用户常用程序，方便用户随时调用。</w:t>
            </w:r>
          </w:p>
        </w:tc>
        <w:tc>
          <w:tcPr>
            <w:tcW w:w="1124" w:type="dxa"/>
            <w:vAlign w:val="center"/>
          </w:tcPr>
          <w:p w14:paraId="1DA5F9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6B98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186E96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eastAsia="宋体" w:cs="宋体"/>
                <w:color w:val="auto"/>
                <w:kern w:val="2"/>
                <w:sz w:val="22"/>
                <w:szCs w:val="22"/>
                <w:highlight w:val="none"/>
                <w:u w:val="none"/>
                <w:lang w:val="en-US" w:eastAsia="zh-CN" w:bidi="ar-SA"/>
              </w:rPr>
              <w:t>7.</w:t>
            </w:r>
            <w:r>
              <w:rPr>
                <w:rFonts w:hint="eastAsia" w:ascii="宋体" w:hAnsi="宋体" w:cs="宋体"/>
                <w:color w:val="auto"/>
                <w:kern w:val="2"/>
                <w:sz w:val="22"/>
                <w:szCs w:val="22"/>
                <w:highlight w:val="none"/>
                <w:u w:val="none"/>
                <w:lang w:val="en-US" w:eastAsia="zh-CN" w:bidi="ar-SA"/>
              </w:rPr>
              <w:t>2</w:t>
            </w:r>
          </w:p>
        </w:tc>
        <w:tc>
          <w:tcPr>
            <w:tcW w:w="7191" w:type="dxa"/>
            <w:shd w:val="clear" w:color="auto" w:fill="auto"/>
            <w:vAlign w:val="center"/>
          </w:tcPr>
          <w:p w14:paraId="066D7A7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不锈钢内腔，腔底</w:t>
            </w:r>
            <w:r>
              <w:rPr>
                <w:rFonts w:hint="eastAsia" w:ascii="宋体" w:hAnsi="宋体" w:cs="宋体"/>
                <w:color w:val="auto"/>
                <w:kern w:val="2"/>
                <w:sz w:val="22"/>
                <w:szCs w:val="22"/>
                <w:highlight w:val="none"/>
                <w:u w:val="none"/>
                <w:lang w:val="en-US" w:eastAsia="zh-CN" w:bidi="ar-SA"/>
              </w:rPr>
              <w:t>采用</w:t>
            </w:r>
            <w:r>
              <w:rPr>
                <w:rFonts w:hint="eastAsia" w:ascii="宋体" w:hAnsi="宋体" w:eastAsia="宋体" w:cs="宋体"/>
                <w:color w:val="auto"/>
                <w:kern w:val="2"/>
                <w:sz w:val="22"/>
                <w:szCs w:val="22"/>
                <w:highlight w:val="none"/>
                <w:u w:val="none"/>
                <w:lang w:val="en-US" w:eastAsia="zh-CN" w:bidi="ar-SA"/>
              </w:rPr>
              <w:t>风道设计，便于腔体散热。</w:t>
            </w:r>
          </w:p>
        </w:tc>
        <w:tc>
          <w:tcPr>
            <w:tcW w:w="1124" w:type="dxa"/>
            <w:vAlign w:val="center"/>
          </w:tcPr>
          <w:p w14:paraId="3E24CA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2</w:t>
            </w:r>
          </w:p>
        </w:tc>
      </w:tr>
      <w:tr w14:paraId="04F2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238F78D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r>
              <w:rPr>
                <w:rFonts w:hint="eastAsia" w:ascii="宋体" w:hAnsi="宋体" w:cs="宋体"/>
                <w:color w:val="auto"/>
                <w:kern w:val="2"/>
                <w:sz w:val="22"/>
                <w:szCs w:val="22"/>
                <w:highlight w:val="none"/>
                <w:lang w:val="en-US" w:eastAsia="zh-CN" w:bidi="ar-SA"/>
              </w:rPr>
              <w:t>3</w:t>
            </w:r>
          </w:p>
        </w:tc>
        <w:tc>
          <w:tcPr>
            <w:tcW w:w="7191" w:type="dxa"/>
            <w:shd w:val="clear" w:color="auto" w:fill="auto"/>
            <w:vAlign w:val="center"/>
          </w:tcPr>
          <w:p w14:paraId="6B72869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配备电子门锁，实现自动开门</w:t>
            </w:r>
            <w:r>
              <w:rPr>
                <w:rFonts w:hint="eastAsia"/>
                <w:color w:val="auto"/>
                <w:sz w:val="22"/>
                <w:szCs w:val="22"/>
                <w:highlight w:val="none"/>
                <w:lang w:eastAsia="zh-CN"/>
              </w:rPr>
              <w:t>；</w:t>
            </w:r>
          </w:p>
          <w:p w14:paraId="0B48188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具有不平衡、超速、门锁、过流、过压等多重保护和自诊断功能；</w:t>
            </w:r>
          </w:p>
        </w:tc>
        <w:tc>
          <w:tcPr>
            <w:tcW w:w="1124" w:type="dxa"/>
            <w:vAlign w:val="center"/>
          </w:tcPr>
          <w:p w14:paraId="625416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5244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2338EA0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微软雅黑" w:hAnsi="微软雅黑" w:eastAsia="微软雅黑" w:cs="微软雅黑"/>
                <w:color w:val="auto"/>
                <w:sz w:val="22"/>
                <w:szCs w:val="22"/>
                <w:highlight w:val="none"/>
                <w:u w:val="none"/>
                <w:lang w:val="en-US" w:eastAsia="zh-CN"/>
              </w:rPr>
              <w:t>★</w:t>
            </w:r>
            <w:r>
              <w:rPr>
                <w:rFonts w:hint="eastAsia" w:ascii="宋体" w:hAnsi="宋体" w:eastAsia="宋体" w:cs="宋体"/>
                <w:color w:val="auto"/>
                <w:kern w:val="2"/>
                <w:sz w:val="22"/>
                <w:szCs w:val="22"/>
                <w:highlight w:val="none"/>
                <w:u w:val="none"/>
                <w:lang w:val="en-US" w:eastAsia="zh-CN" w:bidi="ar-SA"/>
              </w:rPr>
              <w:t>7.</w:t>
            </w:r>
            <w:r>
              <w:rPr>
                <w:rFonts w:hint="eastAsia" w:ascii="宋体" w:hAnsi="宋体" w:cs="宋体"/>
                <w:color w:val="auto"/>
                <w:kern w:val="2"/>
                <w:sz w:val="22"/>
                <w:szCs w:val="22"/>
                <w:highlight w:val="none"/>
                <w:u w:val="none"/>
                <w:lang w:val="en-US" w:eastAsia="zh-CN" w:bidi="ar-SA"/>
              </w:rPr>
              <w:t>4</w:t>
            </w:r>
          </w:p>
        </w:tc>
        <w:tc>
          <w:tcPr>
            <w:tcW w:w="7191" w:type="dxa"/>
            <w:shd w:val="clear" w:color="auto" w:fill="auto"/>
            <w:vAlign w:val="center"/>
          </w:tcPr>
          <w:p w14:paraId="3F5C433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采用发泡密封圈。</w:t>
            </w:r>
          </w:p>
        </w:tc>
        <w:tc>
          <w:tcPr>
            <w:tcW w:w="1124" w:type="dxa"/>
            <w:vAlign w:val="center"/>
          </w:tcPr>
          <w:p w14:paraId="4C86384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2</w:t>
            </w:r>
          </w:p>
        </w:tc>
      </w:tr>
      <w:tr w14:paraId="62FE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1C480B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7.</w:t>
            </w:r>
            <w:r>
              <w:rPr>
                <w:rFonts w:hint="eastAsia" w:ascii="宋体" w:hAnsi="宋体" w:cs="宋体"/>
                <w:color w:val="auto"/>
                <w:kern w:val="2"/>
                <w:sz w:val="22"/>
                <w:szCs w:val="22"/>
                <w:highlight w:val="none"/>
                <w:u w:val="none"/>
                <w:lang w:val="en-US" w:eastAsia="zh-CN" w:bidi="ar-SA"/>
              </w:rPr>
              <w:t>5</w:t>
            </w:r>
          </w:p>
        </w:tc>
        <w:tc>
          <w:tcPr>
            <w:tcW w:w="7191" w:type="dxa"/>
            <w:shd w:val="clear" w:color="auto" w:fill="auto"/>
            <w:vAlign w:val="center"/>
          </w:tcPr>
          <w:p w14:paraId="412642A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可选配三轴陀螺不平衡检测仪，具有不平衡检测灵敏度高，检测可靠性高，可根据不同离心机阻尼器调整检测控制阀值，响应速度快，可在线调阀值，调整方便，使用寿命长，抗冲击和抗振动性能好等优点。</w:t>
            </w:r>
          </w:p>
        </w:tc>
        <w:tc>
          <w:tcPr>
            <w:tcW w:w="1124" w:type="dxa"/>
            <w:vAlign w:val="center"/>
          </w:tcPr>
          <w:p w14:paraId="31E9D74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77E9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1F425E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r>
              <w:rPr>
                <w:rFonts w:hint="eastAsia" w:ascii="宋体" w:hAnsi="宋体" w:cs="宋体"/>
                <w:color w:val="auto"/>
                <w:kern w:val="2"/>
                <w:sz w:val="22"/>
                <w:szCs w:val="22"/>
                <w:highlight w:val="none"/>
                <w:lang w:val="en-US" w:eastAsia="zh-CN" w:bidi="ar-SA"/>
              </w:rPr>
              <w:t>.6</w:t>
            </w:r>
          </w:p>
        </w:tc>
        <w:tc>
          <w:tcPr>
            <w:tcW w:w="7191" w:type="dxa"/>
            <w:shd w:val="clear" w:color="auto" w:fill="auto"/>
            <w:vAlign w:val="center"/>
          </w:tcPr>
          <w:p w14:paraId="5B52734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最高转速：</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5000r/min</w:t>
            </w:r>
          </w:p>
          <w:p w14:paraId="763A56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最大相对离心力：</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5030×g</w:t>
            </w:r>
          </w:p>
        </w:tc>
        <w:tc>
          <w:tcPr>
            <w:tcW w:w="1124" w:type="dxa"/>
            <w:vAlign w:val="center"/>
          </w:tcPr>
          <w:p w14:paraId="441FC6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44BD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516F70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r>
              <w:rPr>
                <w:rFonts w:hint="eastAsia" w:ascii="宋体" w:hAnsi="宋体" w:cs="宋体"/>
                <w:color w:val="auto"/>
                <w:kern w:val="2"/>
                <w:sz w:val="22"/>
                <w:szCs w:val="22"/>
                <w:highlight w:val="none"/>
                <w:lang w:val="en-US" w:eastAsia="zh-CN" w:bidi="ar-SA"/>
              </w:rPr>
              <w:t>7</w:t>
            </w:r>
          </w:p>
        </w:tc>
        <w:tc>
          <w:tcPr>
            <w:tcW w:w="7191" w:type="dxa"/>
            <w:shd w:val="clear" w:color="auto" w:fill="auto"/>
            <w:vAlign w:val="center"/>
          </w:tcPr>
          <w:p w14:paraId="38AF884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最大容量：</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500ml×4</w:t>
            </w:r>
          </w:p>
          <w:p w14:paraId="1E8E5A7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转速精度：</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±10r/min</w:t>
            </w:r>
          </w:p>
          <w:p w14:paraId="1F92146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时间设置范围：</w:t>
            </w:r>
            <w:r>
              <w:rPr>
                <w:rFonts w:hint="default" w:ascii="Arial" w:hAnsi="Arial" w:eastAsia="宋体" w:cs="Arial"/>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1min～99min59s</w:t>
            </w:r>
          </w:p>
        </w:tc>
        <w:tc>
          <w:tcPr>
            <w:tcW w:w="1124" w:type="dxa"/>
            <w:vAlign w:val="center"/>
          </w:tcPr>
          <w:p w14:paraId="78E1DB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r w14:paraId="6374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7690A61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7.8</w:t>
            </w:r>
          </w:p>
        </w:tc>
        <w:tc>
          <w:tcPr>
            <w:tcW w:w="7191" w:type="dxa"/>
            <w:shd w:val="clear" w:color="auto" w:fill="auto"/>
            <w:vAlign w:val="center"/>
          </w:tcPr>
          <w:p w14:paraId="6FD069A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整机噪音：＜65dB（A）</w:t>
            </w:r>
          </w:p>
          <w:p w14:paraId="47F2C4D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电源：AC220V  50Hz  10A</w:t>
            </w:r>
          </w:p>
          <w:p w14:paraId="1340275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整机功率：750W</w:t>
            </w:r>
          </w:p>
        </w:tc>
        <w:tc>
          <w:tcPr>
            <w:tcW w:w="1124" w:type="dxa"/>
            <w:vAlign w:val="center"/>
          </w:tcPr>
          <w:p w14:paraId="7332717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0.5</w:t>
            </w:r>
          </w:p>
        </w:tc>
      </w:tr>
    </w:tbl>
    <w:p w14:paraId="39FF0344">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b/>
          <w:color w:val="auto"/>
          <w:sz w:val="32"/>
          <w:highlight w:val="none"/>
        </w:rPr>
      </w:pPr>
      <w:bookmarkStart w:id="133" w:name="_Toc18366"/>
      <w:r>
        <w:rPr>
          <w:rFonts w:hint="eastAsia" w:ascii="宋体" w:hAnsi="宋体" w:eastAsia="宋体" w:cs="宋体"/>
          <w:b/>
          <w:color w:val="auto"/>
          <w:sz w:val="32"/>
          <w:highlight w:val="none"/>
        </w:rPr>
        <w:br w:type="page"/>
      </w:r>
    </w:p>
    <w:p w14:paraId="00154ACB">
      <w:pPr>
        <w:snapToGrid w:val="0"/>
        <w:spacing w:line="400" w:lineRule="exact"/>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第六部分 评标原则及方法</w:t>
      </w:r>
      <w:bookmarkEnd w:id="133"/>
    </w:p>
    <w:p w14:paraId="6945B449">
      <w:pPr>
        <w:pStyle w:val="9"/>
        <w:adjustRightInd w:val="0"/>
        <w:snapToGrid w:val="0"/>
        <w:spacing w:after="0" w:line="360" w:lineRule="exac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根据《中华人民共和国政府采购法》等相关法规特制定以下评标办法。</w:t>
      </w:r>
    </w:p>
    <w:p w14:paraId="1D062A27">
      <w:pPr>
        <w:spacing w:line="360" w:lineRule="exact"/>
        <w:ind w:firstLine="440" w:firstLineChars="200"/>
        <w:outlineLvl w:val="1"/>
        <w:rPr>
          <w:rFonts w:hint="eastAsia" w:ascii="宋体" w:hAnsi="宋体" w:eastAsia="宋体" w:cs="宋体"/>
          <w:color w:val="auto"/>
          <w:sz w:val="22"/>
          <w:highlight w:val="none"/>
        </w:rPr>
      </w:pPr>
      <w:bookmarkStart w:id="134" w:name="_Toc26401"/>
      <w:r>
        <w:rPr>
          <w:rFonts w:hint="eastAsia" w:ascii="宋体" w:hAnsi="宋体" w:eastAsia="宋体" w:cs="宋体"/>
          <w:color w:val="auto"/>
          <w:sz w:val="22"/>
          <w:highlight w:val="none"/>
        </w:rPr>
        <w:t>一、总  则</w:t>
      </w:r>
      <w:bookmarkEnd w:id="134"/>
    </w:p>
    <w:p w14:paraId="15D0E359">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17EF1236">
      <w:pPr>
        <w:spacing w:line="360" w:lineRule="exact"/>
        <w:ind w:firstLine="440" w:firstLineChars="200"/>
        <w:outlineLvl w:val="1"/>
        <w:rPr>
          <w:rFonts w:hint="eastAsia" w:ascii="宋体" w:hAnsi="宋体" w:eastAsia="宋体" w:cs="宋体"/>
          <w:color w:val="auto"/>
          <w:sz w:val="22"/>
          <w:highlight w:val="none"/>
        </w:rPr>
      </w:pPr>
      <w:bookmarkStart w:id="135" w:name="_Toc11704"/>
      <w:r>
        <w:rPr>
          <w:rFonts w:hint="eastAsia" w:ascii="宋体" w:hAnsi="宋体" w:eastAsia="宋体" w:cs="宋体"/>
          <w:color w:val="auto"/>
          <w:sz w:val="22"/>
          <w:highlight w:val="none"/>
        </w:rPr>
        <w:t>二、评标组织</w:t>
      </w:r>
      <w:bookmarkEnd w:id="135"/>
    </w:p>
    <w:p w14:paraId="2D8F4A39">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评标工作由采购人依法组建的评审小组负责，评标全过程由有关部门指导监督。</w:t>
      </w:r>
    </w:p>
    <w:p w14:paraId="67E2A3F3">
      <w:pPr>
        <w:spacing w:line="360" w:lineRule="exact"/>
        <w:ind w:firstLine="440" w:firstLineChars="200"/>
        <w:outlineLvl w:val="1"/>
        <w:rPr>
          <w:rFonts w:hint="eastAsia" w:ascii="宋体" w:hAnsi="宋体" w:eastAsia="宋体" w:cs="宋体"/>
          <w:color w:val="auto"/>
          <w:sz w:val="22"/>
          <w:highlight w:val="none"/>
        </w:rPr>
      </w:pPr>
      <w:bookmarkStart w:id="136" w:name="_Toc22884"/>
      <w:r>
        <w:rPr>
          <w:rFonts w:hint="eastAsia" w:ascii="宋体" w:hAnsi="宋体" w:eastAsia="宋体" w:cs="宋体"/>
          <w:color w:val="auto"/>
          <w:sz w:val="22"/>
          <w:highlight w:val="none"/>
        </w:rPr>
        <w:t>三、评标程序</w:t>
      </w:r>
      <w:bookmarkEnd w:id="136"/>
    </w:p>
    <w:p w14:paraId="4144B6BA">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5A6A8B25">
      <w:pPr>
        <w:spacing w:line="360" w:lineRule="exact"/>
        <w:ind w:firstLine="440" w:firstLineChars="200"/>
        <w:outlineLvl w:val="1"/>
        <w:rPr>
          <w:rFonts w:hint="eastAsia" w:ascii="宋体" w:hAnsi="宋体" w:eastAsia="宋体" w:cs="宋体"/>
          <w:color w:val="auto"/>
          <w:sz w:val="22"/>
          <w:highlight w:val="none"/>
        </w:rPr>
      </w:pPr>
      <w:bookmarkStart w:id="137" w:name="_Toc20219"/>
      <w:r>
        <w:rPr>
          <w:rFonts w:hint="eastAsia" w:ascii="宋体" w:hAnsi="宋体" w:eastAsia="宋体" w:cs="宋体"/>
          <w:color w:val="auto"/>
          <w:sz w:val="22"/>
          <w:highlight w:val="none"/>
        </w:rPr>
        <w:t>四、评标办法</w:t>
      </w:r>
      <w:bookmarkEnd w:id="137"/>
    </w:p>
    <w:p w14:paraId="33316F45">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14:paraId="300097E9">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评分细则</w:t>
      </w:r>
    </w:p>
    <w:p w14:paraId="0F2CB4F2">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1.商务和技术分的评定</w:t>
      </w:r>
    </w:p>
    <w:p w14:paraId="513E5192">
      <w:pPr>
        <w:pStyle w:val="61"/>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2"/>
        <w:tblW w:w="93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471"/>
        <w:gridCol w:w="5944"/>
        <w:gridCol w:w="441"/>
        <w:gridCol w:w="894"/>
      </w:tblGrid>
      <w:tr w14:paraId="20F9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6D2E4C58">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471" w:type="dxa"/>
            <w:tcBorders>
              <w:top w:val="single" w:color="auto" w:sz="6" w:space="0"/>
              <w:left w:val="single" w:color="auto" w:sz="6" w:space="0"/>
              <w:bottom w:val="single" w:color="auto" w:sz="6" w:space="0"/>
              <w:right w:val="single" w:color="auto" w:sz="4" w:space="0"/>
            </w:tcBorders>
            <w:noWrap/>
            <w:vAlign w:val="center"/>
          </w:tcPr>
          <w:p w14:paraId="49DCCA34">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评审因素</w:t>
            </w:r>
          </w:p>
        </w:tc>
        <w:tc>
          <w:tcPr>
            <w:tcW w:w="5944" w:type="dxa"/>
            <w:tcBorders>
              <w:top w:val="single" w:color="auto" w:sz="6" w:space="0"/>
              <w:left w:val="single" w:color="auto" w:sz="4" w:space="0"/>
              <w:bottom w:val="single" w:color="auto" w:sz="6" w:space="0"/>
              <w:right w:val="single" w:color="auto" w:sz="6" w:space="0"/>
            </w:tcBorders>
            <w:noWrap/>
            <w:vAlign w:val="center"/>
          </w:tcPr>
          <w:p w14:paraId="56E6A480">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评分细则</w:t>
            </w:r>
          </w:p>
        </w:tc>
        <w:tc>
          <w:tcPr>
            <w:tcW w:w="441" w:type="dxa"/>
            <w:tcBorders>
              <w:top w:val="single" w:color="auto" w:sz="6" w:space="0"/>
              <w:left w:val="single" w:color="auto" w:sz="6" w:space="0"/>
              <w:bottom w:val="single" w:color="auto" w:sz="6" w:space="0"/>
              <w:right w:val="single" w:color="auto" w:sz="6" w:space="0"/>
            </w:tcBorders>
            <w:noWrap/>
            <w:vAlign w:val="center"/>
          </w:tcPr>
          <w:p w14:paraId="276512D6">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分值</w:t>
            </w:r>
          </w:p>
        </w:tc>
        <w:tc>
          <w:tcPr>
            <w:tcW w:w="894" w:type="dxa"/>
            <w:tcBorders>
              <w:top w:val="single" w:color="auto" w:sz="6" w:space="0"/>
              <w:left w:val="single" w:color="auto" w:sz="6" w:space="0"/>
              <w:bottom w:val="single" w:color="auto" w:sz="6" w:space="0"/>
              <w:right w:val="single" w:color="auto" w:sz="6" w:space="0"/>
            </w:tcBorders>
            <w:noWrap/>
            <w:vAlign w:val="center"/>
          </w:tcPr>
          <w:p w14:paraId="0F0F8E21">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16C9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7C0519FD">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471" w:type="dxa"/>
            <w:tcBorders>
              <w:top w:val="single" w:color="auto" w:sz="6" w:space="0"/>
              <w:left w:val="single" w:color="auto" w:sz="6" w:space="0"/>
              <w:bottom w:val="single" w:color="auto" w:sz="6" w:space="0"/>
              <w:right w:val="single" w:color="auto" w:sz="4" w:space="0"/>
            </w:tcBorders>
            <w:noWrap/>
            <w:vAlign w:val="center"/>
          </w:tcPr>
          <w:p w14:paraId="58B7D0EB">
            <w:pPr>
              <w:spacing w:line="360" w:lineRule="exact"/>
              <w:jc w:val="center"/>
              <w:rPr>
                <w:rFonts w:ascii="宋体" w:hAnsi="宋体" w:cs="宋体"/>
                <w:color w:val="auto"/>
                <w:sz w:val="22"/>
                <w:highlight w:val="none"/>
              </w:rPr>
            </w:pPr>
            <w:r>
              <w:rPr>
                <w:rFonts w:hint="eastAsia" w:ascii="宋体" w:hAnsi="宋体" w:cs="宋体"/>
                <w:color w:val="auto"/>
                <w:kern w:val="0"/>
                <w:sz w:val="22"/>
                <w:highlight w:val="none"/>
              </w:rPr>
              <w:t>政策功能</w:t>
            </w:r>
          </w:p>
        </w:tc>
        <w:tc>
          <w:tcPr>
            <w:tcW w:w="5944" w:type="dxa"/>
            <w:tcBorders>
              <w:top w:val="single" w:color="auto" w:sz="6" w:space="0"/>
              <w:left w:val="single" w:color="auto" w:sz="4" w:space="0"/>
              <w:bottom w:val="single" w:color="auto" w:sz="6" w:space="0"/>
              <w:right w:val="single" w:color="auto" w:sz="6" w:space="0"/>
            </w:tcBorders>
            <w:noWrap/>
            <w:vAlign w:val="center"/>
          </w:tcPr>
          <w:p w14:paraId="0E7C8478">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投标产品属于政府采购品目清单范围且提供国家确定的认证机构出具的处于有效期之内的节能产品认证证书或环境标志产品认证证书，每项产品得0.5分，最高得1分（投标产品属于节能产品政府采购品目清单中强制采购的除外）。</w:t>
            </w:r>
          </w:p>
        </w:tc>
        <w:tc>
          <w:tcPr>
            <w:tcW w:w="441" w:type="dxa"/>
            <w:tcBorders>
              <w:top w:val="single" w:color="auto" w:sz="6" w:space="0"/>
              <w:left w:val="single" w:color="auto" w:sz="6" w:space="0"/>
              <w:bottom w:val="single" w:color="auto" w:sz="6" w:space="0"/>
              <w:right w:val="single" w:color="auto" w:sz="6" w:space="0"/>
            </w:tcBorders>
            <w:noWrap/>
            <w:vAlign w:val="center"/>
          </w:tcPr>
          <w:p w14:paraId="5280E370">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894" w:type="dxa"/>
            <w:tcBorders>
              <w:top w:val="single" w:color="auto" w:sz="6" w:space="0"/>
              <w:left w:val="single" w:color="auto" w:sz="6" w:space="0"/>
              <w:bottom w:val="single" w:color="auto" w:sz="6" w:space="0"/>
              <w:right w:val="single" w:color="auto" w:sz="6" w:space="0"/>
            </w:tcBorders>
            <w:noWrap/>
            <w:vAlign w:val="center"/>
          </w:tcPr>
          <w:p w14:paraId="1C03FE2D">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1ED32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5B52A358">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1471" w:type="dxa"/>
            <w:tcBorders>
              <w:top w:val="single" w:color="auto" w:sz="6" w:space="0"/>
              <w:left w:val="single" w:color="auto" w:sz="6" w:space="0"/>
              <w:bottom w:val="single" w:color="auto" w:sz="6" w:space="0"/>
              <w:right w:val="single" w:color="auto" w:sz="4" w:space="0"/>
            </w:tcBorders>
            <w:noWrap/>
            <w:vAlign w:val="center"/>
          </w:tcPr>
          <w:p w14:paraId="626AF651">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业绩</w:t>
            </w:r>
          </w:p>
        </w:tc>
        <w:tc>
          <w:tcPr>
            <w:tcW w:w="5944" w:type="dxa"/>
            <w:tcBorders>
              <w:top w:val="single" w:color="auto" w:sz="6" w:space="0"/>
              <w:left w:val="single" w:color="auto" w:sz="4" w:space="0"/>
              <w:bottom w:val="single" w:color="auto" w:sz="6" w:space="0"/>
              <w:right w:val="single" w:color="auto" w:sz="6" w:space="0"/>
            </w:tcBorders>
            <w:noWrap/>
            <w:vAlign w:val="center"/>
          </w:tcPr>
          <w:p w14:paraId="0BD55705">
            <w:pPr>
              <w:spacing w:line="360" w:lineRule="exact"/>
              <w:ind w:firstLine="220" w:firstLineChars="100"/>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提供</w:t>
            </w:r>
            <w:r>
              <w:rPr>
                <w:rFonts w:hint="eastAsia" w:ascii="宋体" w:hAnsi="宋体" w:cs="宋体"/>
                <w:color w:val="auto"/>
                <w:kern w:val="0"/>
                <w:sz w:val="22"/>
                <w:highlight w:val="none"/>
              </w:rPr>
              <w:t>自202</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年01月01日以来（以合同签订时间为准）与本次相同型号投标产品（</w:t>
            </w:r>
            <w:r>
              <w:rPr>
                <w:rFonts w:hint="eastAsia" w:ascii="宋体" w:hAnsi="宋体" w:cs="宋体"/>
                <w:color w:val="auto"/>
                <w:kern w:val="0"/>
                <w:sz w:val="22"/>
                <w:highlight w:val="none"/>
                <w:lang w:val="en-US" w:eastAsia="zh-CN"/>
              </w:rPr>
              <w:t>至少包括本项目核心产品</w:t>
            </w:r>
            <w:r>
              <w:rPr>
                <w:rFonts w:hint="eastAsia" w:ascii="宋体" w:hAnsi="宋体" w:cs="宋体"/>
                <w:color w:val="auto"/>
                <w:kern w:val="0"/>
                <w:sz w:val="22"/>
                <w:highlight w:val="none"/>
              </w:rPr>
              <w:t>）业绩的，每提供一份得1分，最多得</w:t>
            </w:r>
            <w:r>
              <w:rPr>
                <w:rFonts w:hint="eastAsia" w:ascii="宋体" w:hAnsi="宋体" w:cs="宋体"/>
                <w:color w:val="auto"/>
                <w:kern w:val="0"/>
                <w:sz w:val="22"/>
                <w:highlight w:val="none"/>
                <w:lang w:val="en-US" w:eastAsia="zh-CN"/>
              </w:rPr>
              <w:t>2</w:t>
            </w:r>
            <w:r>
              <w:rPr>
                <w:rFonts w:hint="eastAsia" w:ascii="宋体" w:hAnsi="宋体" w:cs="宋体"/>
                <w:color w:val="auto"/>
                <w:kern w:val="0"/>
                <w:sz w:val="22"/>
                <w:highlight w:val="none"/>
              </w:rPr>
              <w:t>分。</w:t>
            </w:r>
          </w:p>
          <w:p w14:paraId="15643402">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注：投标文件提供业绩合同扫描件，如合同中无法体现项目内容、合同签订时间等关键评审内容的，须另附业主（指合同甲方或需方）说明材料扫描件。</w:t>
            </w:r>
          </w:p>
          <w:p w14:paraId="188565E3">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对省级以上主管部门认定的首台套产品，自纳入《省推广应用指导目录》起三年内参加政府采购活动，视同已具备相应销售业绩，业绩分为满分。</w:t>
            </w:r>
          </w:p>
        </w:tc>
        <w:tc>
          <w:tcPr>
            <w:tcW w:w="441" w:type="dxa"/>
            <w:tcBorders>
              <w:top w:val="single" w:color="auto" w:sz="6" w:space="0"/>
              <w:left w:val="single" w:color="auto" w:sz="6" w:space="0"/>
              <w:bottom w:val="single" w:color="auto" w:sz="6" w:space="0"/>
              <w:right w:val="single" w:color="auto" w:sz="6" w:space="0"/>
            </w:tcBorders>
            <w:noWrap/>
            <w:vAlign w:val="center"/>
          </w:tcPr>
          <w:p w14:paraId="212E1802">
            <w:pPr>
              <w:autoSpaceDE w:val="0"/>
              <w:autoSpaceDN w:val="0"/>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2</w:t>
            </w:r>
          </w:p>
        </w:tc>
        <w:tc>
          <w:tcPr>
            <w:tcW w:w="894" w:type="dxa"/>
            <w:tcBorders>
              <w:top w:val="single" w:color="auto" w:sz="6" w:space="0"/>
              <w:left w:val="single" w:color="auto" w:sz="6" w:space="0"/>
              <w:bottom w:val="single" w:color="auto" w:sz="6" w:space="0"/>
              <w:right w:val="single" w:color="auto" w:sz="6" w:space="0"/>
            </w:tcBorders>
            <w:noWrap/>
            <w:vAlign w:val="center"/>
          </w:tcPr>
          <w:p w14:paraId="41F14D64">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1AFC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7A8FB695">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1471" w:type="dxa"/>
            <w:tcBorders>
              <w:top w:val="single" w:color="auto" w:sz="6" w:space="0"/>
              <w:left w:val="single" w:color="auto" w:sz="6" w:space="0"/>
              <w:bottom w:val="single" w:color="auto" w:sz="6" w:space="0"/>
              <w:right w:val="single" w:color="auto" w:sz="4" w:space="0"/>
            </w:tcBorders>
            <w:noWrap/>
            <w:vAlign w:val="center"/>
          </w:tcPr>
          <w:p w14:paraId="4790AB84">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质保期</w:t>
            </w:r>
          </w:p>
        </w:tc>
        <w:tc>
          <w:tcPr>
            <w:tcW w:w="5944" w:type="dxa"/>
            <w:tcBorders>
              <w:top w:val="single" w:color="auto" w:sz="6" w:space="0"/>
              <w:left w:val="single" w:color="auto" w:sz="4" w:space="0"/>
              <w:bottom w:val="single" w:color="auto" w:sz="6" w:space="0"/>
              <w:right w:val="single" w:color="auto" w:sz="6" w:space="0"/>
            </w:tcBorders>
            <w:noWrap/>
            <w:vAlign w:val="center"/>
          </w:tcPr>
          <w:p w14:paraId="3C6D4693">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所有产品质保期在招标文件要求的基础上每延长1年得1分，最高得2分。</w:t>
            </w:r>
          </w:p>
          <w:p w14:paraId="52F08D6D">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注：</w:t>
            </w:r>
            <w:r>
              <w:rPr>
                <w:rFonts w:hint="eastAsia" w:ascii="宋体" w:hAnsi="宋体" w:cs="宋体"/>
                <w:color w:val="auto"/>
                <w:kern w:val="0"/>
                <w:sz w:val="22"/>
                <w:highlight w:val="none"/>
              </w:rPr>
              <w:t>以上以投标人提供的承诺为评审依据（格式自拟）。</w:t>
            </w:r>
          </w:p>
        </w:tc>
        <w:tc>
          <w:tcPr>
            <w:tcW w:w="441" w:type="dxa"/>
            <w:tcBorders>
              <w:top w:val="single" w:color="auto" w:sz="6" w:space="0"/>
              <w:left w:val="single" w:color="auto" w:sz="6" w:space="0"/>
              <w:bottom w:val="single" w:color="auto" w:sz="6" w:space="0"/>
              <w:right w:val="single" w:color="auto" w:sz="6" w:space="0"/>
            </w:tcBorders>
            <w:noWrap/>
            <w:vAlign w:val="center"/>
          </w:tcPr>
          <w:p w14:paraId="52685022">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894" w:type="dxa"/>
            <w:tcBorders>
              <w:top w:val="single" w:color="auto" w:sz="6" w:space="0"/>
              <w:left w:val="single" w:color="auto" w:sz="6" w:space="0"/>
              <w:bottom w:val="single" w:color="auto" w:sz="6" w:space="0"/>
              <w:right w:val="single" w:color="auto" w:sz="6" w:space="0"/>
            </w:tcBorders>
            <w:noWrap/>
            <w:vAlign w:val="center"/>
          </w:tcPr>
          <w:p w14:paraId="07C8C8F2">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73983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noWrap/>
            <w:vAlign w:val="center"/>
          </w:tcPr>
          <w:p w14:paraId="2DC4DEA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1471" w:type="dxa"/>
            <w:tcBorders>
              <w:top w:val="single" w:color="auto" w:sz="6" w:space="0"/>
              <w:left w:val="single" w:color="auto" w:sz="6" w:space="0"/>
              <w:right w:val="single" w:color="auto" w:sz="4" w:space="0"/>
            </w:tcBorders>
            <w:noWrap/>
            <w:vAlign w:val="center"/>
          </w:tcPr>
          <w:p w14:paraId="79E40AA8">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技术要求响应程度</w:t>
            </w:r>
          </w:p>
        </w:tc>
        <w:tc>
          <w:tcPr>
            <w:tcW w:w="5944" w:type="dxa"/>
            <w:tcBorders>
              <w:top w:val="single" w:color="auto" w:sz="6" w:space="0"/>
              <w:left w:val="single" w:color="auto" w:sz="4" w:space="0"/>
              <w:bottom w:val="single" w:color="auto" w:sz="6" w:space="0"/>
              <w:right w:val="single" w:color="auto" w:sz="6" w:space="0"/>
            </w:tcBorders>
            <w:noWrap/>
            <w:vAlign w:val="center"/>
          </w:tcPr>
          <w:p w14:paraId="280116FF">
            <w:pPr>
              <w:snapToGri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对应于</w:t>
            </w:r>
            <w:r>
              <w:rPr>
                <w:rFonts w:hint="eastAsia" w:ascii="宋体" w:hAnsi="宋体" w:cs="宋体"/>
                <w:color w:val="auto"/>
                <w:kern w:val="0"/>
                <w:sz w:val="22"/>
                <w:highlight w:val="none"/>
              </w:rPr>
              <w:t>招标文件</w:t>
            </w:r>
            <w:r>
              <w:rPr>
                <w:rFonts w:hint="eastAsia" w:ascii="宋体" w:hAnsi="宋体" w:cs="宋体"/>
                <w:color w:val="auto"/>
                <w:kern w:val="0"/>
                <w:sz w:val="22"/>
                <w:highlight w:val="none"/>
                <w:lang w:val="zh-CN"/>
              </w:rPr>
              <w:t>《第五部分采购需求》-技术要求-货物技术参数要求响应情况进行打分，每项要求条款分值见货物技术参数要求。</w:t>
            </w:r>
          </w:p>
          <w:p w14:paraId="5AFE86FC">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lang w:val="zh-CN"/>
              </w:rPr>
              <w:t>完全满足该条款的所有要求则获得该条款对应的分值，如果不满足（低于技术要求，负偏离）该条款</w:t>
            </w:r>
            <w:r>
              <w:rPr>
                <w:rFonts w:hint="eastAsia" w:ascii="宋体" w:hAnsi="宋体" w:cs="宋体"/>
                <w:color w:val="auto"/>
                <w:kern w:val="0"/>
                <w:sz w:val="22"/>
                <w:highlight w:val="none"/>
              </w:rPr>
              <w:t>的</w:t>
            </w:r>
            <w:r>
              <w:rPr>
                <w:rFonts w:hint="eastAsia" w:ascii="宋体" w:hAnsi="宋体" w:cs="宋体"/>
                <w:color w:val="auto"/>
                <w:kern w:val="0"/>
                <w:sz w:val="22"/>
                <w:highlight w:val="none"/>
                <w:lang w:val="zh-CN"/>
              </w:rPr>
              <w:t>所有要求则该条款不得分。</w:t>
            </w:r>
            <w:r>
              <w:rPr>
                <w:rFonts w:hint="eastAsia" w:ascii="宋体" w:hAnsi="宋体" w:cs="宋体"/>
                <w:color w:val="auto"/>
                <w:kern w:val="0"/>
                <w:sz w:val="22"/>
                <w:highlight w:val="none"/>
              </w:rPr>
              <w:t>本项最高得</w:t>
            </w:r>
            <w:r>
              <w:rPr>
                <w:rFonts w:hint="eastAsia" w:ascii="宋体" w:hAnsi="宋体" w:cs="宋体"/>
                <w:color w:val="auto"/>
                <w:kern w:val="0"/>
                <w:sz w:val="22"/>
                <w:highlight w:val="none"/>
                <w:lang w:val="en-US" w:eastAsia="zh-CN"/>
              </w:rPr>
              <w:t>50</w:t>
            </w:r>
            <w:r>
              <w:rPr>
                <w:rFonts w:hint="eastAsia" w:ascii="宋体" w:hAnsi="宋体" w:cs="宋体"/>
                <w:color w:val="auto"/>
                <w:kern w:val="0"/>
                <w:sz w:val="22"/>
                <w:highlight w:val="none"/>
              </w:rPr>
              <w:t>分。</w:t>
            </w:r>
          </w:p>
        </w:tc>
        <w:tc>
          <w:tcPr>
            <w:tcW w:w="441" w:type="dxa"/>
            <w:tcBorders>
              <w:top w:val="single" w:color="auto" w:sz="6" w:space="0"/>
              <w:left w:val="single" w:color="auto" w:sz="6" w:space="0"/>
              <w:bottom w:val="single" w:color="auto" w:sz="6" w:space="0"/>
              <w:right w:val="single" w:color="auto" w:sz="6" w:space="0"/>
            </w:tcBorders>
            <w:noWrap/>
            <w:vAlign w:val="center"/>
          </w:tcPr>
          <w:p w14:paraId="6411AFE8">
            <w:pPr>
              <w:widowControl/>
              <w:spacing w:line="360" w:lineRule="exact"/>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50</w:t>
            </w:r>
          </w:p>
        </w:tc>
        <w:tc>
          <w:tcPr>
            <w:tcW w:w="894" w:type="dxa"/>
            <w:tcBorders>
              <w:top w:val="single" w:color="auto" w:sz="6" w:space="0"/>
              <w:left w:val="single" w:color="auto" w:sz="6" w:space="0"/>
              <w:bottom w:val="single" w:color="auto" w:sz="6" w:space="0"/>
              <w:right w:val="single" w:color="auto" w:sz="6" w:space="0"/>
            </w:tcBorders>
            <w:noWrap/>
            <w:vAlign w:val="center"/>
          </w:tcPr>
          <w:p w14:paraId="109B2D4B">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1074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shd w:val="clear" w:color="auto" w:fill="auto"/>
            <w:noWrap/>
            <w:vAlign w:val="center"/>
          </w:tcPr>
          <w:p w14:paraId="663C57F2">
            <w:pPr>
              <w:spacing w:line="360" w:lineRule="exact"/>
              <w:jc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sz w:val="22"/>
                <w:highlight w:val="none"/>
              </w:rPr>
              <w:t>5</w:t>
            </w:r>
          </w:p>
        </w:tc>
        <w:tc>
          <w:tcPr>
            <w:tcW w:w="1471" w:type="dxa"/>
            <w:tcBorders>
              <w:top w:val="single" w:color="auto" w:sz="6" w:space="0"/>
              <w:left w:val="single" w:color="auto" w:sz="6" w:space="0"/>
              <w:right w:val="single" w:color="auto" w:sz="4" w:space="0"/>
            </w:tcBorders>
            <w:noWrap/>
            <w:vAlign w:val="center"/>
          </w:tcPr>
          <w:p w14:paraId="3C86991E">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投标产品技术路线（原理、核心）</w:t>
            </w:r>
          </w:p>
        </w:tc>
        <w:tc>
          <w:tcPr>
            <w:tcW w:w="594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0A7DE9A8">
            <w:pPr>
              <w:snapToGri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包括产品背后的技术理念、核心原理以及技术实现路径等。（评分范围：3；2；1；0）</w:t>
            </w:r>
          </w:p>
        </w:tc>
        <w:tc>
          <w:tcPr>
            <w:tcW w:w="441" w:type="dxa"/>
            <w:tcBorders>
              <w:top w:val="single" w:color="auto" w:sz="6" w:space="0"/>
              <w:left w:val="single" w:color="auto" w:sz="6" w:space="0"/>
              <w:bottom w:val="single" w:color="auto" w:sz="6" w:space="0"/>
              <w:right w:val="single" w:color="auto" w:sz="6" w:space="0"/>
            </w:tcBorders>
            <w:noWrap/>
            <w:vAlign w:val="center"/>
          </w:tcPr>
          <w:p w14:paraId="646D966A">
            <w:pPr>
              <w:widowControl/>
              <w:spacing w:line="36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10124A">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10419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1DE14D">
            <w:pPr>
              <w:spacing w:line="36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6</w:t>
            </w:r>
          </w:p>
        </w:tc>
        <w:tc>
          <w:tcPr>
            <w:tcW w:w="147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9DDF2B4">
            <w:pPr>
              <w:spacing w:line="360" w:lineRule="exact"/>
              <w:jc w:val="center"/>
              <w:rPr>
                <w:rFonts w:ascii="宋体" w:hAnsi="宋体" w:cs="宋体"/>
                <w:color w:val="auto"/>
                <w:sz w:val="22"/>
                <w:highlight w:val="none"/>
              </w:rPr>
            </w:pPr>
            <w:r>
              <w:rPr>
                <w:rFonts w:hint="eastAsia" w:ascii="宋体" w:hAnsi="宋体" w:cs="宋体"/>
                <w:color w:val="auto"/>
                <w:kern w:val="0"/>
                <w:sz w:val="22"/>
                <w:highlight w:val="none"/>
              </w:rPr>
              <w:t>安装调试方案</w:t>
            </w:r>
          </w:p>
        </w:tc>
        <w:tc>
          <w:tcPr>
            <w:tcW w:w="594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52260043">
            <w:pPr>
              <w:snapToGri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方案包括对场地环境的了解、人员的安排、时间进度的规划，对设备的调试进度安排，调试的步骤、措施，问题的解决方案等打分（评分范围：3；2；1；0）</w:t>
            </w:r>
          </w:p>
        </w:tc>
        <w:tc>
          <w:tcPr>
            <w:tcW w:w="4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575536">
            <w:pPr>
              <w:autoSpaceDE w:val="0"/>
              <w:autoSpaceDN w:val="0"/>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1121AD">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6033C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shd w:val="clear" w:color="auto" w:fill="auto"/>
            <w:noWrap/>
            <w:vAlign w:val="center"/>
          </w:tcPr>
          <w:p w14:paraId="6BAE6F9C">
            <w:pPr>
              <w:spacing w:line="36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7</w:t>
            </w:r>
          </w:p>
        </w:tc>
        <w:tc>
          <w:tcPr>
            <w:tcW w:w="1471" w:type="dxa"/>
            <w:tcBorders>
              <w:top w:val="single" w:color="auto" w:sz="6" w:space="0"/>
              <w:left w:val="single" w:color="auto" w:sz="6" w:space="0"/>
              <w:right w:val="single" w:color="auto" w:sz="4" w:space="0"/>
            </w:tcBorders>
            <w:shd w:val="clear" w:color="auto" w:fill="auto"/>
            <w:noWrap/>
            <w:vAlign w:val="center"/>
          </w:tcPr>
          <w:p w14:paraId="502A4C2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培训方案</w:t>
            </w:r>
          </w:p>
        </w:tc>
        <w:tc>
          <w:tcPr>
            <w:tcW w:w="594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1DEF5EE9">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方案包括培训的科室对象、课时内容安排、师资力量安排等打分</w:t>
            </w:r>
            <w:r>
              <w:rPr>
                <w:rFonts w:hint="eastAsia" w:ascii="宋体" w:hAnsi="宋体" w:cs="宋体"/>
                <w:color w:val="auto"/>
                <w:kern w:val="0"/>
                <w:sz w:val="22"/>
                <w:highlight w:val="none"/>
                <w:lang w:val="zh-CN"/>
              </w:rPr>
              <w:t>（评分范围：</w:t>
            </w:r>
            <w:r>
              <w:rPr>
                <w:rFonts w:hint="eastAsia" w:ascii="宋体" w:hAnsi="宋体" w:cs="宋体"/>
                <w:color w:val="auto"/>
                <w:kern w:val="0"/>
                <w:sz w:val="22"/>
                <w:highlight w:val="none"/>
              </w:rPr>
              <w:t>3；2；1；0</w:t>
            </w:r>
            <w:r>
              <w:rPr>
                <w:rFonts w:hint="eastAsia" w:ascii="宋体" w:hAnsi="宋体" w:cs="宋体"/>
                <w:color w:val="auto"/>
                <w:kern w:val="0"/>
                <w:sz w:val="22"/>
                <w:highlight w:val="none"/>
                <w:lang w:val="zh-CN"/>
              </w:rPr>
              <w:t>）</w:t>
            </w:r>
          </w:p>
        </w:tc>
        <w:tc>
          <w:tcPr>
            <w:tcW w:w="4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B9D034">
            <w:pPr>
              <w:autoSpaceDE w:val="0"/>
              <w:autoSpaceDN w:val="0"/>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5D577D">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07BD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vMerge w:val="restart"/>
            <w:tcBorders>
              <w:left w:val="single" w:color="auto" w:sz="6" w:space="0"/>
              <w:right w:val="single" w:color="auto" w:sz="6" w:space="0"/>
            </w:tcBorders>
            <w:shd w:val="clear" w:color="auto" w:fill="auto"/>
            <w:noWrap/>
            <w:vAlign w:val="center"/>
          </w:tcPr>
          <w:p w14:paraId="09C20B31">
            <w:pPr>
              <w:spacing w:line="36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8</w:t>
            </w:r>
          </w:p>
        </w:tc>
        <w:tc>
          <w:tcPr>
            <w:tcW w:w="1471" w:type="dxa"/>
            <w:vMerge w:val="restart"/>
            <w:tcBorders>
              <w:left w:val="single" w:color="auto" w:sz="6" w:space="0"/>
              <w:right w:val="single" w:color="auto" w:sz="4" w:space="0"/>
            </w:tcBorders>
            <w:shd w:val="clear" w:color="auto" w:fill="auto"/>
            <w:noWrap/>
            <w:vAlign w:val="center"/>
          </w:tcPr>
          <w:p w14:paraId="7CA2C5D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售后服务方案</w:t>
            </w:r>
          </w:p>
        </w:tc>
        <w:tc>
          <w:tcPr>
            <w:tcW w:w="594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2BDD8BA1">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方案包括对售后服务体系，技术支持、服务措施、故障解决方案、应急措施等打分（评分范围：3；2；1；0）</w:t>
            </w:r>
          </w:p>
        </w:tc>
        <w:tc>
          <w:tcPr>
            <w:tcW w:w="4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625F65">
            <w:pPr>
              <w:autoSpaceDE w:val="0"/>
              <w:autoSpaceDN w:val="0"/>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A0E739">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74D70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vMerge w:val="continue"/>
            <w:tcBorders>
              <w:left w:val="single" w:color="auto" w:sz="6" w:space="0"/>
              <w:right w:val="single" w:color="auto" w:sz="6" w:space="0"/>
            </w:tcBorders>
            <w:noWrap/>
            <w:vAlign w:val="center"/>
          </w:tcPr>
          <w:p w14:paraId="5154FFED">
            <w:pPr>
              <w:spacing w:line="360" w:lineRule="exact"/>
              <w:jc w:val="center"/>
              <w:rPr>
                <w:rFonts w:ascii="宋体" w:hAnsi="宋体" w:cs="宋体"/>
                <w:color w:val="auto"/>
                <w:sz w:val="22"/>
                <w:highlight w:val="none"/>
              </w:rPr>
            </w:pPr>
          </w:p>
        </w:tc>
        <w:tc>
          <w:tcPr>
            <w:tcW w:w="1471" w:type="dxa"/>
            <w:vMerge w:val="continue"/>
            <w:tcBorders>
              <w:left w:val="single" w:color="auto" w:sz="6" w:space="0"/>
              <w:right w:val="single" w:color="auto" w:sz="4" w:space="0"/>
            </w:tcBorders>
            <w:shd w:val="clear" w:color="auto" w:fill="auto"/>
            <w:noWrap/>
            <w:vAlign w:val="center"/>
          </w:tcPr>
          <w:p w14:paraId="07BA57D3">
            <w:pPr>
              <w:spacing w:line="360" w:lineRule="exact"/>
              <w:jc w:val="center"/>
              <w:rPr>
                <w:rFonts w:ascii="宋体" w:hAnsi="宋体" w:cs="宋体"/>
                <w:color w:val="auto"/>
                <w:kern w:val="0"/>
                <w:sz w:val="22"/>
                <w:highlight w:val="none"/>
              </w:rPr>
            </w:pPr>
          </w:p>
        </w:tc>
        <w:tc>
          <w:tcPr>
            <w:tcW w:w="594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57649934">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随机标准附件、备品备件、专用检修工具等准备和保障措施及所需选配件、维修配件、易耗件、年度运行维护费用购买折扣：措施充分、折扣力度大且合理</w:t>
            </w:r>
            <w:r>
              <w:rPr>
                <w:rFonts w:hint="eastAsia" w:ascii="宋体" w:hAnsi="宋体" w:cs="宋体"/>
                <w:color w:val="auto"/>
                <w:kern w:val="0"/>
                <w:sz w:val="22"/>
                <w:highlight w:val="none"/>
                <w:lang w:val="zh-CN"/>
              </w:rPr>
              <w:t>（评分范围：</w:t>
            </w:r>
            <w:r>
              <w:rPr>
                <w:rFonts w:hint="eastAsia" w:ascii="宋体" w:hAnsi="宋体" w:cs="宋体"/>
                <w:color w:val="auto"/>
                <w:kern w:val="0"/>
                <w:sz w:val="22"/>
                <w:highlight w:val="none"/>
              </w:rPr>
              <w:t>3；2；1；0</w:t>
            </w:r>
            <w:r>
              <w:rPr>
                <w:rFonts w:hint="eastAsia" w:ascii="宋体" w:hAnsi="宋体" w:cs="宋体"/>
                <w:color w:val="auto"/>
                <w:kern w:val="0"/>
                <w:sz w:val="22"/>
                <w:highlight w:val="none"/>
                <w:lang w:val="zh-CN"/>
              </w:rPr>
              <w:t>）</w:t>
            </w:r>
          </w:p>
        </w:tc>
        <w:tc>
          <w:tcPr>
            <w:tcW w:w="4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D37164">
            <w:pPr>
              <w:autoSpaceDE w:val="0"/>
              <w:autoSpaceDN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5CD82E5">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bl>
    <w:p w14:paraId="5EECDAF1">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2.报价评分（30分）：</w:t>
      </w:r>
    </w:p>
    <w:p w14:paraId="22265F0B">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2.1资格及符合性审查通过的有效投标人进入商务报价评分。</w:t>
      </w:r>
    </w:p>
    <w:p w14:paraId="0563E453">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报价评分采用低价优先法计算，即满足招标文件要求且评审价格最低的为评标基准价，其价格分为满分。其他投标人的报价分按照下列公式计算：</w:t>
      </w:r>
    </w:p>
    <w:p w14:paraId="4C9C722C">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报价分=（评标基准价/评审价格）×30。</w:t>
      </w:r>
    </w:p>
    <w:p w14:paraId="34CF79ED">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注：以上四舍五入后保留小数2位</w:t>
      </w:r>
    </w:p>
    <w:p w14:paraId="6F0FFA12">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25BA120B">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bCs/>
          <w:color w:val="auto"/>
          <w:sz w:val="22"/>
          <w:highlight w:val="none"/>
        </w:rPr>
        <w:t>2.2</w:t>
      </w:r>
      <w:r>
        <w:rPr>
          <w:rFonts w:hint="eastAsia" w:ascii="宋体" w:hAnsi="宋体" w:eastAsia="宋体" w:cs="宋体"/>
          <w:color w:val="auto"/>
          <w:sz w:val="22"/>
          <w:highlight w:val="none"/>
        </w:rPr>
        <w:t>投标人的综合评分为“商务和技术分”和“报价分”的总计。</w:t>
      </w:r>
    </w:p>
    <w:p w14:paraId="7FF9940C">
      <w:pPr>
        <w:spacing w:line="360" w:lineRule="exact"/>
        <w:rPr>
          <w:rFonts w:hint="eastAsia" w:ascii="宋体" w:hAnsi="宋体" w:eastAsia="宋体" w:cs="宋体"/>
          <w:color w:val="auto"/>
          <w:sz w:val="22"/>
          <w:highlight w:val="none"/>
        </w:rPr>
      </w:pPr>
    </w:p>
    <w:p w14:paraId="4952220B">
      <w:pPr>
        <w:rPr>
          <w:rFonts w:hint="eastAsia" w:ascii="宋体" w:hAnsi="宋体" w:eastAsia="宋体" w:cs="宋体"/>
          <w:color w:val="auto"/>
          <w:highlight w:val="none"/>
        </w:rPr>
      </w:pPr>
    </w:p>
    <w:p w14:paraId="4D7A0EDC">
      <w:pPr>
        <w:rPr>
          <w:rFonts w:hint="eastAsia" w:ascii="宋体" w:hAnsi="宋体" w:eastAsia="宋体" w:cs="宋体"/>
          <w:color w:val="auto"/>
          <w:highlight w:val="none"/>
        </w:rPr>
      </w:pPr>
    </w:p>
    <w:sectPr>
      <w:headerReference r:id="rId3" w:type="default"/>
      <w:footerReference r:id="rId4" w:type="default"/>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font-weight : 400">
    <w:altName w:val="微软雅黑"/>
    <w:panose1 w:val="020B0604020202020204"/>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51B3">
    <w:pPr>
      <w:pStyle w:val="18"/>
      <w:ind w:right="359" w:rightChars="17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59105" cy="147955"/>
              <wp:effectExtent l="0" t="0" r="0" b="0"/>
              <wp:wrapNone/>
              <wp:docPr id="10"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78BE9B7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wps:txbx>
                    <wps:bodyPr wrap="none" lIns="0" tIns="0" rIns="0" bIns="0" anchor="t" anchorCtr="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5408;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UQJN0QAAAAMBAAAPAAAAAAAAAAEAIAAAACIAAABkcnMvZG93&#10;bnJldi54bWxQSwECFAAUAAAACACHTuJADH0Y5s4BAACyAwAADgAAAAAAAAABACAAAAAgAQAAZHJz&#10;L2Uyb0RvYy54bWxQSwUGAAAAAAYABgBZAQAAYAUAAAAA&#10;">
              <v:fill on="f" focussize="0,0"/>
              <v:stroke on="f"/>
              <v:imagedata o:title=""/>
              <o:lock v:ext="edit" aspectratio="f"/>
              <v:textbox inset="0mm,0mm,0mm,0mm" style="mso-fit-shape-to-text:t;">
                <w:txbxContent>
                  <w:p w14:paraId="78BE9B7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03B7">
    <w:pPr>
      <w:pStyle w:val="20"/>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39EC3"/>
    <w:multiLevelType w:val="singleLevel"/>
    <w:tmpl w:val="A3339EC3"/>
    <w:lvl w:ilvl="0" w:tentative="0">
      <w:start w:val="1"/>
      <w:numFmt w:val="decimal"/>
      <w:suff w:val="nothing"/>
      <w:lvlText w:val="%1．"/>
      <w:lvlJc w:val="left"/>
      <w:pPr>
        <w:ind w:left="0" w:firstLine="400"/>
      </w:pPr>
      <w:rPr>
        <w:rFonts w:hint="default"/>
      </w:rPr>
    </w:lvl>
  </w:abstractNum>
  <w:abstractNum w:abstractNumId="1">
    <w:nsid w:val="A81FCCBE"/>
    <w:multiLevelType w:val="singleLevel"/>
    <w:tmpl w:val="A81FCCBE"/>
    <w:lvl w:ilvl="0" w:tentative="0">
      <w:start w:val="1"/>
      <w:numFmt w:val="decimal"/>
      <w:lvlText w:val="%1."/>
      <w:lvlJc w:val="left"/>
      <w:pPr>
        <w:tabs>
          <w:tab w:val="left" w:pos="312"/>
        </w:tabs>
      </w:p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D3B6079"/>
    <w:multiLevelType w:val="singleLevel"/>
    <w:tmpl w:val="BD3B6079"/>
    <w:lvl w:ilvl="0" w:tentative="0">
      <w:start w:val="1"/>
      <w:numFmt w:val="decimal"/>
      <w:suff w:val="nothing"/>
      <w:lvlText w:val="%1．"/>
      <w:lvlJc w:val="left"/>
      <w:pPr>
        <w:ind w:left="0" w:firstLine="400"/>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C59000B"/>
    <w:multiLevelType w:val="singleLevel"/>
    <w:tmpl w:val="4C59000B"/>
    <w:lvl w:ilvl="0" w:tentative="0">
      <w:start w:val="1"/>
      <w:numFmt w:val="decimal"/>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675D123"/>
    <w:multiLevelType w:val="singleLevel"/>
    <w:tmpl w:val="6675D123"/>
    <w:lvl w:ilvl="0" w:tentative="0">
      <w:start w:val="5"/>
      <w:numFmt w:val="chineseCounting"/>
      <w:suff w:val="space"/>
      <w:lvlText w:val="第%1部分"/>
      <w:lvlJc w:val="left"/>
      <w:rPr>
        <w:rFonts w:hint="eastAsia"/>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Tg3MTQwMTFjNzc5MmQxZjRiZTllZmU4MzdkZjEifQ=="/>
  </w:docVars>
  <w:rsids>
    <w:rsidRoot w:val="0077105C"/>
    <w:rsid w:val="00003A8E"/>
    <w:rsid w:val="00003B8B"/>
    <w:rsid w:val="00004ACA"/>
    <w:rsid w:val="00006C3A"/>
    <w:rsid w:val="00007F11"/>
    <w:rsid w:val="000104E3"/>
    <w:rsid w:val="00010B02"/>
    <w:rsid w:val="00011DDF"/>
    <w:rsid w:val="000126A9"/>
    <w:rsid w:val="00012BEA"/>
    <w:rsid w:val="0002341D"/>
    <w:rsid w:val="00023928"/>
    <w:rsid w:val="00026748"/>
    <w:rsid w:val="00026DF1"/>
    <w:rsid w:val="00030840"/>
    <w:rsid w:val="00030AEC"/>
    <w:rsid w:val="00031FE1"/>
    <w:rsid w:val="00032251"/>
    <w:rsid w:val="00032287"/>
    <w:rsid w:val="000358F0"/>
    <w:rsid w:val="00040878"/>
    <w:rsid w:val="00041DB4"/>
    <w:rsid w:val="00043348"/>
    <w:rsid w:val="00043A6C"/>
    <w:rsid w:val="00043DC0"/>
    <w:rsid w:val="000457EF"/>
    <w:rsid w:val="000507FF"/>
    <w:rsid w:val="000545B7"/>
    <w:rsid w:val="0005663D"/>
    <w:rsid w:val="00056ADF"/>
    <w:rsid w:val="00057C16"/>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6B8"/>
    <w:rsid w:val="000A4CA6"/>
    <w:rsid w:val="000A581B"/>
    <w:rsid w:val="000A5A7A"/>
    <w:rsid w:val="000B4447"/>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8DF"/>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018"/>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2C6"/>
    <w:rsid w:val="00196379"/>
    <w:rsid w:val="001A5952"/>
    <w:rsid w:val="001B0609"/>
    <w:rsid w:val="001B0883"/>
    <w:rsid w:val="001B0DFB"/>
    <w:rsid w:val="001B32B4"/>
    <w:rsid w:val="001B5603"/>
    <w:rsid w:val="001C094A"/>
    <w:rsid w:val="001C1392"/>
    <w:rsid w:val="001C1E7D"/>
    <w:rsid w:val="001C2259"/>
    <w:rsid w:val="001C636B"/>
    <w:rsid w:val="001C6DFA"/>
    <w:rsid w:val="001D0A32"/>
    <w:rsid w:val="001D16CC"/>
    <w:rsid w:val="001D3E24"/>
    <w:rsid w:val="001D4C20"/>
    <w:rsid w:val="001E5864"/>
    <w:rsid w:val="001E6AFF"/>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2E73"/>
    <w:rsid w:val="00254A9E"/>
    <w:rsid w:val="00261663"/>
    <w:rsid w:val="002627AC"/>
    <w:rsid w:val="00263DBF"/>
    <w:rsid w:val="00263E40"/>
    <w:rsid w:val="002663A6"/>
    <w:rsid w:val="002671E3"/>
    <w:rsid w:val="002673EA"/>
    <w:rsid w:val="00270625"/>
    <w:rsid w:val="00273C8A"/>
    <w:rsid w:val="00274362"/>
    <w:rsid w:val="00275C15"/>
    <w:rsid w:val="00282BE2"/>
    <w:rsid w:val="00285FEB"/>
    <w:rsid w:val="00295D3C"/>
    <w:rsid w:val="00296423"/>
    <w:rsid w:val="00296F4B"/>
    <w:rsid w:val="00297C05"/>
    <w:rsid w:val="002A39E4"/>
    <w:rsid w:val="002A5393"/>
    <w:rsid w:val="002A5E1E"/>
    <w:rsid w:val="002A7AF9"/>
    <w:rsid w:val="002A7B47"/>
    <w:rsid w:val="002B0010"/>
    <w:rsid w:val="002B023B"/>
    <w:rsid w:val="002B0C9A"/>
    <w:rsid w:val="002B2107"/>
    <w:rsid w:val="002B549B"/>
    <w:rsid w:val="002B5C45"/>
    <w:rsid w:val="002C08E5"/>
    <w:rsid w:val="002C1CDB"/>
    <w:rsid w:val="002C3DB6"/>
    <w:rsid w:val="002D20F6"/>
    <w:rsid w:val="002D3FF2"/>
    <w:rsid w:val="002D55A9"/>
    <w:rsid w:val="002D5D33"/>
    <w:rsid w:val="002E01C2"/>
    <w:rsid w:val="002E116F"/>
    <w:rsid w:val="002E3406"/>
    <w:rsid w:val="002E66B0"/>
    <w:rsid w:val="002F18CE"/>
    <w:rsid w:val="002F4B4E"/>
    <w:rsid w:val="002F65B3"/>
    <w:rsid w:val="002F6B1A"/>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5E68"/>
    <w:rsid w:val="00347100"/>
    <w:rsid w:val="00347888"/>
    <w:rsid w:val="0035085D"/>
    <w:rsid w:val="003550C0"/>
    <w:rsid w:val="00355AE1"/>
    <w:rsid w:val="0036115C"/>
    <w:rsid w:val="00362470"/>
    <w:rsid w:val="00362803"/>
    <w:rsid w:val="00363F5C"/>
    <w:rsid w:val="00364D8F"/>
    <w:rsid w:val="00370589"/>
    <w:rsid w:val="00371EBD"/>
    <w:rsid w:val="003746C4"/>
    <w:rsid w:val="003747DD"/>
    <w:rsid w:val="00377953"/>
    <w:rsid w:val="00377FE3"/>
    <w:rsid w:val="00380714"/>
    <w:rsid w:val="00380C7B"/>
    <w:rsid w:val="0038190D"/>
    <w:rsid w:val="00381D15"/>
    <w:rsid w:val="00386472"/>
    <w:rsid w:val="003901CE"/>
    <w:rsid w:val="00391E22"/>
    <w:rsid w:val="00395767"/>
    <w:rsid w:val="0039640C"/>
    <w:rsid w:val="0039763B"/>
    <w:rsid w:val="003A1D8B"/>
    <w:rsid w:val="003A26DA"/>
    <w:rsid w:val="003A3660"/>
    <w:rsid w:val="003A4570"/>
    <w:rsid w:val="003A5724"/>
    <w:rsid w:val="003B3189"/>
    <w:rsid w:val="003B414E"/>
    <w:rsid w:val="003B67FA"/>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5D03"/>
    <w:rsid w:val="003E61F0"/>
    <w:rsid w:val="003F27BC"/>
    <w:rsid w:val="003F29FB"/>
    <w:rsid w:val="003F2C3E"/>
    <w:rsid w:val="003F6CCF"/>
    <w:rsid w:val="00403E9D"/>
    <w:rsid w:val="00403FA4"/>
    <w:rsid w:val="004040BA"/>
    <w:rsid w:val="00405C22"/>
    <w:rsid w:val="00414808"/>
    <w:rsid w:val="004151D4"/>
    <w:rsid w:val="00416AC0"/>
    <w:rsid w:val="004222AB"/>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46317"/>
    <w:rsid w:val="00450BE2"/>
    <w:rsid w:val="004510A6"/>
    <w:rsid w:val="00452390"/>
    <w:rsid w:val="00453744"/>
    <w:rsid w:val="00453F41"/>
    <w:rsid w:val="00454184"/>
    <w:rsid w:val="00455FE4"/>
    <w:rsid w:val="00460218"/>
    <w:rsid w:val="0046063F"/>
    <w:rsid w:val="00461014"/>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37F9A"/>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C4F9C"/>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553A"/>
    <w:rsid w:val="00656015"/>
    <w:rsid w:val="006564D3"/>
    <w:rsid w:val="00663A1E"/>
    <w:rsid w:val="00664C8A"/>
    <w:rsid w:val="00671537"/>
    <w:rsid w:val="00671FB5"/>
    <w:rsid w:val="00672FC4"/>
    <w:rsid w:val="00674397"/>
    <w:rsid w:val="00674683"/>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D66AF"/>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27DA"/>
    <w:rsid w:val="00704C01"/>
    <w:rsid w:val="00704E14"/>
    <w:rsid w:val="00710827"/>
    <w:rsid w:val="00715981"/>
    <w:rsid w:val="00715B86"/>
    <w:rsid w:val="0071666B"/>
    <w:rsid w:val="0072097C"/>
    <w:rsid w:val="00722218"/>
    <w:rsid w:val="00722285"/>
    <w:rsid w:val="00722CCE"/>
    <w:rsid w:val="00722E0E"/>
    <w:rsid w:val="00727797"/>
    <w:rsid w:val="0073174B"/>
    <w:rsid w:val="0073181E"/>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5F5B"/>
    <w:rsid w:val="00766882"/>
    <w:rsid w:val="00766F11"/>
    <w:rsid w:val="007702EB"/>
    <w:rsid w:val="0077105C"/>
    <w:rsid w:val="007722DD"/>
    <w:rsid w:val="007725AC"/>
    <w:rsid w:val="0077266A"/>
    <w:rsid w:val="00772770"/>
    <w:rsid w:val="007757BB"/>
    <w:rsid w:val="007774FC"/>
    <w:rsid w:val="00784974"/>
    <w:rsid w:val="00785A1A"/>
    <w:rsid w:val="0079269B"/>
    <w:rsid w:val="007955FD"/>
    <w:rsid w:val="00796934"/>
    <w:rsid w:val="00797672"/>
    <w:rsid w:val="007A01FA"/>
    <w:rsid w:val="007A380B"/>
    <w:rsid w:val="007A4E9E"/>
    <w:rsid w:val="007B2A8E"/>
    <w:rsid w:val="007B310C"/>
    <w:rsid w:val="007B37DB"/>
    <w:rsid w:val="007B5508"/>
    <w:rsid w:val="007B5753"/>
    <w:rsid w:val="007B5D48"/>
    <w:rsid w:val="007C1C6D"/>
    <w:rsid w:val="007C2AD0"/>
    <w:rsid w:val="007C4620"/>
    <w:rsid w:val="007C5A41"/>
    <w:rsid w:val="007C6042"/>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55AD"/>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29EE"/>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12C2"/>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3EF"/>
    <w:rsid w:val="00917EE1"/>
    <w:rsid w:val="009201F3"/>
    <w:rsid w:val="00920B3F"/>
    <w:rsid w:val="009221FB"/>
    <w:rsid w:val="009235E2"/>
    <w:rsid w:val="00927A68"/>
    <w:rsid w:val="00931D3E"/>
    <w:rsid w:val="00933324"/>
    <w:rsid w:val="00933477"/>
    <w:rsid w:val="009341E9"/>
    <w:rsid w:val="009343F9"/>
    <w:rsid w:val="00935CF8"/>
    <w:rsid w:val="00937198"/>
    <w:rsid w:val="00937954"/>
    <w:rsid w:val="00937994"/>
    <w:rsid w:val="00937B24"/>
    <w:rsid w:val="00937C7B"/>
    <w:rsid w:val="00942418"/>
    <w:rsid w:val="009434C2"/>
    <w:rsid w:val="00947646"/>
    <w:rsid w:val="00951BE0"/>
    <w:rsid w:val="00953672"/>
    <w:rsid w:val="009537FB"/>
    <w:rsid w:val="009604DF"/>
    <w:rsid w:val="00960FB4"/>
    <w:rsid w:val="0096287A"/>
    <w:rsid w:val="0096297E"/>
    <w:rsid w:val="00963B31"/>
    <w:rsid w:val="00970259"/>
    <w:rsid w:val="009704A6"/>
    <w:rsid w:val="009704AA"/>
    <w:rsid w:val="009715D5"/>
    <w:rsid w:val="00971620"/>
    <w:rsid w:val="00972664"/>
    <w:rsid w:val="009755B0"/>
    <w:rsid w:val="0097598C"/>
    <w:rsid w:val="00975A72"/>
    <w:rsid w:val="00976FEF"/>
    <w:rsid w:val="00977661"/>
    <w:rsid w:val="00977D75"/>
    <w:rsid w:val="009801EC"/>
    <w:rsid w:val="00981201"/>
    <w:rsid w:val="00981E9A"/>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261"/>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37D3E"/>
    <w:rsid w:val="00A402CC"/>
    <w:rsid w:val="00A433B3"/>
    <w:rsid w:val="00A434DD"/>
    <w:rsid w:val="00A44274"/>
    <w:rsid w:val="00A468A7"/>
    <w:rsid w:val="00A46B66"/>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4485"/>
    <w:rsid w:val="00AA5144"/>
    <w:rsid w:val="00AB076C"/>
    <w:rsid w:val="00AB2053"/>
    <w:rsid w:val="00AB395A"/>
    <w:rsid w:val="00AB4661"/>
    <w:rsid w:val="00AB76EC"/>
    <w:rsid w:val="00AB7FC6"/>
    <w:rsid w:val="00AC2457"/>
    <w:rsid w:val="00AC3D2A"/>
    <w:rsid w:val="00AC3DFC"/>
    <w:rsid w:val="00AC446B"/>
    <w:rsid w:val="00AC6A48"/>
    <w:rsid w:val="00AD281B"/>
    <w:rsid w:val="00AD5D1F"/>
    <w:rsid w:val="00AD641A"/>
    <w:rsid w:val="00AD6820"/>
    <w:rsid w:val="00AD6D18"/>
    <w:rsid w:val="00AE5895"/>
    <w:rsid w:val="00AF149F"/>
    <w:rsid w:val="00AF1809"/>
    <w:rsid w:val="00AF3567"/>
    <w:rsid w:val="00AF3CA1"/>
    <w:rsid w:val="00AF3D82"/>
    <w:rsid w:val="00AF65EC"/>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6632"/>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86ED4"/>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462B"/>
    <w:rsid w:val="00BC6651"/>
    <w:rsid w:val="00BC74DD"/>
    <w:rsid w:val="00BC7C5E"/>
    <w:rsid w:val="00BD3986"/>
    <w:rsid w:val="00BD3B0C"/>
    <w:rsid w:val="00BD5735"/>
    <w:rsid w:val="00BD7AA0"/>
    <w:rsid w:val="00BE04FD"/>
    <w:rsid w:val="00BE22AB"/>
    <w:rsid w:val="00BE5F5D"/>
    <w:rsid w:val="00BF0FEE"/>
    <w:rsid w:val="00BF343A"/>
    <w:rsid w:val="00BF3486"/>
    <w:rsid w:val="00BF6920"/>
    <w:rsid w:val="00C020D9"/>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26A6"/>
    <w:rsid w:val="00C530E8"/>
    <w:rsid w:val="00C54D99"/>
    <w:rsid w:val="00C55BFB"/>
    <w:rsid w:val="00C56109"/>
    <w:rsid w:val="00C60FB5"/>
    <w:rsid w:val="00C61FA3"/>
    <w:rsid w:val="00C6218A"/>
    <w:rsid w:val="00C6289F"/>
    <w:rsid w:val="00C663EA"/>
    <w:rsid w:val="00C67EA8"/>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11A"/>
    <w:rsid w:val="00CA7AFB"/>
    <w:rsid w:val="00CA7CBC"/>
    <w:rsid w:val="00CB0F4B"/>
    <w:rsid w:val="00CB1090"/>
    <w:rsid w:val="00CB369C"/>
    <w:rsid w:val="00CB7C72"/>
    <w:rsid w:val="00CC05C3"/>
    <w:rsid w:val="00CC1279"/>
    <w:rsid w:val="00CC3FEF"/>
    <w:rsid w:val="00CC58B2"/>
    <w:rsid w:val="00CD0D1A"/>
    <w:rsid w:val="00CD2EF9"/>
    <w:rsid w:val="00CD6028"/>
    <w:rsid w:val="00CE13D0"/>
    <w:rsid w:val="00CE13E7"/>
    <w:rsid w:val="00CE18E7"/>
    <w:rsid w:val="00CE1F8D"/>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1E2C"/>
    <w:rsid w:val="00D42A3D"/>
    <w:rsid w:val="00D42DED"/>
    <w:rsid w:val="00D45ACA"/>
    <w:rsid w:val="00D460A1"/>
    <w:rsid w:val="00D46949"/>
    <w:rsid w:val="00D50118"/>
    <w:rsid w:val="00D513B3"/>
    <w:rsid w:val="00D52E06"/>
    <w:rsid w:val="00D5377F"/>
    <w:rsid w:val="00D54291"/>
    <w:rsid w:val="00D57961"/>
    <w:rsid w:val="00D57C93"/>
    <w:rsid w:val="00D60F6E"/>
    <w:rsid w:val="00D61DB8"/>
    <w:rsid w:val="00D63B17"/>
    <w:rsid w:val="00D63B5A"/>
    <w:rsid w:val="00D659E6"/>
    <w:rsid w:val="00D70B59"/>
    <w:rsid w:val="00D70EB7"/>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3A9B"/>
    <w:rsid w:val="00DA4201"/>
    <w:rsid w:val="00DA4965"/>
    <w:rsid w:val="00DA6990"/>
    <w:rsid w:val="00DA6A5A"/>
    <w:rsid w:val="00DA7100"/>
    <w:rsid w:val="00DB2CE2"/>
    <w:rsid w:val="00DB4BCE"/>
    <w:rsid w:val="00DB4CBD"/>
    <w:rsid w:val="00DB4DB2"/>
    <w:rsid w:val="00DB5AB6"/>
    <w:rsid w:val="00DB7052"/>
    <w:rsid w:val="00DC0218"/>
    <w:rsid w:val="00DC1366"/>
    <w:rsid w:val="00DC415D"/>
    <w:rsid w:val="00DC6FA3"/>
    <w:rsid w:val="00DD3703"/>
    <w:rsid w:val="00DD4479"/>
    <w:rsid w:val="00DD593C"/>
    <w:rsid w:val="00DE12AB"/>
    <w:rsid w:val="00DE3255"/>
    <w:rsid w:val="00DE53FB"/>
    <w:rsid w:val="00DE7B0B"/>
    <w:rsid w:val="00DF082B"/>
    <w:rsid w:val="00DF5B3B"/>
    <w:rsid w:val="00E00F37"/>
    <w:rsid w:val="00E01034"/>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C2D"/>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A7663"/>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3156"/>
    <w:rsid w:val="00EE4354"/>
    <w:rsid w:val="00EE612D"/>
    <w:rsid w:val="00EF2A61"/>
    <w:rsid w:val="00EF5878"/>
    <w:rsid w:val="00EF79B4"/>
    <w:rsid w:val="00F029F6"/>
    <w:rsid w:val="00F05042"/>
    <w:rsid w:val="00F05A18"/>
    <w:rsid w:val="00F061E5"/>
    <w:rsid w:val="00F072B0"/>
    <w:rsid w:val="00F10386"/>
    <w:rsid w:val="00F11672"/>
    <w:rsid w:val="00F12FE4"/>
    <w:rsid w:val="00F13CAA"/>
    <w:rsid w:val="00F15A7C"/>
    <w:rsid w:val="00F16E22"/>
    <w:rsid w:val="00F203F1"/>
    <w:rsid w:val="00F212B6"/>
    <w:rsid w:val="00F22810"/>
    <w:rsid w:val="00F2285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9525B"/>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5772A4"/>
    <w:rsid w:val="01651772"/>
    <w:rsid w:val="0174421B"/>
    <w:rsid w:val="018717BE"/>
    <w:rsid w:val="018E7169"/>
    <w:rsid w:val="01934C29"/>
    <w:rsid w:val="01BB7833"/>
    <w:rsid w:val="01BD06D2"/>
    <w:rsid w:val="01BF097B"/>
    <w:rsid w:val="01D105CE"/>
    <w:rsid w:val="01E73C24"/>
    <w:rsid w:val="021A76DB"/>
    <w:rsid w:val="021F3882"/>
    <w:rsid w:val="02331E12"/>
    <w:rsid w:val="023B2304"/>
    <w:rsid w:val="02497F4C"/>
    <w:rsid w:val="025B1344"/>
    <w:rsid w:val="02766999"/>
    <w:rsid w:val="02791447"/>
    <w:rsid w:val="02BC18B0"/>
    <w:rsid w:val="02F07097"/>
    <w:rsid w:val="032A0016"/>
    <w:rsid w:val="033243A8"/>
    <w:rsid w:val="033C4F4D"/>
    <w:rsid w:val="035442EC"/>
    <w:rsid w:val="03564F29"/>
    <w:rsid w:val="035B707C"/>
    <w:rsid w:val="037126EF"/>
    <w:rsid w:val="0386205B"/>
    <w:rsid w:val="039E11BA"/>
    <w:rsid w:val="03AA5705"/>
    <w:rsid w:val="03B66B9F"/>
    <w:rsid w:val="03E73237"/>
    <w:rsid w:val="03EE5F1E"/>
    <w:rsid w:val="04384DC4"/>
    <w:rsid w:val="04B067CA"/>
    <w:rsid w:val="04B7013D"/>
    <w:rsid w:val="04BB3243"/>
    <w:rsid w:val="04BF5738"/>
    <w:rsid w:val="04EE55EA"/>
    <w:rsid w:val="04EF3205"/>
    <w:rsid w:val="05213A64"/>
    <w:rsid w:val="0549108E"/>
    <w:rsid w:val="05502A1B"/>
    <w:rsid w:val="0564598B"/>
    <w:rsid w:val="056563FC"/>
    <w:rsid w:val="05B92DB0"/>
    <w:rsid w:val="0601511F"/>
    <w:rsid w:val="060B54D3"/>
    <w:rsid w:val="06102D2E"/>
    <w:rsid w:val="063B2D6C"/>
    <w:rsid w:val="06503F20"/>
    <w:rsid w:val="06506B03"/>
    <w:rsid w:val="065A0052"/>
    <w:rsid w:val="068C6142"/>
    <w:rsid w:val="069627A6"/>
    <w:rsid w:val="06AA7299"/>
    <w:rsid w:val="06CF225A"/>
    <w:rsid w:val="06F33957"/>
    <w:rsid w:val="06F86FDF"/>
    <w:rsid w:val="07012726"/>
    <w:rsid w:val="07155AF2"/>
    <w:rsid w:val="07307513"/>
    <w:rsid w:val="076F1972"/>
    <w:rsid w:val="07921D3A"/>
    <w:rsid w:val="07A81035"/>
    <w:rsid w:val="07DE064D"/>
    <w:rsid w:val="084C5688"/>
    <w:rsid w:val="08525629"/>
    <w:rsid w:val="08591333"/>
    <w:rsid w:val="0870518C"/>
    <w:rsid w:val="087F1B50"/>
    <w:rsid w:val="088722D5"/>
    <w:rsid w:val="089867F5"/>
    <w:rsid w:val="08A7269C"/>
    <w:rsid w:val="08BB5CE2"/>
    <w:rsid w:val="08BE70FF"/>
    <w:rsid w:val="08F100D7"/>
    <w:rsid w:val="08FB0BD0"/>
    <w:rsid w:val="08FD0FC1"/>
    <w:rsid w:val="09141087"/>
    <w:rsid w:val="09420CC2"/>
    <w:rsid w:val="09437AA9"/>
    <w:rsid w:val="095306DD"/>
    <w:rsid w:val="09695409"/>
    <w:rsid w:val="09717093"/>
    <w:rsid w:val="097C1EFD"/>
    <w:rsid w:val="0993275B"/>
    <w:rsid w:val="09AE6768"/>
    <w:rsid w:val="09EE5A33"/>
    <w:rsid w:val="09F33BC2"/>
    <w:rsid w:val="0A005A8E"/>
    <w:rsid w:val="0A005B38"/>
    <w:rsid w:val="0A012F12"/>
    <w:rsid w:val="0A46002E"/>
    <w:rsid w:val="0A59542B"/>
    <w:rsid w:val="0A5A21CE"/>
    <w:rsid w:val="0A600644"/>
    <w:rsid w:val="0A63046B"/>
    <w:rsid w:val="0A655977"/>
    <w:rsid w:val="0A6F30BC"/>
    <w:rsid w:val="0A714A90"/>
    <w:rsid w:val="0A7E6C48"/>
    <w:rsid w:val="0A8670D2"/>
    <w:rsid w:val="0A8A6649"/>
    <w:rsid w:val="0A8D0F9E"/>
    <w:rsid w:val="0AB440F8"/>
    <w:rsid w:val="0AD2601C"/>
    <w:rsid w:val="0AD84D58"/>
    <w:rsid w:val="0B085950"/>
    <w:rsid w:val="0B0D0CC4"/>
    <w:rsid w:val="0B205F7D"/>
    <w:rsid w:val="0B212BCE"/>
    <w:rsid w:val="0B283234"/>
    <w:rsid w:val="0B2E3B34"/>
    <w:rsid w:val="0B7A69B0"/>
    <w:rsid w:val="0B914FAE"/>
    <w:rsid w:val="0B963D2B"/>
    <w:rsid w:val="0B9948AC"/>
    <w:rsid w:val="0B9E7162"/>
    <w:rsid w:val="0BAD6DE0"/>
    <w:rsid w:val="0BBD289A"/>
    <w:rsid w:val="0BC35643"/>
    <w:rsid w:val="0BC6115D"/>
    <w:rsid w:val="0BD939C5"/>
    <w:rsid w:val="0BF76D62"/>
    <w:rsid w:val="0C0E0E49"/>
    <w:rsid w:val="0C0F3E0E"/>
    <w:rsid w:val="0C232562"/>
    <w:rsid w:val="0C2F5309"/>
    <w:rsid w:val="0C5A518D"/>
    <w:rsid w:val="0C605BA6"/>
    <w:rsid w:val="0C6F15EF"/>
    <w:rsid w:val="0C9C13C4"/>
    <w:rsid w:val="0CAA5073"/>
    <w:rsid w:val="0CD56D9C"/>
    <w:rsid w:val="0CF86826"/>
    <w:rsid w:val="0D060C4A"/>
    <w:rsid w:val="0D141552"/>
    <w:rsid w:val="0D496472"/>
    <w:rsid w:val="0D59019E"/>
    <w:rsid w:val="0D7E5526"/>
    <w:rsid w:val="0D8867AE"/>
    <w:rsid w:val="0D8E5096"/>
    <w:rsid w:val="0DC70E1E"/>
    <w:rsid w:val="0DD37DB4"/>
    <w:rsid w:val="0E220B89"/>
    <w:rsid w:val="0E3039A1"/>
    <w:rsid w:val="0E333E3A"/>
    <w:rsid w:val="0E3D2E6B"/>
    <w:rsid w:val="0E401B23"/>
    <w:rsid w:val="0E807E3A"/>
    <w:rsid w:val="0E8A18A4"/>
    <w:rsid w:val="0E956EE1"/>
    <w:rsid w:val="0E9E3EDE"/>
    <w:rsid w:val="0EB90A7B"/>
    <w:rsid w:val="0EC518EB"/>
    <w:rsid w:val="0ECB4CD6"/>
    <w:rsid w:val="0ECF454E"/>
    <w:rsid w:val="0EE22D8A"/>
    <w:rsid w:val="0EF735EC"/>
    <w:rsid w:val="0EF9511D"/>
    <w:rsid w:val="0F03003B"/>
    <w:rsid w:val="0F106671"/>
    <w:rsid w:val="0F127DDC"/>
    <w:rsid w:val="0F225395"/>
    <w:rsid w:val="0F2A7991"/>
    <w:rsid w:val="0F31231F"/>
    <w:rsid w:val="0F450599"/>
    <w:rsid w:val="0F7A251E"/>
    <w:rsid w:val="0F7B2B4A"/>
    <w:rsid w:val="0FAE55CB"/>
    <w:rsid w:val="0FBC37E4"/>
    <w:rsid w:val="0FF33AF6"/>
    <w:rsid w:val="100E0CEE"/>
    <w:rsid w:val="10233173"/>
    <w:rsid w:val="10737E0E"/>
    <w:rsid w:val="10864BC6"/>
    <w:rsid w:val="10A71E01"/>
    <w:rsid w:val="10BA0075"/>
    <w:rsid w:val="10C063DA"/>
    <w:rsid w:val="10CC21FA"/>
    <w:rsid w:val="10EC2887"/>
    <w:rsid w:val="10F72164"/>
    <w:rsid w:val="10FB5E9E"/>
    <w:rsid w:val="110D5CB2"/>
    <w:rsid w:val="11112249"/>
    <w:rsid w:val="1112510D"/>
    <w:rsid w:val="114E14F4"/>
    <w:rsid w:val="115E3F3F"/>
    <w:rsid w:val="116A035F"/>
    <w:rsid w:val="116A6B46"/>
    <w:rsid w:val="11834E46"/>
    <w:rsid w:val="11875444"/>
    <w:rsid w:val="11970C4B"/>
    <w:rsid w:val="11A95278"/>
    <w:rsid w:val="11AF44DF"/>
    <w:rsid w:val="11C852FC"/>
    <w:rsid w:val="11F72CE6"/>
    <w:rsid w:val="122951DD"/>
    <w:rsid w:val="123B7DDD"/>
    <w:rsid w:val="127D7035"/>
    <w:rsid w:val="129245E0"/>
    <w:rsid w:val="12CF0657"/>
    <w:rsid w:val="12E95249"/>
    <w:rsid w:val="12F1671E"/>
    <w:rsid w:val="12FE2ECF"/>
    <w:rsid w:val="131A3934"/>
    <w:rsid w:val="13200CAC"/>
    <w:rsid w:val="134C3F41"/>
    <w:rsid w:val="134E40D7"/>
    <w:rsid w:val="134F4780"/>
    <w:rsid w:val="13511013"/>
    <w:rsid w:val="135C3DD4"/>
    <w:rsid w:val="135C7002"/>
    <w:rsid w:val="137D7A57"/>
    <w:rsid w:val="13802CBE"/>
    <w:rsid w:val="13962258"/>
    <w:rsid w:val="13AF2F6F"/>
    <w:rsid w:val="13E7075D"/>
    <w:rsid w:val="13F33946"/>
    <w:rsid w:val="14042263"/>
    <w:rsid w:val="141745DC"/>
    <w:rsid w:val="14300996"/>
    <w:rsid w:val="14725E70"/>
    <w:rsid w:val="148E0ACB"/>
    <w:rsid w:val="149F31A0"/>
    <w:rsid w:val="14B118C5"/>
    <w:rsid w:val="14B415E1"/>
    <w:rsid w:val="14D43BDB"/>
    <w:rsid w:val="14F57E7D"/>
    <w:rsid w:val="15152C81"/>
    <w:rsid w:val="151B44F0"/>
    <w:rsid w:val="152E2DCC"/>
    <w:rsid w:val="153017B9"/>
    <w:rsid w:val="153B570B"/>
    <w:rsid w:val="15574E0D"/>
    <w:rsid w:val="15914050"/>
    <w:rsid w:val="15B72A35"/>
    <w:rsid w:val="15F1546C"/>
    <w:rsid w:val="160547D6"/>
    <w:rsid w:val="161C40B5"/>
    <w:rsid w:val="16287BB0"/>
    <w:rsid w:val="16445414"/>
    <w:rsid w:val="16467CC8"/>
    <w:rsid w:val="165D579D"/>
    <w:rsid w:val="165F2BDF"/>
    <w:rsid w:val="165F712D"/>
    <w:rsid w:val="16720653"/>
    <w:rsid w:val="16730A7D"/>
    <w:rsid w:val="16826791"/>
    <w:rsid w:val="168E46B6"/>
    <w:rsid w:val="168F7E12"/>
    <w:rsid w:val="16A87CE1"/>
    <w:rsid w:val="16B7318B"/>
    <w:rsid w:val="16E021C2"/>
    <w:rsid w:val="17213D1A"/>
    <w:rsid w:val="172C4239"/>
    <w:rsid w:val="174D3358"/>
    <w:rsid w:val="176214A7"/>
    <w:rsid w:val="176A780D"/>
    <w:rsid w:val="1780366E"/>
    <w:rsid w:val="17845DA0"/>
    <w:rsid w:val="179E277E"/>
    <w:rsid w:val="17BC177E"/>
    <w:rsid w:val="17BE3B1C"/>
    <w:rsid w:val="17F14C98"/>
    <w:rsid w:val="18061007"/>
    <w:rsid w:val="18074726"/>
    <w:rsid w:val="18080A9E"/>
    <w:rsid w:val="18296253"/>
    <w:rsid w:val="18395DE4"/>
    <w:rsid w:val="1866546B"/>
    <w:rsid w:val="186A063A"/>
    <w:rsid w:val="18A56142"/>
    <w:rsid w:val="18AF38AF"/>
    <w:rsid w:val="18BF1EA7"/>
    <w:rsid w:val="18C17432"/>
    <w:rsid w:val="18C94AAF"/>
    <w:rsid w:val="18D32287"/>
    <w:rsid w:val="18ED538B"/>
    <w:rsid w:val="18F06F9F"/>
    <w:rsid w:val="18FC3FD1"/>
    <w:rsid w:val="18FF73A6"/>
    <w:rsid w:val="191A45C5"/>
    <w:rsid w:val="19266DE4"/>
    <w:rsid w:val="192F2566"/>
    <w:rsid w:val="194E0081"/>
    <w:rsid w:val="195B397D"/>
    <w:rsid w:val="195F6609"/>
    <w:rsid w:val="1995403F"/>
    <w:rsid w:val="19AF15A8"/>
    <w:rsid w:val="19B142BF"/>
    <w:rsid w:val="19B67EC1"/>
    <w:rsid w:val="19CC4C5A"/>
    <w:rsid w:val="19D83035"/>
    <w:rsid w:val="19D87710"/>
    <w:rsid w:val="1A101888"/>
    <w:rsid w:val="1A2A3728"/>
    <w:rsid w:val="1A512009"/>
    <w:rsid w:val="1A566CC7"/>
    <w:rsid w:val="1A6D5C1B"/>
    <w:rsid w:val="1A8619ED"/>
    <w:rsid w:val="1A8644CD"/>
    <w:rsid w:val="1A895758"/>
    <w:rsid w:val="1AA569B7"/>
    <w:rsid w:val="1AAB190A"/>
    <w:rsid w:val="1AAE000B"/>
    <w:rsid w:val="1AB3650A"/>
    <w:rsid w:val="1AB62382"/>
    <w:rsid w:val="1ACB1C1D"/>
    <w:rsid w:val="1ADA6788"/>
    <w:rsid w:val="1ADF05DE"/>
    <w:rsid w:val="1AFA2B1C"/>
    <w:rsid w:val="1B68216E"/>
    <w:rsid w:val="1B6F77A7"/>
    <w:rsid w:val="1B704CD6"/>
    <w:rsid w:val="1B817D0B"/>
    <w:rsid w:val="1B8721E3"/>
    <w:rsid w:val="1BA94A07"/>
    <w:rsid w:val="1BD05A6D"/>
    <w:rsid w:val="1BD6575E"/>
    <w:rsid w:val="1BD85D3B"/>
    <w:rsid w:val="1C0804E7"/>
    <w:rsid w:val="1C1B04AC"/>
    <w:rsid w:val="1C1E24F0"/>
    <w:rsid w:val="1C5115AF"/>
    <w:rsid w:val="1C59360F"/>
    <w:rsid w:val="1C5A616E"/>
    <w:rsid w:val="1C5B0F48"/>
    <w:rsid w:val="1C6C076D"/>
    <w:rsid w:val="1C7F44D1"/>
    <w:rsid w:val="1C8A6A1B"/>
    <w:rsid w:val="1CA70C88"/>
    <w:rsid w:val="1CBA44B6"/>
    <w:rsid w:val="1CBC6A50"/>
    <w:rsid w:val="1D386B0A"/>
    <w:rsid w:val="1D39665B"/>
    <w:rsid w:val="1D453B92"/>
    <w:rsid w:val="1D49325F"/>
    <w:rsid w:val="1D54432D"/>
    <w:rsid w:val="1D7066B8"/>
    <w:rsid w:val="1D873EC6"/>
    <w:rsid w:val="1DA444AF"/>
    <w:rsid w:val="1DB06DBB"/>
    <w:rsid w:val="1DC71769"/>
    <w:rsid w:val="1DD4347C"/>
    <w:rsid w:val="1DD866A7"/>
    <w:rsid w:val="1DEC0FD1"/>
    <w:rsid w:val="1E055F60"/>
    <w:rsid w:val="1E1F64E2"/>
    <w:rsid w:val="1E4273A0"/>
    <w:rsid w:val="1E4708BE"/>
    <w:rsid w:val="1E5B402C"/>
    <w:rsid w:val="1E7F3375"/>
    <w:rsid w:val="1E960FB4"/>
    <w:rsid w:val="1E9C0FD7"/>
    <w:rsid w:val="1EA27733"/>
    <w:rsid w:val="1EA71441"/>
    <w:rsid w:val="1EDB57B8"/>
    <w:rsid w:val="1EE0076F"/>
    <w:rsid w:val="1EFF22DF"/>
    <w:rsid w:val="1F2465AE"/>
    <w:rsid w:val="1F272EF3"/>
    <w:rsid w:val="1F474417"/>
    <w:rsid w:val="1F6D766F"/>
    <w:rsid w:val="1F75506D"/>
    <w:rsid w:val="1F7801F4"/>
    <w:rsid w:val="1F861028"/>
    <w:rsid w:val="1FA051B1"/>
    <w:rsid w:val="1FBC5A21"/>
    <w:rsid w:val="1FE01BF2"/>
    <w:rsid w:val="1FF103F0"/>
    <w:rsid w:val="20005C3E"/>
    <w:rsid w:val="200C1FD7"/>
    <w:rsid w:val="202A0BEF"/>
    <w:rsid w:val="20516442"/>
    <w:rsid w:val="20676614"/>
    <w:rsid w:val="20780877"/>
    <w:rsid w:val="20B1574E"/>
    <w:rsid w:val="20BD49E5"/>
    <w:rsid w:val="20C12A4D"/>
    <w:rsid w:val="20C3595C"/>
    <w:rsid w:val="20D719F1"/>
    <w:rsid w:val="20DF4E94"/>
    <w:rsid w:val="20FF754E"/>
    <w:rsid w:val="21066A24"/>
    <w:rsid w:val="212906CA"/>
    <w:rsid w:val="212E3396"/>
    <w:rsid w:val="214F070A"/>
    <w:rsid w:val="21504889"/>
    <w:rsid w:val="21511091"/>
    <w:rsid w:val="216805FB"/>
    <w:rsid w:val="216A1F19"/>
    <w:rsid w:val="216A59FA"/>
    <w:rsid w:val="218D304A"/>
    <w:rsid w:val="219915D3"/>
    <w:rsid w:val="219D45B2"/>
    <w:rsid w:val="21A672A2"/>
    <w:rsid w:val="21B92F19"/>
    <w:rsid w:val="21BC28A6"/>
    <w:rsid w:val="21C329A3"/>
    <w:rsid w:val="21E56FBC"/>
    <w:rsid w:val="21FA005D"/>
    <w:rsid w:val="21FB12EC"/>
    <w:rsid w:val="220137C3"/>
    <w:rsid w:val="221A1C96"/>
    <w:rsid w:val="224F6446"/>
    <w:rsid w:val="225861FF"/>
    <w:rsid w:val="226C4FAD"/>
    <w:rsid w:val="22813D29"/>
    <w:rsid w:val="22943A5C"/>
    <w:rsid w:val="229F47AE"/>
    <w:rsid w:val="22A27797"/>
    <w:rsid w:val="22C22251"/>
    <w:rsid w:val="22C8691D"/>
    <w:rsid w:val="22D3233B"/>
    <w:rsid w:val="22E25839"/>
    <w:rsid w:val="22FF181D"/>
    <w:rsid w:val="231F40E3"/>
    <w:rsid w:val="232C7632"/>
    <w:rsid w:val="2333170A"/>
    <w:rsid w:val="23341EE3"/>
    <w:rsid w:val="234A2DC3"/>
    <w:rsid w:val="235A6F13"/>
    <w:rsid w:val="237F1E99"/>
    <w:rsid w:val="23B26890"/>
    <w:rsid w:val="23BC6D45"/>
    <w:rsid w:val="23EE448C"/>
    <w:rsid w:val="23FC16C5"/>
    <w:rsid w:val="23FD21A6"/>
    <w:rsid w:val="23FF558F"/>
    <w:rsid w:val="24096C1E"/>
    <w:rsid w:val="241124F4"/>
    <w:rsid w:val="24301028"/>
    <w:rsid w:val="2442787A"/>
    <w:rsid w:val="24493ED0"/>
    <w:rsid w:val="247450BF"/>
    <w:rsid w:val="248458D3"/>
    <w:rsid w:val="248C2B1F"/>
    <w:rsid w:val="24AF30EF"/>
    <w:rsid w:val="24C31ACA"/>
    <w:rsid w:val="24C37822"/>
    <w:rsid w:val="24C979B7"/>
    <w:rsid w:val="24D228AC"/>
    <w:rsid w:val="24DE282F"/>
    <w:rsid w:val="2502156D"/>
    <w:rsid w:val="250234C2"/>
    <w:rsid w:val="250B5C95"/>
    <w:rsid w:val="2516370B"/>
    <w:rsid w:val="25166E17"/>
    <w:rsid w:val="25260E03"/>
    <w:rsid w:val="25427164"/>
    <w:rsid w:val="25525D92"/>
    <w:rsid w:val="25527D56"/>
    <w:rsid w:val="255B191F"/>
    <w:rsid w:val="2563572A"/>
    <w:rsid w:val="25637736"/>
    <w:rsid w:val="25876A82"/>
    <w:rsid w:val="25AE478C"/>
    <w:rsid w:val="25B90919"/>
    <w:rsid w:val="25E22D30"/>
    <w:rsid w:val="25FF38E2"/>
    <w:rsid w:val="263B2C60"/>
    <w:rsid w:val="26411C1D"/>
    <w:rsid w:val="265453C2"/>
    <w:rsid w:val="26567ACD"/>
    <w:rsid w:val="267C5888"/>
    <w:rsid w:val="26A175D7"/>
    <w:rsid w:val="26B42EFB"/>
    <w:rsid w:val="26B464FA"/>
    <w:rsid w:val="26C94FDE"/>
    <w:rsid w:val="26D3098E"/>
    <w:rsid w:val="26DA76EE"/>
    <w:rsid w:val="26E50D2A"/>
    <w:rsid w:val="26EA5725"/>
    <w:rsid w:val="26F37A3E"/>
    <w:rsid w:val="27154B6D"/>
    <w:rsid w:val="271E227A"/>
    <w:rsid w:val="2724421E"/>
    <w:rsid w:val="272D5531"/>
    <w:rsid w:val="272F1AD3"/>
    <w:rsid w:val="2741315F"/>
    <w:rsid w:val="274568EC"/>
    <w:rsid w:val="27573CBB"/>
    <w:rsid w:val="277A6660"/>
    <w:rsid w:val="279B1B14"/>
    <w:rsid w:val="27A249CA"/>
    <w:rsid w:val="27C2663C"/>
    <w:rsid w:val="27C77490"/>
    <w:rsid w:val="27CA12A3"/>
    <w:rsid w:val="27F64177"/>
    <w:rsid w:val="28046D84"/>
    <w:rsid w:val="2818512F"/>
    <w:rsid w:val="282351BC"/>
    <w:rsid w:val="282633A8"/>
    <w:rsid w:val="286B5532"/>
    <w:rsid w:val="288F52D5"/>
    <w:rsid w:val="28BF58E7"/>
    <w:rsid w:val="28E5527A"/>
    <w:rsid w:val="28ED30E6"/>
    <w:rsid w:val="29162571"/>
    <w:rsid w:val="291800E1"/>
    <w:rsid w:val="291D38AE"/>
    <w:rsid w:val="29216A36"/>
    <w:rsid w:val="29225D1F"/>
    <w:rsid w:val="29234A57"/>
    <w:rsid w:val="29321FE3"/>
    <w:rsid w:val="29476C8B"/>
    <w:rsid w:val="294E725A"/>
    <w:rsid w:val="29526C4F"/>
    <w:rsid w:val="29551B41"/>
    <w:rsid w:val="295558E1"/>
    <w:rsid w:val="29572E0D"/>
    <w:rsid w:val="29654128"/>
    <w:rsid w:val="29787CCE"/>
    <w:rsid w:val="29803570"/>
    <w:rsid w:val="298A7BDE"/>
    <w:rsid w:val="29AC3EFF"/>
    <w:rsid w:val="29B95570"/>
    <w:rsid w:val="29CF4CDE"/>
    <w:rsid w:val="29E40114"/>
    <w:rsid w:val="29EE601C"/>
    <w:rsid w:val="2A141291"/>
    <w:rsid w:val="2A1425C1"/>
    <w:rsid w:val="2A17665E"/>
    <w:rsid w:val="2A3519F9"/>
    <w:rsid w:val="2A35592E"/>
    <w:rsid w:val="2A3B2255"/>
    <w:rsid w:val="2A5F5F98"/>
    <w:rsid w:val="2A7279D5"/>
    <w:rsid w:val="2A7B5DC7"/>
    <w:rsid w:val="2A862EB1"/>
    <w:rsid w:val="2AA50C96"/>
    <w:rsid w:val="2AAA6513"/>
    <w:rsid w:val="2ACB1A84"/>
    <w:rsid w:val="2ACB7330"/>
    <w:rsid w:val="2AD479BA"/>
    <w:rsid w:val="2AD970ED"/>
    <w:rsid w:val="2AEA3820"/>
    <w:rsid w:val="2AEC01AB"/>
    <w:rsid w:val="2AEDA948"/>
    <w:rsid w:val="2B051EE7"/>
    <w:rsid w:val="2B06250A"/>
    <w:rsid w:val="2B451595"/>
    <w:rsid w:val="2B4B58CE"/>
    <w:rsid w:val="2B577D1D"/>
    <w:rsid w:val="2B78175F"/>
    <w:rsid w:val="2B9039C7"/>
    <w:rsid w:val="2BC359F4"/>
    <w:rsid w:val="2BD857E1"/>
    <w:rsid w:val="2BFA65AF"/>
    <w:rsid w:val="2BFF422E"/>
    <w:rsid w:val="2C1D2D14"/>
    <w:rsid w:val="2C2119A9"/>
    <w:rsid w:val="2C3B063C"/>
    <w:rsid w:val="2C51791C"/>
    <w:rsid w:val="2C6D06DB"/>
    <w:rsid w:val="2C9D7CDC"/>
    <w:rsid w:val="2CA1763D"/>
    <w:rsid w:val="2CA74D32"/>
    <w:rsid w:val="2CDF46B1"/>
    <w:rsid w:val="2CF319CD"/>
    <w:rsid w:val="2D106A69"/>
    <w:rsid w:val="2D3044ED"/>
    <w:rsid w:val="2D406CBA"/>
    <w:rsid w:val="2D4A2971"/>
    <w:rsid w:val="2D5B265D"/>
    <w:rsid w:val="2D8F14A1"/>
    <w:rsid w:val="2D8F3AF9"/>
    <w:rsid w:val="2D94069C"/>
    <w:rsid w:val="2DA5032C"/>
    <w:rsid w:val="2DB7125F"/>
    <w:rsid w:val="2DBE32EB"/>
    <w:rsid w:val="2DDD501E"/>
    <w:rsid w:val="2DF43E01"/>
    <w:rsid w:val="2DFC2B75"/>
    <w:rsid w:val="2E03773F"/>
    <w:rsid w:val="2E336E30"/>
    <w:rsid w:val="2E3950D7"/>
    <w:rsid w:val="2E586EFC"/>
    <w:rsid w:val="2E5909BE"/>
    <w:rsid w:val="2E6C063D"/>
    <w:rsid w:val="2E731A57"/>
    <w:rsid w:val="2E901932"/>
    <w:rsid w:val="2EA329F6"/>
    <w:rsid w:val="2ECB3349"/>
    <w:rsid w:val="2EDC20CB"/>
    <w:rsid w:val="2F235B39"/>
    <w:rsid w:val="2F236C79"/>
    <w:rsid w:val="2F2D3DF4"/>
    <w:rsid w:val="2F302550"/>
    <w:rsid w:val="2F4319EA"/>
    <w:rsid w:val="2F45327D"/>
    <w:rsid w:val="2F735768"/>
    <w:rsid w:val="2F7610B9"/>
    <w:rsid w:val="2F7E5A09"/>
    <w:rsid w:val="2F963509"/>
    <w:rsid w:val="2FA808A6"/>
    <w:rsid w:val="2FAD4710"/>
    <w:rsid w:val="2FD0497E"/>
    <w:rsid w:val="2FD25B53"/>
    <w:rsid w:val="2FD6409B"/>
    <w:rsid w:val="2FDD6778"/>
    <w:rsid w:val="30010B58"/>
    <w:rsid w:val="300A56D7"/>
    <w:rsid w:val="301E4C05"/>
    <w:rsid w:val="302774A3"/>
    <w:rsid w:val="302C43AB"/>
    <w:rsid w:val="303A0349"/>
    <w:rsid w:val="30566F21"/>
    <w:rsid w:val="30710A41"/>
    <w:rsid w:val="308B6CE7"/>
    <w:rsid w:val="30AE767C"/>
    <w:rsid w:val="30C3638E"/>
    <w:rsid w:val="30DC0F43"/>
    <w:rsid w:val="30F23983"/>
    <w:rsid w:val="30F83329"/>
    <w:rsid w:val="31314B0F"/>
    <w:rsid w:val="31443D36"/>
    <w:rsid w:val="31611217"/>
    <w:rsid w:val="318159BF"/>
    <w:rsid w:val="3195152F"/>
    <w:rsid w:val="319544E8"/>
    <w:rsid w:val="31975348"/>
    <w:rsid w:val="31993A22"/>
    <w:rsid w:val="319A0EEB"/>
    <w:rsid w:val="319C62F4"/>
    <w:rsid w:val="31AA48F6"/>
    <w:rsid w:val="31C01998"/>
    <w:rsid w:val="31D66C4B"/>
    <w:rsid w:val="31DE454E"/>
    <w:rsid w:val="3204479C"/>
    <w:rsid w:val="32182B20"/>
    <w:rsid w:val="32226669"/>
    <w:rsid w:val="32261F27"/>
    <w:rsid w:val="3250264F"/>
    <w:rsid w:val="32622141"/>
    <w:rsid w:val="32703589"/>
    <w:rsid w:val="32726352"/>
    <w:rsid w:val="32DE682A"/>
    <w:rsid w:val="32F26CE9"/>
    <w:rsid w:val="32F73B01"/>
    <w:rsid w:val="330E191A"/>
    <w:rsid w:val="33156AA8"/>
    <w:rsid w:val="33207E7D"/>
    <w:rsid w:val="332335D3"/>
    <w:rsid w:val="33304B62"/>
    <w:rsid w:val="33483B2E"/>
    <w:rsid w:val="337E770A"/>
    <w:rsid w:val="33875D9F"/>
    <w:rsid w:val="338B56E0"/>
    <w:rsid w:val="339537C5"/>
    <w:rsid w:val="339F6079"/>
    <w:rsid w:val="33B60C44"/>
    <w:rsid w:val="33E95046"/>
    <w:rsid w:val="3406659D"/>
    <w:rsid w:val="34066F3C"/>
    <w:rsid w:val="340B4EF1"/>
    <w:rsid w:val="341D068F"/>
    <w:rsid w:val="34316959"/>
    <w:rsid w:val="344E2731"/>
    <w:rsid w:val="345001F6"/>
    <w:rsid w:val="345B6BC1"/>
    <w:rsid w:val="34685AE6"/>
    <w:rsid w:val="346C2A8B"/>
    <w:rsid w:val="347A51A8"/>
    <w:rsid w:val="3494798E"/>
    <w:rsid w:val="349903C0"/>
    <w:rsid w:val="34AB3B17"/>
    <w:rsid w:val="34B15BC4"/>
    <w:rsid w:val="34B95D31"/>
    <w:rsid w:val="34DE1EC7"/>
    <w:rsid w:val="35035D09"/>
    <w:rsid w:val="35183915"/>
    <w:rsid w:val="35192255"/>
    <w:rsid w:val="35287FAE"/>
    <w:rsid w:val="353E11C4"/>
    <w:rsid w:val="35581B81"/>
    <w:rsid w:val="357B7805"/>
    <w:rsid w:val="35896F5C"/>
    <w:rsid w:val="35AC6D6C"/>
    <w:rsid w:val="35C13050"/>
    <w:rsid w:val="35C802BA"/>
    <w:rsid w:val="35DA02CD"/>
    <w:rsid w:val="35E429BA"/>
    <w:rsid w:val="35F45BEE"/>
    <w:rsid w:val="35FE4C86"/>
    <w:rsid w:val="361D7265"/>
    <w:rsid w:val="363362DB"/>
    <w:rsid w:val="363E657D"/>
    <w:rsid w:val="36510EAD"/>
    <w:rsid w:val="366A5161"/>
    <w:rsid w:val="366F1AE0"/>
    <w:rsid w:val="36706BB8"/>
    <w:rsid w:val="3674012D"/>
    <w:rsid w:val="367852F0"/>
    <w:rsid w:val="368E39AF"/>
    <w:rsid w:val="36910587"/>
    <w:rsid w:val="369A304A"/>
    <w:rsid w:val="369F433B"/>
    <w:rsid w:val="36D04A11"/>
    <w:rsid w:val="36F275DB"/>
    <w:rsid w:val="36F823B4"/>
    <w:rsid w:val="37093120"/>
    <w:rsid w:val="37134BE4"/>
    <w:rsid w:val="371948C9"/>
    <w:rsid w:val="371A057C"/>
    <w:rsid w:val="373321D9"/>
    <w:rsid w:val="375A0A59"/>
    <w:rsid w:val="37691FF5"/>
    <w:rsid w:val="376B4967"/>
    <w:rsid w:val="377E4B13"/>
    <w:rsid w:val="379762ED"/>
    <w:rsid w:val="37A22AA5"/>
    <w:rsid w:val="37C849B6"/>
    <w:rsid w:val="37CD3840"/>
    <w:rsid w:val="37EF5486"/>
    <w:rsid w:val="37F61973"/>
    <w:rsid w:val="37F62926"/>
    <w:rsid w:val="37F74366"/>
    <w:rsid w:val="37FEB1B5"/>
    <w:rsid w:val="384D4981"/>
    <w:rsid w:val="386C755C"/>
    <w:rsid w:val="386F0D9D"/>
    <w:rsid w:val="389B032D"/>
    <w:rsid w:val="38AA793D"/>
    <w:rsid w:val="38B277DA"/>
    <w:rsid w:val="38B642D4"/>
    <w:rsid w:val="38BD1295"/>
    <w:rsid w:val="38DC1FD6"/>
    <w:rsid w:val="38FC4711"/>
    <w:rsid w:val="392C7704"/>
    <w:rsid w:val="394D47A6"/>
    <w:rsid w:val="3961704A"/>
    <w:rsid w:val="398D24B2"/>
    <w:rsid w:val="399A1496"/>
    <w:rsid w:val="39A65290"/>
    <w:rsid w:val="39B42F70"/>
    <w:rsid w:val="39BA1BA2"/>
    <w:rsid w:val="39D52796"/>
    <w:rsid w:val="39D6051A"/>
    <w:rsid w:val="39EB1191"/>
    <w:rsid w:val="39FC65CC"/>
    <w:rsid w:val="39FE6F59"/>
    <w:rsid w:val="3A1A6AE5"/>
    <w:rsid w:val="3A2B69F3"/>
    <w:rsid w:val="3A4526F1"/>
    <w:rsid w:val="3A701AE7"/>
    <w:rsid w:val="3A750E6E"/>
    <w:rsid w:val="3A941C32"/>
    <w:rsid w:val="3AA83C87"/>
    <w:rsid w:val="3AB67AB0"/>
    <w:rsid w:val="3AC628CD"/>
    <w:rsid w:val="3ACE7FFB"/>
    <w:rsid w:val="3AD603BE"/>
    <w:rsid w:val="3AEF76EC"/>
    <w:rsid w:val="3AF2384C"/>
    <w:rsid w:val="3B002605"/>
    <w:rsid w:val="3B0E070B"/>
    <w:rsid w:val="3B0E7276"/>
    <w:rsid w:val="3B5A0033"/>
    <w:rsid w:val="3B6E3567"/>
    <w:rsid w:val="3BA34E54"/>
    <w:rsid w:val="3BAD45C9"/>
    <w:rsid w:val="3BC477EF"/>
    <w:rsid w:val="3BD54ECE"/>
    <w:rsid w:val="3BDA7FB9"/>
    <w:rsid w:val="3BE26336"/>
    <w:rsid w:val="3C136345"/>
    <w:rsid w:val="3C260152"/>
    <w:rsid w:val="3C4F3ADC"/>
    <w:rsid w:val="3C5C187A"/>
    <w:rsid w:val="3C7F4555"/>
    <w:rsid w:val="3C96614A"/>
    <w:rsid w:val="3C9B5744"/>
    <w:rsid w:val="3CA36B67"/>
    <w:rsid w:val="3CA46E57"/>
    <w:rsid w:val="3CA628B2"/>
    <w:rsid w:val="3CC276DE"/>
    <w:rsid w:val="3CD27392"/>
    <w:rsid w:val="3CED04E1"/>
    <w:rsid w:val="3CF32FDE"/>
    <w:rsid w:val="3CF570D5"/>
    <w:rsid w:val="3CFC24D2"/>
    <w:rsid w:val="3CFF78D5"/>
    <w:rsid w:val="3D1D0DC6"/>
    <w:rsid w:val="3D1F4B70"/>
    <w:rsid w:val="3D3706E1"/>
    <w:rsid w:val="3D3B3C1C"/>
    <w:rsid w:val="3D3F3B51"/>
    <w:rsid w:val="3D4A629D"/>
    <w:rsid w:val="3D4C5425"/>
    <w:rsid w:val="3D6A1E76"/>
    <w:rsid w:val="3D944C04"/>
    <w:rsid w:val="3DA908AC"/>
    <w:rsid w:val="3DD00851"/>
    <w:rsid w:val="3DF862BE"/>
    <w:rsid w:val="3E016DE0"/>
    <w:rsid w:val="3E067ECF"/>
    <w:rsid w:val="3E124382"/>
    <w:rsid w:val="3E23472E"/>
    <w:rsid w:val="3E522CC8"/>
    <w:rsid w:val="3E5C192C"/>
    <w:rsid w:val="3E6C53A7"/>
    <w:rsid w:val="3E785CFB"/>
    <w:rsid w:val="3E826A0A"/>
    <w:rsid w:val="3E935747"/>
    <w:rsid w:val="3EB06511"/>
    <w:rsid w:val="3EBC1C11"/>
    <w:rsid w:val="3ECC2AA4"/>
    <w:rsid w:val="3ECF1D83"/>
    <w:rsid w:val="3EDDF4FA"/>
    <w:rsid w:val="3EE55913"/>
    <w:rsid w:val="3EE8198D"/>
    <w:rsid w:val="3EF6D5F8"/>
    <w:rsid w:val="3F001701"/>
    <w:rsid w:val="3F01199F"/>
    <w:rsid w:val="3F0561CC"/>
    <w:rsid w:val="3F7B1879"/>
    <w:rsid w:val="3F8E6E64"/>
    <w:rsid w:val="3FB07CE1"/>
    <w:rsid w:val="3FC24032"/>
    <w:rsid w:val="3FCD4E02"/>
    <w:rsid w:val="3FE0008D"/>
    <w:rsid w:val="3FE27F44"/>
    <w:rsid w:val="3FE44DB0"/>
    <w:rsid w:val="40295C55"/>
    <w:rsid w:val="402B1A4C"/>
    <w:rsid w:val="40461D6E"/>
    <w:rsid w:val="404F327E"/>
    <w:rsid w:val="40743C2B"/>
    <w:rsid w:val="40764F3C"/>
    <w:rsid w:val="40766F7A"/>
    <w:rsid w:val="40C75330"/>
    <w:rsid w:val="40CA7613"/>
    <w:rsid w:val="40CE7297"/>
    <w:rsid w:val="40ED7B88"/>
    <w:rsid w:val="40F40090"/>
    <w:rsid w:val="4119401A"/>
    <w:rsid w:val="4134318C"/>
    <w:rsid w:val="414420D7"/>
    <w:rsid w:val="41497185"/>
    <w:rsid w:val="414B6138"/>
    <w:rsid w:val="417D70A3"/>
    <w:rsid w:val="418740B0"/>
    <w:rsid w:val="419844D8"/>
    <w:rsid w:val="41A2034E"/>
    <w:rsid w:val="41A979CC"/>
    <w:rsid w:val="41B240A7"/>
    <w:rsid w:val="41BD4926"/>
    <w:rsid w:val="41D536E3"/>
    <w:rsid w:val="41D95FE8"/>
    <w:rsid w:val="41E11CA7"/>
    <w:rsid w:val="41F1648E"/>
    <w:rsid w:val="41F8600A"/>
    <w:rsid w:val="420014A1"/>
    <w:rsid w:val="422D2160"/>
    <w:rsid w:val="42396A7D"/>
    <w:rsid w:val="423F1898"/>
    <w:rsid w:val="42580183"/>
    <w:rsid w:val="426D552C"/>
    <w:rsid w:val="429E1503"/>
    <w:rsid w:val="42C03D90"/>
    <w:rsid w:val="42C3234A"/>
    <w:rsid w:val="42CB1C99"/>
    <w:rsid w:val="42EC7954"/>
    <w:rsid w:val="42F9254F"/>
    <w:rsid w:val="43090FD9"/>
    <w:rsid w:val="430D0D7E"/>
    <w:rsid w:val="43171E14"/>
    <w:rsid w:val="432B598F"/>
    <w:rsid w:val="43313A24"/>
    <w:rsid w:val="433D10E2"/>
    <w:rsid w:val="43416A49"/>
    <w:rsid w:val="435C75F3"/>
    <w:rsid w:val="436F7031"/>
    <w:rsid w:val="43715308"/>
    <w:rsid w:val="43AA5F6D"/>
    <w:rsid w:val="43B14016"/>
    <w:rsid w:val="43BB6864"/>
    <w:rsid w:val="43E01243"/>
    <w:rsid w:val="43F00510"/>
    <w:rsid w:val="43FF5C60"/>
    <w:rsid w:val="44133386"/>
    <w:rsid w:val="442858E1"/>
    <w:rsid w:val="4431474F"/>
    <w:rsid w:val="44321313"/>
    <w:rsid w:val="446C6E24"/>
    <w:rsid w:val="447E2A0F"/>
    <w:rsid w:val="448A411E"/>
    <w:rsid w:val="44915828"/>
    <w:rsid w:val="449A30DE"/>
    <w:rsid w:val="44A47695"/>
    <w:rsid w:val="44BE666B"/>
    <w:rsid w:val="44D426B2"/>
    <w:rsid w:val="44D9550F"/>
    <w:rsid w:val="450918B6"/>
    <w:rsid w:val="452717E6"/>
    <w:rsid w:val="452F4F26"/>
    <w:rsid w:val="453F45E2"/>
    <w:rsid w:val="45405345"/>
    <w:rsid w:val="45463295"/>
    <w:rsid w:val="45875321"/>
    <w:rsid w:val="4588590C"/>
    <w:rsid w:val="45AB5E98"/>
    <w:rsid w:val="45C33153"/>
    <w:rsid w:val="45C513B0"/>
    <w:rsid w:val="45C861FB"/>
    <w:rsid w:val="45D166D3"/>
    <w:rsid w:val="46014259"/>
    <w:rsid w:val="461C5622"/>
    <w:rsid w:val="462678CF"/>
    <w:rsid w:val="46602401"/>
    <w:rsid w:val="4668035E"/>
    <w:rsid w:val="46883415"/>
    <w:rsid w:val="468F73FE"/>
    <w:rsid w:val="469A0BA6"/>
    <w:rsid w:val="46A4761C"/>
    <w:rsid w:val="46BD0001"/>
    <w:rsid w:val="46CF3BB8"/>
    <w:rsid w:val="46F62080"/>
    <w:rsid w:val="46FC4F20"/>
    <w:rsid w:val="47023471"/>
    <w:rsid w:val="47270310"/>
    <w:rsid w:val="47872571"/>
    <w:rsid w:val="478E4E27"/>
    <w:rsid w:val="47B570E5"/>
    <w:rsid w:val="47BD2B2E"/>
    <w:rsid w:val="47CC29CB"/>
    <w:rsid w:val="47CC540F"/>
    <w:rsid w:val="48042B34"/>
    <w:rsid w:val="48150631"/>
    <w:rsid w:val="482228FB"/>
    <w:rsid w:val="48284AC3"/>
    <w:rsid w:val="48304BEE"/>
    <w:rsid w:val="48524B0F"/>
    <w:rsid w:val="487C1B8E"/>
    <w:rsid w:val="488E6683"/>
    <w:rsid w:val="488F4366"/>
    <w:rsid w:val="48A142A4"/>
    <w:rsid w:val="48D86719"/>
    <w:rsid w:val="48F32F3B"/>
    <w:rsid w:val="490259A8"/>
    <w:rsid w:val="49132D3B"/>
    <w:rsid w:val="49142D90"/>
    <w:rsid w:val="4935600E"/>
    <w:rsid w:val="49385C0C"/>
    <w:rsid w:val="497425E1"/>
    <w:rsid w:val="498116C1"/>
    <w:rsid w:val="499F1C25"/>
    <w:rsid w:val="49AC50DE"/>
    <w:rsid w:val="49B101C9"/>
    <w:rsid w:val="49C05A4A"/>
    <w:rsid w:val="49E4340C"/>
    <w:rsid w:val="49F673AD"/>
    <w:rsid w:val="4A171FDA"/>
    <w:rsid w:val="4A1F34F0"/>
    <w:rsid w:val="4A3E1DFE"/>
    <w:rsid w:val="4A4F3F3B"/>
    <w:rsid w:val="4A557DC9"/>
    <w:rsid w:val="4A571D1F"/>
    <w:rsid w:val="4A5859B6"/>
    <w:rsid w:val="4A5E5A7F"/>
    <w:rsid w:val="4A6F5CAB"/>
    <w:rsid w:val="4A7B361B"/>
    <w:rsid w:val="4A8C1339"/>
    <w:rsid w:val="4A8E24A5"/>
    <w:rsid w:val="4A951FC0"/>
    <w:rsid w:val="4AA85AA1"/>
    <w:rsid w:val="4AAC3CC5"/>
    <w:rsid w:val="4AB074A4"/>
    <w:rsid w:val="4AB859D6"/>
    <w:rsid w:val="4ACE54AE"/>
    <w:rsid w:val="4ADC18E8"/>
    <w:rsid w:val="4AEF530D"/>
    <w:rsid w:val="4B012F2C"/>
    <w:rsid w:val="4B3012BB"/>
    <w:rsid w:val="4B4F2A61"/>
    <w:rsid w:val="4B6206BA"/>
    <w:rsid w:val="4BA14318"/>
    <w:rsid w:val="4BC75FB4"/>
    <w:rsid w:val="4BCD4F56"/>
    <w:rsid w:val="4BDE0179"/>
    <w:rsid w:val="4BE15EC5"/>
    <w:rsid w:val="4BF5731E"/>
    <w:rsid w:val="4C2E3BAD"/>
    <w:rsid w:val="4C3B48FD"/>
    <w:rsid w:val="4C457A46"/>
    <w:rsid w:val="4C57618A"/>
    <w:rsid w:val="4CBD6FDE"/>
    <w:rsid w:val="4CE87073"/>
    <w:rsid w:val="4CF71222"/>
    <w:rsid w:val="4D2D61FC"/>
    <w:rsid w:val="4D3A55F0"/>
    <w:rsid w:val="4D5679DC"/>
    <w:rsid w:val="4D956F49"/>
    <w:rsid w:val="4D9661D8"/>
    <w:rsid w:val="4D97655C"/>
    <w:rsid w:val="4D9F06AB"/>
    <w:rsid w:val="4DB45FFA"/>
    <w:rsid w:val="4DD62336"/>
    <w:rsid w:val="4DE107E9"/>
    <w:rsid w:val="4DE82D2A"/>
    <w:rsid w:val="4DEB5A29"/>
    <w:rsid w:val="4E144BA8"/>
    <w:rsid w:val="4E163B5A"/>
    <w:rsid w:val="4E2B2C17"/>
    <w:rsid w:val="4E324158"/>
    <w:rsid w:val="4E332FE3"/>
    <w:rsid w:val="4E57075F"/>
    <w:rsid w:val="4E6945C9"/>
    <w:rsid w:val="4E717CB1"/>
    <w:rsid w:val="4E846B0F"/>
    <w:rsid w:val="4E9A4715"/>
    <w:rsid w:val="4E9F1C96"/>
    <w:rsid w:val="4EA62F7D"/>
    <w:rsid w:val="4EAF0CD3"/>
    <w:rsid w:val="4EB4138B"/>
    <w:rsid w:val="4ECE4B20"/>
    <w:rsid w:val="4EE5527D"/>
    <w:rsid w:val="4EF76B75"/>
    <w:rsid w:val="4F307F99"/>
    <w:rsid w:val="4F3A5808"/>
    <w:rsid w:val="4F5712D6"/>
    <w:rsid w:val="4F61758B"/>
    <w:rsid w:val="4F6F18D7"/>
    <w:rsid w:val="4FAD422B"/>
    <w:rsid w:val="4FB9185A"/>
    <w:rsid w:val="4FE35DF0"/>
    <w:rsid w:val="4FE94B64"/>
    <w:rsid w:val="4FFA0F38"/>
    <w:rsid w:val="501C56B7"/>
    <w:rsid w:val="50530BC8"/>
    <w:rsid w:val="506F39D9"/>
    <w:rsid w:val="508C01A9"/>
    <w:rsid w:val="50A44E55"/>
    <w:rsid w:val="50A54FE5"/>
    <w:rsid w:val="50B0253B"/>
    <w:rsid w:val="50C15033"/>
    <w:rsid w:val="50E040CF"/>
    <w:rsid w:val="50FA20DB"/>
    <w:rsid w:val="51187221"/>
    <w:rsid w:val="5131350C"/>
    <w:rsid w:val="51316E35"/>
    <w:rsid w:val="513C2EDD"/>
    <w:rsid w:val="5148016F"/>
    <w:rsid w:val="51833443"/>
    <w:rsid w:val="51866319"/>
    <w:rsid w:val="51906B62"/>
    <w:rsid w:val="519949CA"/>
    <w:rsid w:val="5199796C"/>
    <w:rsid w:val="51AB3BDE"/>
    <w:rsid w:val="51BB4F4F"/>
    <w:rsid w:val="51DE196A"/>
    <w:rsid w:val="51E273BE"/>
    <w:rsid w:val="51E61FD0"/>
    <w:rsid w:val="51EF26CD"/>
    <w:rsid w:val="52244CE0"/>
    <w:rsid w:val="522A03F2"/>
    <w:rsid w:val="52341AFD"/>
    <w:rsid w:val="523B5CD2"/>
    <w:rsid w:val="52597C66"/>
    <w:rsid w:val="52655244"/>
    <w:rsid w:val="52847CC6"/>
    <w:rsid w:val="529D3D17"/>
    <w:rsid w:val="52A07287"/>
    <w:rsid w:val="52A95A7A"/>
    <w:rsid w:val="52B17872"/>
    <w:rsid w:val="52BA0C9C"/>
    <w:rsid w:val="52C06C9F"/>
    <w:rsid w:val="52ED2B91"/>
    <w:rsid w:val="53074673"/>
    <w:rsid w:val="53187152"/>
    <w:rsid w:val="532B17C9"/>
    <w:rsid w:val="5348123E"/>
    <w:rsid w:val="5349236F"/>
    <w:rsid w:val="534C5B64"/>
    <w:rsid w:val="53515CAE"/>
    <w:rsid w:val="536107A3"/>
    <w:rsid w:val="538240B5"/>
    <w:rsid w:val="538452A3"/>
    <w:rsid w:val="538C167D"/>
    <w:rsid w:val="538E7ED0"/>
    <w:rsid w:val="53A800FC"/>
    <w:rsid w:val="53AD440C"/>
    <w:rsid w:val="53DE163D"/>
    <w:rsid w:val="53E61ABA"/>
    <w:rsid w:val="541455EA"/>
    <w:rsid w:val="542303F8"/>
    <w:rsid w:val="54444A33"/>
    <w:rsid w:val="545D2753"/>
    <w:rsid w:val="54604F80"/>
    <w:rsid w:val="54612EE1"/>
    <w:rsid w:val="546209B4"/>
    <w:rsid w:val="54666D10"/>
    <w:rsid w:val="5478407C"/>
    <w:rsid w:val="5481397B"/>
    <w:rsid w:val="5490425F"/>
    <w:rsid w:val="54961B6C"/>
    <w:rsid w:val="54967355"/>
    <w:rsid w:val="54EC26DD"/>
    <w:rsid w:val="55051CE9"/>
    <w:rsid w:val="55090217"/>
    <w:rsid w:val="551A29AD"/>
    <w:rsid w:val="55364E1B"/>
    <w:rsid w:val="55437EFB"/>
    <w:rsid w:val="55844014"/>
    <w:rsid w:val="558C32BA"/>
    <w:rsid w:val="55AC05AB"/>
    <w:rsid w:val="55B45D02"/>
    <w:rsid w:val="55BC6AC0"/>
    <w:rsid w:val="55C34E73"/>
    <w:rsid w:val="55FC2402"/>
    <w:rsid w:val="55FC6482"/>
    <w:rsid w:val="55FD2356"/>
    <w:rsid w:val="55FD7D0A"/>
    <w:rsid w:val="561624E4"/>
    <w:rsid w:val="56433506"/>
    <w:rsid w:val="56617DD7"/>
    <w:rsid w:val="568238F3"/>
    <w:rsid w:val="56AB71DB"/>
    <w:rsid w:val="56BD2924"/>
    <w:rsid w:val="56D71B8E"/>
    <w:rsid w:val="57085EE4"/>
    <w:rsid w:val="570B3E02"/>
    <w:rsid w:val="571BFF49"/>
    <w:rsid w:val="573F5101"/>
    <w:rsid w:val="576D37A4"/>
    <w:rsid w:val="578E65D4"/>
    <w:rsid w:val="57B049BA"/>
    <w:rsid w:val="57B958F8"/>
    <w:rsid w:val="57C05CCD"/>
    <w:rsid w:val="57C413A5"/>
    <w:rsid w:val="57CE11E3"/>
    <w:rsid w:val="57E767A6"/>
    <w:rsid w:val="57EE3484"/>
    <w:rsid w:val="57F80C60"/>
    <w:rsid w:val="58215AB6"/>
    <w:rsid w:val="582B0154"/>
    <w:rsid w:val="585F534A"/>
    <w:rsid w:val="58862B72"/>
    <w:rsid w:val="588A5AE9"/>
    <w:rsid w:val="58900C95"/>
    <w:rsid w:val="589C50B7"/>
    <w:rsid w:val="589E625B"/>
    <w:rsid w:val="58B20AEC"/>
    <w:rsid w:val="58BF52A9"/>
    <w:rsid w:val="58D87F55"/>
    <w:rsid w:val="58D927FA"/>
    <w:rsid w:val="58DF4FEC"/>
    <w:rsid w:val="58FE49B7"/>
    <w:rsid w:val="58FEAF7A"/>
    <w:rsid w:val="59021FD2"/>
    <w:rsid w:val="59267B33"/>
    <w:rsid w:val="592B4373"/>
    <w:rsid w:val="59615283"/>
    <w:rsid w:val="596662A5"/>
    <w:rsid w:val="59902F35"/>
    <w:rsid w:val="5994238E"/>
    <w:rsid w:val="5995052F"/>
    <w:rsid w:val="59B93C4C"/>
    <w:rsid w:val="59D165F0"/>
    <w:rsid w:val="59D35D63"/>
    <w:rsid w:val="59E04505"/>
    <w:rsid w:val="59FA3177"/>
    <w:rsid w:val="5A143B8D"/>
    <w:rsid w:val="5A223159"/>
    <w:rsid w:val="5A3A0AA5"/>
    <w:rsid w:val="5A4F554A"/>
    <w:rsid w:val="5A506F3E"/>
    <w:rsid w:val="5A7526C4"/>
    <w:rsid w:val="5A940D72"/>
    <w:rsid w:val="5AB41DB0"/>
    <w:rsid w:val="5AD732CB"/>
    <w:rsid w:val="5AF46232"/>
    <w:rsid w:val="5B12588A"/>
    <w:rsid w:val="5B411CCC"/>
    <w:rsid w:val="5B506E2B"/>
    <w:rsid w:val="5B6441D3"/>
    <w:rsid w:val="5B6B430D"/>
    <w:rsid w:val="5B6F3E29"/>
    <w:rsid w:val="5B7B31A9"/>
    <w:rsid w:val="5B815166"/>
    <w:rsid w:val="5B83592D"/>
    <w:rsid w:val="5BA33C64"/>
    <w:rsid w:val="5BDD7F38"/>
    <w:rsid w:val="5C047B83"/>
    <w:rsid w:val="5C0B29A6"/>
    <w:rsid w:val="5C1D4690"/>
    <w:rsid w:val="5C267747"/>
    <w:rsid w:val="5C2B62DF"/>
    <w:rsid w:val="5C414134"/>
    <w:rsid w:val="5C4D667C"/>
    <w:rsid w:val="5C7E1B5B"/>
    <w:rsid w:val="5C993250"/>
    <w:rsid w:val="5C9A3C1D"/>
    <w:rsid w:val="5C9D30FF"/>
    <w:rsid w:val="5C9F6CAA"/>
    <w:rsid w:val="5CA7BEF0"/>
    <w:rsid w:val="5CC24565"/>
    <w:rsid w:val="5CC77665"/>
    <w:rsid w:val="5CD37506"/>
    <w:rsid w:val="5CD9561D"/>
    <w:rsid w:val="5CEC1798"/>
    <w:rsid w:val="5D050023"/>
    <w:rsid w:val="5D077BAE"/>
    <w:rsid w:val="5D1B4EFD"/>
    <w:rsid w:val="5D232C38"/>
    <w:rsid w:val="5D276BDB"/>
    <w:rsid w:val="5D2E7780"/>
    <w:rsid w:val="5D4D32C7"/>
    <w:rsid w:val="5D779D4D"/>
    <w:rsid w:val="5D787B8A"/>
    <w:rsid w:val="5D93642D"/>
    <w:rsid w:val="5D956205"/>
    <w:rsid w:val="5D983E4F"/>
    <w:rsid w:val="5DCB48EE"/>
    <w:rsid w:val="5DCF5602"/>
    <w:rsid w:val="5DF448E5"/>
    <w:rsid w:val="5E09755D"/>
    <w:rsid w:val="5E2C3A7D"/>
    <w:rsid w:val="5E390CAF"/>
    <w:rsid w:val="5E3C6D30"/>
    <w:rsid w:val="5E4E37AD"/>
    <w:rsid w:val="5E5F5EF7"/>
    <w:rsid w:val="5E60128D"/>
    <w:rsid w:val="5E697D49"/>
    <w:rsid w:val="5E6D720A"/>
    <w:rsid w:val="5E7F4FE5"/>
    <w:rsid w:val="5E9E7B40"/>
    <w:rsid w:val="5EB23E2B"/>
    <w:rsid w:val="5EC5386C"/>
    <w:rsid w:val="5EDA419A"/>
    <w:rsid w:val="5EE51AE4"/>
    <w:rsid w:val="5EF048AB"/>
    <w:rsid w:val="5F036FBE"/>
    <w:rsid w:val="5F0A15F3"/>
    <w:rsid w:val="5F313E05"/>
    <w:rsid w:val="5F433247"/>
    <w:rsid w:val="5F45258B"/>
    <w:rsid w:val="5F5C1C5B"/>
    <w:rsid w:val="5F5D5201"/>
    <w:rsid w:val="5F690130"/>
    <w:rsid w:val="5F73BD68"/>
    <w:rsid w:val="5F7E1630"/>
    <w:rsid w:val="5F966E18"/>
    <w:rsid w:val="5F970059"/>
    <w:rsid w:val="5F9A70E8"/>
    <w:rsid w:val="5FAD1249"/>
    <w:rsid w:val="5FB0093D"/>
    <w:rsid w:val="5FC11C01"/>
    <w:rsid w:val="5FE65556"/>
    <w:rsid w:val="601E660F"/>
    <w:rsid w:val="603A21D9"/>
    <w:rsid w:val="6094289E"/>
    <w:rsid w:val="609C6B9A"/>
    <w:rsid w:val="60B52778"/>
    <w:rsid w:val="60B718BC"/>
    <w:rsid w:val="60D90292"/>
    <w:rsid w:val="61022FB1"/>
    <w:rsid w:val="61031113"/>
    <w:rsid w:val="6113529D"/>
    <w:rsid w:val="61166383"/>
    <w:rsid w:val="613A7352"/>
    <w:rsid w:val="613D732D"/>
    <w:rsid w:val="614A63D5"/>
    <w:rsid w:val="614B4412"/>
    <w:rsid w:val="6155317E"/>
    <w:rsid w:val="615F1B75"/>
    <w:rsid w:val="61616C24"/>
    <w:rsid w:val="617D7BD4"/>
    <w:rsid w:val="61973B2B"/>
    <w:rsid w:val="61BB2FCE"/>
    <w:rsid w:val="61D57BE4"/>
    <w:rsid w:val="6200214A"/>
    <w:rsid w:val="62521141"/>
    <w:rsid w:val="629A0A03"/>
    <w:rsid w:val="62A102F6"/>
    <w:rsid w:val="62A15832"/>
    <w:rsid w:val="62A872C5"/>
    <w:rsid w:val="62B84231"/>
    <w:rsid w:val="62C47FC5"/>
    <w:rsid w:val="62D31681"/>
    <w:rsid w:val="62D50185"/>
    <w:rsid w:val="62F449E2"/>
    <w:rsid w:val="630E388B"/>
    <w:rsid w:val="63203565"/>
    <w:rsid w:val="63282DB4"/>
    <w:rsid w:val="63360D48"/>
    <w:rsid w:val="63813D88"/>
    <w:rsid w:val="63896059"/>
    <w:rsid w:val="63A75A25"/>
    <w:rsid w:val="63AA056F"/>
    <w:rsid w:val="63B81E84"/>
    <w:rsid w:val="63D559FD"/>
    <w:rsid w:val="63D65836"/>
    <w:rsid w:val="63E632A0"/>
    <w:rsid w:val="63EA73A4"/>
    <w:rsid w:val="63FA14BE"/>
    <w:rsid w:val="640516EE"/>
    <w:rsid w:val="64257378"/>
    <w:rsid w:val="64284B5D"/>
    <w:rsid w:val="642E3C6C"/>
    <w:rsid w:val="644C3123"/>
    <w:rsid w:val="645C0C48"/>
    <w:rsid w:val="64732602"/>
    <w:rsid w:val="64786AE4"/>
    <w:rsid w:val="64945730"/>
    <w:rsid w:val="64B97A50"/>
    <w:rsid w:val="64BC7EC9"/>
    <w:rsid w:val="64C85EB7"/>
    <w:rsid w:val="64E472EC"/>
    <w:rsid w:val="64F1387C"/>
    <w:rsid w:val="64FD041F"/>
    <w:rsid w:val="64FE7D01"/>
    <w:rsid w:val="64FF55AF"/>
    <w:rsid w:val="6510166A"/>
    <w:rsid w:val="6510790A"/>
    <w:rsid w:val="6511382D"/>
    <w:rsid w:val="652468A8"/>
    <w:rsid w:val="654153AA"/>
    <w:rsid w:val="655D5D1D"/>
    <w:rsid w:val="65684079"/>
    <w:rsid w:val="657F4530"/>
    <w:rsid w:val="65847FCB"/>
    <w:rsid w:val="658D6CC0"/>
    <w:rsid w:val="659912BC"/>
    <w:rsid w:val="65E850A7"/>
    <w:rsid w:val="65F22F16"/>
    <w:rsid w:val="66205162"/>
    <w:rsid w:val="663C214A"/>
    <w:rsid w:val="664B3CD4"/>
    <w:rsid w:val="666770BE"/>
    <w:rsid w:val="666A2BB2"/>
    <w:rsid w:val="666B550A"/>
    <w:rsid w:val="668A491E"/>
    <w:rsid w:val="66BC2B4E"/>
    <w:rsid w:val="66CC6427"/>
    <w:rsid w:val="66E66872"/>
    <w:rsid w:val="67255D99"/>
    <w:rsid w:val="672701F0"/>
    <w:rsid w:val="67467301"/>
    <w:rsid w:val="67512BB0"/>
    <w:rsid w:val="675D5843"/>
    <w:rsid w:val="676952A1"/>
    <w:rsid w:val="676B24FB"/>
    <w:rsid w:val="67786092"/>
    <w:rsid w:val="67967A99"/>
    <w:rsid w:val="67C174B3"/>
    <w:rsid w:val="6809702F"/>
    <w:rsid w:val="681A2772"/>
    <w:rsid w:val="681E5132"/>
    <w:rsid w:val="682B7F8C"/>
    <w:rsid w:val="683F2746"/>
    <w:rsid w:val="68421E34"/>
    <w:rsid w:val="684C208C"/>
    <w:rsid w:val="68623F1F"/>
    <w:rsid w:val="68701E42"/>
    <w:rsid w:val="68982479"/>
    <w:rsid w:val="68AB5D80"/>
    <w:rsid w:val="68B02F4E"/>
    <w:rsid w:val="68C54DA1"/>
    <w:rsid w:val="68E0239E"/>
    <w:rsid w:val="68E82796"/>
    <w:rsid w:val="68EC55F7"/>
    <w:rsid w:val="690540BF"/>
    <w:rsid w:val="690560DF"/>
    <w:rsid w:val="69075C34"/>
    <w:rsid w:val="691A5EE6"/>
    <w:rsid w:val="691E5013"/>
    <w:rsid w:val="69341349"/>
    <w:rsid w:val="693F23B7"/>
    <w:rsid w:val="6956398A"/>
    <w:rsid w:val="696370F4"/>
    <w:rsid w:val="696C0310"/>
    <w:rsid w:val="69845C64"/>
    <w:rsid w:val="69B247C8"/>
    <w:rsid w:val="69C64714"/>
    <w:rsid w:val="69CA4852"/>
    <w:rsid w:val="69CC56B4"/>
    <w:rsid w:val="69EF59B1"/>
    <w:rsid w:val="6A0700E9"/>
    <w:rsid w:val="6A136410"/>
    <w:rsid w:val="6A2B02B0"/>
    <w:rsid w:val="6A327563"/>
    <w:rsid w:val="6A4109EA"/>
    <w:rsid w:val="6A4C7071"/>
    <w:rsid w:val="6A694F27"/>
    <w:rsid w:val="6A7264BF"/>
    <w:rsid w:val="6A920CE5"/>
    <w:rsid w:val="6AAA1233"/>
    <w:rsid w:val="6ABB6531"/>
    <w:rsid w:val="6AE663EC"/>
    <w:rsid w:val="6B1E16E2"/>
    <w:rsid w:val="6B3525B5"/>
    <w:rsid w:val="6B4337DD"/>
    <w:rsid w:val="6B5B3A72"/>
    <w:rsid w:val="6B6D5FC2"/>
    <w:rsid w:val="6B960C61"/>
    <w:rsid w:val="6C171503"/>
    <w:rsid w:val="6C1A7210"/>
    <w:rsid w:val="6C1B6850"/>
    <w:rsid w:val="6C225448"/>
    <w:rsid w:val="6C2C6080"/>
    <w:rsid w:val="6C3167E0"/>
    <w:rsid w:val="6C350AD4"/>
    <w:rsid w:val="6C933EFE"/>
    <w:rsid w:val="6C9C5BD4"/>
    <w:rsid w:val="6CA251B2"/>
    <w:rsid w:val="6CB76C88"/>
    <w:rsid w:val="6CCB691F"/>
    <w:rsid w:val="6CEB1A97"/>
    <w:rsid w:val="6CF42ABF"/>
    <w:rsid w:val="6D1C298A"/>
    <w:rsid w:val="6D216851"/>
    <w:rsid w:val="6D5E2905"/>
    <w:rsid w:val="6D723F25"/>
    <w:rsid w:val="6D827B16"/>
    <w:rsid w:val="6D8E1695"/>
    <w:rsid w:val="6D9222C1"/>
    <w:rsid w:val="6D9803A2"/>
    <w:rsid w:val="6DC13CA6"/>
    <w:rsid w:val="6DCD28E3"/>
    <w:rsid w:val="6DE63790"/>
    <w:rsid w:val="6DEA4F8E"/>
    <w:rsid w:val="6DF710C0"/>
    <w:rsid w:val="6DFE7A4F"/>
    <w:rsid w:val="6E0C0136"/>
    <w:rsid w:val="6E130DE5"/>
    <w:rsid w:val="6E194716"/>
    <w:rsid w:val="6E5A1A5A"/>
    <w:rsid w:val="6E5E7425"/>
    <w:rsid w:val="6E6C37E0"/>
    <w:rsid w:val="6E6E31FD"/>
    <w:rsid w:val="6E7962F9"/>
    <w:rsid w:val="6EAE2137"/>
    <w:rsid w:val="6EB221A0"/>
    <w:rsid w:val="6EB44823"/>
    <w:rsid w:val="6ECF300F"/>
    <w:rsid w:val="6EEE712E"/>
    <w:rsid w:val="6F010C33"/>
    <w:rsid w:val="6F431348"/>
    <w:rsid w:val="6F58000D"/>
    <w:rsid w:val="6F7C77BD"/>
    <w:rsid w:val="6F7DC595"/>
    <w:rsid w:val="6F7E7354"/>
    <w:rsid w:val="6F7F1B4B"/>
    <w:rsid w:val="6F9A4163"/>
    <w:rsid w:val="6FB645DF"/>
    <w:rsid w:val="6FCD1A6E"/>
    <w:rsid w:val="6FD77A28"/>
    <w:rsid w:val="6FF35895"/>
    <w:rsid w:val="6FFF5A7F"/>
    <w:rsid w:val="701E0731"/>
    <w:rsid w:val="70291C46"/>
    <w:rsid w:val="70341DAC"/>
    <w:rsid w:val="70350C60"/>
    <w:rsid w:val="7075685A"/>
    <w:rsid w:val="70A30A11"/>
    <w:rsid w:val="70AC2981"/>
    <w:rsid w:val="70B7547C"/>
    <w:rsid w:val="70C04C1F"/>
    <w:rsid w:val="70C655B0"/>
    <w:rsid w:val="70CE4C96"/>
    <w:rsid w:val="70CF0B3D"/>
    <w:rsid w:val="71354387"/>
    <w:rsid w:val="714317DD"/>
    <w:rsid w:val="715116D2"/>
    <w:rsid w:val="7162408D"/>
    <w:rsid w:val="71625915"/>
    <w:rsid w:val="71772542"/>
    <w:rsid w:val="718C2E11"/>
    <w:rsid w:val="71B21069"/>
    <w:rsid w:val="71B72506"/>
    <w:rsid w:val="71CA73EC"/>
    <w:rsid w:val="71CC3CC0"/>
    <w:rsid w:val="71DB24DA"/>
    <w:rsid w:val="71E15738"/>
    <w:rsid w:val="71F343BB"/>
    <w:rsid w:val="71F633F8"/>
    <w:rsid w:val="71F744F2"/>
    <w:rsid w:val="72126C7F"/>
    <w:rsid w:val="7218415A"/>
    <w:rsid w:val="721F5CC8"/>
    <w:rsid w:val="72450106"/>
    <w:rsid w:val="728F46AF"/>
    <w:rsid w:val="72A33D69"/>
    <w:rsid w:val="72DE9038"/>
    <w:rsid w:val="730F3394"/>
    <w:rsid w:val="73175288"/>
    <w:rsid w:val="731A697D"/>
    <w:rsid w:val="733D4CBA"/>
    <w:rsid w:val="73410663"/>
    <w:rsid w:val="735A2220"/>
    <w:rsid w:val="73793F92"/>
    <w:rsid w:val="73D83477"/>
    <w:rsid w:val="73E43E5B"/>
    <w:rsid w:val="74026044"/>
    <w:rsid w:val="741B3C37"/>
    <w:rsid w:val="743B2BB7"/>
    <w:rsid w:val="747924D5"/>
    <w:rsid w:val="748D443D"/>
    <w:rsid w:val="749F7D37"/>
    <w:rsid w:val="74B63C4A"/>
    <w:rsid w:val="74BF0839"/>
    <w:rsid w:val="74BFAF04"/>
    <w:rsid w:val="74CF6187"/>
    <w:rsid w:val="74D30D95"/>
    <w:rsid w:val="74F62207"/>
    <w:rsid w:val="750D788E"/>
    <w:rsid w:val="752A5775"/>
    <w:rsid w:val="753A15D7"/>
    <w:rsid w:val="754209C2"/>
    <w:rsid w:val="754A4575"/>
    <w:rsid w:val="7564688B"/>
    <w:rsid w:val="75745F30"/>
    <w:rsid w:val="75CC5684"/>
    <w:rsid w:val="75D52C2D"/>
    <w:rsid w:val="75FF0359"/>
    <w:rsid w:val="76021F59"/>
    <w:rsid w:val="760807B1"/>
    <w:rsid w:val="765B1419"/>
    <w:rsid w:val="76652961"/>
    <w:rsid w:val="7671275F"/>
    <w:rsid w:val="76971CDF"/>
    <w:rsid w:val="769D4069"/>
    <w:rsid w:val="76A60379"/>
    <w:rsid w:val="76AA5144"/>
    <w:rsid w:val="76AC1D52"/>
    <w:rsid w:val="76BD0685"/>
    <w:rsid w:val="76DF0815"/>
    <w:rsid w:val="76E56A8E"/>
    <w:rsid w:val="76F83B54"/>
    <w:rsid w:val="773125E2"/>
    <w:rsid w:val="778B4ADE"/>
    <w:rsid w:val="778E4093"/>
    <w:rsid w:val="779BF821"/>
    <w:rsid w:val="77AA273E"/>
    <w:rsid w:val="77AC0674"/>
    <w:rsid w:val="77BA7C86"/>
    <w:rsid w:val="77CA69F1"/>
    <w:rsid w:val="77CC7198"/>
    <w:rsid w:val="77CE2B57"/>
    <w:rsid w:val="77D753B8"/>
    <w:rsid w:val="77DE0B76"/>
    <w:rsid w:val="77E43DD2"/>
    <w:rsid w:val="77F6075E"/>
    <w:rsid w:val="77FB5427"/>
    <w:rsid w:val="77FF081E"/>
    <w:rsid w:val="780D0A8D"/>
    <w:rsid w:val="78151A26"/>
    <w:rsid w:val="78286AF7"/>
    <w:rsid w:val="782D3663"/>
    <w:rsid w:val="7843265A"/>
    <w:rsid w:val="786F7A21"/>
    <w:rsid w:val="788829E6"/>
    <w:rsid w:val="789B7702"/>
    <w:rsid w:val="78BA03C6"/>
    <w:rsid w:val="78E11465"/>
    <w:rsid w:val="78F47D2D"/>
    <w:rsid w:val="78F64552"/>
    <w:rsid w:val="78F6798A"/>
    <w:rsid w:val="79116D1B"/>
    <w:rsid w:val="793C5C50"/>
    <w:rsid w:val="796C0923"/>
    <w:rsid w:val="79795F5A"/>
    <w:rsid w:val="798D0AD2"/>
    <w:rsid w:val="799D2A2D"/>
    <w:rsid w:val="79A41C7C"/>
    <w:rsid w:val="79DF1B4D"/>
    <w:rsid w:val="79F81E12"/>
    <w:rsid w:val="7A0A7CEB"/>
    <w:rsid w:val="7A101951"/>
    <w:rsid w:val="7A1C65EB"/>
    <w:rsid w:val="7A4E7266"/>
    <w:rsid w:val="7A60175F"/>
    <w:rsid w:val="7A707A80"/>
    <w:rsid w:val="7A7D7E7C"/>
    <w:rsid w:val="7A951FC7"/>
    <w:rsid w:val="7AAD6B20"/>
    <w:rsid w:val="7AAF1B9F"/>
    <w:rsid w:val="7ACC1665"/>
    <w:rsid w:val="7AD54C34"/>
    <w:rsid w:val="7AED3CEE"/>
    <w:rsid w:val="7AEF4A13"/>
    <w:rsid w:val="7B020435"/>
    <w:rsid w:val="7B103C8D"/>
    <w:rsid w:val="7B214B9C"/>
    <w:rsid w:val="7B265465"/>
    <w:rsid w:val="7B3D9FA7"/>
    <w:rsid w:val="7B445833"/>
    <w:rsid w:val="7B7D212A"/>
    <w:rsid w:val="7B9E7540"/>
    <w:rsid w:val="7BA41D67"/>
    <w:rsid w:val="7BA831B4"/>
    <w:rsid w:val="7BA86FCC"/>
    <w:rsid w:val="7BE2051A"/>
    <w:rsid w:val="7BF000D4"/>
    <w:rsid w:val="7BF01892"/>
    <w:rsid w:val="7BFC02C5"/>
    <w:rsid w:val="7C28417F"/>
    <w:rsid w:val="7C362405"/>
    <w:rsid w:val="7C4518F1"/>
    <w:rsid w:val="7C570B39"/>
    <w:rsid w:val="7C632338"/>
    <w:rsid w:val="7C691EE7"/>
    <w:rsid w:val="7C7D7BB2"/>
    <w:rsid w:val="7C7E7DC7"/>
    <w:rsid w:val="7CA05A4B"/>
    <w:rsid w:val="7CB20432"/>
    <w:rsid w:val="7CB26258"/>
    <w:rsid w:val="7CC40EDF"/>
    <w:rsid w:val="7CC70BC5"/>
    <w:rsid w:val="7CE3278B"/>
    <w:rsid w:val="7CE33D99"/>
    <w:rsid w:val="7CE75026"/>
    <w:rsid w:val="7CEC6459"/>
    <w:rsid w:val="7CEE2BCE"/>
    <w:rsid w:val="7D2801DA"/>
    <w:rsid w:val="7D3A306F"/>
    <w:rsid w:val="7D4166AE"/>
    <w:rsid w:val="7D532840"/>
    <w:rsid w:val="7D585054"/>
    <w:rsid w:val="7D7B26FD"/>
    <w:rsid w:val="7D98702C"/>
    <w:rsid w:val="7DA00BB7"/>
    <w:rsid w:val="7DA74434"/>
    <w:rsid w:val="7DAF5004"/>
    <w:rsid w:val="7DC557DE"/>
    <w:rsid w:val="7DEE4DFB"/>
    <w:rsid w:val="7DF1189C"/>
    <w:rsid w:val="7DF84014"/>
    <w:rsid w:val="7DFD7EC1"/>
    <w:rsid w:val="7E12157A"/>
    <w:rsid w:val="7E197D90"/>
    <w:rsid w:val="7E21461F"/>
    <w:rsid w:val="7E29605A"/>
    <w:rsid w:val="7E615386"/>
    <w:rsid w:val="7E63219A"/>
    <w:rsid w:val="7E6C0FC8"/>
    <w:rsid w:val="7E6E2BF3"/>
    <w:rsid w:val="7E8F68F6"/>
    <w:rsid w:val="7E953069"/>
    <w:rsid w:val="7EA832D9"/>
    <w:rsid w:val="7EA85A3A"/>
    <w:rsid w:val="7EBAEAA8"/>
    <w:rsid w:val="7EBF0A54"/>
    <w:rsid w:val="7EFF4B02"/>
    <w:rsid w:val="7F192FBE"/>
    <w:rsid w:val="7F223D2C"/>
    <w:rsid w:val="7F356A6A"/>
    <w:rsid w:val="7F3F008D"/>
    <w:rsid w:val="7F4BB895"/>
    <w:rsid w:val="7F5D65DE"/>
    <w:rsid w:val="7F61630B"/>
    <w:rsid w:val="7F714AE8"/>
    <w:rsid w:val="7F913F52"/>
    <w:rsid w:val="7F99375C"/>
    <w:rsid w:val="7FA73CE1"/>
    <w:rsid w:val="7FAF7D48"/>
    <w:rsid w:val="7FDD9412"/>
    <w:rsid w:val="7FE04BEF"/>
    <w:rsid w:val="7FF439FE"/>
    <w:rsid w:val="7FFC956A"/>
    <w:rsid w:val="7FFD1D74"/>
    <w:rsid w:val="7FFE4638"/>
    <w:rsid w:val="7FFF9244"/>
    <w:rsid w:val="9FBCEFEF"/>
    <w:rsid w:val="9FFFEEA9"/>
    <w:rsid w:val="A7EF19A3"/>
    <w:rsid w:val="B756443B"/>
    <w:rsid w:val="B7AFA605"/>
    <w:rsid w:val="B9D735BB"/>
    <w:rsid w:val="BBE88D54"/>
    <w:rsid w:val="BDDDBE5F"/>
    <w:rsid w:val="BDEA80E2"/>
    <w:rsid w:val="BE1F382C"/>
    <w:rsid w:val="BFCFF0FE"/>
    <w:rsid w:val="BFDFF4A1"/>
    <w:rsid w:val="BFED499C"/>
    <w:rsid w:val="CF1F4758"/>
    <w:rsid w:val="D9FFEB83"/>
    <w:rsid w:val="DB57264C"/>
    <w:rsid w:val="DBFF2C18"/>
    <w:rsid w:val="DC7E0118"/>
    <w:rsid w:val="DEB5E111"/>
    <w:rsid w:val="DF77B095"/>
    <w:rsid w:val="E7DDD554"/>
    <w:rsid w:val="EDFE5D15"/>
    <w:rsid w:val="EDFF0F34"/>
    <w:rsid w:val="EE7DBB0F"/>
    <w:rsid w:val="F3DA4BD6"/>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5">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73"/>
    <w:autoRedefine/>
    <w:qFormat/>
    <w:uiPriority w:val="0"/>
    <w:pPr>
      <w:jc w:val="left"/>
    </w:pPr>
    <w:rPr>
      <w:rFonts w:ascii="Times New Roman" w:hAnsi="Times New Roman"/>
    </w:rPr>
  </w:style>
  <w:style w:type="paragraph" w:styleId="9">
    <w:name w:val="Body Text"/>
    <w:basedOn w:val="1"/>
    <w:next w:val="1"/>
    <w:autoRedefine/>
    <w:qFormat/>
    <w:uiPriority w:val="0"/>
    <w:pPr>
      <w:spacing w:after="120"/>
    </w:pPr>
  </w:style>
  <w:style w:type="paragraph" w:styleId="10">
    <w:name w:val="Body Text Indent"/>
    <w:basedOn w:val="1"/>
    <w:next w:val="1"/>
    <w:link w:val="79"/>
    <w:autoRedefine/>
    <w:qFormat/>
    <w:uiPriority w:val="0"/>
    <w:pPr>
      <w:ind w:left="480" w:hanging="480" w:hangingChars="200"/>
    </w:pPr>
    <w:rPr>
      <w:sz w:val="24"/>
    </w:rPr>
  </w:style>
  <w:style w:type="paragraph" w:styleId="11">
    <w:name w:val="List 2"/>
    <w:basedOn w:val="1"/>
    <w:autoRedefine/>
    <w:qFormat/>
    <w:uiPriority w:val="99"/>
    <w:pPr>
      <w:ind w:left="100" w:leftChars="200" w:hanging="200" w:hangingChars="200"/>
    </w:pPr>
    <w:rPr>
      <w:sz w:val="28"/>
      <w:szCs w:val="28"/>
    </w:rPr>
  </w:style>
  <w:style w:type="paragraph" w:styleId="12">
    <w:name w:val="Block Text"/>
    <w:basedOn w:val="1"/>
    <w:autoRedefine/>
    <w:qFormat/>
    <w:uiPriority w:val="99"/>
    <w:pPr>
      <w:spacing w:after="120"/>
      <w:ind w:left="1440" w:leftChars="700" w:right="1440" w:rightChars="700"/>
    </w:pPr>
  </w:style>
  <w:style w:type="paragraph" w:styleId="13">
    <w:name w:val="Plain Text"/>
    <w:basedOn w:val="1"/>
    <w:next w:val="14"/>
    <w:link w:val="75"/>
    <w:autoRedefine/>
    <w:qFormat/>
    <w:uiPriority w:val="0"/>
    <w:pPr>
      <w:widowControl/>
      <w:overflowPunct w:val="0"/>
      <w:autoSpaceDE w:val="0"/>
      <w:autoSpaceDN w:val="0"/>
      <w:adjustRightInd w:val="0"/>
      <w:jc w:val="left"/>
      <w:textAlignment w:val="baseline"/>
    </w:pPr>
    <w:rPr>
      <w:rFonts w:ascii="宋体" w:hAnsi="Courier New"/>
      <w:sz w:val="24"/>
    </w:rPr>
  </w:style>
  <w:style w:type="paragraph" w:styleId="14">
    <w:name w:val="toc 2"/>
    <w:basedOn w:val="1"/>
    <w:next w:val="1"/>
    <w:autoRedefine/>
    <w:qFormat/>
    <w:uiPriority w:val="99"/>
    <w:pPr>
      <w:tabs>
        <w:tab w:val="right" w:leader="dot" w:pos="8302"/>
      </w:tabs>
      <w:ind w:left="200" w:leftChars="200"/>
    </w:pPr>
    <w:rPr>
      <w:b/>
      <w:sz w:val="24"/>
    </w:rPr>
  </w:style>
  <w:style w:type="paragraph" w:styleId="15">
    <w:name w:val="Date"/>
    <w:basedOn w:val="1"/>
    <w:next w:val="1"/>
    <w:autoRedefine/>
    <w:qFormat/>
    <w:uiPriority w:val="0"/>
    <w:pPr>
      <w:ind w:left="2500" w:leftChars="2500"/>
    </w:pPr>
    <w:rPr>
      <w:rFonts w:eastAsia="楷体_GB2312"/>
      <w:sz w:val="32"/>
      <w:szCs w:val="20"/>
    </w:rPr>
  </w:style>
  <w:style w:type="paragraph" w:styleId="16">
    <w:name w:val="Body Text Indent 2"/>
    <w:basedOn w:val="1"/>
    <w:autoRedefine/>
    <w:unhideWhenUsed/>
    <w:qFormat/>
    <w:uiPriority w:val="99"/>
    <w:pPr>
      <w:spacing w:after="120" w:line="480" w:lineRule="auto"/>
      <w:ind w:left="420" w:leftChars="200"/>
    </w:pPr>
  </w:style>
  <w:style w:type="paragraph" w:styleId="17">
    <w:name w:val="Balloon Text"/>
    <w:basedOn w:val="1"/>
    <w:link w:val="76"/>
    <w:autoRedefine/>
    <w:qFormat/>
    <w:uiPriority w:val="0"/>
    <w:rPr>
      <w:rFonts w:ascii="Times New Roman" w:hAnsi="Times New Roman"/>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0"/>
    <w:rPr>
      <w:rFonts w:ascii="Times New Roman" w:hAnsi="Times New Roman"/>
    </w:rPr>
  </w:style>
  <w:style w:type="paragraph" w:styleId="22">
    <w:name w:val="toc 4"/>
    <w:basedOn w:val="1"/>
    <w:next w:val="1"/>
    <w:autoRedefine/>
    <w:unhideWhenUsed/>
    <w:qFormat/>
    <w:uiPriority w:val="39"/>
    <w:pPr>
      <w:ind w:left="1260" w:leftChars="600"/>
    </w:pPr>
  </w:style>
  <w:style w:type="paragraph" w:styleId="23">
    <w:name w:val="List"/>
    <w:basedOn w:val="1"/>
    <w:autoRedefine/>
    <w:qFormat/>
    <w:uiPriority w:val="0"/>
    <w:pPr>
      <w:ind w:left="200" w:hanging="200" w:hangingChars="200"/>
    </w:pPr>
  </w:style>
  <w:style w:type="paragraph" w:styleId="24">
    <w:name w:val="footnote text"/>
    <w:basedOn w:val="1"/>
    <w:link w:val="78"/>
    <w:autoRedefine/>
    <w:qFormat/>
    <w:uiPriority w:val="99"/>
    <w:pPr>
      <w:snapToGrid w:val="0"/>
      <w:jc w:val="left"/>
    </w:pPr>
    <w:rPr>
      <w:sz w:val="18"/>
    </w:rPr>
  </w:style>
  <w:style w:type="paragraph" w:styleId="25">
    <w:name w:val="toc 6"/>
    <w:basedOn w:val="1"/>
    <w:next w:val="1"/>
    <w:autoRedefine/>
    <w:qFormat/>
    <w:uiPriority w:val="0"/>
    <w:pPr>
      <w:spacing w:line="360" w:lineRule="auto"/>
      <w:ind w:left="1200" w:firstLine="200" w:firstLineChars="200"/>
      <w:jc w:val="left"/>
    </w:pPr>
    <w:rPr>
      <w:rFonts w:cs="Calibri"/>
      <w:sz w:val="18"/>
      <w:szCs w:val="18"/>
    </w:rPr>
  </w:style>
  <w:style w:type="paragraph" w:styleId="26">
    <w:name w:val="Body Text 2"/>
    <w:basedOn w:val="1"/>
    <w:autoRedefine/>
    <w:qFormat/>
    <w:uiPriority w:val="0"/>
    <w:pPr>
      <w:widowControl/>
      <w:snapToGrid w:val="0"/>
      <w:spacing w:before="50" w:afterLines="50" w:line="400" w:lineRule="atLeast"/>
      <w:jc w:val="left"/>
    </w:pPr>
    <w:rPr>
      <w:rFonts w:hint="eastAsia" w:ascii="宋体" w:hAnsi="宋体"/>
      <w:color w:val="000000"/>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8"/>
    <w:next w:val="8"/>
    <w:link w:val="77"/>
    <w:autoRedefine/>
    <w:qFormat/>
    <w:uiPriority w:val="0"/>
    <w:rPr>
      <w:b/>
      <w:bCs/>
    </w:rPr>
  </w:style>
  <w:style w:type="paragraph" w:styleId="30">
    <w:name w:val="Body Text First Indent"/>
    <w:basedOn w:val="9"/>
    <w:next w:val="1"/>
    <w:autoRedefine/>
    <w:qFormat/>
    <w:uiPriority w:val="0"/>
    <w:pPr>
      <w:autoSpaceDE w:val="0"/>
      <w:autoSpaceDN w:val="0"/>
      <w:adjustRightInd w:val="0"/>
      <w:ind w:firstLine="420" w:firstLineChars="100"/>
      <w:jc w:val="left"/>
    </w:pPr>
    <w:rPr>
      <w:rFonts w:ascii="仿宋_GB2312"/>
      <w:b/>
      <w:kern w:val="0"/>
      <w:sz w:val="32"/>
      <w:szCs w:val="32"/>
    </w:rPr>
  </w:style>
  <w:style w:type="paragraph" w:styleId="31">
    <w:name w:val="Body Text First Indent 2"/>
    <w:basedOn w:val="10"/>
    <w:next w:val="1"/>
    <w:autoRedefine/>
    <w:unhideWhenUsed/>
    <w:qFormat/>
    <w:uiPriority w:val="99"/>
    <w:pPr>
      <w:ind w:firstLine="420"/>
    </w:p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4">
    <w:name w:val="Table Elegant"/>
    <w:basedOn w:val="32"/>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36">
    <w:name w:val="Strong"/>
    <w:basedOn w:val="35"/>
    <w:autoRedefine/>
    <w:qFormat/>
    <w:uiPriority w:val="22"/>
    <w:rPr>
      <w:b/>
    </w:rPr>
  </w:style>
  <w:style w:type="character" w:styleId="37">
    <w:name w:val="page number"/>
    <w:basedOn w:val="35"/>
    <w:autoRedefine/>
    <w:unhideWhenUsed/>
    <w:qFormat/>
    <w:uiPriority w:val="0"/>
  </w:style>
  <w:style w:type="character" w:styleId="38">
    <w:name w:val="Emphasis"/>
    <w:basedOn w:val="35"/>
    <w:autoRedefine/>
    <w:qFormat/>
    <w:uiPriority w:val="20"/>
    <w:rPr>
      <w:i/>
      <w:iCs/>
    </w:rPr>
  </w:style>
  <w:style w:type="character" w:styleId="39">
    <w:name w:val="Hyperlink"/>
    <w:basedOn w:val="35"/>
    <w:autoRedefine/>
    <w:qFormat/>
    <w:uiPriority w:val="0"/>
  </w:style>
  <w:style w:type="character" w:styleId="40">
    <w:name w:val="annotation reference"/>
    <w:basedOn w:val="35"/>
    <w:autoRedefine/>
    <w:qFormat/>
    <w:uiPriority w:val="99"/>
    <w:rPr>
      <w:sz w:val="21"/>
      <w:szCs w:val="21"/>
    </w:rPr>
  </w:style>
  <w:style w:type="character" w:styleId="41">
    <w:name w:val="footnote reference"/>
    <w:basedOn w:val="35"/>
    <w:autoRedefine/>
    <w:qFormat/>
    <w:uiPriority w:val="99"/>
    <w:rPr>
      <w:rFonts w:cs="Times New Roman"/>
      <w:vertAlign w:val="superscript"/>
    </w:rPr>
  </w:style>
  <w:style w:type="character" w:styleId="42">
    <w:name w:val="HTML Sample"/>
    <w:basedOn w:val="35"/>
    <w:autoRedefine/>
    <w:qFormat/>
    <w:uiPriority w:val="0"/>
    <w:rPr>
      <w:rFonts w:ascii="Courier New" w:hAnsi="Courier New"/>
    </w:rPr>
  </w:style>
  <w:style w:type="paragraph" w:customStyle="1" w:styleId="43">
    <w:name w:val="[Normal]"/>
    <w:autoRedefine/>
    <w:qFormat/>
    <w:uiPriority w:val="99"/>
    <w:rPr>
      <w:rFonts w:ascii="宋体" w:hAnsi="宋体" w:eastAsia="宋体" w:cs="Times New Roman"/>
      <w:sz w:val="24"/>
      <w:szCs w:val="22"/>
      <w:lang w:val="zh-CN" w:eastAsia="zh-CN" w:bidi="ar-SA"/>
    </w:rPr>
  </w:style>
  <w:style w:type="paragraph" w:customStyle="1" w:styleId="44">
    <w:name w:val="Default"/>
    <w:next w:val="4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DAS正文"/>
    <w:basedOn w:val="1"/>
    <w:autoRedefine/>
    <w:qFormat/>
    <w:uiPriority w:val="0"/>
    <w:pPr>
      <w:spacing w:line="360" w:lineRule="auto"/>
      <w:ind w:right="181" w:firstLine="480"/>
    </w:pPr>
    <w:rPr>
      <w:rFonts w:ascii="Verdana" w:hAnsi="Verdana"/>
      <w:szCs w:val="24"/>
    </w:rPr>
  </w:style>
  <w:style w:type="paragraph" w:customStyle="1" w:styleId="47">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表格文字"/>
    <w:basedOn w:val="1"/>
    <w:next w:val="9"/>
    <w:autoRedefine/>
    <w:qFormat/>
    <w:uiPriority w:val="0"/>
    <w:pPr>
      <w:adjustRightInd w:val="0"/>
      <w:spacing w:line="420" w:lineRule="atLeast"/>
      <w:jc w:val="left"/>
      <w:textAlignment w:val="baseline"/>
    </w:pPr>
    <w:rPr>
      <w:kern w:val="0"/>
      <w:szCs w:val="24"/>
    </w:rPr>
  </w:style>
  <w:style w:type="paragraph" w:customStyle="1" w:styleId="49">
    <w:name w:val="正文1"/>
    <w:basedOn w:val="1"/>
    <w:autoRedefine/>
    <w:qFormat/>
    <w:uiPriority w:val="0"/>
    <w:rPr>
      <w:rFonts w:ascii="宋体" w:hAnsi="宋体" w:cs="宋体"/>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列表段落1"/>
    <w:basedOn w:val="1"/>
    <w:autoRedefine/>
    <w:qFormat/>
    <w:uiPriority w:val="34"/>
    <w:pPr>
      <w:widowControl/>
      <w:ind w:firstLine="420" w:firstLineChars="200"/>
      <w:jc w:val="left"/>
    </w:pPr>
    <w:rPr>
      <w:rFonts w:eastAsia="微软雅黑"/>
      <w:szCs w:val="20"/>
    </w:rPr>
  </w:style>
  <w:style w:type="paragraph" w:customStyle="1" w:styleId="52">
    <w:name w:val="List Paragraph1"/>
    <w:basedOn w:val="1"/>
    <w:autoRedefine/>
    <w:qFormat/>
    <w:uiPriority w:val="99"/>
    <w:pPr>
      <w:widowControl/>
      <w:ind w:firstLine="420" w:firstLineChars="200"/>
      <w:jc w:val="left"/>
    </w:pPr>
    <w:rPr>
      <w:rFonts w:ascii="宋体" w:hAnsi="宋体" w:cs="宋体"/>
      <w:kern w:val="0"/>
      <w:sz w:val="24"/>
      <w:szCs w:val="24"/>
    </w:rPr>
  </w:style>
  <w:style w:type="paragraph" w:customStyle="1" w:styleId="53">
    <w:name w:val="样式1"/>
    <w:basedOn w:val="2"/>
    <w:autoRedefine/>
    <w:qFormat/>
    <w:uiPriority w:val="0"/>
    <w:pPr>
      <w:tabs>
        <w:tab w:val="left" w:pos="425"/>
      </w:tabs>
      <w:spacing w:beforeLines="50" w:line="240" w:lineRule="auto"/>
      <w:jc w:val="center"/>
    </w:pPr>
    <w:rPr>
      <w:rFonts w:ascii="宋体" w:hAnsi="宋体"/>
      <w:sz w:val="21"/>
      <w:szCs w:val="36"/>
    </w:rPr>
  </w:style>
  <w:style w:type="paragraph" w:customStyle="1" w:styleId="54">
    <w:name w:val="正文，段落，小四，22磅行距"/>
    <w:basedOn w:val="1"/>
    <w:autoRedefine/>
    <w:qFormat/>
    <w:uiPriority w:val="0"/>
    <w:pPr>
      <w:spacing w:line="440" w:lineRule="exact"/>
      <w:ind w:firstLine="420"/>
    </w:pPr>
    <w:rPr>
      <w:kern w:val="0"/>
      <w:sz w:val="24"/>
      <w:szCs w:val="24"/>
    </w:rPr>
  </w:style>
  <w:style w:type="paragraph" w:customStyle="1" w:styleId="55">
    <w:name w:val="列出段落2"/>
    <w:basedOn w:val="1"/>
    <w:autoRedefine/>
    <w:qFormat/>
    <w:uiPriority w:val="34"/>
    <w:pPr>
      <w:widowControl/>
      <w:ind w:firstLine="420" w:firstLineChars="200"/>
      <w:jc w:val="left"/>
    </w:pPr>
    <w:rPr>
      <w:rFonts w:eastAsia="微软雅黑"/>
      <w:szCs w:val="20"/>
    </w:rPr>
  </w:style>
  <w:style w:type="paragraph" w:customStyle="1" w:styleId="56">
    <w:name w:val="无间隔1"/>
    <w:autoRedefine/>
    <w:qFormat/>
    <w:uiPriority w:val="0"/>
    <w:pPr>
      <w:widowControl w:val="0"/>
      <w:snapToGrid w:val="0"/>
      <w:jc w:val="both"/>
    </w:pPr>
    <w:rPr>
      <w:rFonts w:ascii="Calibri" w:hAnsi="Calibri" w:eastAsia="宋体" w:cs="Times New Roman"/>
      <w:kern w:val="2"/>
      <w:sz w:val="21"/>
      <w:szCs w:val="24"/>
      <w:lang w:val="en-US" w:eastAsia="zh-CN" w:bidi="ar-SA"/>
    </w:rPr>
  </w:style>
  <w:style w:type="paragraph" w:customStyle="1" w:styleId="57">
    <w:name w:val="偏离表"/>
    <w:basedOn w:val="1"/>
    <w:autoRedefine/>
    <w:qFormat/>
    <w:uiPriority w:val="0"/>
    <w:pPr>
      <w:jc w:val="center"/>
    </w:pPr>
    <w:rPr>
      <w:sz w:val="18"/>
    </w:rPr>
  </w:style>
  <w:style w:type="paragraph" w:customStyle="1" w:styleId="58">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0">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61">
    <w:name w:val="列出段落1"/>
    <w:basedOn w:val="1"/>
    <w:autoRedefine/>
    <w:qFormat/>
    <w:uiPriority w:val="99"/>
    <w:pPr>
      <w:ind w:firstLine="420" w:firstLineChars="200"/>
    </w:pPr>
  </w:style>
  <w:style w:type="paragraph" w:customStyle="1" w:styleId="62">
    <w:name w:val="首行缩进"/>
    <w:basedOn w:val="1"/>
    <w:autoRedefine/>
    <w:qFormat/>
    <w:uiPriority w:val="0"/>
    <w:pPr>
      <w:spacing w:line="360" w:lineRule="auto"/>
      <w:ind w:firstLine="420"/>
    </w:pPr>
    <w:rPr>
      <w:rFonts w:cs="宋体"/>
      <w:szCs w:val="20"/>
    </w:rPr>
  </w:style>
  <w:style w:type="paragraph" w:customStyle="1" w:styleId="63">
    <w:name w:val="纯文本2"/>
    <w:basedOn w:val="64"/>
    <w:autoRedefine/>
    <w:qFormat/>
    <w:uiPriority w:val="0"/>
    <w:pPr>
      <w:widowControl/>
      <w:jc w:val="left"/>
    </w:pPr>
    <w:rPr>
      <w:rFonts w:ascii="宋体" w:hAnsi="Courier New"/>
    </w:rPr>
  </w:style>
  <w:style w:type="paragraph" w:customStyle="1" w:styleId="64">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 w:type="paragraph" w:customStyle="1" w:styleId="66">
    <w:name w:val="Plain Text1"/>
    <w:basedOn w:val="67"/>
    <w:autoRedefine/>
    <w:qFormat/>
    <w:uiPriority w:val="0"/>
    <w:pPr>
      <w:adjustRightInd w:val="0"/>
    </w:pPr>
    <w:rPr>
      <w:rFonts w:hint="eastAsia" w:ascii="宋体" w:hAnsi="Courier New" w:eastAsia="楷体_GB2312"/>
      <w:sz w:val="28"/>
    </w:rPr>
  </w:style>
  <w:style w:type="paragraph" w:customStyle="1" w:styleId="67">
    <w:name w:val="Norm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文字3"/>
    <w:basedOn w:val="9"/>
    <w:autoRedefine/>
    <w:qFormat/>
    <w:uiPriority w:val="0"/>
    <w:pPr>
      <w:spacing w:after="0"/>
    </w:pPr>
  </w:style>
  <w:style w:type="paragraph" w:customStyle="1" w:styleId="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0">
    <w:name w:val="正文文本 21"/>
    <w:basedOn w:val="1"/>
    <w:autoRedefine/>
    <w:qFormat/>
    <w:uiPriority w:val="0"/>
    <w:pPr>
      <w:adjustRightInd w:val="0"/>
      <w:spacing w:line="300" w:lineRule="auto"/>
      <w:jc w:val="center"/>
    </w:pPr>
    <w:rPr>
      <w:rFonts w:ascii="宋体" w:hAnsi="宋体"/>
      <w:sz w:val="24"/>
    </w:rPr>
  </w:style>
  <w:style w:type="paragraph" w:customStyle="1" w:styleId="71">
    <w:name w:val="Body text|3"/>
    <w:basedOn w:val="1"/>
    <w:autoRedefine/>
    <w:qFormat/>
    <w:uiPriority w:val="0"/>
    <w:pPr>
      <w:spacing w:after="380"/>
      <w:jc w:val="center"/>
    </w:pPr>
    <w:rPr>
      <w:rFonts w:ascii="宋体" w:hAnsi="宋体" w:cs="宋体"/>
      <w:sz w:val="26"/>
      <w:szCs w:val="26"/>
      <w:lang w:val="zh-TW" w:eastAsia="zh-TW" w:bidi="zh-TW"/>
    </w:rPr>
  </w:style>
  <w:style w:type="paragraph" w:customStyle="1" w:styleId="72">
    <w:name w:val="Body text|1"/>
    <w:basedOn w:val="1"/>
    <w:autoRedefine/>
    <w:qFormat/>
    <w:uiPriority w:val="0"/>
    <w:pPr>
      <w:spacing w:line="360" w:lineRule="auto"/>
      <w:ind w:firstLine="400"/>
    </w:pPr>
    <w:rPr>
      <w:rFonts w:ascii="宋体" w:hAnsi="宋体" w:cs="宋体"/>
      <w:sz w:val="22"/>
      <w:lang w:val="zh-TW" w:eastAsia="zh-TW" w:bidi="zh-TW"/>
    </w:rPr>
  </w:style>
  <w:style w:type="character" w:customStyle="1" w:styleId="73">
    <w:name w:val="批注文字 字符"/>
    <w:link w:val="8"/>
    <w:autoRedefine/>
    <w:qFormat/>
    <w:uiPriority w:val="0"/>
    <w:rPr>
      <w:rFonts w:ascii="Times New Roman" w:hAnsi="Times New Roman" w:eastAsia="宋体" w:cs="Times New Roman"/>
      <w:kern w:val="2"/>
      <w:sz w:val="21"/>
      <w:szCs w:val="22"/>
    </w:rPr>
  </w:style>
  <w:style w:type="character" w:customStyle="1" w:styleId="74">
    <w:name w:val="font11"/>
    <w:autoRedefine/>
    <w:qFormat/>
    <w:uiPriority w:val="0"/>
    <w:rPr>
      <w:rFonts w:hint="default" w:ascii="仿宋_GB2312" w:eastAsia="仿宋_GB2312" w:cs="仿宋_GB2312"/>
      <w:color w:val="000000"/>
      <w:sz w:val="24"/>
      <w:szCs w:val="24"/>
      <w:u w:val="none"/>
    </w:rPr>
  </w:style>
  <w:style w:type="character" w:customStyle="1" w:styleId="75">
    <w:name w:val="纯文本 字符"/>
    <w:link w:val="13"/>
    <w:autoRedefine/>
    <w:qFormat/>
    <w:uiPriority w:val="0"/>
    <w:rPr>
      <w:rFonts w:ascii="宋体" w:hAnsi="Courier New"/>
      <w:kern w:val="2"/>
      <w:sz w:val="24"/>
      <w:szCs w:val="22"/>
    </w:rPr>
  </w:style>
  <w:style w:type="character" w:customStyle="1" w:styleId="76">
    <w:name w:val="批注框文本 字符"/>
    <w:link w:val="17"/>
    <w:autoRedefine/>
    <w:qFormat/>
    <w:uiPriority w:val="0"/>
    <w:rPr>
      <w:kern w:val="2"/>
      <w:sz w:val="18"/>
      <w:szCs w:val="18"/>
    </w:rPr>
  </w:style>
  <w:style w:type="character" w:customStyle="1" w:styleId="77">
    <w:name w:val="批注主题 字符"/>
    <w:basedOn w:val="73"/>
    <w:link w:val="29"/>
    <w:autoRedefine/>
    <w:qFormat/>
    <w:uiPriority w:val="0"/>
    <w:rPr>
      <w:rFonts w:ascii="Times New Roman" w:hAnsi="Times New Roman" w:eastAsia="宋体" w:cs="Times New Roman"/>
      <w:kern w:val="2"/>
      <w:sz w:val="21"/>
      <w:szCs w:val="22"/>
    </w:rPr>
  </w:style>
  <w:style w:type="character" w:customStyle="1" w:styleId="78">
    <w:name w:val="脚注文本 字符"/>
    <w:basedOn w:val="35"/>
    <w:link w:val="24"/>
    <w:autoRedefine/>
    <w:qFormat/>
    <w:uiPriority w:val="99"/>
    <w:rPr>
      <w:rFonts w:ascii="Calibri" w:hAnsi="Calibri"/>
      <w:kern w:val="2"/>
      <w:sz w:val="18"/>
      <w:szCs w:val="22"/>
    </w:rPr>
  </w:style>
  <w:style w:type="character" w:customStyle="1" w:styleId="79">
    <w:name w:val="正文文本缩进 字符"/>
    <w:basedOn w:val="35"/>
    <w:link w:val="10"/>
    <w:autoRedefine/>
    <w:qFormat/>
    <w:uiPriority w:val="0"/>
    <w:rPr>
      <w:rFonts w:hint="default" w:ascii="Calibri" w:hAnsi="Calibri" w:cs="Calibri"/>
      <w:kern w:val="2"/>
      <w:sz w:val="21"/>
      <w:szCs w:val="22"/>
    </w:rPr>
  </w:style>
  <w:style w:type="character" w:customStyle="1" w:styleId="80">
    <w:name w:val="bookmark-item"/>
    <w:basedOn w:val="35"/>
    <w:autoRedefine/>
    <w:qFormat/>
    <w:uiPriority w:val="0"/>
  </w:style>
  <w:style w:type="paragraph" w:styleId="81">
    <w:name w:val="List Paragraph"/>
    <w:basedOn w:val="1"/>
    <w:autoRedefine/>
    <w:qFormat/>
    <w:uiPriority w:val="34"/>
    <w:pPr>
      <w:ind w:firstLine="420" w:firstLineChars="200"/>
    </w:pPr>
  </w:style>
  <w:style w:type="character" w:customStyle="1" w:styleId="82">
    <w:name w:val="NormalCharacter"/>
    <w:autoRedefine/>
    <w:semiHidden/>
    <w:qFormat/>
    <w:uiPriority w:val="0"/>
  </w:style>
  <w:style w:type="paragraph" w:customStyle="1" w:styleId="83">
    <w:name w:val="BodyText1I2"/>
    <w:basedOn w:val="84"/>
    <w:autoRedefine/>
    <w:qFormat/>
    <w:uiPriority w:val="0"/>
    <w:pPr>
      <w:ind w:firstLine="420" w:firstLineChars="200"/>
    </w:pPr>
  </w:style>
  <w:style w:type="paragraph" w:customStyle="1" w:styleId="84">
    <w:name w:val="BodyTextIndent"/>
    <w:basedOn w:val="1"/>
    <w:autoRedefine/>
    <w:qFormat/>
    <w:uiPriority w:val="0"/>
    <w:pPr>
      <w:spacing w:after="120"/>
      <w:ind w:left="420" w:leftChars="200"/>
    </w:pPr>
  </w:style>
  <w:style w:type="paragraph" w:styleId="85">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6">
    <w:name w:val="正文正"/>
    <w:basedOn w:val="1"/>
    <w:autoRedefine/>
    <w:qFormat/>
    <w:uiPriority w:val="0"/>
    <w:pPr>
      <w:spacing w:line="560" w:lineRule="exact"/>
      <w:ind w:firstLine="561"/>
    </w:pPr>
    <w:rPr>
      <w:sz w:val="28"/>
      <w:szCs w:val="28"/>
    </w:rPr>
  </w:style>
  <w:style w:type="paragraph" w:customStyle="1" w:styleId="87">
    <w:name w:val="UserStyle_8"/>
    <w:autoRedefine/>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8">
    <w:name w:val="apple-converted-space"/>
    <w:autoRedefine/>
    <w:qFormat/>
    <w:uiPriority w:val="0"/>
    <w:rPr>
      <w:rFonts w:ascii="Times New Roman" w:hAnsi="Times New Roman" w:eastAsia="宋体" w:cs="Times New Roman"/>
    </w:rPr>
  </w:style>
  <w:style w:type="character" w:customStyle="1" w:styleId="89">
    <w:name w:val="font21"/>
    <w:autoRedefine/>
    <w:qFormat/>
    <w:uiPriority w:val="0"/>
    <w:rPr>
      <w:rFonts w:hint="eastAsia" w:ascii="宋体" w:hAnsi="宋体" w:eastAsia="宋体" w:cs="宋体"/>
      <w:color w:val="000000"/>
      <w:sz w:val="21"/>
      <w:szCs w:val="21"/>
      <w:u w:val="none"/>
    </w:rPr>
  </w:style>
  <w:style w:type="character" w:customStyle="1" w:styleId="90">
    <w:name w:val="font41"/>
    <w:basedOn w:val="35"/>
    <w:autoRedefine/>
    <w:qFormat/>
    <w:uiPriority w:val="0"/>
    <w:rPr>
      <w:rFonts w:hint="eastAsia" w:ascii="宋体" w:hAnsi="宋体" w:eastAsia="宋体" w:cs="宋体"/>
      <w:color w:val="FF0000"/>
      <w:sz w:val="20"/>
      <w:szCs w:val="20"/>
      <w:u w:val="none"/>
    </w:rPr>
  </w:style>
  <w:style w:type="paragraph" w:customStyle="1" w:styleId="91">
    <w:name w:val="WPSOffice手动目录 1"/>
    <w:autoRedefine/>
    <w:qFormat/>
    <w:uiPriority w:val="0"/>
    <w:rPr>
      <w:rFonts w:ascii="Times New Roman" w:hAnsi="Times New Roman" w:eastAsia="宋体" w:cs="Times New Roman"/>
      <w:lang w:val="en-US" w:eastAsia="zh-CN" w:bidi="ar-SA"/>
    </w:rPr>
  </w:style>
  <w:style w:type="paragraph" w:customStyle="1" w:styleId="92">
    <w:name w:val="WPSOffice手动目录 2"/>
    <w:autoRedefine/>
    <w:qFormat/>
    <w:uiPriority w:val="0"/>
    <w:pPr>
      <w:ind w:left="200" w:leftChars="200"/>
    </w:pPr>
    <w:rPr>
      <w:rFonts w:ascii="Times New Roman" w:hAnsi="Times New Roman" w:eastAsia="宋体" w:cs="Times New Roman"/>
      <w:lang w:val="en-US" w:eastAsia="zh-CN" w:bidi="ar-SA"/>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标题 5（有编号）（绿盟科技）"/>
    <w:basedOn w:val="1"/>
    <w:next w:val="95"/>
    <w:autoRedefine/>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95">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96">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97">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98">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99">
    <w:name w:val="纯文本1"/>
    <w:basedOn w:val="1"/>
    <w:autoRedefine/>
    <w:qFormat/>
    <w:uiPriority w:val="0"/>
    <w:rPr>
      <w:rFonts w:ascii="宋体" w:hAnsi="Courier New"/>
      <w:kern w:val="0"/>
      <w:sz w:val="20"/>
      <w:szCs w:val="20"/>
    </w:rPr>
  </w:style>
  <w:style w:type="paragraph" w:customStyle="1" w:styleId="100">
    <w:name w:val="text-tag"/>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 w:type="character" w:customStyle="1" w:styleId="102">
    <w:name w:val="font01"/>
    <w:basedOn w:val="35"/>
    <w:autoRedefine/>
    <w:qFormat/>
    <w:uiPriority w:val="0"/>
    <w:rPr>
      <w:rFonts w:ascii="font-weight : 400" w:hAnsi="font-weight : 400" w:eastAsia="font-weight : 400" w:cs="font-weight : 400"/>
      <w:color w:val="000000"/>
      <w:sz w:val="22"/>
      <w:szCs w:val="22"/>
      <w:u w:val="none"/>
    </w:rPr>
  </w:style>
  <w:style w:type="paragraph" w:customStyle="1" w:styleId="103">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69</Pages>
  <Words>6053</Words>
  <Characters>6531</Characters>
  <Lines>370</Lines>
  <Paragraphs>104</Paragraphs>
  <TotalTime>10</TotalTime>
  <ScaleCrop>false</ScaleCrop>
  <LinksUpToDate>false</LinksUpToDate>
  <CharactersWithSpaces>7087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2020-08-13T16:15:00Z</dcterms:created>
  <dc:creator>Administrator</dc:creator>
  <cp:lastModifiedBy></cp:lastModifiedBy>
  <cp:lastPrinted>2022-09-05T02:43:00Z</cp:lastPrinted>
  <dcterms:modified xsi:type="dcterms:W3CDTF">2024-12-04T08:09:00Z</dcterms:modified>
  <dc:title>浙江省政府(分散)采购</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379F9CECE49D4419A4DE26C3CBD36636_13</vt:lpwstr>
  </property>
  <property fmtid="{D5CDD505-2E9C-101B-9397-08002B2CF9AE}" pid="4" name="commondata">
    <vt:lpwstr>eyJoZGlkIjoiYjQ5YWNlMDcxZGY3YmQzNTllNDAxMWNmYzg3NWNlNTUifQ==</vt:lpwstr>
  </property>
</Properties>
</file>