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auto"/>
          <w:kern w:val="0"/>
          <w:sz w:val="52"/>
          <w:szCs w:val="52"/>
          <w:highlight w:val="none"/>
        </w:rPr>
      </w:pPr>
    </w:p>
    <w:p>
      <w:pPr>
        <w:pStyle w:val="10"/>
        <w:shd w:val="clear"/>
        <w:rPr>
          <w:rFonts w:hint="eastAsia" w:ascii="宋体" w:hAnsi="宋体" w:eastAsia="宋体" w:cs="宋体"/>
          <w:color w:val="auto"/>
          <w:highlight w:val="none"/>
        </w:rPr>
      </w:pPr>
    </w:p>
    <w:p>
      <w:pPr>
        <w:shd w:val="clear"/>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auto"/>
          <w:sz w:val="52"/>
          <w:szCs w:val="52"/>
          <w:highlight w:val="none"/>
        </w:rPr>
      </w:pPr>
    </w:p>
    <w:p>
      <w:pPr>
        <w:shd w:val="clea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pPr>
        <w:shd w:val="clear"/>
        <w:jc w:val="center"/>
        <w:rPr>
          <w:rFonts w:hint="eastAsia" w:ascii="宋体" w:hAnsi="宋体" w:eastAsia="宋体" w:cs="宋体"/>
          <w:color w:val="auto"/>
          <w:sz w:val="36"/>
          <w:szCs w:val="36"/>
          <w:highlight w:val="none"/>
        </w:rPr>
      </w:pPr>
    </w:p>
    <w:p>
      <w:pPr>
        <w:shd w:val="clear"/>
        <w:spacing w:line="360" w:lineRule="auto"/>
        <w:textAlignment w:val="bottom"/>
        <w:rPr>
          <w:rFonts w:hint="eastAsia" w:ascii="宋体" w:hAnsi="宋体" w:eastAsia="宋体" w:cs="宋体"/>
          <w:color w:val="auto"/>
          <w:kern w:val="0"/>
          <w:sz w:val="28"/>
          <w:highlight w:val="none"/>
        </w:rPr>
      </w:pPr>
    </w:p>
    <w:p>
      <w:pPr>
        <w:shd w:val="clear"/>
        <w:jc w:val="center"/>
        <w:rPr>
          <w:rFonts w:hint="eastAsia" w:ascii="宋体" w:hAnsi="宋体" w:eastAsia="宋体" w:cs="宋体"/>
          <w:b/>
          <w:color w:val="auto"/>
          <w:sz w:val="72"/>
          <w:szCs w:val="72"/>
          <w:highlight w:val="none"/>
        </w:rPr>
      </w:pPr>
    </w:p>
    <w:p>
      <w:pPr>
        <w:shd w:val="clear" w:color="auto"/>
        <w:spacing w:line="360" w:lineRule="auto"/>
        <w:jc w:val="center"/>
        <w:textAlignment w:val="bottom"/>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政府采购电子招标文件</w:t>
      </w:r>
    </w:p>
    <w:p>
      <w:pPr>
        <w:shd w:val="clear" w:color="auto"/>
        <w:spacing w:line="360" w:lineRule="auto"/>
        <w:jc w:val="center"/>
        <w:textAlignment w:val="bottom"/>
        <w:rPr>
          <w:rFonts w:hint="eastAsia" w:ascii="宋体" w:hAnsi="宋体" w:eastAsia="宋体" w:cs="宋体"/>
          <w:color w:val="auto"/>
          <w:sz w:val="28"/>
          <w:szCs w:val="28"/>
          <w:highlight w:val="none"/>
        </w:rPr>
      </w:pPr>
    </w:p>
    <w:p>
      <w:pPr>
        <w:shd w:val="clear" w:color="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ZJWS2024-JJ233</w:t>
      </w:r>
    </w:p>
    <w:p>
      <w:pPr>
        <w:shd w:val="clear" w:color="auto"/>
        <w:spacing w:line="360" w:lineRule="auto"/>
        <w:textAlignment w:val="bottom"/>
        <w:rPr>
          <w:rFonts w:hint="eastAsia" w:ascii="宋体" w:hAnsi="宋体" w:eastAsia="宋体" w:cs="宋体"/>
          <w:color w:val="auto"/>
          <w:kern w:val="0"/>
          <w:sz w:val="28"/>
          <w:highlight w:val="none"/>
        </w:rPr>
      </w:pPr>
    </w:p>
    <w:p>
      <w:pPr>
        <w:shd w:val="clear" w:color="auto"/>
        <w:spacing w:line="360" w:lineRule="auto"/>
        <w:textAlignment w:val="bottom"/>
        <w:rPr>
          <w:rFonts w:hint="eastAsia" w:ascii="宋体" w:hAnsi="宋体" w:eastAsia="宋体" w:cs="宋体"/>
          <w:color w:val="auto"/>
          <w:kern w:val="0"/>
          <w:sz w:val="28"/>
          <w:highlight w:val="none"/>
        </w:rPr>
      </w:pPr>
    </w:p>
    <w:p>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cs="宋体"/>
          <w:color w:val="auto"/>
          <w:kern w:val="0"/>
          <w:sz w:val="28"/>
          <w:highlight w:val="none"/>
          <w:lang w:eastAsia="zh-CN"/>
        </w:rPr>
        <w:t>超声乳化治疗仪采购项目</w:t>
      </w:r>
    </w:p>
    <w:p>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采购单位：台州恩泽医疗中心（集团）</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Style w:val="76"/>
          <w:rFonts w:hint="eastAsia" w:ascii="宋体" w:hAnsi="宋体" w:eastAsia="宋体" w:cs="宋体"/>
          <w:color w:val="auto"/>
          <w:highlight w:val="none"/>
        </w:rPr>
      </w:pPr>
      <w:r>
        <w:rPr>
          <w:rFonts w:hint="eastAsia" w:ascii="宋体" w:hAnsi="宋体" w:eastAsia="宋体" w:cs="宋体"/>
          <w:color w:val="auto"/>
          <w:sz w:val="28"/>
          <w:szCs w:val="36"/>
          <w:highlight w:val="none"/>
        </w:rPr>
        <w:t xml:space="preserve">    采购代理机构：浙江五石中正工程咨询有限公司</w:t>
      </w:r>
    </w:p>
    <w:p>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lang w:eastAsia="zh-CN"/>
        </w:rPr>
        <w:t>2024年</w:t>
      </w:r>
      <w:r>
        <w:rPr>
          <w:rFonts w:hint="eastAsia" w:ascii="宋体" w:hAnsi="宋体" w:cs="宋体"/>
          <w:color w:val="auto"/>
          <w:kern w:val="0"/>
          <w:sz w:val="28"/>
          <w:highlight w:val="none"/>
          <w:lang w:val="en-US" w:eastAsia="zh-CN"/>
        </w:rPr>
        <w:t>7</w:t>
      </w:r>
      <w:r>
        <w:rPr>
          <w:rFonts w:hint="eastAsia" w:ascii="宋体" w:hAnsi="宋体" w:eastAsia="宋体" w:cs="宋体"/>
          <w:color w:val="auto"/>
          <w:kern w:val="0"/>
          <w:sz w:val="28"/>
          <w:highlight w:val="none"/>
          <w:lang w:eastAsia="zh-CN"/>
        </w:rPr>
        <w:t>月</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政府采购合同主要条款指引</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 公开招标采购公告</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auto"/>
          <w:sz w:val="24"/>
          <w:szCs w:val="32"/>
          <w:highlight w:val="none"/>
        </w:rPr>
        <w:t>浙江五石中正工程咨询有限公司</w:t>
      </w:r>
      <w:r>
        <w:rPr>
          <w:rFonts w:hint="eastAsia" w:ascii="宋体" w:hAnsi="宋体" w:eastAsia="宋体" w:cs="宋体"/>
          <w:color w:val="auto"/>
          <w:sz w:val="24"/>
          <w:szCs w:val="32"/>
          <w:highlight w:val="none"/>
        </w:rPr>
        <w:t>受</w:t>
      </w:r>
      <w:r>
        <w:rPr>
          <w:rFonts w:hint="eastAsia" w:ascii="宋体" w:hAnsi="宋体" w:eastAsia="宋体" w:cs="宋体"/>
          <w:b/>
          <w:bCs/>
          <w:color w:val="auto"/>
          <w:sz w:val="24"/>
          <w:szCs w:val="32"/>
          <w:highlight w:val="none"/>
        </w:rPr>
        <w:t>台州恩泽医疗中心（集团）</w:t>
      </w:r>
      <w:r>
        <w:rPr>
          <w:rFonts w:hint="eastAsia" w:ascii="宋体" w:hAnsi="宋体" w:eastAsia="宋体" w:cs="宋体"/>
          <w:color w:val="auto"/>
          <w:sz w:val="24"/>
          <w:szCs w:val="32"/>
          <w:highlight w:val="none"/>
        </w:rPr>
        <w:t>委托，现就其</w:t>
      </w:r>
      <w:r>
        <w:rPr>
          <w:rFonts w:hint="eastAsia" w:ascii="宋体" w:hAnsi="宋体" w:cs="宋体"/>
          <w:b/>
          <w:bCs/>
          <w:color w:val="auto"/>
          <w:sz w:val="24"/>
          <w:szCs w:val="32"/>
          <w:highlight w:val="none"/>
          <w:lang w:eastAsia="zh-CN"/>
        </w:rPr>
        <w:t>超声乳化治疗仪采购项目</w:t>
      </w:r>
      <w:r>
        <w:rPr>
          <w:rFonts w:hint="eastAsia" w:ascii="宋体" w:hAnsi="宋体" w:eastAsia="宋体" w:cs="宋体"/>
          <w:color w:val="auto"/>
          <w:sz w:val="24"/>
          <w:szCs w:val="32"/>
          <w:highlight w:val="none"/>
        </w:rPr>
        <w:t>进行公开招标采购，欢迎合格供应商前来投标。</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一、项目编号：</w:t>
      </w:r>
      <w:r>
        <w:rPr>
          <w:rFonts w:hint="eastAsia" w:ascii="宋体" w:hAnsi="宋体" w:cs="宋体"/>
          <w:color w:val="auto"/>
          <w:sz w:val="24"/>
          <w:szCs w:val="32"/>
          <w:highlight w:val="none"/>
          <w:lang w:eastAsia="zh-CN"/>
        </w:rPr>
        <w:t>ZJWS2024-JJ233</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二、招标项目概况：</w:t>
      </w:r>
    </w:p>
    <w:tbl>
      <w:tblPr>
        <w:tblStyle w:val="28"/>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142"/>
        <w:gridCol w:w="1045"/>
        <w:gridCol w:w="159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pPr>
              <w:shd w:val="clear"/>
              <w:jc w:val="center"/>
              <w:rPr>
                <w:rFonts w:hint="eastAsia" w:ascii="宋体" w:hAnsi="宋体" w:eastAsia="宋体" w:cs="宋体"/>
                <w:b/>
                <w:color w:val="auto"/>
                <w:sz w:val="24"/>
                <w:highlight w:val="none"/>
              </w:rPr>
            </w:pPr>
            <w:bookmarkStart w:id="0" w:name="EBc3c9f0bc06b6413d849824fe98ba274c"/>
            <w:r>
              <w:rPr>
                <w:rFonts w:hint="eastAsia" w:ascii="宋体" w:hAnsi="宋体" w:eastAsia="宋体" w:cs="宋体"/>
                <w:b/>
                <w:color w:val="auto"/>
                <w:sz w:val="24"/>
                <w:highlight w:val="none"/>
              </w:rPr>
              <w:t>标段</w:t>
            </w:r>
          </w:p>
        </w:tc>
        <w:tc>
          <w:tcPr>
            <w:tcW w:w="3142" w:type="dxa"/>
            <w:vAlign w:val="center"/>
          </w:tcPr>
          <w:p>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招标内容</w:t>
            </w:r>
          </w:p>
        </w:tc>
        <w:tc>
          <w:tcPr>
            <w:tcW w:w="1045" w:type="dxa"/>
            <w:vAlign w:val="center"/>
          </w:tcPr>
          <w:p>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97" w:type="dxa"/>
            <w:vAlign w:val="center"/>
          </w:tcPr>
          <w:p>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p>
        </w:tc>
        <w:tc>
          <w:tcPr>
            <w:tcW w:w="1725"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42" w:type="dxa"/>
            <w:vAlign w:val="center"/>
          </w:tcPr>
          <w:p>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sz w:val="24"/>
                <w:szCs w:val="32"/>
                <w:highlight w:val="none"/>
                <w:lang w:eastAsia="zh-CN"/>
              </w:rPr>
              <w:t>超声乳化治疗仪</w:t>
            </w:r>
          </w:p>
        </w:tc>
        <w:tc>
          <w:tcPr>
            <w:tcW w:w="1045" w:type="dxa"/>
            <w:vAlign w:val="center"/>
          </w:tcPr>
          <w:p>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一批</w:t>
            </w:r>
          </w:p>
        </w:tc>
        <w:tc>
          <w:tcPr>
            <w:tcW w:w="1597" w:type="dxa"/>
            <w:vAlign w:val="center"/>
          </w:tcPr>
          <w:p>
            <w:pPr>
              <w:shd w:val="clear"/>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180万元</w:t>
            </w:r>
          </w:p>
        </w:tc>
        <w:tc>
          <w:tcPr>
            <w:tcW w:w="1725"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详见招标文件</w:t>
            </w:r>
          </w:p>
        </w:tc>
      </w:tr>
      <w:bookmarkEnd w:id="0"/>
    </w:tbl>
    <w:p>
      <w:pPr>
        <w:shd w:val="clear"/>
        <w:spacing w:line="360" w:lineRule="auto"/>
        <w:ind w:firstLine="482" w:firstLineChars="200"/>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是否允许进口：是</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三、合格投标人的资格条件：</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②本项目不接受联合体投标。</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四、招标文件获取的时间、方式：</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1、本项目招标文件实行“政府采购云平台”在线获取，不提供招标文件纸质版。供应商获取招标文件前应先完成“政府采购云平台”的账号注册。</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2、获取时间：自本公告发布之日起至响应文件递交截止时间止（以供应商完成获取采购文件申请后下载采购文件的时间为准）。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3、获取地点：政采云平台（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http</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pPr>
        <w:shd w:val="clear"/>
        <w:spacing w:line="360" w:lineRule="auto"/>
        <w:ind w:firstLine="480" w:firstLineChars="200"/>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eastAsia="宋体" w:cs="宋体"/>
          <w:color w:val="auto"/>
          <w:kern w:val="0"/>
          <w:sz w:val="24"/>
          <w:highlight w:val="none"/>
          <w:u w:val="single"/>
          <w:lang w:eastAsia="zh-CN"/>
        </w:rPr>
        <w:t>。</w:t>
      </w:r>
    </w:p>
    <w:p>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eastAsia="宋体" w:cs="宋体"/>
          <w:color w:val="auto"/>
          <w:kern w:val="0"/>
          <w:sz w:val="24"/>
          <w:highlight w:val="none"/>
          <w:u w:val="single"/>
          <w:lang w:val="en-GB"/>
        </w:rPr>
        <w:t>在开标后规定的投标有效期内，投标人不能撤销投标文件。</w:t>
      </w:r>
    </w:p>
    <w:p>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5.投标文件的组成、份数、密封、效力</w:t>
      </w:r>
    </w:p>
    <w:p>
      <w:pPr>
        <w:shd w:val="clea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还可以提供</w:t>
      </w:r>
      <w:r>
        <w:rPr>
          <w:rFonts w:hint="eastAsia" w:ascii="宋体" w:hAnsi="宋体" w:eastAsia="宋体" w:cs="宋体"/>
          <w:b/>
          <w:bCs/>
          <w:color w:val="auto"/>
          <w:sz w:val="24"/>
          <w:highlight w:val="none"/>
        </w:rPr>
        <w:t>以介质（U盘）存储的数据电文形式、纸质备份投标文件</w:t>
      </w:r>
      <w:r>
        <w:rPr>
          <w:rFonts w:hint="eastAsia" w:ascii="宋体" w:hAnsi="宋体" w:eastAsia="宋体" w:cs="宋体"/>
          <w:b/>
          <w:bCs/>
          <w:color w:val="auto"/>
          <w:sz w:val="24"/>
          <w:highlight w:val="none"/>
          <w:lang w:eastAsia="zh-CN"/>
        </w:rPr>
        <w:t>。</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5.1电子投标文件，按政采云平台项目采购--电子招投标操作指南及本招标文件要求编制。</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1" w:name="_Hlk34638143"/>
      <w:r>
        <w:rPr>
          <w:rFonts w:hint="eastAsia" w:ascii="宋体" w:hAnsi="宋体" w:eastAsia="宋体" w:cs="宋体"/>
          <w:color w:val="auto"/>
          <w:sz w:val="24"/>
          <w:highlight w:val="none"/>
        </w:rPr>
        <w:t>纸质</w:t>
      </w:r>
      <w:bookmarkEnd w:id="1"/>
      <w:r>
        <w:rPr>
          <w:rFonts w:hint="eastAsia" w:ascii="宋体" w:hAnsi="宋体" w:eastAsia="宋体" w:cs="宋体"/>
          <w:color w:val="auto"/>
          <w:sz w:val="24"/>
          <w:highlight w:val="none"/>
        </w:rPr>
        <w:t>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w:t>
      </w:r>
      <w:r>
        <w:rPr>
          <w:rFonts w:hint="eastAsia" w:ascii="宋体" w:hAnsi="宋体" w:eastAsia="宋体" w:cs="宋体"/>
          <w:color w:val="auto"/>
          <w:sz w:val="24"/>
          <w:highlight w:val="none"/>
          <w:u w:val="single"/>
        </w:rPr>
        <w:t>资格证明文件、商务技术文件、报价文件三部分未分别密封的投标文件将为无效。</w:t>
      </w:r>
    </w:p>
    <w:p>
      <w:pPr>
        <w:shd w:val="clear"/>
        <w:spacing w:line="360" w:lineRule="auto"/>
        <w:ind w:firstLine="480" w:firstLineChars="200"/>
        <w:rPr>
          <w:rFonts w:hint="eastAsia" w:ascii="宋体" w:hAnsi="宋体" w:eastAsia="宋体" w:cs="宋体"/>
          <w:color w:val="auto"/>
          <w:sz w:val="24"/>
          <w:highlight w:val="none"/>
          <w:u w:val="single"/>
        </w:rPr>
      </w:pPr>
      <w:bookmarkStart w:id="2" w:name="_Hlk34639647"/>
      <w:r>
        <w:rPr>
          <w:rFonts w:hint="eastAsia" w:ascii="宋体" w:hAnsi="宋体" w:eastAsia="宋体" w:cs="宋体"/>
          <w:color w:val="auto"/>
          <w:sz w:val="24"/>
          <w:highlight w:val="none"/>
        </w:rPr>
        <w:t>5.3</w:t>
      </w:r>
      <w:r>
        <w:rPr>
          <w:rFonts w:hint="eastAsia" w:ascii="宋体" w:hAnsi="宋体" w:eastAsia="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5.5投标文件启用顺序和效力：投标文件的启用，按先后顺位分别为电子投标文件、以介质（U盘）存储的数据电文形式的备份投标文件。</w:t>
      </w:r>
    </w:p>
    <w:p>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5.6▲未传输递交电子投标文件的，投标无效。</w:t>
      </w:r>
    </w:p>
    <w:p>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六、投标截止时间及开标时间：</w:t>
      </w:r>
      <w:r>
        <w:rPr>
          <w:rFonts w:hint="eastAsia" w:ascii="宋体" w:hAnsi="宋体" w:eastAsia="宋体" w:cs="宋体"/>
          <w:color w:val="auto"/>
          <w:sz w:val="24"/>
          <w:szCs w:val="32"/>
          <w:highlight w:val="none"/>
        </w:rPr>
        <w:t>北京时间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上</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0整</w:t>
      </w:r>
    </w:p>
    <w:p>
      <w:pPr>
        <w:shd w:val="clear"/>
        <w:spacing w:line="360" w:lineRule="auto"/>
        <w:ind w:firstLine="482" w:firstLineChars="200"/>
        <w:rPr>
          <w:rFonts w:hint="default" w:ascii="宋体" w:hAnsi="宋体" w:eastAsia="宋体" w:cs="宋体"/>
          <w:color w:val="auto"/>
          <w:sz w:val="24"/>
          <w:szCs w:val="32"/>
          <w:highlight w:val="none"/>
          <w:lang w:val="en-US"/>
        </w:rPr>
      </w:pPr>
      <w:r>
        <w:rPr>
          <w:rFonts w:hint="eastAsia" w:ascii="宋体" w:hAnsi="宋体" w:eastAsia="宋体" w:cs="宋体"/>
          <w:b/>
          <w:bCs/>
          <w:color w:val="auto"/>
          <w:sz w:val="24"/>
          <w:szCs w:val="32"/>
          <w:highlight w:val="none"/>
        </w:rPr>
        <w:t>七、开标地址：</w:t>
      </w:r>
      <w:r>
        <w:rPr>
          <w:rFonts w:hint="eastAsia" w:ascii="宋体" w:hAnsi="宋体" w:cs="宋体"/>
          <w:color w:val="auto"/>
          <w:sz w:val="24"/>
          <w:szCs w:val="32"/>
          <w:highlight w:val="none"/>
          <w:lang w:eastAsia="zh-CN"/>
        </w:rPr>
        <w:t>“政府采购云平台”线上开标</w:t>
      </w:r>
      <w:r>
        <w:rPr>
          <w:rFonts w:hint="eastAsia" w:ascii="宋体" w:hAnsi="宋体" w:cs="宋体"/>
          <w:color w:val="auto"/>
          <w:sz w:val="24"/>
          <w:szCs w:val="32"/>
          <w:highlight w:val="none"/>
          <w:lang w:val="en-US" w:eastAsia="zh-CN"/>
        </w:rPr>
        <w:t>/椒江区市府大道777号民泰大楼3楼一号开标室A场地</w:t>
      </w:r>
    </w:p>
    <w:p>
      <w:pPr>
        <w:shd w:val="clear"/>
        <w:spacing w:line="360" w:lineRule="auto"/>
        <w:ind w:firstLine="482" w:firstLineChars="200"/>
        <w:outlineLvl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八、相关注意事项：</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供应商如对招标文件有异议应按规定的时间提出，逾期提出的，采购组织机构可不予受理、答复。</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1）信用信息查询的截止时点：开标后评标前；</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www.creditchina.gov.cn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www.ccgp.gov.cn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）、“浙江政府采购网</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3）信用信息查询记录和证据留存具体方式：采购代理机构经办人将查询网页打印与其他项目相关文件文件一并保存；</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4）信用信息的使用规则：投标人存在不良信用记录的，其投标将被作为无效投标被拒绝。</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3.不良信用记录指：被列入失信被执行人、</w:t>
      </w:r>
      <w:r>
        <w:rPr>
          <w:rFonts w:hint="eastAsia" w:ascii="宋体" w:hAnsi="宋体" w:eastAsia="宋体" w:cs="宋体"/>
          <w:color w:val="auto"/>
          <w:sz w:val="24"/>
          <w:szCs w:val="32"/>
          <w:highlight w:val="none"/>
          <w:lang w:eastAsia="zh-CN"/>
        </w:rPr>
        <w:t>重大税收违法失信主体</w:t>
      </w:r>
      <w:r>
        <w:rPr>
          <w:rFonts w:hint="eastAsia" w:ascii="宋体" w:hAnsi="宋体" w:eastAsia="宋体" w:cs="宋体"/>
          <w:color w:val="auto"/>
          <w:sz w:val="24"/>
          <w:szCs w:val="32"/>
          <w:highlight w:val="none"/>
        </w:rPr>
        <w:t>、政府采购严重违法失信行为记录名单或浙江政府采购网曝光台中尚在行政处罚期内的。</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九、联系方式：</w:t>
      </w:r>
    </w:p>
    <w:p>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eastAsia="宋体" w:cs="宋体"/>
          <w:color w:val="auto"/>
          <w:sz w:val="24"/>
          <w:szCs w:val="32"/>
          <w:highlight w:val="none"/>
        </w:rPr>
        <w:t>浙江五石中正工程咨询有限公司；</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项目负责人：徐名峰</w:t>
      </w:r>
      <w:r>
        <w:rPr>
          <w:rFonts w:hint="eastAsia" w:ascii="宋体" w:hAnsi="宋体" w:eastAsia="宋体" w:cs="宋体"/>
          <w:color w:val="auto"/>
          <w:sz w:val="24"/>
          <w:szCs w:val="32"/>
          <w:highlight w:val="none"/>
          <w:lang w:eastAsia="zh-CN"/>
        </w:rPr>
        <w:t>、石晓林、黄思波、高琳</w:t>
      </w:r>
      <w:r>
        <w:rPr>
          <w:rFonts w:hint="eastAsia" w:ascii="宋体" w:hAnsi="宋体" w:eastAsia="宋体" w:cs="宋体"/>
          <w:color w:val="auto"/>
          <w:sz w:val="24"/>
          <w:szCs w:val="32"/>
          <w:highlight w:val="none"/>
        </w:rPr>
        <w:t>；联系电话：15088711407；</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质疑接收人：徐少媚；联系电话：0576-88785265；传真：0571-85342190；</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地点：杭州市拱墅区白石路318号中国（杭州）人力资源服务产业园北楼512室；</w:t>
      </w:r>
    </w:p>
    <w:p>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2、采购人：</w:t>
      </w:r>
      <w:r>
        <w:rPr>
          <w:rFonts w:hint="eastAsia" w:ascii="宋体" w:hAnsi="宋体" w:eastAsia="宋体" w:cs="宋体"/>
          <w:color w:val="auto"/>
          <w:sz w:val="24"/>
          <w:szCs w:val="32"/>
          <w:highlight w:val="none"/>
        </w:rPr>
        <w:t>台州恩泽医疗中心（集团）；</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项目联系人：</w:t>
      </w:r>
      <w:r>
        <w:rPr>
          <w:rFonts w:hint="eastAsia" w:ascii="宋体" w:hAnsi="宋体" w:eastAsia="宋体" w:cs="宋体"/>
          <w:color w:val="auto"/>
          <w:sz w:val="24"/>
          <w:szCs w:val="32"/>
          <w:highlight w:val="none"/>
          <w:lang w:val="en-US" w:eastAsia="zh-CN"/>
        </w:rPr>
        <w:t>任洁</w:t>
      </w:r>
      <w:r>
        <w:rPr>
          <w:rFonts w:hint="eastAsia" w:ascii="宋体" w:hAnsi="宋体" w:eastAsia="宋体" w:cs="宋体"/>
          <w:color w:val="auto"/>
          <w:sz w:val="24"/>
          <w:szCs w:val="32"/>
          <w:highlight w:val="none"/>
        </w:rPr>
        <w:t>；联系电话：</w:t>
      </w:r>
      <w:r>
        <w:rPr>
          <w:rFonts w:hint="eastAsia" w:ascii="宋体" w:hAnsi="宋体" w:eastAsia="宋体" w:cs="宋体"/>
          <w:color w:val="auto"/>
          <w:sz w:val="24"/>
          <w:szCs w:val="32"/>
          <w:highlight w:val="none"/>
          <w:lang w:val="en-US" w:eastAsia="zh-CN"/>
        </w:rPr>
        <w:t>0576-85190165</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质疑接受人：</w:t>
      </w:r>
      <w:r>
        <w:rPr>
          <w:rFonts w:hint="eastAsia" w:ascii="宋体" w:hAnsi="宋体" w:eastAsia="宋体" w:cs="宋体"/>
          <w:color w:val="auto"/>
          <w:sz w:val="24"/>
          <w:szCs w:val="32"/>
          <w:highlight w:val="none"/>
          <w:lang w:val="en-US" w:eastAsia="zh-CN"/>
        </w:rPr>
        <w:t>泮凡</w:t>
      </w:r>
      <w:r>
        <w:rPr>
          <w:rFonts w:hint="eastAsia" w:ascii="宋体" w:hAnsi="宋体" w:eastAsia="宋体" w:cs="宋体"/>
          <w:color w:val="auto"/>
          <w:sz w:val="24"/>
          <w:szCs w:val="32"/>
          <w:highlight w:val="none"/>
        </w:rPr>
        <w:t>；联系电话：</w:t>
      </w:r>
      <w:r>
        <w:rPr>
          <w:rFonts w:hint="eastAsia" w:ascii="宋体" w:hAnsi="宋体" w:eastAsia="宋体" w:cs="宋体"/>
          <w:color w:val="auto"/>
          <w:sz w:val="24"/>
          <w:szCs w:val="32"/>
          <w:highlight w:val="none"/>
          <w:lang w:val="en-US" w:eastAsia="zh-CN"/>
        </w:rPr>
        <w:t>0576-85190165</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地址：浙江省台州市临海市西门街150号。</w:t>
      </w:r>
    </w:p>
    <w:p>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3、同级政府采购监管管理部门：</w:t>
      </w:r>
      <w:r>
        <w:rPr>
          <w:rFonts w:hint="eastAsia" w:ascii="宋体" w:hAnsi="宋体" w:eastAsia="宋体" w:cs="宋体"/>
          <w:color w:val="auto"/>
          <w:sz w:val="24"/>
          <w:szCs w:val="32"/>
          <w:highlight w:val="none"/>
        </w:rPr>
        <w:t>台州市财政局政府采购监督管理办公室；</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联系人：陈工、李工；监督投诉电话：0576-88206705、0576-88206731；</w:t>
      </w:r>
    </w:p>
    <w:p>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地址：台州市椒江区纬一路66号天元大厦。</w:t>
      </w:r>
    </w:p>
    <w:p>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4、其余事项：</w:t>
      </w:r>
      <w:r>
        <w:rPr>
          <w:rFonts w:hint="eastAsia" w:ascii="宋体" w:hAnsi="宋体" w:eastAsia="宋体" w:cs="宋体"/>
          <w:color w:val="auto"/>
          <w:sz w:val="24"/>
          <w:szCs w:val="32"/>
          <w:highlight w:val="none"/>
        </w:rPr>
        <w:t>中标供应商如有融资需求，可使用以下银行的政采贷服务。</w:t>
      </w:r>
    </w:p>
    <w:tbl>
      <w:tblPr>
        <w:tblStyle w:val="2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贷款年利率</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315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中国工商银行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361" w:type="dxa"/>
            <w:vAlign w:val="center"/>
          </w:tcPr>
          <w:p>
            <w:pPr>
              <w:shd w:val="clea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卢嘉诚</w:t>
            </w:r>
          </w:p>
        </w:tc>
        <w:tc>
          <w:tcPr>
            <w:tcW w:w="3151" w:type="dxa"/>
            <w:vAlign w:val="center"/>
          </w:tcPr>
          <w:p>
            <w:pPr>
              <w:shd w:val="clea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中国农业银行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中国建设银行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中国银行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361" w:type="dxa"/>
            <w:vAlign w:val="center"/>
          </w:tcPr>
          <w:p>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王海</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浦发银行椒江分行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交通银行台州分行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招商银行台州分行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4.32%起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浙商银行台州分行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5.01%起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章涉漪</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中信银行台州分行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陈金园</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华夏银行台州分行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邱明达</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泰隆银行开发区支行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梁宛莉</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民泰银行椒江支行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5.8%起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陈慧珠</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绍兴银行台州分行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郭庭斌</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温州银行台州分行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王晓波</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平安银行台州分行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6.53%起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李俊丽</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戴莉丽</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金华银行台州分行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金雪婷</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台州银行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洪婷</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邮储银行台州分行</w:t>
            </w:r>
          </w:p>
        </w:tc>
        <w:tc>
          <w:tcPr>
            <w:tcW w:w="173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3.85%起</w:t>
            </w:r>
          </w:p>
        </w:tc>
        <w:tc>
          <w:tcPr>
            <w:tcW w:w="136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董庆</w:t>
            </w:r>
          </w:p>
        </w:tc>
        <w:tc>
          <w:tcPr>
            <w:tcW w:w="31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81888982/18957683735</w:t>
            </w:r>
          </w:p>
        </w:tc>
      </w:tr>
    </w:tbl>
    <w:p>
      <w:pPr>
        <w:shd w:val="clear"/>
        <w:spacing w:line="360" w:lineRule="auto"/>
        <w:ind w:firstLine="2160" w:firstLineChars="90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合同履约保函联系方式</w:t>
      </w:r>
    </w:p>
    <w:tbl>
      <w:tblPr>
        <w:tblStyle w:val="29"/>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666"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1071"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857" w:type="dxa"/>
            <w:vAlign w:val="center"/>
          </w:tcPr>
          <w:p>
            <w:pPr>
              <w:shd w:val="clea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pPr>
        <w:shd w:val="clear"/>
        <w:spacing w:line="360" w:lineRule="auto"/>
        <w:jc w:val="center"/>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预付款保函联系方式</w:t>
      </w:r>
    </w:p>
    <w:tbl>
      <w:tblPr>
        <w:tblStyle w:val="29"/>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保险公司名称</w:t>
            </w:r>
          </w:p>
        </w:tc>
        <w:tc>
          <w:tcPr>
            <w:tcW w:w="2374"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保费率</w:t>
            </w:r>
          </w:p>
        </w:tc>
        <w:tc>
          <w:tcPr>
            <w:tcW w:w="109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88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中国人寿财产保险股份有限公司台州中心支公司</w:t>
            </w:r>
          </w:p>
        </w:tc>
        <w:tc>
          <w:tcPr>
            <w:tcW w:w="2374"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年费率3%，最低保费500元</w:t>
            </w:r>
          </w:p>
        </w:tc>
        <w:tc>
          <w:tcPr>
            <w:tcW w:w="109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徐凌</w:t>
            </w:r>
          </w:p>
        </w:tc>
        <w:tc>
          <w:tcPr>
            <w:tcW w:w="188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阳光保险台州中心支公司</w:t>
            </w:r>
          </w:p>
        </w:tc>
        <w:tc>
          <w:tcPr>
            <w:tcW w:w="2374"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年费率1%，最低保费500元</w:t>
            </w:r>
          </w:p>
        </w:tc>
        <w:tc>
          <w:tcPr>
            <w:tcW w:w="109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林高明</w:t>
            </w:r>
          </w:p>
        </w:tc>
        <w:tc>
          <w:tcPr>
            <w:tcW w:w="188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天安财产保险股份有限公司台州中心支公司</w:t>
            </w:r>
          </w:p>
        </w:tc>
        <w:tc>
          <w:tcPr>
            <w:tcW w:w="2374"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年费率1%-2%，最低保费500元</w:t>
            </w:r>
          </w:p>
        </w:tc>
        <w:tc>
          <w:tcPr>
            <w:tcW w:w="1093"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罗赛</w:t>
            </w:r>
          </w:p>
        </w:tc>
        <w:tc>
          <w:tcPr>
            <w:tcW w:w="188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13736605643</w:t>
            </w:r>
          </w:p>
        </w:tc>
      </w:tr>
    </w:tbl>
    <w:p>
      <w:pPr>
        <w:shd w:val="clear"/>
        <w:spacing w:line="360" w:lineRule="auto"/>
        <w:jc w:val="righ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浙江五石中正工程咨询有限公司</w:t>
      </w:r>
    </w:p>
    <w:p>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2024年</w:t>
      </w:r>
      <w:r>
        <w:rPr>
          <w:rFonts w:hint="eastAsia" w:ascii="宋体" w:hAnsi="宋体" w:cs="宋体"/>
          <w:color w:val="auto"/>
          <w:sz w:val="24"/>
          <w:szCs w:val="32"/>
          <w:highlight w:val="none"/>
          <w:lang w:val="en-US" w:eastAsia="zh-CN"/>
        </w:rPr>
        <w:t>7</w:t>
      </w:r>
      <w:r>
        <w:rPr>
          <w:rFonts w:hint="eastAsia" w:ascii="宋体" w:hAnsi="宋体" w:eastAsia="宋体" w:cs="宋体"/>
          <w:color w:val="auto"/>
          <w:sz w:val="24"/>
          <w:szCs w:val="32"/>
          <w:highlight w:val="none"/>
          <w:lang w:eastAsia="zh-CN"/>
        </w:rPr>
        <w:t>月</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jc w:val="both"/>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第二章 投标人须知</w:t>
      </w:r>
    </w:p>
    <w:p>
      <w:pPr>
        <w:shd w:val="clear"/>
        <w:spacing w:line="360" w:lineRule="auto"/>
        <w:ind w:firstLine="482" w:firstLineChars="200"/>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8"/>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705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050"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7050"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407"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投标文件递交要求</w:t>
            </w:r>
          </w:p>
        </w:tc>
        <w:tc>
          <w:tcPr>
            <w:tcW w:w="7050" w:type="dxa"/>
            <w:vAlign w:val="center"/>
          </w:tcPr>
          <w:p>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电子投标</w:t>
            </w:r>
            <w:r>
              <w:rPr>
                <w:rFonts w:hint="eastAsia" w:ascii="宋体" w:hAnsi="宋体" w:eastAsia="宋体" w:cs="宋体"/>
                <w:color w:val="auto"/>
                <w:sz w:val="24"/>
                <w:highlight w:val="none"/>
              </w:rPr>
              <w:t>，供应商应准备电子投标文件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还可以提供</w:t>
            </w:r>
            <w:r>
              <w:rPr>
                <w:rFonts w:hint="eastAsia" w:ascii="宋体" w:hAnsi="宋体" w:eastAsia="宋体" w:cs="宋体"/>
                <w:b/>
                <w:bCs/>
                <w:color w:val="auto"/>
                <w:sz w:val="24"/>
                <w:highlight w:val="none"/>
              </w:rPr>
              <w:t>以介质（U盘）存储的数据电文形式、纸质备份投标文件</w:t>
            </w:r>
            <w:r>
              <w:rPr>
                <w:rFonts w:hint="eastAsia" w:ascii="宋体" w:hAnsi="宋体" w:eastAsia="宋体" w:cs="宋体"/>
                <w:b/>
                <w:bCs/>
                <w:color w:val="auto"/>
                <w:sz w:val="24"/>
                <w:highlight w:val="none"/>
                <w:lang w:eastAsia="zh-CN"/>
              </w:rPr>
              <w:t>。</w:t>
            </w:r>
          </w:p>
          <w:p>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2.以介质（U盘）存储的数据电文形式的备份投标文件，按政采云平台项目采购-电子招投标操作指南中上传的电子投标文件格式，以U盘形式提供。</w:t>
            </w:r>
          </w:p>
          <w:p>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。资格证明文件、商务技术文件、报价文件三部分须分别密封封装，资格证明文件、商务技术文件、报价文件三部分未分别密封的投标文件将为无效。</w:t>
            </w:r>
          </w:p>
          <w:p>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4.投标文件启用顺序和效力：投标文件的启用，按先后顺位分别为电子投标文件、以介质（U盘）存储的数据电文形式的备份投标文件。</w:t>
            </w:r>
          </w:p>
          <w:p>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4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050"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4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7050"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截止时间：北京时间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日上午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0整</w:t>
            </w: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4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7050"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时间：北京时间</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日上午</w:t>
            </w:r>
            <w:r>
              <w:rPr>
                <w:rFonts w:hint="eastAsia" w:ascii="宋体" w:hAnsi="宋体" w:cs="宋体"/>
                <w:color w:val="auto"/>
                <w:sz w:val="24"/>
                <w:highlight w:val="none"/>
                <w:lang w:val="en-US" w:eastAsia="zh-CN"/>
              </w:rPr>
              <w:t>09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0整</w:t>
            </w: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cs="宋体"/>
                <w:color w:val="auto"/>
                <w:sz w:val="24"/>
                <w:szCs w:val="32"/>
                <w:highlight w:val="none"/>
                <w:lang w:eastAsia="zh-CN"/>
              </w:rPr>
              <w:t>“政府采购云平台</w:t>
            </w:r>
            <w:bookmarkStart w:id="4" w:name="_GoBack"/>
            <w:bookmarkEnd w:id="4"/>
            <w:r>
              <w:rPr>
                <w:rFonts w:hint="eastAsia" w:ascii="宋体" w:hAnsi="宋体" w:cs="宋体"/>
                <w:color w:val="auto"/>
                <w:sz w:val="24"/>
                <w:szCs w:val="32"/>
                <w:highlight w:val="none"/>
                <w:lang w:eastAsia="zh-CN"/>
              </w:rPr>
              <w:t>”线上开标</w:t>
            </w:r>
            <w:r>
              <w:rPr>
                <w:rFonts w:hint="eastAsia" w:ascii="宋体" w:hAnsi="宋体" w:cs="宋体"/>
                <w:color w:val="auto"/>
                <w:sz w:val="24"/>
                <w:szCs w:val="32"/>
                <w:highlight w:val="none"/>
                <w:lang w:val="en-US" w:eastAsia="zh-CN"/>
              </w:rPr>
              <w:t>/椒江区市府大道777号民泰大楼3楼一号开标室A场地</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4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050" w:type="dxa"/>
            <w:vAlign w:val="center"/>
          </w:tcPr>
          <w:p>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407" w:type="dxa"/>
            <w:vAlign w:val="center"/>
          </w:tcPr>
          <w:p>
            <w:pPr>
              <w:shd w:val="clea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实质性条款</w:t>
            </w:r>
          </w:p>
        </w:tc>
        <w:tc>
          <w:tcPr>
            <w:tcW w:w="7050"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样品</w:t>
            </w:r>
            <w:r>
              <w:rPr>
                <w:rFonts w:hint="eastAsia" w:ascii="宋体" w:hAnsi="宋体" w:eastAsia="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auto"/>
                <w:highlight w:val="none"/>
                <w:lang w:eastAsia="zh-CN"/>
              </w:rPr>
            </w:pPr>
            <w:r>
              <w:rPr>
                <w:rFonts w:hint="eastAsia" w:ascii="宋体" w:hAnsi="宋体" w:eastAsia="宋体" w:cs="宋体"/>
                <w:color w:val="auto"/>
                <w:kern w:val="0"/>
                <w:sz w:val="24"/>
                <w:highlight w:val="none"/>
              </w:rPr>
              <w:t>否</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工业-制造业</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1、各供应商自行在浙江政府采购网下载或查阅采购文件和相关更正公告等，不另行通知，如有遗漏采购人、采购代理机构概不负责。</w:t>
            </w: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2、两家或两家以上供应商提供的投标文件出自同一终端设备的，或在相同Internet主机分配地址（相同IP地址）报名或网上投标的，后果由供应商自行承担。</w:t>
            </w: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一、总  则</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适用范围</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本招标文件适用于本次项目的招标、投标、评标、定标、验收、合同履约、付款等行为（法律、法规另有规定的，从其规定）。</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“采购组织机构”指采购人委托组织招标的采购代理机构。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3、投标人：是指向采购</w:t>
      </w:r>
      <w:r>
        <w:rPr>
          <w:rFonts w:hint="eastAsia" w:ascii="宋体" w:hAnsi="宋体" w:eastAsia="宋体" w:cs="宋体"/>
          <w:color w:val="auto"/>
          <w:sz w:val="24"/>
          <w:szCs w:val="32"/>
          <w:highlight w:val="none"/>
          <w:lang w:val="zh-CN"/>
        </w:rPr>
        <w:t>组织</w:t>
      </w:r>
      <w:r>
        <w:rPr>
          <w:rFonts w:hint="eastAsia" w:ascii="宋体" w:hAnsi="宋体" w:eastAsia="宋体" w:cs="宋体"/>
          <w:color w:val="auto"/>
          <w:sz w:val="24"/>
          <w:szCs w:val="32"/>
          <w:highlight w:val="none"/>
        </w:rPr>
        <w:t>机构提交投标文件的单位或个人。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4、货物：是指各种形态和种类的物品，包括原材料、燃料、设备、产品等。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6、“书面形式”包括信函、传真等。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7、“▲”系指实质性要求条款。</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（三）投标费用</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不论投标结果如何，投标人均应自行承担所有与投标有关的全部费用（招标文件有相关规定除外）。</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32"/>
          <w:highlight w:val="none"/>
        </w:rPr>
        <w:tab/>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4、为采购项目提供整体设计、规范编制或者项目管理、监理、检测等服务的供应商，不得再参加该采购项目的其他采购活动。</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5、投标文件格式中的表格式样可以根据项目差别做适当调整，但应当保持表格样式基本形态不变。</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6、单位负责人为同一人或者存在直接控股、管理关系的不同供应商，不得参加同一合同项下的政府采购活动。</w:t>
      </w: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二、招标文件</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（一）招标文件由招标文件总目录所列内容组成。</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（二）招标文件的澄清或修改</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（一）</w:t>
      </w:r>
      <w:r>
        <w:rPr>
          <w:rFonts w:hint="eastAsia" w:ascii="宋体" w:hAnsi="宋体" w:eastAsia="宋体" w:cs="宋体"/>
          <w:b/>
          <w:bCs/>
          <w:color w:val="auto"/>
          <w:sz w:val="24"/>
          <w:szCs w:val="32"/>
          <w:highlight w:val="none"/>
        </w:rPr>
        <w:t>投标文件的组成</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投标人接到招标文件后，按照采购组织机构的要求提供：资格证明文件、商务与技术文件和报价文件。</w:t>
      </w:r>
      <w:r>
        <w:rPr>
          <w:rFonts w:hint="eastAsia" w:ascii="宋体" w:hAnsi="宋体" w:eastAsia="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w:t>
      </w:r>
      <w:r>
        <w:rPr>
          <w:rFonts w:hint="eastAsia" w:ascii="宋体" w:hAnsi="宋体" w:eastAsia="宋体" w:cs="宋体"/>
          <w:b/>
          <w:bCs/>
          <w:color w:val="auto"/>
          <w:sz w:val="24"/>
          <w:szCs w:val="32"/>
          <w:highlight w:val="none"/>
        </w:rPr>
        <w:t>1、资格证明文件的组成：</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）投标声明书；</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）授权委托书（法定代表人亲自办理投标事宜的，则无需提交）；</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）法人或者其他组织的营业执照等证明文件，自然人的身份证明；</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）具有良好的商业信誉和健全的财务会计制度的承诺；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）依法缴纳税收和社会保障资金的承诺；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）参加政府采购活动前三年内，在经营活动中没有重大违法记录；</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eastAsia="zh-CN"/>
        </w:rPr>
        <w:t>具有履行合同所必需的设备和专业技术能力承诺函</w:t>
      </w:r>
      <w:r>
        <w:rPr>
          <w:rFonts w:hint="eastAsia" w:ascii="宋体" w:hAnsi="宋体" w:eastAsia="宋体" w:cs="宋体"/>
          <w:color w:val="auto"/>
          <w:sz w:val="24"/>
          <w:szCs w:val="32"/>
          <w:highlight w:val="none"/>
        </w:rPr>
        <w:t>。</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（1）投标人情况介绍。</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（2）投标方案描述：</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B.项目组织实施方案（包括项目工期、确保项目供货的措施或方案、项目实施进度安排、项目实施人员及项目负责人的资质、类似经验及社保证明等）。</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C.安装、调试及验收方案（包括项目验收标准和验收方法等）和措施；</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（3）投标产品描述及相关资料：</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A.设备配置清单</w:t>
      </w:r>
      <w:r>
        <w:rPr>
          <w:rFonts w:hint="eastAsia" w:ascii="宋体" w:hAnsi="宋体" w:eastAsia="宋体" w:cs="宋体"/>
          <w:b/>
          <w:bCs/>
          <w:color w:val="auto"/>
          <w:sz w:val="24"/>
          <w:szCs w:val="32"/>
          <w:highlight w:val="none"/>
          <w:lang w:eastAsia="zh-CN"/>
        </w:rPr>
        <w:t>（均不含报价）</w:t>
      </w:r>
      <w:r>
        <w:rPr>
          <w:rFonts w:hint="eastAsia" w:ascii="宋体" w:hAnsi="宋体" w:eastAsia="宋体" w:cs="宋体"/>
          <w:b w:val="0"/>
          <w:bCs w:val="0"/>
          <w:color w:val="auto"/>
          <w:sz w:val="24"/>
          <w:szCs w:val="32"/>
          <w:highlight w:val="none"/>
          <w:lang w:eastAsia="zh-CN"/>
        </w:rPr>
        <w:t>。</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B.产品品牌及型号、技术参数指标、性能特点、图片资料以及所遵循的技术规范、产品质保期、出厂标准、产品质量相关检测报告等内容。</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C.商务及技术响应表。</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【特别提示：节能和环境标志产品最新一期政府采购清单，可在“中国政府采购网”中查看】</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（4）投标人通过的质量管理和质量保证体系、环保体系、自主创新相关证书、软件著作权证等等与本项目相关的认证证书或文件；</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（5）近三年来类似项目的成功案例；</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（6）如是代理商需提供代理证明（或制造商出具的授权书）；</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（7）供应商为医疗器械生产企业的：第二类、第三类医疗器械生产企业提供《医疗器械生产许可证》、第一类医疗器械生产企业提供第一类医疗器械生产备案凭证；</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供应商为医疗器械经营企业的：第三类医疗器械经营企业提供《医疗器械经营许可证》、第二类医疗器械经营企业提供第二类医疗器械经营备案凭证；（适用于按医疗器械管理的货物）；</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食品药品监督管理部门核发的完整有效的医疗器械注册或备案证明；（适用于按医疗器械管理的设备）；</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（8）投标人认为需要提供的其他资料（包括可能影响投标人商务与技术文件评分的各类证明材料）；</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（9）售后服务描述及承诺：</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A.距采购人最近的服务网点详细介绍（包括地理位置、资质资格、技术力量、工作业绩、服务内容及联系电话等）。</w:t>
      </w:r>
    </w:p>
    <w:p>
      <w:pPr>
        <w:shd w:val="clear" w:color="auto" w:fill="auto"/>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B.针对本项目的售后服务措施及承诺（售后技术服务方案、人员配备、故障响应时间、技术培训方案等）。</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2、报价文件的组成</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（1）报价文件由开标一览表、报价明细表、中小企业等声明函（不符合中小企业要求的无需提供）以及投标人认为其他需要说明的内容组成。</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（2）此报价为投标人一次性报出唯一的最终价格，包含其它一切所要涉及到的费用，有选择的报价将被拒绝。</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政府采购优惠政策相关资料（如有）。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（6）投标报价应按招标文件中相关附表格式填写。</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（二）投标文件的制作及递交要求</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1、投标文件的制作要求</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（2）投标人应对所提供的全部资料的真实性承担法律责任，</w:t>
      </w:r>
      <w:r>
        <w:rPr>
          <w:rFonts w:hint="eastAsia" w:ascii="宋体" w:hAnsi="宋体" w:eastAsia="宋体" w:cs="宋体"/>
          <w:color w:val="auto"/>
          <w:sz w:val="24"/>
          <w:szCs w:val="32"/>
          <w:highlight w:val="none"/>
          <w:lang w:val="zh-CN"/>
        </w:rPr>
        <w:t>投标文件内容中有要求盖章或签字的地方，必须加盖投标人的公章以及法定代表人或授权委托代理人盖章或签字。</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（5）若投标人不按招标文件的要求提供资格审查材料，其风险由投标人自行承担。</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（6）与本次投标无关的内容请不要制作在内，确保投标文件有针对性、简洁明了。</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①投标文件的编制</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本项目实行电子投标，</w:t>
      </w:r>
      <w:r>
        <w:rPr>
          <w:rFonts w:hint="eastAsia" w:ascii="宋体" w:hAnsi="宋体" w:eastAsia="宋体" w:cs="宋体"/>
          <w:color w:val="auto"/>
          <w:sz w:val="24"/>
          <w:highlight w:val="none"/>
        </w:rPr>
        <w:t>供应商应准备电子投标文件、以介质（U盘）存储的数据电文形式的备份投标文件、纸质备份投标文件三类</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（1）按政采云平台项目采购--电子招投标操作指南及本招标文件要求编制。</w:t>
      </w:r>
      <w:r>
        <w:rPr>
          <w:rFonts w:hint="eastAsia" w:ascii="宋体" w:hAnsi="宋体" w:eastAsia="宋体" w:cs="宋体"/>
          <w:color w:val="auto"/>
          <w:sz w:val="24"/>
          <w:szCs w:val="32"/>
          <w:highlight w:val="none"/>
          <w:lang w:val="en-GB"/>
        </w:rPr>
        <w:t>投标人应通过“政采云电子交易客户端”，并按照本招标文件和“政府采购云平台”的要求编制并加密投标文件。</w:t>
      </w:r>
    </w:p>
    <w:p>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eastAsia="宋体" w:cs="宋体"/>
          <w:color w:val="auto"/>
          <w:sz w:val="24"/>
          <w:szCs w:val="32"/>
          <w:highlight w:val="none"/>
        </w:rPr>
        <w:t>资格证明文件</w:t>
      </w:r>
      <w:r>
        <w:rPr>
          <w:rFonts w:hint="eastAsia" w:ascii="宋体" w:hAnsi="宋体" w:eastAsia="宋体" w:cs="宋体"/>
          <w:color w:val="auto"/>
          <w:sz w:val="24"/>
          <w:szCs w:val="32"/>
          <w:highlight w:val="none"/>
          <w:lang w:val="en-GB"/>
        </w:rPr>
        <w:t>》和《</w:t>
      </w:r>
      <w:r>
        <w:rPr>
          <w:rFonts w:hint="eastAsia" w:ascii="宋体" w:hAnsi="宋体" w:eastAsia="宋体" w:cs="宋体"/>
          <w:color w:val="auto"/>
          <w:sz w:val="24"/>
          <w:szCs w:val="32"/>
          <w:highlight w:val="none"/>
        </w:rPr>
        <w:t>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lang w:val="en-GB"/>
        </w:rPr>
        <w:t>2</w:t>
      </w:r>
      <w:r>
        <w:rPr>
          <w:rFonts w:hint="eastAsia" w:ascii="宋体" w:hAnsi="宋体" w:eastAsia="宋体" w:cs="宋体"/>
          <w:color w:val="auto"/>
          <w:sz w:val="24"/>
          <w:szCs w:val="32"/>
          <w:highlight w:val="none"/>
          <w:lang w:val="zh-CN"/>
        </w:rPr>
        <w:t>投标文件分为</w:t>
      </w:r>
      <w:r>
        <w:rPr>
          <w:rFonts w:hint="eastAsia" w:ascii="宋体" w:hAnsi="宋体" w:eastAsia="宋体" w:cs="宋体"/>
          <w:color w:val="auto"/>
          <w:sz w:val="24"/>
          <w:szCs w:val="32"/>
          <w:highlight w:val="none"/>
          <w:lang w:val="en-GB"/>
        </w:rPr>
        <w:t>资格证明文件、商务技术文件、报价文件三部分</w:t>
      </w:r>
      <w:r>
        <w:rPr>
          <w:rFonts w:hint="eastAsia" w:ascii="宋体" w:hAnsi="宋体" w:eastAsia="宋体" w:cs="宋体"/>
          <w:color w:val="auto"/>
          <w:sz w:val="24"/>
          <w:szCs w:val="32"/>
          <w:highlight w:val="none"/>
          <w:lang w:val="zh-CN"/>
        </w:rPr>
        <w:t>。各投标人在编制投标文件时请按照采购文件第六章规定的格式进行，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1.3《投标文件》内容不完整、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存储的数据电文形式的备份投标文件，按政采云平台项目采购-电子招投标操作指南中上传的电子投标文件格式，以U盘形式提供。数量为1份。</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（3）纸质备份投标文件以纸质文件的形式编制，按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须分别密封封装，</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未分别密封的投标文件将为无效。除报价文件外其余一律不准出现数字报价。如有不同标段，请按标段号分别装订，密封要求同上。</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Ⅰ电子投标文件</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电子投标文件如内容不完整、编排混乱导致投标文件被误读、漏读，或者在按采购文件规定的部位查找不到相关内容的，由投标人自行承担。</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2.温馨提醒：CA签章上目前没有法人或授权代表签字信息，需要投标人联系</w:t>
      </w:r>
      <w:r>
        <w:rPr>
          <w:rFonts w:hint="eastAsia" w:ascii="宋体" w:hAnsi="宋体" w:eastAsia="宋体" w:cs="宋体"/>
          <w:b/>
          <w:bCs/>
          <w:color w:val="auto"/>
          <w:sz w:val="24"/>
          <w:szCs w:val="32"/>
          <w:highlight w:val="none"/>
        </w:rPr>
        <w:t>浙江汇信科技有限公司（400-8884636）、杭州天谷信息科技有限公司（400-0878198）</w:t>
      </w:r>
      <w:r>
        <w:rPr>
          <w:rFonts w:hint="eastAsia" w:ascii="宋体" w:hAnsi="宋体" w:eastAsia="宋体" w:cs="宋体"/>
          <w:color w:val="auto"/>
          <w:sz w:val="24"/>
          <w:szCs w:val="32"/>
          <w:highlight w:val="none"/>
        </w:rPr>
        <w:t>等相应公司进行办理，或在投标文件中涉及到签字的位置线下签好字然后扫描或者拍照做成PDF的格式亦可。</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b/>
          <w:bCs/>
          <w:color w:val="auto"/>
          <w:sz w:val="24"/>
          <w:szCs w:val="32"/>
          <w:highlight w:val="none"/>
        </w:rPr>
        <w:t>以介质（U盘）存储的数据电文形式的备份投标文件</w:t>
      </w:r>
      <w:r>
        <w:rPr>
          <w:rFonts w:hint="eastAsia" w:ascii="宋体" w:hAnsi="宋体" w:eastAsia="宋体" w:cs="宋体"/>
          <w:color w:val="auto"/>
          <w:sz w:val="24"/>
          <w:szCs w:val="32"/>
          <w:highlight w:val="none"/>
        </w:rPr>
        <w:t>，按政采云平台项目采购-电子招投标操作指南中上传的电子投标文件格式，以U盘形式提供。数量为1份。</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Ⅱ纸质备份投标文件</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1.所有纸质投标资料应按投标文件的组成所列内容及顺序装订成册，</w:t>
      </w:r>
      <w:r>
        <w:rPr>
          <w:rFonts w:hint="eastAsia" w:ascii="宋体" w:hAnsi="宋体" w:eastAsia="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分别编制并单独装订成册，活页装订的投标文件将被拒绝。投标文件需打印或用不褪色的墨水填写。</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分别密封封装纸质备份投标文件。</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eastAsia="宋体" w:cs="宋体"/>
          <w:color w:val="auto"/>
          <w:sz w:val="24"/>
          <w:szCs w:val="32"/>
          <w:highlight w:val="none"/>
          <w:lang w:val="zh-CN"/>
        </w:rPr>
        <w:t>资格证明文件、商务技术文件、报价文件</w:t>
      </w:r>
      <w:r>
        <w:rPr>
          <w:rFonts w:hint="eastAsia" w:ascii="宋体" w:hAnsi="宋体" w:eastAsia="宋体" w:cs="宋体"/>
          <w:color w:val="auto"/>
          <w:sz w:val="24"/>
          <w:szCs w:val="32"/>
          <w:highlight w:val="none"/>
        </w:rPr>
        <w:t>）”、“开标时启封”字样，未按上述要求密封及加写标记，采购组织机构对投标文件的误投和提前启封不负责任。</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4.项目如分标段，各标段投标文件必须分开编制，并按上述份数要求单独密封包装。</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因密封不严、标记不明而造成失密、拒收、过早启封等情况，采购组织机构概不负责。</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hd w:val="clear"/>
        <w:spacing w:line="360" w:lineRule="auto"/>
        <w:ind w:firstLine="480" w:firstLineChars="200"/>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2、投标文件的递交要求</w:t>
      </w:r>
    </w:p>
    <w:p>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）“投标文件”的上传、递交：见《前附表》。▲未传输递交电子投标文件的，投标无效。</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存储的数据电文形式的备份投标文件和纸质备份投标文件必须在规定时间前送达或邮寄至</w:t>
      </w:r>
      <w:r>
        <w:rPr>
          <w:rFonts w:hint="eastAsia" w:ascii="宋体" w:hAnsi="宋体" w:eastAsia="宋体" w:cs="宋体"/>
          <w:color w:val="auto"/>
          <w:sz w:val="24"/>
          <w:highlight w:val="none"/>
          <w:lang w:val="en-GB"/>
        </w:rPr>
        <w:t>公告规定的</w:t>
      </w:r>
      <w:r>
        <w:rPr>
          <w:rFonts w:hint="eastAsia" w:ascii="宋体" w:hAnsi="宋体" w:eastAsia="宋体" w:cs="宋体"/>
          <w:color w:val="auto"/>
          <w:sz w:val="24"/>
          <w:szCs w:val="32"/>
          <w:highlight w:val="none"/>
        </w:rPr>
        <w:t>地点。备份投标文件在截止时间后提交，采购组织机构将拒绝接收。</w:t>
      </w:r>
      <w:r>
        <w:rPr>
          <w:rFonts w:hint="eastAsia" w:ascii="宋体" w:hAnsi="宋体" w:eastAsia="宋体" w:cs="宋体"/>
          <w:color w:val="auto"/>
          <w:sz w:val="24"/>
          <w:highlight w:val="none"/>
          <w:lang w:val="en-GB"/>
        </w:rPr>
        <w:t>▲未按规定提供相应的备份投标文件，造成项目开评标活动无法进行下去的，投标无效。</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（3）如有特殊情况，采购组织机构延长截止时间和开标时间，采购组织机构和投标人的权利和义务将受到新的截止时间和开标时间的约束。</w:t>
      </w:r>
    </w:p>
    <w:p>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en-GB"/>
        </w:rPr>
        <w:t>）投标文件的备选方案</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3.中标人的投标文件自开标之日起至合同履行完毕均应保持有效。</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b/>
          <w:color w:val="auto"/>
          <w:kern w:val="0"/>
          <w:sz w:val="24"/>
          <w:highlight w:val="none"/>
        </w:rPr>
        <w:t>四、</w:t>
      </w:r>
      <w:r>
        <w:rPr>
          <w:rFonts w:hint="eastAsia" w:ascii="宋体" w:hAnsi="宋体" w:eastAsia="宋体" w:cs="宋体"/>
          <w:b/>
          <w:bCs/>
          <w:color w:val="auto"/>
          <w:sz w:val="24"/>
          <w:szCs w:val="32"/>
          <w:highlight w:val="none"/>
        </w:rPr>
        <w:t>开标</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（一）开标事项</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采购组织机构在“招标公告”规定的时间和地点公开开标，本次招标采用先评审商务资格和技术服务方案，后公开并评审报价的办法实施。</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（4）病毒导致不能进行正常操作的；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 开标程序：</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1、开标会由招标项目负责人主持，主持人宣布开标会议开始；</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2、主持人介绍参加开标会的人员名单； </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资格证明文件和商务技术文件</w:t>
      </w:r>
      <w:r>
        <w:rPr>
          <w:rFonts w:hint="eastAsia" w:ascii="宋体" w:hAnsi="宋体" w:eastAsia="宋体" w:cs="宋体"/>
          <w:color w:val="auto"/>
          <w:sz w:val="24"/>
          <w:szCs w:val="32"/>
          <w:highlight w:val="none"/>
        </w:rPr>
        <w:t>评审；</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7、由主持人公布无效投标的投标人名单、投标无效的原因及其他有效投标的评分汇总分；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9、报价文件评审；</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11、宣布综合得分结果及中标候选人名单；</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特别说明：如遇政采云平台电子化开标或评审程序调整的，按调整后程序执行。</w:t>
      </w: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本项目采用电子评审方法。</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评标委员会由采购人代表和评审专家组成，成员人数为5人以上单数，其中评审专家不得少于成员总数的三分之二。</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2、大写金额和小写金额不一致的，以大写金额为准。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3、单价金额小数点或者百分比有明显错位的，以开标一览表的总价为准，并修改单价。</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跟报价文件出现混装或在</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中出现投标报价的，或者报价文件中报价的货物跟</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中的投标货物出现重大偏差的。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r>
        <w:rPr>
          <w:rFonts w:hint="eastAsia" w:ascii="宋体" w:hAnsi="宋体" w:eastAsia="宋体" w:cs="宋体"/>
          <w:color w:val="auto"/>
          <w:sz w:val="24"/>
          <w:szCs w:val="32"/>
          <w:highlight w:val="none"/>
        </w:rPr>
        <w:tab/>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5、授权委托代理人未能出具身份证明或与法定代表人授权委托人身份不符的。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8、投标参数未如实填写，完全复制粘贴招标参数的。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9、投标文件提供虚假材料的。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w:t>
      </w:r>
      <w:r>
        <w:rPr>
          <w:rFonts w:hint="eastAsia" w:ascii="宋体" w:hAnsi="宋体" w:cs="宋体"/>
          <w:color w:val="auto"/>
          <w:sz w:val="24"/>
          <w:szCs w:val="32"/>
          <w:highlight w:val="none"/>
          <w:lang w:val="en-US" w:eastAsia="zh-CN"/>
        </w:rPr>
        <w:t>存在</w:t>
      </w:r>
      <w:r>
        <w:rPr>
          <w:rFonts w:hint="eastAsia" w:ascii="宋体" w:hAnsi="宋体" w:eastAsia="宋体" w:cs="宋体"/>
          <w:color w:val="auto"/>
          <w:sz w:val="24"/>
          <w:szCs w:val="32"/>
          <w:highlight w:val="none"/>
        </w:rPr>
        <w:t>中华人民共和国财政部令第87号《政府采购货物和服务招标投标管理办法》第三十七条情形之一的，视为投标人串通投标，其投标无效，并移送采购监管部门：</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（1）不同投标人的投标文件由同一单位或者个人编制；不同投标人的投标文件，由同一台电脑编制；</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11、不符合法律、法规和招标文件中规定的其他实质性要求的（招标文件中打“▲”内容及被拒绝的条款）。</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12、未传输递交电子投标文件的或者未按规定提供相应的备份投标文件，造成项目开评标活动无法进行下去的。</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 评标方法及评分标准》。</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5、代理费用：招标代理服务收费采用差额定率累进计费方式</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收费标准</w:t>
      </w:r>
      <w:r>
        <w:rPr>
          <w:rFonts w:hint="eastAsia" w:ascii="宋体" w:hAnsi="宋体" w:eastAsia="宋体" w:cs="宋体"/>
          <w:color w:val="auto"/>
          <w:sz w:val="24"/>
          <w:szCs w:val="32"/>
          <w:highlight w:val="none"/>
          <w:lang w:val="en-US" w:eastAsia="zh-CN"/>
        </w:rPr>
        <w:t>根据中标金额</w:t>
      </w:r>
      <w:r>
        <w:rPr>
          <w:rFonts w:hint="eastAsia" w:ascii="宋体" w:hAnsi="宋体" w:eastAsia="宋体" w:cs="宋体"/>
          <w:color w:val="auto"/>
          <w:sz w:val="24"/>
          <w:szCs w:val="32"/>
          <w:highlight w:val="none"/>
        </w:rPr>
        <w:t>按照下列表格中</w:t>
      </w:r>
      <w:r>
        <w:rPr>
          <w:rFonts w:hint="eastAsia" w:ascii="宋体" w:hAnsi="宋体" w:eastAsia="宋体" w:cs="宋体"/>
          <w:color w:val="auto"/>
          <w:sz w:val="24"/>
          <w:szCs w:val="32"/>
          <w:highlight w:val="none"/>
          <w:lang w:val="en-US" w:eastAsia="zh-CN"/>
        </w:rPr>
        <w:t>各</w:t>
      </w:r>
      <w:r>
        <w:rPr>
          <w:rFonts w:hint="eastAsia" w:ascii="宋体" w:hAnsi="宋体" w:eastAsia="宋体" w:cs="宋体"/>
          <w:color w:val="auto"/>
          <w:sz w:val="24"/>
          <w:szCs w:val="32"/>
          <w:highlight w:val="none"/>
        </w:rPr>
        <w:t>类别</w:t>
      </w:r>
      <w:r>
        <w:rPr>
          <w:rFonts w:hint="eastAsia" w:ascii="宋体" w:hAnsi="宋体" w:eastAsia="宋体" w:cs="宋体"/>
          <w:color w:val="auto"/>
          <w:sz w:val="24"/>
          <w:szCs w:val="32"/>
          <w:highlight w:val="none"/>
          <w:lang w:val="en-US" w:eastAsia="zh-CN"/>
        </w:rPr>
        <w:t>费率计算后的75%</w:t>
      </w:r>
      <w:r>
        <w:rPr>
          <w:rFonts w:hint="eastAsia" w:ascii="宋体" w:hAnsi="宋体" w:eastAsia="宋体" w:cs="宋体"/>
          <w:color w:val="auto"/>
          <w:sz w:val="24"/>
          <w:szCs w:val="32"/>
          <w:highlight w:val="none"/>
        </w:rPr>
        <w:t>向中标单位收取，该费用中标人须在中标公告发出5日内一次性付清。（户名：浙江五石中正工程咨询有限公司；账号：1202003209900014176；开户银行：中国工商银行杭州潮王路支行）,财务联系电话：0571-88271625。</w:t>
      </w:r>
    </w:p>
    <w:tbl>
      <w:tblPr>
        <w:tblStyle w:val="2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10"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3、中标供应商无故拖延、拒签合同的，取消中标资格。</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36"/>
          <w:szCs w:val="44"/>
          <w:highlight w:val="none"/>
        </w:rPr>
      </w:pPr>
    </w:p>
    <w:p>
      <w:pPr>
        <w:pStyle w:val="7"/>
        <w:shd w:val="clear"/>
        <w:rPr>
          <w:rFonts w:hint="eastAsia" w:ascii="宋体" w:hAnsi="宋体" w:eastAsia="宋体" w:cs="宋体"/>
          <w:color w:val="auto"/>
          <w:highlight w:val="none"/>
        </w:rPr>
      </w:pPr>
    </w:p>
    <w:p>
      <w:pPr>
        <w:pStyle w:val="7"/>
        <w:shd w:val="clear"/>
        <w:rPr>
          <w:rFonts w:hint="eastAsia" w:ascii="宋体" w:hAnsi="宋体" w:eastAsia="宋体" w:cs="宋体"/>
          <w:color w:val="auto"/>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both"/>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第三章 评标办法及评分标准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一、采购组织机构将组织评标委员会，对投标人提供的投标文件进行综合评审。</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二、本次招标项目的评标方法为综合评分法，总计100分。</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（一）商务与技术文件中的客观分由评标委员会讨论后统一打分；其余在规定的分值内单独评定打分。</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（二）各投标人商务与技术文件得分按照评标委员会成员的独立评分结果汇总后的算术平均分计算，计算公式为：</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商务与技术文件得分</w:t>
      </w:r>
      <w:r>
        <w:rPr>
          <w:rFonts w:hint="eastAsia" w:ascii="宋体" w:hAnsi="宋体" w:eastAsia="宋体" w:cs="宋体"/>
          <w:color w:val="auto"/>
          <w:sz w:val="24"/>
          <w:szCs w:val="32"/>
          <w:highlight w:val="none"/>
          <w:lang w:val="zh-CN"/>
        </w:rPr>
        <w:t>=评标委员会所有成员评分合计数/评标委员会组成人员数。</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hd w:val="clear"/>
        <w:spacing w:line="360" w:lineRule="auto"/>
        <w:ind w:firstLine="480" w:firstLineChars="2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u w:val="single"/>
        </w:rPr>
        <w:t>投标报价得分=（评标基准价／投标报价）×</w:t>
      </w:r>
      <w:r>
        <w:rPr>
          <w:rFonts w:hint="eastAsia" w:ascii="宋体" w:hAnsi="宋体" w:eastAsia="宋体" w:cs="宋体"/>
          <w:color w:val="auto"/>
          <w:sz w:val="24"/>
          <w:szCs w:val="32"/>
          <w:highlight w:val="none"/>
          <w:u w:val="single"/>
          <w:lang w:val="en-US" w:eastAsia="zh-CN"/>
        </w:rPr>
        <w:t>3</w:t>
      </w:r>
      <w:r>
        <w:rPr>
          <w:rFonts w:hint="eastAsia" w:ascii="宋体" w:hAnsi="宋体" w:eastAsia="宋体" w:cs="宋体"/>
          <w:color w:val="auto"/>
          <w:sz w:val="24"/>
          <w:szCs w:val="32"/>
          <w:highlight w:val="none"/>
          <w:u w:val="single"/>
        </w:rPr>
        <w:t>0%×100 。</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（四）投标人综合得分＝资格证明文件、商务技术文件得分＋投标报价得分。</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（五）政府采购政策及优惠：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投标文件中须同时出具《政府采购促进中小企业发展管理办法》【财库（2020）46号】规定的《中小企业声明函》，否则不得享受价格扣除。</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本项目对符合规定的小微企业（含小型企业）报价给予10%的扣除。</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享受政府采购支持政策的残疾人福利性单位应当同时满足以下条件：</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①安置的残疾人占本单位在职职工人数的比例不低于25%（含25%），并且安置的残疾人人数不少于10人（含10人）；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②依法与安置的每位残疾人签订了一年以上（含一年）的劳动合同或服务协议；</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③为安置的每位残疾人按月足额缴纳了基本养老保险、基本医疗保险、失业保险、工伤保险和生育保险等社会保险费；</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④通过银行等金融机构向安置的每位残疾人，按月支付了不低于单位所在区县适用的经省级人民政府批准的月最低工资标准的工资；</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eastAsia="宋体" w:cs="宋体"/>
          <w:color w:val="auto"/>
          <w:sz w:val="24"/>
          <w:szCs w:val="32"/>
          <w:highlight w:val="none"/>
          <w:lang w:val="zh-CN"/>
        </w:rPr>
        <w:t>劳动意愿的精神残疾人。在职职工人数是指与残疾人福利性单位建立劳动关系并依法签订劳动合同或者服务协议的雇员人数。</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五、提供相同品牌产品的不同投标人参加同一合同项下投标的，按一家供应商认定：</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六、本次评分具体分值细化条款如下表：</w:t>
      </w:r>
    </w:p>
    <w:tbl>
      <w:tblPr>
        <w:tblStyle w:val="28"/>
        <w:tblW w:w="51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980"/>
        <w:gridCol w:w="5379"/>
        <w:gridCol w:w="786"/>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center"/>
          </w:tcPr>
          <w:p>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556" w:type="pct"/>
            <w:noWrap w:val="0"/>
            <w:vAlign w:val="center"/>
          </w:tcPr>
          <w:p>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3053" w:type="pct"/>
            <w:noWrap w:val="0"/>
            <w:vAlign w:val="center"/>
          </w:tcPr>
          <w:p>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评标标准</w:t>
            </w:r>
          </w:p>
        </w:tc>
        <w:tc>
          <w:tcPr>
            <w:tcW w:w="446" w:type="pct"/>
            <w:noWrap w:val="0"/>
            <w:vAlign w:val="center"/>
          </w:tcPr>
          <w:p>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分值</w:t>
            </w:r>
          </w:p>
          <w:p>
            <w:pPr>
              <w:spacing w:line="276" w:lineRule="auto"/>
              <w:jc w:val="center"/>
              <w:rPr>
                <w:rFonts w:hint="eastAsia" w:ascii="宋体" w:hAnsi="宋体" w:cs="宋体"/>
                <w:b/>
                <w:color w:val="auto"/>
                <w:sz w:val="24"/>
                <w:highlight w:val="none"/>
              </w:rPr>
            </w:pPr>
            <w:r>
              <w:rPr>
                <w:rFonts w:hint="eastAsia" w:ascii="宋体" w:hAnsi="宋体" w:cs="宋体"/>
                <w:b/>
                <w:color w:val="auto"/>
                <w:w w:val="80"/>
                <w:sz w:val="24"/>
                <w:highlight w:val="none"/>
              </w:rPr>
              <w:t>（权重）</w:t>
            </w:r>
          </w:p>
        </w:tc>
        <w:tc>
          <w:tcPr>
            <w:tcW w:w="551" w:type="pct"/>
            <w:noWrap w:val="0"/>
            <w:vAlign w:val="center"/>
          </w:tcPr>
          <w:p>
            <w:pPr>
              <w:spacing w:line="276" w:lineRule="auto"/>
              <w:jc w:val="center"/>
              <w:rPr>
                <w:rFonts w:hint="eastAsia" w:ascii="宋体" w:hAnsi="宋体" w:cs="宋体"/>
                <w:b/>
                <w:color w:val="auto"/>
                <w:sz w:val="24"/>
                <w:highlight w:val="none"/>
              </w:rPr>
            </w:pPr>
            <w:r>
              <w:rPr>
                <w:rFonts w:hint="eastAsia" w:ascii="宋体" w:hAnsi="宋体" w:cs="宋体"/>
                <w:b/>
                <w:color w:val="auto"/>
                <w:sz w:val="24"/>
                <w:highlight w:val="none"/>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392" w:type="pct"/>
            <w:noWrap w:val="0"/>
            <w:vAlign w:val="center"/>
          </w:tcPr>
          <w:p>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56" w:type="pct"/>
            <w:noWrap w:val="0"/>
            <w:vAlign w:val="center"/>
          </w:tcPr>
          <w:p>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投标产品与招标要求的符合性评价</w:t>
            </w:r>
          </w:p>
        </w:tc>
        <w:tc>
          <w:tcPr>
            <w:tcW w:w="3053" w:type="pct"/>
            <w:noWrap w:val="0"/>
            <w:vAlign w:val="center"/>
          </w:tcPr>
          <w:p>
            <w:pP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投标产品【一般技术要求】（未标注★号或▲号的技术要求项）响应情况与采购需求（技术要求）的符合性评价：所有参数满足得</w:t>
            </w:r>
            <w:r>
              <w:rPr>
                <w:rFonts w:hint="eastAsia" w:ascii="宋体" w:hAnsi="宋体" w:eastAsia="宋体" w:cs="宋体"/>
                <w:color w:val="auto"/>
                <w:sz w:val="24"/>
                <w:highlight w:val="none"/>
                <w:lang w:val="en-US" w:eastAsia="zh-CN"/>
              </w:rPr>
              <w:t>52</w:t>
            </w:r>
            <w:r>
              <w:rPr>
                <w:rFonts w:hint="eastAsia" w:ascii="宋体" w:hAnsi="宋体" w:eastAsia="宋体" w:cs="宋体"/>
                <w:color w:val="auto"/>
                <w:sz w:val="24"/>
                <w:highlight w:val="none"/>
                <w:lang w:val="zh-CN"/>
              </w:rPr>
              <w:t>分。每一条参数负偏离扣</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val="zh-CN"/>
              </w:rPr>
              <w:t>分，扣完为止。</w:t>
            </w:r>
          </w:p>
          <w:p>
            <w:pPr>
              <w:spacing w:line="276" w:lineRule="auto"/>
              <w:jc w:val="left"/>
              <w:rPr>
                <w:rFonts w:ascii="宋体" w:hAnsi="宋体" w:cs="宋体"/>
                <w:color w:val="auto"/>
                <w:sz w:val="24"/>
                <w:highlight w:val="none"/>
              </w:rPr>
            </w:pPr>
            <w:r>
              <w:rPr>
                <w:rFonts w:hint="eastAsia" w:ascii="宋体" w:hAnsi="宋体" w:eastAsia="宋体" w:cs="宋体"/>
                <w:color w:val="auto"/>
                <w:sz w:val="24"/>
                <w:highlight w:val="none"/>
                <w:lang w:val="zh-CN"/>
              </w:rPr>
              <w:t>未按采购文件要求提供图片、说明、演示视频等资料的视为未响应采购文件要求，不得分。</w:t>
            </w:r>
          </w:p>
        </w:tc>
        <w:tc>
          <w:tcPr>
            <w:tcW w:w="446" w:type="pct"/>
            <w:noWrap w:val="0"/>
            <w:vAlign w:val="center"/>
          </w:tcPr>
          <w:p>
            <w:pPr>
              <w:spacing w:line="276"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w:t>
            </w:r>
          </w:p>
        </w:tc>
        <w:tc>
          <w:tcPr>
            <w:tcW w:w="551" w:type="pct"/>
            <w:noWrap w:val="0"/>
            <w:vAlign w:val="center"/>
          </w:tcPr>
          <w:p>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392" w:type="pct"/>
            <w:vMerge w:val="restart"/>
            <w:noWrap w:val="0"/>
            <w:vAlign w:val="center"/>
          </w:tcPr>
          <w:p>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56" w:type="pct"/>
            <w:vMerge w:val="restart"/>
            <w:noWrap w:val="0"/>
            <w:vAlign w:val="center"/>
          </w:tcPr>
          <w:p>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投标产品质量评价</w:t>
            </w:r>
          </w:p>
        </w:tc>
        <w:tc>
          <w:tcPr>
            <w:tcW w:w="3053" w:type="pct"/>
            <w:noWrap w:val="0"/>
            <w:vAlign w:val="center"/>
          </w:tcPr>
          <w:p>
            <w:pPr>
              <w:spacing w:line="276" w:lineRule="auto"/>
              <w:jc w:val="left"/>
              <w:rPr>
                <w:rFonts w:hint="eastAsia" w:ascii="宋体" w:hAnsi="宋体" w:eastAsia="宋体" w:cs="宋体"/>
                <w:color w:val="auto"/>
                <w:sz w:val="24"/>
                <w:highlight w:val="none"/>
                <w:lang w:val="zh-CN"/>
              </w:rPr>
            </w:pPr>
            <w:r>
              <w:rPr>
                <w:rFonts w:hint="eastAsia" w:ascii="宋体" w:hAnsi="宋体" w:cs="宋体"/>
                <w:b/>
                <w:color w:val="auto"/>
                <w:sz w:val="24"/>
                <w:highlight w:val="none"/>
              </w:rPr>
              <w:t>2.1投标产品的市场使用情况评价：</w:t>
            </w:r>
            <w:r>
              <w:rPr>
                <w:rFonts w:hint="eastAsia" w:ascii="宋体" w:hAnsi="宋体" w:cs="宋体"/>
                <w:bCs/>
                <w:color w:val="auto"/>
                <w:sz w:val="24"/>
                <w:highlight w:val="none"/>
              </w:rPr>
              <w:t>自2020年1月1日以来，投标产品（同型号）具有成功销售业绩的，每个业绩得0.5分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pPr>
              <w:spacing w:line="276"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pP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证明材料：销售合同</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验收单</w:t>
            </w:r>
            <w:r>
              <w:rPr>
                <w:rFonts w:hint="eastAsia" w:ascii="宋体" w:hAnsi="宋体" w:eastAsia="宋体" w:cs="宋体"/>
                <w:color w:val="auto"/>
                <w:sz w:val="24"/>
                <w:highlight w:val="none"/>
                <w:lang w:val="zh-CN"/>
              </w:rPr>
              <w:t>，提供复印件加盖投标人公章，时间以合同签订时间为准。</w:t>
            </w:r>
          </w:p>
        </w:tc>
        <w:tc>
          <w:tcPr>
            <w:tcW w:w="446" w:type="pct"/>
            <w:noWrap w:val="0"/>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51" w:type="pct"/>
            <w:noWrap w:val="0"/>
            <w:vAlign w:val="center"/>
          </w:tcPr>
          <w:p>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pPr>
              <w:spacing w:line="276" w:lineRule="auto"/>
              <w:jc w:val="center"/>
              <w:rPr>
                <w:rFonts w:hint="eastAsia" w:ascii="宋体" w:hAnsi="宋体" w:cs="宋体"/>
                <w:color w:val="auto"/>
                <w:sz w:val="24"/>
                <w:highlight w:val="none"/>
              </w:rPr>
            </w:pPr>
          </w:p>
        </w:tc>
        <w:tc>
          <w:tcPr>
            <w:tcW w:w="556" w:type="pct"/>
            <w:vMerge w:val="continue"/>
            <w:noWrap w:val="0"/>
            <w:vAlign w:val="center"/>
          </w:tcPr>
          <w:p>
            <w:pPr>
              <w:spacing w:line="276" w:lineRule="auto"/>
              <w:jc w:val="center"/>
              <w:rPr>
                <w:rFonts w:hint="eastAsia" w:ascii="宋体" w:hAnsi="宋体" w:cs="宋体"/>
                <w:color w:val="auto"/>
                <w:sz w:val="24"/>
                <w:highlight w:val="none"/>
              </w:rPr>
            </w:pPr>
          </w:p>
        </w:tc>
        <w:tc>
          <w:tcPr>
            <w:tcW w:w="3053" w:type="pct"/>
            <w:noWrap w:val="0"/>
            <w:vAlign w:val="center"/>
          </w:tcPr>
          <w:p>
            <w:pPr>
              <w:spacing w:line="276" w:lineRule="auto"/>
              <w:jc w:val="left"/>
              <w:rPr>
                <w:rFonts w:hint="eastAsia" w:ascii="宋体" w:hAnsi="宋体" w:cs="宋体"/>
                <w:b/>
                <w:color w:val="auto"/>
                <w:sz w:val="24"/>
                <w:highlight w:val="none"/>
              </w:rPr>
            </w:pPr>
            <w:r>
              <w:rPr>
                <w:rFonts w:hint="eastAsia" w:ascii="宋体" w:hAnsi="宋体" w:cs="宋体"/>
                <w:b/>
                <w:color w:val="auto"/>
                <w:sz w:val="24"/>
                <w:highlight w:val="none"/>
              </w:rPr>
              <w:t>2.2投标产品节能性、环保性评价：</w:t>
            </w:r>
          </w:p>
          <w:p>
            <w:pP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cs="宋体"/>
                <w:color w:val="auto"/>
                <w:sz w:val="24"/>
                <w:highlight w:val="none"/>
              </w:rPr>
              <w:t>0.5</w:t>
            </w:r>
            <w:r>
              <w:rPr>
                <w:rFonts w:hint="eastAsia" w:ascii="宋体" w:hAnsi="宋体" w:cs="宋体"/>
                <w:color w:val="auto"/>
                <w:sz w:val="24"/>
                <w:highlight w:val="none"/>
                <w:lang w:val="zh-CN"/>
              </w:rPr>
              <w:t>分；所投产品取得环境标志产品的，得</w:t>
            </w:r>
            <w:r>
              <w:rPr>
                <w:rFonts w:hint="eastAsia" w:ascii="宋体" w:hAnsi="宋体" w:cs="宋体"/>
                <w:color w:val="auto"/>
                <w:sz w:val="24"/>
                <w:highlight w:val="none"/>
              </w:rPr>
              <w:t>0.5</w:t>
            </w:r>
            <w:r>
              <w:rPr>
                <w:rFonts w:hint="eastAsia" w:ascii="宋体" w:hAnsi="宋体" w:cs="宋体"/>
                <w:color w:val="auto"/>
                <w:sz w:val="24"/>
                <w:highlight w:val="none"/>
                <w:lang w:val="zh-CN"/>
              </w:rPr>
              <w:t>分；证明材料：提供国家确定的认证机构出具的、处于有效期之内的节能产品、环境标志产品认证证书复印件。</w:t>
            </w:r>
          </w:p>
        </w:tc>
        <w:tc>
          <w:tcPr>
            <w:tcW w:w="446" w:type="pct"/>
            <w:noWrap w:val="0"/>
            <w:vAlign w:val="center"/>
          </w:tcPr>
          <w:p>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51" w:type="pct"/>
            <w:noWrap w:val="0"/>
            <w:vAlign w:val="center"/>
          </w:tcPr>
          <w:p>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restart"/>
            <w:noWrap w:val="0"/>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556" w:type="pct"/>
            <w:vMerge w:val="restart"/>
            <w:noWrap w:val="0"/>
            <w:vAlign w:val="center"/>
          </w:tcPr>
          <w:p>
            <w:pPr>
              <w:spacing w:line="276" w:lineRule="auto"/>
              <w:jc w:val="center"/>
              <w:rPr>
                <w:rFonts w:hint="eastAsia" w:ascii="宋体" w:hAnsi="宋体" w:cs="宋体"/>
                <w:color w:val="auto"/>
                <w:sz w:val="24"/>
                <w:highlight w:val="none"/>
              </w:rPr>
            </w:pPr>
            <w:r>
              <w:rPr>
                <w:rFonts w:hint="eastAsia" w:ascii="宋体" w:hAnsi="宋体" w:cs="宋体"/>
                <w:color w:val="auto"/>
                <w:sz w:val="24"/>
                <w:szCs w:val="21"/>
                <w:highlight w:val="none"/>
              </w:rPr>
              <w:t>投标技术、服务方案评价</w:t>
            </w:r>
          </w:p>
        </w:tc>
        <w:tc>
          <w:tcPr>
            <w:tcW w:w="3053" w:type="pct"/>
            <w:noWrap w:val="0"/>
            <w:vAlign w:val="center"/>
          </w:tcPr>
          <w:p>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.1项目实施保障评定。</w:t>
            </w:r>
            <w:r>
              <w:rPr>
                <w:rFonts w:hint="eastAsia" w:ascii="宋体" w:hAnsi="宋体" w:cs="宋体"/>
                <w:bCs/>
                <w:color w:val="auto"/>
                <w:kern w:val="0"/>
                <w:sz w:val="24"/>
                <w:highlight w:val="none"/>
              </w:rPr>
              <w:t>根据投标人提供的针对本项目的安装调试方案，包括但不限于</w:t>
            </w:r>
          </w:p>
          <w:p>
            <w:pPr>
              <w:spacing w:line="276"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①供货方案、产品运输方案</w:t>
            </w:r>
            <w:r>
              <w:rPr>
                <w:rFonts w:hint="eastAsia" w:ascii="宋体" w:hAnsi="宋体" w:cs="宋体"/>
                <w:bCs/>
                <w:color w:val="auto"/>
                <w:kern w:val="0"/>
                <w:sz w:val="24"/>
                <w:highlight w:val="none"/>
                <w:lang w:val="en-US" w:eastAsia="zh-CN"/>
              </w:rPr>
              <w:t>打分：有明确的</w:t>
            </w:r>
            <w:r>
              <w:rPr>
                <w:rFonts w:hint="eastAsia" w:ascii="宋体" w:hAnsi="宋体" w:cs="宋体"/>
                <w:bCs/>
                <w:color w:val="auto"/>
                <w:kern w:val="0"/>
                <w:sz w:val="24"/>
                <w:highlight w:val="none"/>
              </w:rPr>
              <w:t>供货方案、产品运输方案</w:t>
            </w:r>
            <w:r>
              <w:rPr>
                <w:rFonts w:hint="eastAsia" w:ascii="宋体" w:hAnsi="宋体" w:cs="宋体"/>
                <w:bCs/>
                <w:color w:val="auto"/>
                <w:kern w:val="0"/>
                <w:sz w:val="24"/>
                <w:highlight w:val="none"/>
                <w:lang w:val="en-US" w:eastAsia="zh-CN"/>
              </w:rPr>
              <w:t>得1分，方案不够明确的得0.5分</w:t>
            </w:r>
            <w:r>
              <w:rPr>
                <w:rFonts w:hint="eastAsia" w:ascii="宋体" w:hAnsi="宋体" w:cs="宋体"/>
                <w:bCs/>
                <w:color w:val="auto"/>
                <w:kern w:val="0"/>
                <w:sz w:val="24"/>
                <w:highlight w:val="none"/>
              </w:rPr>
              <w:t>。</w:t>
            </w:r>
          </w:p>
          <w:p>
            <w:pPr>
              <w:spacing w:line="276" w:lineRule="auto"/>
              <w:jc w:val="left"/>
              <w:rPr>
                <w:rFonts w:hint="eastAsia" w:ascii="宋体" w:hAnsi="宋体" w:cs="宋体"/>
                <w:b/>
                <w:color w:val="auto"/>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应急事件处理方案</w:t>
            </w:r>
            <w:r>
              <w:rPr>
                <w:rFonts w:hint="eastAsia" w:ascii="宋体" w:hAnsi="宋体" w:cs="宋体"/>
                <w:bCs/>
                <w:color w:val="auto"/>
                <w:kern w:val="0"/>
                <w:sz w:val="24"/>
                <w:highlight w:val="none"/>
                <w:lang w:val="en-US" w:eastAsia="zh-CN"/>
              </w:rPr>
              <w:t>打分：有明确的应急事件处理方案得1分，方案不够明确的得0.5分</w:t>
            </w:r>
            <w:r>
              <w:rPr>
                <w:rFonts w:hint="eastAsia" w:ascii="宋体" w:hAnsi="宋体" w:cs="宋体"/>
                <w:bCs/>
                <w:color w:val="auto"/>
                <w:kern w:val="0"/>
                <w:sz w:val="24"/>
                <w:highlight w:val="none"/>
              </w:rPr>
              <w:t>。</w:t>
            </w:r>
          </w:p>
        </w:tc>
        <w:tc>
          <w:tcPr>
            <w:tcW w:w="446" w:type="pct"/>
            <w:noWrap w:val="0"/>
            <w:vAlign w:val="center"/>
          </w:tcPr>
          <w:p>
            <w:pPr>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51" w:type="pct"/>
            <w:noWrap w:val="0"/>
            <w:vAlign w:val="center"/>
          </w:tcPr>
          <w:p>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pPr>
              <w:spacing w:line="276" w:lineRule="auto"/>
              <w:jc w:val="center"/>
              <w:rPr>
                <w:rFonts w:hint="eastAsia" w:ascii="宋体" w:hAnsi="宋体" w:cs="宋体"/>
                <w:color w:val="auto"/>
                <w:sz w:val="24"/>
                <w:highlight w:val="none"/>
              </w:rPr>
            </w:pPr>
          </w:p>
        </w:tc>
        <w:tc>
          <w:tcPr>
            <w:tcW w:w="556" w:type="pct"/>
            <w:vMerge w:val="continue"/>
            <w:noWrap w:val="0"/>
            <w:vAlign w:val="center"/>
          </w:tcPr>
          <w:p>
            <w:pPr>
              <w:spacing w:line="276" w:lineRule="auto"/>
              <w:jc w:val="center"/>
              <w:rPr>
                <w:rFonts w:hint="eastAsia" w:ascii="宋体" w:hAnsi="宋体" w:cs="宋体"/>
                <w:color w:val="auto"/>
                <w:sz w:val="24"/>
                <w:szCs w:val="21"/>
                <w:highlight w:val="none"/>
              </w:rPr>
            </w:pPr>
          </w:p>
        </w:tc>
        <w:tc>
          <w:tcPr>
            <w:tcW w:w="3053" w:type="pct"/>
            <w:noWrap w:val="0"/>
            <w:vAlign w:val="center"/>
          </w:tcPr>
          <w:p>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.2产品安装与调试方案评价。</w:t>
            </w:r>
            <w:r>
              <w:rPr>
                <w:rFonts w:hint="eastAsia" w:ascii="宋体" w:hAnsi="宋体" w:cs="宋体"/>
                <w:bCs/>
                <w:color w:val="auto"/>
                <w:kern w:val="0"/>
                <w:sz w:val="24"/>
                <w:highlight w:val="none"/>
              </w:rPr>
              <w:t>根据投标人提供的针对本项目的安装调试方案，包括但不限于</w:t>
            </w:r>
          </w:p>
          <w:p>
            <w:pPr>
              <w:spacing w:line="276"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①安装调试人员配置及调试时间进度安排打分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有具体的人员配置清单及具体的调试时间进度安排得</w:t>
            </w:r>
            <w:r>
              <w:rPr>
                <w:rFonts w:hint="eastAsia" w:ascii="宋体" w:hAnsi="宋体" w:eastAsia="宋体" w:cs="宋体"/>
                <w:bCs/>
                <w:color w:val="auto"/>
                <w:kern w:val="0"/>
                <w:sz w:val="24"/>
                <w:highlight w:val="none"/>
                <w:lang w:val="en-US" w:eastAsia="zh-CN"/>
              </w:rPr>
              <w:t>2分，只有具体的人员配置清单或具体的调试时间进度安排得1分，两者内容均不够</w:t>
            </w:r>
            <w:r>
              <w:rPr>
                <w:rFonts w:hint="eastAsia" w:ascii="宋体" w:hAnsi="宋体" w:cs="宋体"/>
                <w:bCs/>
                <w:color w:val="auto"/>
                <w:kern w:val="0"/>
                <w:sz w:val="24"/>
                <w:highlight w:val="none"/>
                <w:lang w:val="en-US" w:eastAsia="zh-CN"/>
              </w:rPr>
              <w:t>明确的得0.5分。</w:t>
            </w:r>
          </w:p>
          <w:p>
            <w:pPr>
              <w:spacing w:line="276" w:lineRule="auto"/>
              <w:jc w:val="left"/>
              <w:rPr>
                <w:rFonts w:hint="default" w:ascii="宋体" w:hAnsi="宋体" w:cs="宋体"/>
                <w:b/>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设备调试步骤、措施及问题的解决方案打分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有明确的设备调式步骤，具体的措施及问题解决措施得2分</w:t>
            </w:r>
            <w:r>
              <w:rPr>
                <w:rFonts w:hint="eastAsia" w:ascii="宋体" w:hAnsi="宋体" w:eastAsia="宋体" w:cs="宋体"/>
                <w:bCs/>
                <w:color w:val="auto"/>
                <w:kern w:val="0"/>
                <w:sz w:val="24"/>
                <w:highlight w:val="none"/>
                <w:lang w:val="en-US" w:eastAsia="zh-CN"/>
              </w:rPr>
              <w:t>，只有设备调试步骤、措施或问题的解决方案方案得1分，相关内容均不够</w:t>
            </w:r>
            <w:r>
              <w:rPr>
                <w:rFonts w:hint="eastAsia" w:ascii="宋体" w:hAnsi="宋体" w:cs="宋体"/>
                <w:bCs/>
                <w:color w:val="auto"/>
                <w:kern w:val="0"/>
                <w:sz w:val="24"/>
                <w:highlight w:val="none"/>
                <w:lang w:val="en-US" w:eastAsia="zh-CN"/>
              </w:rPr>
              <w:t>明确0.5分。</w:t>
            </w:r>
          </w:p>
        </w:tc>
        <w:tc>
          <w:tcPr>
            <w:tcW w:w="446" w:type="pct"/>
            <w:noWrap w:val="0"/>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1" w:type="pct"/>
            <w:noWrap w:val="0"/>
            <w:vAlign w:val="center"/>
          </w:tcPr>
          <w:p>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vMerge w:val="continue"/>
            <w:noWrap w:val="0"/>
            <w:vAlign w:val="center"/>
          </w:tcPr>
          <w:p>
            <w:pPr>
              <w:spacing w:line="276" w:lineRule="auto"/>
              <w:jc w:val="center"/>
              <w:rPr>
                <w:rFonts w:hint="eastAsia" w:ascii="宋体" w:hAnsi="宋体" w:cs="宋体"/>
                <w:color w:val="auto"/>
                <w:sz w:val="24"/>
                <w:highlight w:val="none"/>
              </w:rPr>
            </w:pPr>
          </w:p>
        </w:tc>
        <w:tc>
          <w:tcPr>
            <w:tcW w:w="556" w:type="pct"/>
            <w:vMerge w:val="continue"/>
            <w:noWrap w:val="0"/>
            <w:vAlign w:val="center"/>
          </w:tcPr>
          <w:p>
            <w:pPr>
              <w:spacing w:line="276" w:lineRule="auto"/>
              <w:jc w:val="center"/>
              <w:rPr>
                <w:rFonts w:hint="eastAsia" w:ascii="宋体" w:hAnsi="宋体" w:cs="宋体"/>
                <w:color w:val="auto"/>
                <w:sz w:val="24"/>
                <w:highlight w:val="none"/>
              </w:rPr>
            </w:pPr>
          </w:p>
        </w:tc>
        <w:tc>
          <w:tcPr>
            <w:tcW w:w="3053" w:type="pct"/>
            <w:noWrap w:val="0"/>
            <w:vAlign w:val="center"/>
          </w:tcPr>
          <w:p>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rPr>
              <w:t>3.3技术培训方案与承诺评价</w:t>
            </w:r>
            <w:r>
              <w:rPr>
                <w:rFonts w:hint="eastAsia" w:ascii="宋体" w:hAnsi="宋体" w:cs="宋体"/>
                <w:color w:val="auto"/>
                <w:sz w:val="24"/>
                <w:highlight w:val="none"/>
              </w:rPr>
              <w:t>。</w:t>
            </w:r>
            <w:r>
              <w:rPr>
                <w:rFonts w:hint="eastAsia" w:ascii="宋体" w:hAnsi="宋体" w:cs="宋体"/>
                <w:bCs/>
                <w:color w:val="auto"/>
                <w:kern w:val="0"/>
                <w:sz w:val="24"/>
                <w:highlight w:val="none"/>
              </w:rPr>
              <w:t>根据投标人提供的针对本项目的培训方案，包括但不限于</w:t>
            </w:r>
          </w:p>
          <w:p>
            <w:pPr>
              <w:spacing w:line="276"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①培训对象的人数及培训课时打分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有明确的培训对象的人员数量及具体的培训课时得2分，有方案但内容不够明确的得1分。</w:t>
            </w:r>
          </w:p>
          <w:p>
            <w:pPr>
              <w:spacing w:line="276" w:lineRule="auto"/>
              <w:jc w:val="left"/>
              <w:rPr>
                <w:rFonts w:ascii="宋体" w:hAnsi="宋体" w:cs="宋体"/>
                <w:bCs/>
                <w:color w:val="auto"/>
                <w:kern w:val="0"/>
                <w:sz w:val="24"/>
                <w:highlight w:val="none"/>
              </w:rPr>
            </w:pPr>
            <w:r>
              <w:rPr>
                <w:rFonts w:hint="eastAsia" w:ascii="宋体" w:hAnsi="宋体" w:cs="宋体"/>
                <w:color w:val="auto"/>
                <w:sz w:val="24"/>
                <w:highlight w:val="none"/>
                <w:lang w:val="zh-CN"/>
              </w:rPr>
              <w:t>②</w:t>
            </w:r>
            <w:r>
              <w:rPr>
                <w:rFonts w:hint="eastAsia" w:ascii="宋体" w:hAnsi="宋体" w:cs="宋体"/>
                <w:bCs/>
                <w:color w:val="auto"/>
                <w:kern w:val="0"/>
                <w:sz w:val="24"/>
                <w:highlight w:val="none"/>
              </w:rPr>
              <w:t>培训时间安排及协调方案打分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有明确的培训时间节点安排，具体的培训协调措施得1分，有方案但内容不够明确的得0.5分。</w:t>
            </w:r>
          </w:p>
          <w:p>
            <w:pPr>
              <w:spacing w:line="276" w:lineRule="auto"/>
              <w:jc w:val="left"/>
              <w:rPr>
                <w:rFonts w:hint="eastAsia" w:ascii="宋体" w:hAnsi="宋体" w:cs="宋体"/>
                <w:b/>
                <w:color w:val="auto"/>
                <w:w w:val="90"/>
                <w:sz w:val="24"/>
                <w:highlight w:val="none"/>
              </w:rPr>
            </w:pPr>
            <w:r>
              <w:rPr>
                <w:rFonts w:hint="eastAsia" w:ascii="宋体" w:hAnsi="宋体" w:cs="宋体"/>
                <w:color w:val="auto"/>
                <w:sz w:val="24"/>
                <w:highlight w:val="none"/>
                <w:lang w:val="zh-CN"/>
              </w:rPr>
              <w:t>③</w:t>
            </w:r>
            <w:r>
              <w:rPr>
                <w:rFonts w:hint="eastAsia" w:ascii="宋体" w:hAnsi="宋体" w:cs="宋体"/>
                <w:bCs/>
                <w:color w:val="auto"/>
                <w:kern w:val="0"/>
                <w:sz w:val="24"/>
                <w:highlight w:val="none"/>
              </w:rPr>
              <w:t>培训师资配置情况进行打分</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有明确的师资人员清单配置以及培训经验简介情况得1分，有方案但内容不够明确的得0.5分。</w:t>
            </w:r>
          </w:p>
        </w:tc>
        <w:tc>
          <w:tcPr>
            <w:tcW w:w="446" w:type="pct"/>
            <w:noWrap w:val="0"/>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1" w:type="pct"/>
            <w:noWrap w:val="0"/>
            <w:vAlign w:val="center"/>
          </w:tcPr>
          <w:p>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pct"/>
            <w:noWrap w:val="0"/>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6" w:type="pct"/>
            <w:noWrap w:val="0"/>
            <w:vAlign w:val="center"/>
          </w:tcPr>
          <w:p>
            <w:pP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售后服务</w:t>
            </w:r>
            <w:r>
              <w:rPr>
                <w:rFonts w:hint="eastAsia" w:ascii="宋体" w:hAnsi="宋体" w:cs="宋体"/>
                <w:color w:val="auto"/>
                <w:sz w:val="24"/>
                <w:highlight w:val="none"/>
                <w:lang w:val="en-US" w:eastAsia="zh-CN"/>
              </w:rPr>
              <w:t>方案评价</w:t>
            </w:r>
          </w:p>
        </w:tc>
        <w:tc>
          <w:tcPr>
            <w:tcW w:w="3053" w:type="pct"/>
            <w:noWrap w:val="0"/>
            <w:vAlign w:val="center"/>
          </w:tcPr>
          <w:p>
            <w:pPr>
              <w:spacing w:line="276" w:lineRule="auto"/>
              <w:jc w:val="left"/>
              <w:rPr>
                <w:rFonts w:hint="eastAsia" w:ascii="宋体" w:hAnsi="宋体" w:cs="宋体"/>
                <w:bCs/>
                <w:color w:val="auto"/>
                <w:kern w:val="0"/>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产品售后服务方案评价。</w:t>
            </w:r>
            <w:r>
              <w:rPr>
                <w:rFonts w:hint="eastAsia" w:ascii="宋体" w:hAnsi="宋体" w:cs="宋体"/>
                <w:bCs/>
                <w:color w:val="auto"/>
                <w:kern w:val="0"/>
                <w:sz w:val="24"/>
                <w:highlight w:val="none"/>
              </w:rPr>
              <w:t>根据投标人提供的针对本项目的产品售后服务方案，包括但不限于</w:t>
            </w:r>
          </w:p>
          <w:p>
            <w:pPr>
              <w:spacing w:line="276" w:lineRule="auto"/>
              <w:jc w:val="left"/>
              <w:rPr>
                <w:rFonts w:hint="default" w:ascii="宋体" w:hAnsi="宋体" w:eastAsia="宋体" w:cs="宋体"/>
                <w:color w:val="auto"/>
                <w:sz w:val="24"/>
                <w:highlight w:val="none"/>
                <w:lang w:val="en-US" w:eastAsia="zh-CN"/>
              </w:rPr>
            </w:pPr>
            <w:r>
              <w:rPr>
                <w:rFonts w:hint="eastAsia" w:ascii="宋体" w:hAnsi="宋体" w:cs="宋体"/>
                <w:bCs/>
                <w:color w:val="auto"/>
                <w:kern w:val="0"/>
                <w:sz w:val="24"/>
                <w:highlight w:val="none"/>
              </w:rPr>
              <w:t>①</w:t>
            </w:r>
            <w:r>
              <w:rPr>
                <w:rFonts w:hint="eastAsia" w:ascii="宋体" w:hAnsi="宋体" w:cs="宋体"/>
                <w:color w:val="auto"/>
                <w:sz w:val="24"/>
                <w:highlight w:val="none"/>
              </w:rPr>
              <w:t>售后服务的形式（上门服务、远程服务等）打分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服务形式多样可行得1分，服务内容单一或可行性差得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pPr>
              <w:spacing w:line="276" w:lineRule="auto"/>
              <w:jc w:val="left"/>
              <w:rPr>
                <w:rFonts w:hint="default" w:ascii="宋体" w:hAnsi="宋体" w:cs="宋体"/>
                <w:color w:val="auto"/>
                <w:sz w:val="24"/>
                <w:highlight w:val="none"/>
                <w:lang w:val="en-US"/>
              </w:rPr>
            </w:pPr>
            <w:r>
              <w:rPr>
                <w:rFonts w:hint="eastAsia" w:ascii="宋体" w:hAnsi="宋体" w:cs="宋体"/>
                <w:color w:val="auto"/>
                <w:sz w:val="24"/>
                <w:highlight w:val="none"/>
                <w:lang w:val="zh-CN"/>
              </w:rPr>
              <w:t>②</w:t>
            </w:r>
            <w:r>
              <w:rPr>
                <w:rFonts w:hint="eastAsia" w:ascii="宋体" w:hAnsi="宋体" w:cs="宋体"/>
                <w:color w:val="auto"/>
                <w:sz w:val="24"/>
                <w:highlight w:val="none"/>
              </w:rPr>
              <w:t>售后服务人员配置打分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人员配置充足且经验丰富得1分，人员配置较少或配备人员缺乏经验得</w:t>
            </w:r>
            <w:r>
              <w:rPr>
                <w:rFonts w:hint="eastAsia" w:ascii="宋体" w:hAnsi="宋体" w:cs="宋体"/>
                <w:bCs/>
                <w:color w:val="auto"/>
                <w:kern w:val="0"/>
                <w:sz w:val="24"/>
                <w:highlight w:val="none"/>
                <w:lang w:val="en-US" w:eastAsia="zh-CN"/>
              </w:rPr>
              <w:t>0.5分</w:t>
            </w:r>
            <w:r>
              <w:rPr>
                <w:rFonts w:hint="eastAsia" w:ascii="宋体" w:hAnsi="宋体" w:cs="宋体"/>
                <w:color w:val="auto"/>
                <w:sz w:val="24"/>
                <w:highlight w:val="none"/>
                <w:lang w:val="en-US" w:eastAsia="zh-CN"/>
              </w:rPr>
              <w:t>。</w:t>
            </w:r>
          </w:p>
          <w:p>
            <w:pPr>
              <w:spacing w:line="276" w:lineRule="auto"/>
              <w:jc w:val="left"/>
              <w:rPr>
                <w:rFonts w:hint="eastAsia" w:ascii="宋体" w:hAnsi="宋体" w:cs="宋体"/>
                <w:color w:val="auto"/>
                <w:sz w:val="24"/>
                <w:highlight w:val="none"/>
              </w:rPr>
            </w:pPr>
            <w:r>
              <w:rPr>
                <w:rFonts w:hint="eastAsia" w:ascii="宋体" w:hAnsi="宋体" w:eastAsia="宋体" w:cs="宋体"/>
                <w:color w:val="auto"/>
                <w:sz w:val="24"/>
                <w:highlight w:val="none"/>
                <w:lang w:val="zh-CN"/>
              </w:rPr>
              <w:t>③</w:t>
            </w:r>
            <w:r>
              <w:rPr>
                <w:rFonts w:hint="eastAsia" w:ascii="宋体" w:hAnsi="宋体" w:eastAsia="宋体" w:cs="宋体"/>
                <w:color w:val="auto"/>
                <w:sz w:val="24"/>
                <w:highlight w:val="none"/>
                <w:lang w:val="en-US" w:eastAsia="zh-CN"/>
              </w:rPr>
              <w:t>售后服务方案和承诺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提供的售后服务方案和服务承诺情况，以及服务承诺的可行性、合理性、完整性。方案和服务承诺合理全面、保障措施完善得2分，只有方案或服务承诺得1分，方案和服务承诺均不够明确的得0.5分。</w:t>
            </w:r>
          </w:p>
        </w:tc>
        <w:tc>
          <w:tcPr>
            <w:tcW w:w="446" w:type="pct"/>
            <w:noWrap w:val="0"/>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51" w:type="pct"/>
            <w:noWrap w:val="0"/>
            <w:vAlign w:val="center"/>
          </w:tcPr>
          <w:p>
            <w:pPr>
              <w:spacing w:line="276" w:lineRule="auto"/>
              <w:jc w:val="center"/>
              <w:rPr>
                <w:rFonts w:hint="eastAsia" w:ascii="宋体" w:hAnsi="宋体" w:cs="宋体"/>
                <w:i/>
                <w:color w:val="auto"/>
                <w:sz w:val="24"/>
                <w:highlight w:val="none"/>
              </w:rPr>
            </w:pPr>
            <w:r>
              <w:rPr>
                <w:rFonts w:hint="eastAsia" w:ascii="宋体" w:hAnsi="宋体" w:cs="宋体"/>
                <w:i/>
                <w:color w:val="auto"/>
                <w:sz w:val="24"/>
                <w:highlight w:val="none"/>
              </w:rPr>
              <w:t>主观分</w:t>
            </w:r>
          </w:p>
        </w:tc>
      </w:tr>
    </w:tbl>
    <w:p>
      <w:pPr>
        <w:shd w:val="clear"/>
        <w:spacing w:line="360" w:lineRule="auto"/>
        <w:rPr>
          <w:rFonts w:hint="eastAsia" w:ascii="宋体" w:hAnsi="宋体" w:eastAsia="宋体" w:cs="宋体"/>
          <w:color w:val="auto"/>
          <w:sz w:val="24"/>
          <w:szCs w:val="32"/>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p>
    <w:p>
      <w:pPr>
        <w:widowControl/>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第四章 公开招标需求</w:t>
      </w:r>
    </w:p>
    <w:p>
      <w:pPr>
        <w:tabs>
          <w:tab w:val="left" w:pos="8280"/>
        </w:tabs>
        <w:autoSpaceDE w:val="0"/>
        <w:autoSpaceDN w:val="0"/>
        <w:adjustRightInd w:val="0"/>
        <w:spacing w:line="360" w:lineRule="auto"/>
        <w:ind w:right="2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一、项目概况</w:t>
      </w:r>
    </w:p>
    <w:tbl>
      <w:tblPr>
        <w:tblStyle w:val="29"/>
        <w:tblW w:w="895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4440"/>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eastAsia="宋体"/>
                <w:b/>
                <w:bCs/>
                <w:color w:val="auto"/>
                <w:sz w:val="24"/>
                <w:highlight w:val="none"/>
                <w:lang w:eastAsia="zh-CN"/>
              </w:rPr>
            </w:pPr>
            <w:r>
              <w:rPr>
                <w:rFonts w:hint="eastAsia"/>
                <w:b/>
                <w:bCs/>
                <w:color w:val="auto"/>
                <w:sz w:val="24"/>
                <w:highlight w:val="none"/>
                <w:lang w:val="en-US" w:eastAsia="zh-CN"/>
              </w:rPr>
              <w:t>序号</w:t>
            </w:r>
          </w:p>
        </w:tc>
        <w:tc>
          <w:tcPr>
            <w:tcW w:w="4440" w:type="dxa"/>
          </w:tcPr>
          <w:p>
            <w:pPr>
              <w:jc w:val="center"/>
              <w:rPr>
                <w:b/>
                <w:bCs/>
                <w:color w:val="auto"/>
                <w:sz w:val="24"/>
                <w:highlight w:val="none"/>
              </w:rPr>
            </w:pPr>
            <w:r>
              <w:rPr>
                <w:rFonts w:hint="eastAsia"/>
                <w:b/>
                <w:bCs/>
                <w:color w:val="auto"/>
                <w:sz w:val="24"/>
                <w:highlight w:val="none"/>
              </w:rPr>
              <w:t>设备名称</w:t>
            </w:r>
          </w:p>
        </w:tc>
        <w:tc>
          <w:tcPr>
            <w:tcW w:w="2567" w:type="dxa"/>
          </w:tcPr>
          <w:p>
            <w:pPr>
              <w:jc w:val="center"/>
              <w:rPr>
                <w:b/>
                <w:bCs/>
                <w:color w:val="auto"/>
                <w:sz w:val="24"/>
                <w:highlight w:val="none"/>
              </w:rPr>
            </w:pPr>
            <w:r>
              <w:rPr>
                <w:rFonts w:hint="eastAsia"/>
                <w:b/>
                <w:b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eastAsia="宋体"/>
                <w:color w:val="auto"/>
                <w:sz w:val="24"/>
                <w:highlight w:val="none"/>
                <w:lang w:val="en-US" w:eastAsia="zh-CN"/>
              </w:rPr>
            </w:pPr>
            <w:r>
              <w:rPr>
                <w:rFonts w:hint="eastAsia"/>
                <w:color w:val="auto"/>
                <w:sz w:val="24"/>
                <w:highlight w:val="none"/>
                <w:lang w:val="en-US" w:eastAsia="zh-CN"/>
              </w:rPr>
              <w:t>1</w:t>
            </w:r>
          </w:p>
        </w:tc>
        <w:tc>
          <w:tcPr>
            <w:tcW w:w="4440" w:type="dxa"/>
          </w:tcPr>
          <w:p>
            <w:pPr>
              <w:jc w:val="center"/>
              <w:rPr>
                <w:color w:val="auto"/>
                <w:sz w:val="24"/>
                <w:highlight w:val="none"/>
              </w:rPr>
            </w:pPr>
            <w:r>
              <w:rPr>
                <w:rFonts w:hint="eastAsia"/>
                <w:color w:val="auto"/>
                <w:sz w:val="24"/>
                <w:highlight w:val="none"/>
              </w:rPr>
              <w:t>超声乳化治疗仪</w:t>
            </w:r>
          </w:p>
        </w:tc>
        <w:tc>
          <w:tcPr>
            <w:tcW w:w="2567" w:type="dxa"/>
          </w:tcPr>
          <w:p>
            <w:pPr>
              <w:jc w:val="center"/>
              <w:rPr>
                <w:color w:val="auto"/>
                <w:sz w:val="24"/>
                <w:highlight w:val="none"/>
              </w:rPr>
            </w:pPr>
            <w:r>
              <w:rPr>
                <w:rFonts w:hint="eastAsia"/>
                <w:color w:val="auto"/>
                <w:sz w:val="24"/>
                <w:highlight w:val="none"/>
                <w:lang w:val="en-US" w:eastAsia="zh-CN"/>
              </w:rPr>
              <w:t>2</w:t>
            </w:r>
            <w:r>
              <w:rPr>
                <w:rFonts w:hint="eastAsia"/>
                <w:color w:val="auto"/>
                <w:sz w:val="24"/>
                <w:highlight w:val="none"/>
              </w:rPr>
              <w:t>台</w:t>
            </w:r>
          </w:p>
        </w:tc>
      </w:tr>
    </w:tbl>
    <w:p>
      <w:pPr>
        <w:numPr>
          <w:ilvl w:val="0"/>
          <w:numId w:val="0"/>
        </w:numPr>
        <w:ind w:left="3" w:leftChars="-400" w:hanging="843" w:hangingChars="350"/>
        <w:rPr>
          <w:rFonts w:hint="eastAsia" w:ascii="宋体" w:hAnsi="宋体" w:eastAsia="宋体" w:cs="宋体"/>
          <w:b/>
          <w:bCs/>
          <w:color w:val="auto"/>
          <w:kern w:val="2"/>
          <w:sz w:val="24"/>
          <w:szCs w:val="24"/>
          <w:highlight w:val="none"/>
          <w:lang w:val="en-US" w:eastAsia="zh-CN" w:bidi="ar-SA"/>
        </w:rPr>
      </w:pPr>
    </w:p>
    <w:p>
      <w:pPr>
        <w:numPr>
          <w:ilvl w:val="0"/>
          <w:numId w:val="0"/>
        </w:numP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招标参数</w:t>
      </w:r>
      <w:r>
        <w:rPr>
          <w:rFonts w:hint="eastAsia" w:ascii="宋体" w:hAnsi="宋体" w:eastAsia="宋体" w:cs="宋体"/>
          <w:color w:val="auto"/>
          <w:sz w:val="24"/>
          <w:highlight w:val="none"/>
        </w:rPr>
        <w:tab/>
      </w:r>
    </w:p>
    <w:tbl>
      <w:tblPr>
        <w:tblStyle w:val="28"/>
        <w:tblW w:w="91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1" w:type="dxa"/>
            <w:tcBorders>
              <w:top w:val="double" w:color="auto" w:sz="4" w:space="0"/>
              <w:left w:val="double" w:color="auto" w:sz="4" w:space="0"/>
              <w:bottom w:val="doub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tcBorders>
              <w:top w:val="double" w:color="auto" w:sz="4" w:space="0"/>
              <w:left w:val="single" w:color="auto" w:sz="4" w:space="0"/>
              <w:bottom w:val="doub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51"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z w:val="24"/>
                <w:szCs w:val="24"/>
                <w:highlight w:val="none"/>
              </w:rPr>
              <w:t>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0"/>
                <w:numId w:val="2"/>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用途说明：</w:t>
            </w:r>
            <w:r>
              <w:rPr>
                <w:rFonts w:hint="eastAsia" w:ascii="宋体" w:hAnsi="宋体" w:eastAsia="宋体" w:cs="宋体"/>
                <w:color w:val="auto"/>
                <w:kern w:val="0"/>
                <w:sz w:val="24"/>
                <w:szCs w:val="24"/>
                <w:highlight w:val="none"/>
              </w:rPr>
              <w:t>用于白内障超声乳化手术及前节玻切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shd w:val="clear" w:color="auto" w:fill="auto"/>
            <w:vAlign w:val="center"/>
          </w:tcPr>
          <w:p>
            <w:pPr>
              <w:pStyle w:val="79"/>
              <w:numPr>
                <w:ilvl w:val="2"/>
                <w:numId w:val="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168"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蠕动泵设计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最大负压≥600mmHg；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最大抽吸流速≥60cc/min；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白内障乳化模式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超乳运动方式≥2种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超乳最大振动频率≥40kHZ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系统控制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可同时线性脚踏控制超声能量的输出、抽吸速率和负压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可根据手术需要或者术者习惯设置连续灌注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可通过面板、脚踏或遥控器控制IV杆的自动升降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脚踏控制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可根据需要进行编程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可以利用脚踏控制多项功能（回吐、连续灌注、灌注液瓶升降、手术步骤改变、已存储手术参数的调用等）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液流控制系统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由重力液流控制系统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重力液流控制系统IV杆范围：20-110CM；在2/3档可根据手术需要分别设定线性/恒定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前节玻切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气动玻切，切割频率≥3000cpm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前节玻切子模式≥2种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可接23G玻切头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人机互动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针对不同医生的手术习惯可以个性化设定编辑手术步骤，并对每一步手术步骤进行个性化参数设定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手柄插孔≥2个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屏幕≥18英寸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双极电凝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1"/>
                <w:numId w:val="3"/>
              </w:numPr>
              <w:ind w:firstLineChars="0"/>
              <w:rPr>
                <w:rFonts w:hint="eastAsia" w:ascii="宋体" w:hAnsi="宋体" w:eastAsia="宋体" w:cs="宋体"/>
                <w:b/>
                <w:bCs/>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白内障超声乳化手术系统2套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脚踏板 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遥控器2个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防尘罩（触摸屏）2个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防尘罩（主机）2个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托盘盖2个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防尘罩（托盘）2个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U盘2只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BSS挂架2个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超声手柄 ≥10个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积液盒≥48个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注吸手柄≥10个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注吸针头≥10个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1" w:type="dxa"/>
            <w:tcBorders>
              <w:top w:val="single" w:color="auto" w:sz="4" w:space="0"/>
              <w:left w:val="double" w:color="auto" w:sz="4" w:space="0"/>
              <w:bottom w:val="single" w:color="auto" w:sz="4" w:space="0"/>
              <w:right w:val="single" w:color="auto" w:sz="4" w:space="0"/>
            </w:tcBorders>
            <w:vAlign w:val="center"/>
          </w:tcPr>
          <w:p>
            <w:pPr>
              <w:pStyle w:val="79"/>
              <w:numPr>
                <w:ilvl w:val="2"/>
                <w:numId w:val="3"/>
              </w:numPr>
              <w:ind w:firstLineChars="0"/>
              <w:rPr>
                <w:rFonts w:hint="eastAsia" w:ascii="宋体" w:hAnsi="宋体" w:eastAsia="宋体" w:cs="宋体"/>
                <w:color w:val="auto"/>
                <w:sz w:val="24"/>
                <w:szCs w:val="24"/>
                <w:highlight w:val="none"/>
              </w:rPr>
            </w:pPr>
          </w:p>
        </w:tc>
        <w:tc>
          <w:tcPr>
            <w:tcW w:w="81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23G前节玻切套包2个</w:t>
            </w:r>
          </w:p>
        </w:tc>
      </w:tr>
    </w:tbl>
    <w:p>
      <w:pPr>
        <w:pStyle w:val="3"/>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三、</w:t>
      </w:r>
      <w:r>
        <w:rPr>
          <w:rFonts w:hint="eastAsia" w:ascii="宋体" w:hAnsi="宋体" w:eastAsia="宋体" w:cs="宋体"/>
          <w:bCs w:val="0"/>
          <w:color w:val="auto"/>
          <w:sz w:val="24"/>
          <w:szCs w:val="24"/>
          <w:highlight w:val="none"/>
        </w:rPr>
        <w:t>商</w:t>
      </w:r>
      <w:r>
        <w:rPr>
          <w:rFonts w:hint="eastAsia" w:ascii="宋体" w:hAnsi="宋体" w:eastAsia="宋体" w:cs="宋体"/>
          <w:color w:val="auto"/>
          <w:sz w:val="24"/>
          <w:szCs w:val="24"/>
          <w:highlight w:val="none"/>
        </w:rPr>
        <w:t>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保质期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保质期</w:t>
      </w:r>
      <w:r>
        <w:rPr>
          <w:rFonts w:hint="eastAsia" w:ascii="宋体" w:hAnsi="宋体" w:eastAsia="宋体" w:cs="宋体"/>
          <w:color w:val="auto"/>
          <w:sz w:val="24"/>
          <w:szCs w:val="24"/>
          <w:highlight w:val="none"/>
        </w:rPr>
        <w:t>：保修</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（提供厂家及供应商盖章承诺），保修期后只收取配件费并提供价格的折扣率，免人工费</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开机保证率（按工作日计算）≥95%，每年保质期内故障率不得超过14天，如开机率达不到要求，每超过一天质保期相应延长10天。保质期内因设备本身缺陷造成各种故障应由卖方免费技术服务和维修。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设备保修期过后，购买全保报价（提供厂家及供应商盖章承诺，报年保修价，不要可扣除,每年不高于设备成交价的6%，保价包含氟化氩气体）</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供应商在投标文件中说明在保质期内提供的服务计划。</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付款方式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中标人若为中小企业，签订合同时，中标人向采购人提交银行预付款保函；采购人在收到预付款保函、合同生效以及具备实施条件后7个工作日内，向中标人支付合同金额的40%作为预付款，预付款在后续货款中作相应抵扣。其余合同款项在安装验收合格后支付，采购人自收到发票后7个工作日内将货款支付给中标人。在签订合同时，中标人明确表示无需预付款的，可不提供预付款保函，合同款项在安装验收合格后支付，采购人自收到发票后7个工作日内将货款支付给中标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中标人若为大型企业，合同款项在安装验收合格后支付，采购人自收到发票后7个工作日内将货款支付给中标人。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售后服务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3.1在设备整个使用期内，供应商应确保设备的正常使用。在接到用户维修要求后</w:t>
      </w:r>
      <w:r>
        <w:rPr>
          <w:rFonts w:hint="eastAsia" w:ascii="宋体" w:hAnsi="宋体" w:eastAsia="宋体" w:cs="宋体"/>
          <w:color w:val="auto"/>
          <w:sz w:val="24"/>
          <w:szCs w:val="24"/>
          <w:highlight w:val="none"/>
        </w:rPr>
        <w:t>即时</w:t>
      </w:r>
      <w:r>
        <w:rPr>
          <w:rFonts w:hint="eastAsia" w:ascii="宋体" w:hAnsi="宋体" w:eastAsia="宋体" w:cs="宋体"/>
          <w:color w:val="auto"/>
          <w:sz w:val="24"/>
          <w:szCs w:val="24"/>
          <w:highlight w:val="none"/>
        </w:rPr>
        <w:t>作出响应，并在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4小时内派员到达买方现场实施维修（包括节假日）；维修备件到达医院时间≤</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小时。零配件在该设备停产后仍需保证</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年的供应。</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3.2供应商应在投标文件中提供消耗品或易耗品价格。</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供应商应在投标文件中应详细说明收费标准，包括保修价格、设备配件价格，维修服务费。</w:t>
      </w:r>
    </w:p>
    <w:p>
      <w:pPr>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维修中心及零配件库</w:t>
      </w:r>
      <w:r>
        <w:rPr>
          <w:rFonts w:hint="eastAsia" w:ascii="宋体" w:hAnsi="宋体" w:eastAsia="宋体" w:cs="宋体"/>
          <w:color w:val="auto"/>
          <w:sz w:val="24"/>
          <w:szCs w:val="24"/>
          <w:highlight w:val="none"/>
        </w:rPr>
        <w:t>的分布情况。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供应商应在投标文件中提供售后服务方案，如售后服务机构备品备件储备，售后服务机构技术服务人员情况。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技术支持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4.1中标商应提供免费软件升级。</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培训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5.1供应商应对用户的维修人员提供培训，使其能对设备进行日常的维护保养及能对一般故障进行维修，并向培训人员提供维修图纸及维修手册、维修密码及软件备份。</w:t>
      </w:r>
      <w:r>
        <w:rPr>
          <w:rFonts w:hint="eastAsia" w:ascii="宋体" w:hAnsi="宋体" w:eastAsia="宋体" w:cs="宋体"/>
          <w:b w:val="0"/>
          <w:bCs w:val="0"/>
          <w:color w:val="auto"/>
          <w:sz w:val="24"/>
          <w:szCs w:val="24"/>
          <w:highlight w:val="none"/>
        </w:rPr>
        <w:t>安装调试完成后对工程师进行维护培训和维修培训。并提供</w:t>
      </w:r>
      <w:r>
        <w:rPr>
          <w:rFonts w:hint="eastAsia" w:ascii="宋体" w:hAnsi="宋体" w:eastAsia="宋体" w:cs="宋体"/>
          <w:b w:val="0"/>
          <w:bCs w:val="0"/>
          <w:color w:val="auto"/>
          <w:sz w:val="24"/>
          <w:szCs w:val="24"/>
          <w:highlight w:val="none"/>
          <w:lang w:eastAsia="zh-CN"/>
        </w:rPr>
        <w:t>不少于</w:t>
      </w:r>
      <w:r>
        <w:rPr>
          <w:rFonts w:hint="eastAsia" w:ascii="宋体" w:hAnsi="宋体" w:eastAsia="宋体" w:cs="宋体"/>
          <w:b w:val="0"/>
          <w:bCs w:val="0"/>
          <w:color w:val="auto"/>
          <w:sz w:val="24"/>
          <w:szCs w:val="24"/>
          <w:highlight w:val="none"/>
        </w:rPr>
        <w:t>2名工程师参加维修培训班培训。</w:t>
      </w:r>
      <w:r>
        <w:rPr>
          <w:rFonts w:hint="eastAsia" w:ascii="宋体" w:hAnsi="宋体" w:eastAsia="宋体" w:cs="宋体"/>
          <w:color w:val="auto"/>
          <w:sz w:val="24"/>
          <w:szCs w:val="24"/>
          <w:highlight w:val="none"/>
        </w:rPr>
        <w:t>验收完成后对设备科工程师进行基础维护与保养培训，包括课件及现场培训；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5.2供应商应对用户的操作人员进行操作培训，使其能对设备进行熟练的操作。现场操作及高级培训：至少2周</w:t>
      </w:r>
      <w:r>
        <w:rPr>
          <w:rFonts w:hint="eastAsia" w:ascii="宋体" w:hAnsi="宋体" w:eastAsia="宋体" w:cs="宋体"/>
          <w:color w:val="auto"/>
          <w:sz w:val="24"/>
          <w:szCs w:val="24"/>
          <w:highlight w:val="none"/>
          <w:lang w:val="en-US" w:eastAsia="zh-CN"/>
        </w:rPr>
        <w:t>/每套；提供</w:t>
      </w:r>
      <w:r>
        <w:rPr>
          <w:rFonts w:hint="eastAsia" w:ascii="宋体" w:hAnsi="宋体" w:eastAsia="宋体" w:cs="宋体"/>
          <w:b w:val="0"/>
          <w:bCs w:val="0"/>
          <w:color w:val="auto"/>
          <w:sz w:val="24"/>
          <w:szCs w:val="24"/>
          <w:highlight w:val="none"/>
        </w:rPr>
        <w:t>国内三甲医院应用实习培训（包含医师、技师各</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名）每人3个月</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供应商应在投标文件的培训方案中详细说明。</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5.4提供用户</w:t>
      </w:r>
      <w:r>
        <w:rPr>
          <w:rFonts w:hint="eastAsia" w:ascii="宋体" w:hAnsi="宋体" w:eastAsia="宋体" w:cs="宋体"/>
          <w:color w:val="auto"/>
          <w:sz w:val="24"/>
          <w:szCs w:val="24"/>
          <w:highlight w:val="none"/>
          <w:lang w:eastAsia="zh-CN"/>
        </w:rPr>
        <w:t>中英文</w:t>
      </w:r>
      <w:r>
        <w:rPr>
          <w:rFonts w:hint="eastAsia" w:ascii="宋体" w:hAnsi="宋体" w:eastAsia="宋体" w:cs="宋体"/>
          <w:color w:val="auto"/>
          <w:sz w:val="24"/>
          <w:szCs w:val="24"/>
          <w:highlight w:val="none"/>
        </w:rPr>
        <w:t>操作手册和维修手册，并提供电子版和书面版操作规程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安装调试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6.1安装地点：台州恩泽医疗中心（集团）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6.2安装完成时间：接到采购人通知后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天内完成安装和调试，如在规定的时间内由于供应商的原因不能完成安装和调试，供应商应承担由此给采购人造成的损失</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6.3安装标准：</w:t>
      </w:r>
      <w:r>
        <w:rPr>
          <w:rFonts w:hint="eastAsia" w:ascii="宋体" w:hAnsi="宋体" w:eastAsia="宋体" w:cs="宋体"/>
          <w:b w:val="0"/>
          <w:bCs w:val="0"/>
          <w:color w:val="auto"/>
          <w:sz w:val="24"/>
          <w:szCs w:val="24"/>
          <w:highlight w:val="none"/>
        </w:rPr>
        <w:t>提供的产品原始样本，技术资料和招标文件的技术一致，符合我国有关技术规范和标准</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6.4安装过程中发生的费用由供应商负责。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6.5供应商应在投标文件中提供安装调试方案和安装调试过程中采购人需配合的内容。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供应商应</w:t>
      </w:r>
      <w:r>
        <w:rPr>
          <w:rFonts w:hint="eastAsia" w:ascii="宋体" w:hAnsi="宋体" w:eastAsia="宋体" w:cs="宋体"/>
          <w:b w:val="0"/>
          <w:bCs w:val="0"/>
          <w:color w:val="auto"/>
          <w:sz w:val="24"/>
          <w:szCs w:val="24"/>
          <w:highlight w:val="none"/>
        </w:rPr>
        <w:t>提供机房设计图纸，全面负责整机系统的运输、安装调试，并完成基本操作培训并提供培训资料。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随机资料：随机资料：提供中英文用户操作手册、使用说明书和维修手册，同时应提供设备出厂检验报告和质量合格证书等及电子版的操作规程。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验收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货商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采购人造成的损失。</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供货商应提供</w:t>
      </w:r>
      <w:r>
        <w:rPr>
          <w:rFonts w:hint="eastAsia" w:ascii="宋体" w:hAnsi="宋体" w:eastAsia="宋体" w:cs="宋体"/>
          <w:b w:val="0"/>
          <w:bCs w:val="0"/>
          <w:color w:val="auto"/>
          <w:sz w:val="24"/>
          <w:szCs w:val="24"/>
          <w:highlight w:val="none"/>
        </w:rPr>
        <w:t>验收规范。由中标方邀请省级专家进行验收，费用应包含在投标总价之内。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8.交货</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▲8.1交货期：合同签订后3个月内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8.2交货地点：台州恩泽医疗中心(集团)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报价方式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9.1所有投标价格为含税到用户人民币价（含货物应交纳的一切税费和伴随服务费）并进行分项报价；质保期后的维保费单独报价（不包括在投标价中），选购件单独分项报价（不包括在投标价中）。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10.其他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10.1供应商应</w:t>
      </w:r>
      <w:r>
        <w:rPr>
          <w:rFonts w:hint="eastAsia" w:ascii="宋体" w:hAnsi="宋体" w:eastAsia="宋体" w:cs="宋体"/>
          <w:b w:val="0"/>
          <w:bCs w:val="0"/>
          <w:color w:val="auto"/>
          <w:sz w:val="24"/>
          <w:szCs w:val="24"/>
          <w:highlight w:val="none"/>
        </w:rPr>
        <w:t>提供详细的配置清单并提供选配件和消耗品的投标价格</w:t>
      </w:r>
      <w:r>
        <w:rPr>
          <w:rFonts w:hint="eastAsia" w:ascii="宋体" w:hAnsi="宋体" w:eastAsia="宋体" w:cs="宋体"/>
          <w:b w:val="0"/>
          <w:bCs w:val="0"/>
          <w:color w:val="auto"/>
          <w:sz w:val="24"/>
          <w:szCs w:val="24"/>
          <w:highlight w:val="none"/>
          <w:lang w:eastAsia="zh-CN"/>
        </w:rPr>
        <w:t>；投标文件中</w:t>
      </w:r>
      <w:r>
        <w:rPr>
          <w:rFonts w:hint="eastAsia" w:ascii="宋体" w:hAnsi="宋体" w:eastAsia="宋体" w:cs="宋体"/>
          <w:b w:val="0"/>
          <w:bCs w:val="0"/>
          <w:color w:val="auto"/>
          <w:sz w:val="24"/>
          <w:szCs w:val="24"/>
          <w:highlight w:val="none"/>
        </w:rPr>
        <w:t>未提及的功能配置请分项报价，否则视为标配</w:t>
      </w:r>
      <w:r>
        <w:rPr>
          <w:rFonts w:hint="eastAsia" w:ascii="宋体" w:hAnsi="宋体" w:eastAsia="宋体" w:cs="宋体"/>
          <w:b w:val="0"/>
          <w:bCs w:val="0"/>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b w:val="0"/>
          <w:bCs w:val="0"/>
          <w:color w:val="auto"/>
          <w:sz w:val="24"/>
          <w:szCs w:val="24"/>
          <w:highlight w:val="none"/>
        </w:rPr>
        <w:t>提供所投机型的厂家数据参数(datasheet</w:t>
      </w:r>
      <w:r>
        <w:rPr>
          <w:rFonts w:hint="eastAsia" w:ascii="宋体" w:hAnsi="宋体" w:eastAsia="宋体" w:cs="宋体"/>
          <w:b w:val="0"/>
          <w:bCs w:val="0"/>
          <w:color w:val="auto"/>
          <w:sz w:val="24"/>
          <w:szCs w:val="24"/>
          <w:highlight w:val="none"/>
          <w:lang w:eastAsia="zh-CN"/>
        </w:rPr>
        <w:t>）。</w:t>
      </w:r>
    </w:p>
    <w:p>
      <w:pPr>
        <w:rPr>
          <w:rFonts w:hint="eastAsia"/>
          <w:color w:val="auto"/>
          <w:highlight w:val="none"/>
        </w:rPr>
      </w:pPr>
    </w:p>
    <w:p>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r>
        <w:rPr>
          <w:color w:val="auto"/>
          <w:highlight w:val="none"/>
        </w:rPr>
        <w:br w:type="page"/>
      </w:r>
    </w:p>
    <w:p>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pPr>
        <w:spacing w:line="480" w:lineRule="exact"/>
        <w:ind w:left="4920" w:hanging="4920" w:hangingChars="2050"/>
        <w:jc w:val="left"/>
        <w:rPr>
          <w:rFonts w:hint="eastAsia" w:ascii="宋体" w:hAnsi="宋体"/>
          <w:color w:val="auto"/>
          <w:sz w:val="24"/>
          <w:highlight w:val="none"/>
        </w:rPr>
      </w:pPr>
      <w:r>
        <w:rPr>
          <w:rFonts w:hint="eastAsia" w:ascii="宋体" w:hAnsi="宋体"/>
          <w:bCs/>
          <w:color w:val="auto"/>
          <w:sz w:val="24"/>
          <w:highlight w:val="none"/>
        </w:rPr>
        <w:t>甲 方：</w:t>
      </w:r>
      <w:r>
        <w:rPr>
          <w:rFonts w:hint="eastAsia" w:ascii="宋体" w:hAnsi="宋体"/>
          <w:color w:val="auto"/>
          <w:sz w:val="24"/>
          <w:highlight w:val="none"/>
        </w:rPr>
        <w:t xml:space="preserve">台州恩泽医疗中心（集团）   乙 方： </w:t>
      </w:r>
    </w:p>
    <w:p>
      <w:pPr>
        <w:spacing w:line="480" w:lineRule="exact"/>
        <w:ind w:left="4920" w:hanging="4920" w:hangingChars="2050"/>
        <w:jc w:val="left"/>
        <w:rPr>
          <w:rFonts w:hint="eastAsia" w:ascii="宋体" w:hAnsi="宋体"/>
          <w:bCs/>
          <w:color w:val="auto"/>
          <w:sz w:val="24"/>
          <w:highlight w:val="none"/>
        </w:rPr>
      </w:pPr>
      <w:r>
        <w:rPr>
          <w:rFonts w:hint="eastAsia" w:ascii="宋体" w:hAnsi="宋体"/>
          <w:color w:val="auto"/>
          <w:sz w:val="24"/>
          <w:highlight w:val="none"/>
        </w:rPr>
        <w:t>地 址：浙江省临海市西门街150号   地 址：</w:t>
      </w:r>
      <w:r>
        <w:rPr>
          <w:rFonts w:hint="eastAsia" w:ascii="宋体" w:hAnsi="宋体"/>
          <w:bCs/>
          <w:color w:val="auto"/>
          <w:sz w:val="24"/>
          <w:highlight w:val="none"/>
        </w:rPr>
        <w:t xml:space="preserve"> </w:t>
      </w:r>
    </w:p>
    <w:p>
      <w:pPr>
        <w:spacing w:line="480" w:lineRule="exact"/>
        <w:ind w:left="4920" w:hanging="4920" w:hangingChars="2050"/>
        <w:jc w:val="left"/>
        <w:rPr>
          <w:rFonts w:hint="eastAsia" w:ascii="宋体" w:hAnsi="宋体"/>
          <w:color w:val="auto"/>
          <w:sz w:val="24"/>
          <w:highlight w:val="none"/>
        </w:rPr>
      </w:pPr>
      <w:r>
        <w:rPr>
          <w:rFonts w:hint="eastAsia" w:ascii="宋体" w:hAnsi="宋体"/>
          <w:color w:val="auto"/>
          <w:sz w:val="24"/>
          <w:highlight w:val="none"/>
        </w:rPr>
        <w:t xml:space="preserve">法定代表人：梁军波                法定代表人： </w:t>
      </w:r>
    </w:p>
    <w:p>
      <w:pP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联系人：泮凡                      联系人：</w:t>
      </w:r>
    </w:p>
    <w:p>
      <w:pPr>
        <w:spacing w:line="480" w:lineRule="exact"/>
        <w:ind w:left="5082" w:leftChars="20" w:hanging="5040" w:hangingChars="2100"/>
        <w:rPr>
          <w:rFonts w:hint="eastAsia" w:ascii="宋体" w:hAnsi="宋体"/>
          <w:bCs/>
          <w:color w:val="auto"/>
          <w:sz w:val="24"/>
          <w:highlight w:val="none"/>
        </w:rPr>
      </w:pPr>
      <w:r>
        <w:rPr>
          <w:rFonts w:hint="eastAsia" w:ascii="宋体" w:hAnsi="宋体"/>
          <w:color w:val="auto"/>
          <w:sz w:val="24"/>
          <w:highlight w:val="none"/>
        </w:rPr>
        <w:t>电 话：</w:t>
      </w:r>
      <w:r>
        <w:rPr>
          <w:rFonts w:ascii="宋体" w:hAnsi="宋体"/>
          <w:color w:val="auto"/>
          <w:sz w:val="24"/>
          <w:highlight w:val="none"/>
        </w:rPr>
        <w:t>0576-85190165</w:t>
      </w:r>
      <w:r>
        <w:rPr>
          <w:rFonts w:hint="eastAsia" w:ascii="宋体" w:hAnsi="宋体"/>
          <w:color w:val="auto"/>
          <w:sz w:val="24"/>
          <w:highlight w:val="none"/>
        </w:rPr>
        <w:t xml:space="preserve">              电 话：</w:t>
      </w:r>
    </w:p>
    <w:p>
      <w:pPr>
        <w:spacing w:line="480" w:lineRule="exact"/>
        <w:rPr>
          <w:rFonts w:hint="eastAsia" w:ascii="宋体" w:hAnsi="宋体"/>
          <w:bCs/>
          <w:color w:val="auto"/>
          <w:sz w:val="24"/>
          <w:highlight w:val="none"/>
        </w:rPr>
      </w:pPr>
      <w:r>
        <w:rPr>
          <w:rFonts w:hint="eastAsia" w:ascii="宋体" w:hAnsi="宋体"/>
          <w:color w:val="auto"/>
          <w:sz w:val="24"/>
          <w:highlight w:val="none"/>
        </w:rPr>
        <w:t>邮政编码： 317000                 邮政编码：</w:t>
      </w:r>
    </w:p>
    <w:p>
      <w:pPr>
        <w:spacing w:line="480" w:lineRule="exact"/>
        <w:rPr>
          <w:rFonts w:hint="eastAsia" w:ascii="宋体" w:hAnsi="宋体"/>
          <w:bCs/>
          <w:color w:val="auto"/>
          <w:sz w:val="24"/>
          <w:highlight w:val="none"/>
        </w:rPr>
      </w:pPr>
      <w:r>
        <w:rPr>
          <w:rFonts w:hint="eastAsia" w:ascii="宋体" w:hAnsi="宋体"/>
          <w:bCs/>
          <w:color w:val="auto"/>
          <w:sz w:val="24"/>
          <w:highlight w:val="none"/>
        </w:rPr>
        <w:t xml:space="preserve">合同签约地：浙江省临海市      </w:t>
      </w:r>
    </w:p>
    <w:p>
      <w:pPr>
        <w:spacing w:line="480" w:lineRule="exact"/>
        <w:ind w:left="5082" w:leftChars="20" w:hanging="5040" w:hangingChars="2100"/>
        <w:rPr>
          <w:rFonts w:hint="eastAsia" w:ascii="宋体" w:hAnsi="宋体"/>
          <w:color w:val="auto"/>
          <w:sz w:val="24"/>
          <w:highlight w:val="none"/>
        </w:rPr>
      </w:pPr>
      <w:r>
        <w:rPr>
          <w:rFonts w:hint="eastAsia" w:ascii="宋体" w:hAnsi="宋体"/>
          <w:color w:val="auto"/>
          <w:sz w:val="24"/>
          <w:highlight w:val="none"/>
        </w:rPr>
        <w:t>合同编号：</w:t>
      </w:r>
    </w:p>
    <w:p>
      <w:pPr>
        <w:spacing w:line="480" w:lineRule="exact"/>
        <w:jc w:val="center"/>
        <w:rPr>
          <w:rFonts w:ascii="宋体" w:hAnsi="宋体"/>
          <w:color w:val="auto"/>
          <w:sz w:val="24"/>
          <w:highlight w:val="none"/>
        </w:rPr>
      </w:pPr>
      <w:r>
        <w:rPr>
          <w:rFonts w:hint="eastAsia" w:ascii="宋体" w:hAnsi="宋体"/>
          <w:b/>
          <w:bCs/>
          <w:color w:val="auto"/>
          <w:sz w:val="24"/>
          <w:highlight w:val="none"/>
        </w:rPr>
        <w:t>第一章    总 则</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根据招标情况和评标标准，确定乙方为中标人。根据招标处理办法，甲乙双方本着平等互惠、友好合作的原则，特签订本合同。</w:t>
      </w:r>
    </w:p>
    <w:p>
      <w:pPr>
        <w:spacing w:before="156" w:beforeLines="50" w:line="480" w:lineRule="exact"/>
        <w:jc w:val="center"/>
        <w:rPr>
          <w:rFonts w:ascii="宋体" w:hAnsi="宋体"/>
          <w:color w:val="auto"/>
          <w:sz w:val="24"/>
          <w:highlight w:val="none"/>
        </w:rPr>
      </w:pPr>
      <w:r>
        <w:rPr>
          <w:rFonts w:hint="eastAsia" w:ascii="宋体" w:hAnsi="宋体"/>
          <w:b/>
          <w:bCs/>
          <w:color w:val="auto"/>
          <w:sz w:val="24"/>
          <w:highlight w:val="none"/>
        </w:rPr>
        <w:t>第二章    标 的 物</w:t>
      </w:r>
    </w:p>
    <w:p>
      <w:pP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1、商品的名称、规格、产地、价格等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476"/>
        <w:gridCol w:w="1550"/>
        <w:gridCol w:w="1710"/>
        <w:gridCol w:w="1060"/>
        <w:gridCol w:w="740"/>
        <w:gridCol w:w="117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7" w:hRule="atLeast"/>
          <w:jc w:val="center"/>
        </w:trPr>
        <w:tc>
          <w:tcPr>
            <w:tcW w:w="600"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序号</w:t>
            </w:r>
          </w:p>
        </w:tc>
        <w:tc>
          <w:tcPr>
            <w:tcW w:w="2476"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商品名称(请按注册证名称填写)</w:t>
            </w:r>
          </w:p>
        </w:tc>
        <w:tc>
          <w:tcPr>
            <w:tcW w:w="1550"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品牌</w:t>
            </w:r>
          </w:p>
        </w:tc>
        <w:tc>
          <w:tcPr>
            <w:tcW w:w="1710"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规格型号</w:t>
            </w:r>
          </w:p>
        </w:tc>
        <w:tc>
          <w:tcPr>
            <w:tcW w:w="1060"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产地</w:t>
            </w:r>
          </w:p>
        </w:tc>
        <w:tc>
          <w:tcPr>
            <w:tcW w:w="740"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数量</w:t>
            </w:r>
          </w:p>
        </w:tc>
        <w:tc>
          <w:tcPr>
            <w:tcW w:w="1170"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单价（万）</w:t>
            </w:r>
          </w:p>
        </w:tc>
        <w:tc>
          <w:tcPr>
            <w:tcW w:w="1239" w:type="dxa"/>
            <w:noWrap w:val="0"/>
            <w:vAlign w:val="center"/>
          </w:tcPr>
          <w:p>
            <w:pPr>
              <w:spacing w:line="480" w:lineRule="exact"/>
              <w:jc w:val="center"/>
              <w:rPr>
                <w:rFonts w:hint="eastAsia" w:ascii="宋体" w:hAnsi="宋体"/>
                <w:color w:val="auto"/>
                <w:sz w:val="24"/>
                <w:highlight w:val="none"/>
              </w:rPr>
            </w:pPr>
            <w:r>
              <w:rPr>
                <w:rFonts w:hint="eastAsia" w:ascii="宋体" w:hAnsi="宋体"/>
                <w:color w:val="auto"/>
                <w:sz w:val="24"/>
                <w:highlight w:val="none"/>
              </w:rPr>
              <w:t>总价</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0" w:type="dxa"/>
            <w:noWrap w:val="0"/>
            <w:vAlign w:val="center"/>
          </w:tcPr>
          <w:p>
            <w:pPr>
              <w:adjustRightInd w:val="0"/>
              <w:snapToGrid w:val="0"/>
              <w:spacing w:line="48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2476" w:type="dxa"/>
            <w:noWrap w:val="0"/>
            <w:vAlign w:val="center"/>
          </w:tcPr>
          <w:p>
            <w:pPr>
              <w:spacing w:line="480" w:lineRule="exact"/>
              <w:jc w:val="center"/>
              <w:rPr>
                <w:rFonts w:hint="eastAsia" w:ascii="宋体" w:hAnsi="宋体"/>
                <w:color w:val="auto"/>
                <w:sz w:val="24"/>
                <w:highlight w:val="none"/>
              </w:rPr>
            </w:pPr>
          </w:p>
        </w:tc>
        <w:tc>
          <w:tcPr>
            <w:tcW w:w="1550" w:type="dxa"/>
            <w:noWrap w:val="0"/>
            <w:vAlign w:val="center"/>
          </w:tcPr>
          <w:p>
            <w:pPr>
              <w:adjustRightInd w:val="0"/>
              <w:snapToGrid w:val="0"/>
              <w:spacing w:line="480" w:lineRule="exact"/>
              <w:jc w:val="center"/>
              <w:rPr>
                <w:rFonts w:hint="eastAsia" w:ascii="宋体" w:hAnsi="宋体"/>
                <w:color w:val="auto"/>
                <w:sz w:val="24"/>
                <w:highlight w:val="none"/>
              </w:rPr>
            </w:pPr>
          </w:p>
        </w:tc>
        <w:tc>
          <w:tcPr>
            <w:tcW w:w="1710" w:type="dxa"/>
            <w:noWrap w:val="0"/>
            <w:vAlign w:val="center"/>
          </w:tcPr>
          <w:p>
            <w:pPr>
              <w:adjustRightInd w:val="0"/>
              <w:snapToGrid w:val="0"/>
              <w:spacing w:line="480" w:lineRule="exact"/>
              <w:jc w:val="center"/>
              <w:rPr>
                <w:rFonts w:hint="eastAsia" w:ascii="宋体" w:hAnsi="宋体"/>
                <w:color w:val="auto"/>
                <w:sz w:val="24"/>
                <w:highlight w:val="none"/>
              </w:rPr>
            </w:pPr>
          </w:p>
        </w:tc>
        <w:tc>
          <w:tcPr>
            <w:tcW w:w="1060" w:type="dxa"/>
            <w:noWrap w:val="0"/>
            <w:vAlign w:val="center"/>
          </w:tcPr>
          <w:p>
            <w:pPr>
              <w:adjustRightInd w:val="0"/>
              <w:snapToGrid w:val="0"/>
              <w:spacing w:line="480" w:lineRule="exact"/>
              <w:jc w:val="center"/>
              <w:rPr>
                <w:rFonts w:hint="eastAsia" w:ascii="宋体" w:hAnsi="宋体"/>
                <w:color w:val="auto"/>
                <w:sz w:val="24"/>
                <w:highlight w:val="none"/>
              </w:rPr>
            </w:pPr>
          </w:p>
        </w:tc>
        <w:tc>
          <w:tcPr>
            <w:tcW w:w="740" w:type="dxa"/>
            <w:noWrap w:val="0"/>
            <w:vAlign w:val="center"/>
          </w:tcPr>
          <w:p>
            <w:pPr>
              <w:adjustRightInd w:val="0"/>
              <w:snapToGrid w:val="0"/>
              <w:spacing w:line="480" w:lineRule="exact"/>
              <w:jc w:val="center"/>
              <w:rPr>
                <w:rFonts w:hint="eastAsia" w:ascii="宋体" w:hAnsi="宋体"/>
                <w:color w:val="auto"/>
                <w:sz w:val="24"/>
                <w:highlight w:val="none"/>
              </w:rPr>
            </w:pPr>
          </w:p>
        </w:tc>
        <w:tc>
          <w:tcPr>
            <w:tcW w:w="1170" w:type="dxa"/>
            <w:noWrap w:val="0"/>
            <w:vAlign w:val="center"/>
          </w:tcPr>
          <w:p>
            <w:pPr>
              <w:adjustRightInd w:val="0"/>
              <w:snapToGrid w:val="0"/>
              <w:spacing w:line="480" w:lineRule="exact"/>
              <w:jc w:val="center"/>
              <w:rPr>
                <w:rFonts w:hint="eastAsia" w:ascii="宋体" w:hAnsi="宋体"/>
                <w:color w:val="auto"/>
                <w:sz w:val="24"/>
                <w:highlight w:val="none"/>
              </w:rPr>
            </w:pPr>
          </w:p>
        </w:tc>
        <w:tc>
          <w:tcPr>
            <w:tcW w:w="1239" w:type="dxa"/>
            <w:noWrap w:val="0"/>
            <w:vAlign w:val="center"/>
          </w:tcPr>
          <w:p>
            <w:pPr>
              <w:adjustRightInd w:val="0"/>
              <w:snapToGrid w:val="0"/>
              <w:spacing w:line="480" w:lineRule="exact"/>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5" w:type="dxa"/>
            <w:gridSpan w:val="8"/>
            <w:noWrap w:val="0"/>
            <w:vAlign w:val="top"/>
          </w:tcPr>
          <w:p>
            <w:pPr>
              <w:spacing w:line="480" w:lineRule="exact"/>
              <w:jc w:val="left"/>
              <w:rPr>
                <w:rFonts w:hint="eastAsia" w:ascii="宋体" w:hAnsi="宋体"/>
                <w:color w:val="auto"/>
                <w:sz w:val="24"/>
                <w:highlight w:val="none"/>
              </w:rPr>
            </w:pPr>
            <w:r>
              <w:rPr>
                <w:rFonts w:hint="eastAsia" w:ascii="宋体" w:hAnsi="宋体"/>
                <w:color w:val="auto"/>
                <w:sz w:val="24"/>
                <w:highlight w:val="none"/>
              </w:rPr>
              <w:t xml:space="preserve">合计人民币（大写）： </w:t>
            </w:r>
            <w:r>
              <w:rPr>
                <w:rFonts w:ascii="宋体" w:hAnsi="宋体"/>
                <w:color w:val="auto"/>
                <w:sz w:val="24"/>
                <w:highlight w:val="none"/>
              </w:rPr>
              <w:t xml:space="preserve">                          </w:t>
            </w:r>
            <w:r>
              <w:rPr>
                <w:rFonts w:hint="eastAsia" w:ascii="宋体" w:hAnsi="宋体"/>
                <w:color w:val="auto"/>
                <w:sz w:val="24"/>
                <w:highlight w:val="none"/>
              </w:rPr>
              <w:t>（是否含税）</w:t>
            </w:r>
          </w:p>
        </w:tc>
      </w:tr>
    </w:tbl>
    <w:p>
      <w:pP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2、配置要求详见附录清单（附件1）</w:t>
      </w:r>
    </w:p>
    <w:p>
      <w:pPr>
        <w:spacing w:line="480" w:lineRule="exact"/>
        <w:jc w:val="center"/>
        <w:rPr>
          <w:rFonts w:ascii="宋体" w:hAnsi="宋体"/>
          <w:b/>
          <w:bCs/>
          <w:color w:val="auto"/>
          <w:sz w:val="24"/>
          <w:highlight w:val="none"/>
        </w:rPr>
      </w:pPr>
      <w:r>
        <w:rPr>
          <w:rFonts w:hint="eastAsia" w:ascii="宋体" w:hAnsi="宋体"/>
          <w:b/>
          <w:bCs/>
          <w:color w:val="auto"/>
          <w:sz w:val="24"/>
          <w:highlight w:val="none"/>
        </w:rPr>
        <w:t>第三章    付款方式</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根据浙财采监〔2022〕3号文及规定，合同签订生效及具备履约实施条件并开具正式发票后7个工作日内，甲方</w:t>
      </w:r>
      <w:r>
        <w:rPr>
          <w:rFonts w:hint="eastAsia" w:ascii="宋体" w:hAnsi="宋体" w:eastAsia="宋体" w:cs="宋体"/>
          <w:color w:val="auto"/>
          <w:sz w:val="24"/>
          <w:highlight w:val="none"/>
        </w:rPr>
        <w:t>向乙方</w:t>
      </w:r>
      <w:r>
        <w:rPr>
          <w:rFonts w:hint="eastAsia" w:ascii="宋体" w:hAnsi="宋体" w:eastAsia="宋体" w:cs="宋体"/>
          <w:color w:val="auto"/>
          <w:sz w:val="24"/>
          <w:highlight w:val="none"/>
          <w:lang w:val="zh-CN"/>
        </w:rPr>
        <w:t>支付合同款的</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0%预付款（</w:t>
      </w:r>
      <w:r>
        <w:rPr>
          <w:rFonts w:hint="eastAsia" w:ascii="宋体" w:hAnsi="宋体" w:eastAsia="宋体" w:cs="宋体"/>
          <w:color w:val="auto"/>
          <w:sz w:val="24"/>
          <w:highlight w:val="none"/>
        </w:rPr>
        <w:t>乙方提供预付款保函）</w:t>
      </w:r>
      <w:r>
        <w:rPr>
          <w:rFonts w:hint="eastAsia" w:ascii="宋体" w:hAnsi="宋体" w:eastAsia="宋体" w:cs="宋体"/>
          <w:color w:val="auto"/>
          <w:sz w:val="24"/>
          <w:highlight w:val="none"/>
          <w:lang w:val="zh-CN"/>
        </w:rPr>
        <w:t>；</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sz w:val="24"/>
          <w:highlight w:val="none"/>
          <w:lang w:val="en-US" w:eastAsia="zh-CN"/>
        </w:rPr>
        <w:t>2、项目</w:t>
      </w:r>
      <w:r>
        <w:rPr>
          <w:rFonts w:hint="eastAsia" w:ascii="宋体" w:hAnsi="宋体" w:eastAsia="宋体" w:cs="宋体"/>
          <w:bCs/>
          <w:color w:val="auto"/>
          <w:sz w:val="24"/>
          <w:highlight w:val="none"/>
          <w:lang w:val="zh-CN"/>
        </w:rPr>
        <w:t>通过终验合格</w:t>
      </w:r>
      <w:r>
        <w:rPr>
          <w:rFonts w:hint="eastAsia" w:ascii="宋体" w:hAnsi="宋体" w:eastAsia="宋体" w:cs="宋体"/>
          <w:bCs/>
          <w:color w:val="auto"/>
          <w:sz w:val="24"/>
          <w:highlight w:val="none"/>
        </w:rPr>
        <w:t>后</w:t>
      </w:r>
      <w:r>
        <w:rPr>
          <w:rFonts w:hint="eastAsia" w:ascii="宋体" w:hAnsi="宋体" w:eastAsia="宋体" w:cs="宋体"/>
          <w:bCs/>
          <w:color w:val="auto"/>
          <w:sz w:val="24"/>
          <w:highlight w:val="none"/>
          <w:lang w:val="zh-CN"/>
        </w:rPr>
        <w:t>7个工作日内结清剩余合同款。（</w:t>
      </w:r>
      <w:r>
        <w:rPr>
          <w:rFonts w:hint="eastAsia" w:ascii="宋体" w:hAnsi="宋体" w:eastAsia="宋体" w:cs="宋体"/>
          <w:bCs/>
          <w:color w:val="auto"/>
          <w:sz w:val="24"/>
          <w:highlight w:val="none"/>
        </w:rPr>
        <w:t>乙方需同步</w:t>
      </w:r>
      <w:r>
        <w:rPr>
          <w:rFonts w:hint="eastAsia" w:ascii="宋体" w:hAnsi="宋体" w:eastAsia="宋体" w:cs="宋体"/>
          <w:bCs/>
          <w:color w:val="auto"/>
          <w:sz w:val="24"/>
          <w:highlight w:val="none"/>
          <w:lang w:val="zh-CN"/>
        </w:rPr>
        <w:t>开具正式发票）</w:t>
      </w:r>
    </w:p>
    <w:p>
      <w:pPr>
        <w:spacing w:before="156" w:beforeLines="50" w:line="480" w:lineRule="exact"/>
        <w:ind w:firstLine="703"/>
        <w:jc w:val="center"/>
        <w:rPr>
          <w:rFonts w:hint="eastAsia" w:ascii="宋体" w:hAnsi="宋体"/>
          <w:color w:val="auto"/>
          <w:sz w:val="24"/>
          <w:highlight w:val="none"/>
        </w:rPr>
      </w:pPr>
      <w:r>
        <w:rPr>
          <w:rFonts w:hint="eastAsia" w:ascii="宋体" w:hAnsi="宋体"/>
          <w:b/>
          <w:bCs/>
          <w:color w:val="auto"/>
          <w:sz w:val="24"/>
          <w:highlight w:val="none"/>
        </w:rPr>
        <w:t>第四章   交货时间、地点</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1、乙方在合同签订后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天内把货物运到医院。如</w:t>
      </w:r>
      <w:r>
        <w:rPr>
          <w:rFonts w:ascii="宋体" w:hAnsi="宋体"/>
          <w:color w:val="auto"/>
          <w:sz w:val="24"/>
          <w:highlight w:val="none"/>
        </w:rPr>
        <w:t>逾期到货，乙方应按照逾期到货部分价款的每天0.3%向甲方付违约金。</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2、交货地点：台州恩泽医疗中心（集团）下辖。</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3、联系人： </w:t>
      </w:r>
      <w:r>
        <w:rPr>
          <w:rFonts w:ascii="宋体" w:hAnsi="宋体"/>
          <w:color w:val="auto"/>
          <w:sz w:val="24"/>
          <w:highlight w:val="none"/>
        </w:rPr>
        <w:t xml:space="preserve">              </w:t>
      </w:r>
      <w:r>
        <w:rPr>
          <w:rFonts w:hint="eastAsia" w:ascii="宋体" w:hAnsi="宋体"/>
          <w:color w:val="auto"/>
          <w:sz w:val="24"/>
          <w:highlight w:val="none"/>
        </w:rPr>
        <w:t>，联系电话：</w:t>
      </w:r>
    </w:p>
    <w:p>
      <w:pPr>
        <w:spacing w:before="156" w:beforeLines="50" w:line="480" w:lineRule="exact"/>
        <w:jc w:val="center"/>
        <w:rPr>
          <w:rFonts w:hint="eastAsia" w:ascii="宋体" w:hAnsi="宋体"/>
          <w:b/>
          <w:bCs/>
          <w:color w:val="auto"/>
          <w:sz w:val="24"/>
          <w:highlight w:val="none"/>
        </w:rPr>
      </w:pPr>
      <w:r>
        <w:rPr>
          <w:rFonts w:hint="eastAsia" w:ascii="宋体" w:hAnsi="宋体"/>
          <w:b/>
          <w:bCs/>
          <w:color w:val="auto"/>
          <w:sz w:val="24"/>
          <w:highlight w:val="none"/>
        </w:rPr>
        <w:t>第五章   货物安装验收</w:t>
      </w:r>
    </w:p>
    <w:p>
      <w:pP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货物到</w:t>
      </w:r>
      <w:r>
        <w:rPr>
          <w:rFonts w:hint="eastAsia" w:ascii="宋体" w:hAnsi="宋体"/>
          <w:color w:val="auto"/>
          <w:sz w:val="24"/>
          <w:highlight w:val="none"/>
        </w:rPr>
        <w:t>达之</w:t>
      </w:r>
      <w:r>
        <w:rPr>
          <w:rFonts w:ascii="宋体" w:hAnsi="宋体"/>
          <w:color w:val="auto"/>
          <w:sz w:val="24"/>
          <w:highlight w:val="none"/>
        </w:rPr>
        <w:t>前，甲方负责</w:t>
      </w:r>
      <w:r>
        <w:rPr>
          <w:rFonts w:hint="eastAsia" w:ascii="宋体" w:hAnsi="宋体"/>
          <w:color w:val="auto"/>
          <w:sz w:val="24"/>
          <w:highlight w:val="none"/>
        </w:rPr>
        <w:t>清理出</w:t>
      </w:r>
      <w:r>
        <w:rPr>
          <w:rFonts w:ascii="宋体" w:hAnsi="宋体"/>
          <w:color w:val="auto"/>
          <w:sz w:val="24"/>
          <w:highlight w:val="none"/>
        </w:rPr>
        <w:t>安装</w:t>
      </w:r>
      <w:r>
        <w:rPr>
          <w:rFonts w:hint="eastAsia" w:ascii="宋体" w:hAnsi="宋体"/>
          <w:color w:val="auto"/>
          <w:sz w:val="24"/>
          <w:highlight w:val="none"/>
        </w:rPr>
        <w:t>所需要</w:t>
      </w:r>
      <w:r>
        <w:rPr>
          <w:rFonts w:ascii="宋体" w:hAnsi="宋体"/>
          <w:color w:val="auto"/>
          <w:sz w:val="24"/>
          <w:highlight w:val="none"/>
        </w:rPr>
        <w:t>的</w:t>
      </w:r>
      <w:r>
        <w:rPr>
          <w:rFonts w:hint="eastAsia" w:ascii="宋体" w:hAnsi="宋体"/>
          <w:color w:val="auto"/>
          <w:sz w:val="24"/>
          <w:highlight w:val="none"/>
        </w:rPr>
        <w:t>场地及设施</w:t>
      </w:r>
      <w:r>
        <w:rPr>
          <w:rFonts w:ascii="宋体" w:hAnsi="宋体"/>
          <w:color w:val="auto"/>
          <w:sz w:val="24"/>
          <w:highlight w:val="none"/>
        </w:rPr>
        <w:t>，</w:t>
      </w:r>
      <w:r>
        <w:rPr>
          <w:rFonts w:hint="eastAsia" w:ascii="宋体" w:hAnsi="宋体"/>
          <w:color w:val="auto"/>
          <w:sz w:val="24"/>
          <w:highlight w:val="none"/>
        </w:rPr>
        <w:t>使之</w:t>
      </w:r>
      <w:r>
        <w:rPr>
          <w:rFonts w:ascii="宋体" w:hAnsi="宋体"/>
          <w:color w:val="auto"/>
          <w:sz w:val="24"/>
          <w:highlight w:val="none"/>
        </w:rPr>
        <w:t>适于安装；货物到后，乙方在</w:t>
      </w:r>
      <w:r>
        <w:rPr>
          <w:rFonts w:hint="eastAsia" w:ascii="宋体" w:hAnsi="宋体"/>
          <w:color w:val="auto"/>
          <w:sz w:val="24"/>
          <w:highlight w:val="none"/>
        </w:rPr>
        <w:t>接到安装</w:t>
      </w:r>
      <w:r>
        <w:rPr>
          <w:rFonts w:ascii="宋体" w:hAnsi="宋体"/>
          <w:color w:val="auto"/>
          <w:sz w:val="24"/>
          <w:highlight w:val="none"/>
        </w:rPr>
        <w:t>通知后</w:t>
      </w:r>
      <w:r>
        <w:rPr>
          <w:rFonts w:hint="eastAsia" w:ascii="宋体" w:hAnsi="宋体"/>
          <w:color w:val="auto"/>
          <w:sz w:val="24"/>
          <w:highlight w:val="none"/>
          <w:u w:val="single"/>
          <w:lang w:val="en-US" w:eastAsia="zh-CN"/>
        </w:rPr>
        <w:t xml:space="preserve">   </w:t>
      </w:r>
      <w:r>
        <w:rPr>
          <w:rFonts w:ascii="宋体" w:hAnsi="宋体"/>
          <w:color w:val="auto"/>
          <w:sz w:val="24"/>
          <w:highlight w:val="none"/>
        </w:rPr>
        <w:t>个工作日内派工程师完成货物安装，如超过安装时间，每天按仪器总价的0.3%作为违约金付给甲方</w:t>
      </w:r>
      <w:r>
        <w:rPr>
          <w:rFonts w:hint="eastAsia" w:ascii="宋体" w:hAnsi="宋体"/>
          <w:color w:val="auto"/>
          <w:sz w:val="24"/>
          <w:highlight w:val="none"/>
        </w:rPr>
        <w:t>。乙方对超出合理控制范围因素所引起的（包括由于甲方场地准备不及时或不符合条件等原因引起的迟到货）不承担责任。验收合格后，要求乙方出具相关检测证书。</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2、设备验收规定</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（1）首先双方工作人员清点到货物资数量、型号、规格、中文标识及注册证。</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 甲乙双方对配置、功能以及相关数据测试方面的验收工作。</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（3）进口设备，要求乙方提供报关和商检证书。</w:t>
      </w:r>
    </w:p>
    <w:p>
      <w:pP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（4）货物安装验收合格后，甲乙双方在验收报告上签字确认，货物安装调试工作完成。</w:t>
      </w:r>
    </w:p>
    <w:p>
      <w:pP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3、乙方需对设备的合法性负全责（包括合法证件、购货发票等）。</w:t>
      </w:r>
    </w:p>
    <w:p>
      <w:pP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4、乙方负责设备验收前的相关检测费用。</w:t>
      </w:r>
    </w:p>
    <w:p>
      <w:pPr>
        <w:tabs>
          <w:tab w:val="left" w:pos="720"/>
        </w:tabs>
        <w:spacing w:line="480" w:lineRule="exact"/>
        <w:ind w:firstLine="480" w:firstLineChars="200"/>
        <w:rPr>
          <w:rFonts w:ascii="宋体" w:hAnsi="宋体"/>
          <w:color w:val="auto"/>
          <w:sz w:val="24"/>
          <w:highlight w:val="none"/>
        </w:rPr>
      </w:pPr>
      <w:r>
        <w:rPr>
          <w:rFonts w:hint="eastAsia" w:ascii="宋体" w:hAnsi="宋体"/>
          <w:color w:val="auto"/>
          <w:sz w:val="24"/>
          <w:highlight w:val="none"/>
        </w:rPr>
        <w:t>5、安装过程产生的垃圾由乙方负责清理。</w:t>
      </w:r>
    </w:p>
    <w:p>
      <w:pPr>
        <w:tabs>
          <w:tab w:val="left" w:pos="720"/>
        </w:tabs>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6、入库及安装调试验收仅为甲方收货依据，不成为乙方关于货物已经经甲方验收质量合格的抗辩依据</w:t>
      </w:r>
    </w:p>
    <w:p>
      <w:pPr>
        <w:spacing w:before="156" w:beforeLines="50" w:line="480" w:lineRule="exact"/>
        <w:jc w:val="center"/>
        <w:rPr>
          <w:rFonts w:ascii="宋体" w:hAnsi="宋体"/>
          <w:b/>
          <w:bCs/>
          <w:color w:val="auto"/>
          <w:sz w:val="24"/>
          <w:highlight w:val="none"/>
        </w:rPr>
      </w:pPr>
      <w:r>
        <w:rPr>
          <w:rFonts w:hint="eastAsia" w:ascii="宋体" w:hAnsi="宋体"/>
          <w:b/>
          <w:bCs/>
          <w:color w:val="auto"/>
          <w:sz w:val="24"/>
          <w:highlight w:val="none"/>
        </w:rPr>
        <w:t>第六章   质量及售后服务</w:t>
      </w:r>
    </w:p>
    <w:p>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ascii="宋体" w:hAnsi="宋体" w:cs="宋体"/>
          <w:color w:val="auto"/>
          <w:sz w:val="24"/>
          <w:highlight w:val="none"/>
          <w:lang w:val="zh-CN"/>
        </w:rPr>
        <w:t>.</w:t>
      </w:r>
      <w:r>
        <w:rPr>
          <w:rFonts w:hint="eastAsia" w:ascii="宋体" w:hAnsi="宋体" w:cs="宋体"/>
          <w:color w:val="auto"/>
          <w:sz w:val="24"/>
          <w:highlight w:val="none"/>
          <w:lang w:val="zh-CN"/>
        </w:rPr>
        <w:t>乙方应按招标文件规定的货物性能、技术要求、质量标准向甲方提供未经使用的全新产品。</w:t>
      </w:r>
    </w:p>
    <w:p>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2. 乙方提供的货物在质保期内因货物本身的质量问题发生故障，乙方应负责免费更换。对达不到技术要求者，根据实际情况，经双方协商，可按以下办法处理：</w:t>
      </w:r>
    </w:p>
    <w:p>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⑴更换：由乙方承担所发生的全部费用。</w:t>
      </w:r>
    </w:p>
    <w:p>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⑵贬值处理：由甲乙双方合议定价。</w:t>
      </w:r>
    </w:p>
    <w:p>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⑶退货处理：如维修</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val="zh-CN"/>
        </w:rPr>
        <w:t>次以上依然未能修复或关键部件损坏导致设备存在无法解决的故障，乙方应退还甲方所支付的合同款，同时应承担该货物的直接费用（运输、保险、检验、货款利息及银行手续费等）。</w:t>
      </w:r>
    </w:p>
    <w:p>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3. 如在使用过程中发生质量问题，乙方在接到甲方通知后在小时内到达甲方现场。</w:t>
      </w:r>
    </w:p>
    <w:p>
      <w:pPr>
        <w:spacing w:line="48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4. </w:t>
      </w:r>
      <w:r>
        <w:rPr>
          <w:rFonts w:hint="eastAsia" w:ascii="宋体" w:hAnsi="宋体"/>
          <w:color w:val="auto"/>
          <w:sz w:val="24"/>
          <w:highlight w:val="none"/>
        </w:rPr>
        <w:t>保修期：货物验收合格后，整机保修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年，质保期内每年进行2次免费维护（不包括维修），并免费更换维保易损配件。在保修期内保证开机率大于95%，响应并到达时间小于24小时。</w:t>
      </w:r>
      <w:r>
        <w:rPr>
          <w:rFonts w:hint="eastAsia" w:ascii="宋体" w:hAnsi="宋体" w:cs="宋体"/>
          <w:color w:val="auto"/>
          <w:sz w:val="24"/>
          <w:highlight w:val="none"/>
          <w:lang w:val="zh-CN"/>
        </w:rPr>
        <w:t>在质保期内，乙方应对货物出现的质量及安全问题（</w:t>
      </w:r>
      <w:r>
        <w:rPr>
          <w:rFonts w:hint="eastAsia" w:ascii="宋体" w:hAnsi="宋体" w:cs="宋体"/>
          <w:color w:val="auto"/>
          <w:sz w:val="24"/>
          <w:highlight w:val="none"/>
          <w:lang w:val="en-US" w:eastAsia="zh-CN"/>
        </w:rPr>
        <w:t>人为因素除外</w:t>
      </w:r>
      <w:r>
        <w:rPr>
          <w:rFonts w:hint="eastAsia" w:ascii="宋体" w:hAnsi="宋体" w:cs="宋体"/>
          <w:color w:val="auto"/>
          <w:sz w:val="24"/>
          <w:highlight w:val="none"/>
          <w:lang w:val="zh-CN"/>
        </w:rPr>
        <w:t>）负责处理解决并承担一切费用。</w:t>
      </w:r>
    </w:p>
    <w:p>
      <w:pPr>
        <w:spacing w:line="480" w:lineRule="exact"/>
        <w:ind w:firstLine="480" w:firstLineChars="200"/>
        <w:jc w:val="left"/>
        <w:rPr>
          <w:rFonts w:ascii="宋体" w:hAnsi="宋体"/>
          <w:color w:val="auto"/>
          <w:sz w:val="24"/>
          <w:highlight w:val="none"/>
        </w:rPr>
      </w:pPr>
      <w:r>
        <w:rPr>
          <w:rFonts w:hint="eastAsia" w:ascii="宋体" w:hAnsi="宋体" w:cs="宋体"/>
          <w:color w:val="auto"/>
          <w:sz w:val="24"/>
          <w:highlight w:val="none"/>
          <w:lang w:val="zh-CN"/>
        </w:rPr>
        <w:t>5.上述的货物超过保修期的机器设备，</w:t>
      </w:r>
      <w:r>
        <w:rPr>
          <w:rFonts w:hint="eastAsia" w:ascii="宋体" w:hAnsi="宋体"/>
          <w:color w:val="auto"/>
          <w:sz w:val="24"/>
          <w:highlight w:val="none"/>
        </w:rPr>
        <w:t>终身维修，</w:t>
      </w:r>
      <w:r>
        <w:rPr>
          <w:rFonts w:hint="eastAsia" w:ascii="宋体" w:hAnsi="宋体" w:cs="宋体"/>
          <w:color w:val="auto"/>
          <w:sz w:val="24"/>
          <w:highlight w:val="none"/>
          <w:lang w:val="zh-CN"/>
        </w:rPr>
        <w:t>维修时只收部件成本费。</w:t>
      </w:r>
    </w:p>
    <w:p>
      <w:pPr>
        <w:spacing w:before="156" w:beforeLines="50" w:line="480" w:lineRule="exact"/>
        <w:ind w:left="284"/>
        <w:jc w:val="center"/>
        <w:rPr>
          <w:rFonts w:hint="eastAsia" w:ascii="宋体" w:hAnsi="宋体"/>
          <w:color w:val="auto"/>
          <w:sz w:val="24"/>
          <w:highlight w:val="none"/>
        </w:rPr>
      </w:pPr>
      <w:r>
        <w:rPr>
          <w:rFonts w:hint="eastAsia" w:ascii="宋体" w:hAnsi="宋体"/>
          <w:b/>
          <w:bCs/>
          <w:color w:val="auto"/>
          <w:sz w:val="24"/>
          <w:highlight w:val="none"/>
        </w:rPr>
        <w:t>第七章   技术支持、培训</w:t>
      </w:r>
    </w:p>
    <w:p>
      <w:pPr>
        <w:spacing w:before="156" w:beforeLines="5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1、技术支持</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甲乙双方签订协议后，货到之前，乙方派遣工程技术人员进行场地设计及现场指导，并且乙方承诺为甲方免费提供软件升级，及时提供设备新功能和临床应用的资料。</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2、设备安装验收合格以后，乙方必须向甲方承诺，负责对甲方操作人员、维修人员进行技术培训。</w:t>
      </w:r>
    </w:p>
    <w:p>
      <w:pPr>
        <w:spacing w:line="480" w:lineRule="exact"/>
        <w:ind w:left="210" w:leftChars="100" w:firstLine="240" w:firstLineChars="100"/>
        <w:rPr>
          <w:rFonts w:hint="eastAsia" w:ascii="宋体" w:hAnsi="宋体"/>
          <w:color w:val="auto"/>
          <w:sz w:val="24"/>
          <w:highlight w:val="none"/>
        </w:rPr>
      </w:pPr>
      <w:r>
        <w:rPr>
          <w:rFonts w:hint="eastAsia" w:ascii="宋体" w:hAnsi="宋体"/>
          <w:color w:val="auto"/>
          <w:sz w:val="24"/>
          <w:highlight w:val="none"/>
        </w:rPr>
        <w:t>（1）乙方对甲方的操作人员进行现场操作培训直到甲方操作人员熟练掌握使用该设备各种性能为止，并提供详细的操作手册。</w:t>
      </w:r>
    </w:p>
    <w:p>
      <w:pP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（2）乙方对甲方的设备维修人员进行现场培训，使甲方人员能对设备进行日常的维修保养以及能对一般故障进行维修，同时为甲方培训人员提供详细的维修手册（图纸原件级）。</w:t>
      </w:r>
    </w:p>
    <w:p>
      <w:pP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第八章   合同的变更与解除</w:t>
      </w:r>
    </w:p>
    <w:p>
      <w:pPr>
        <w:pStyle w:val="92"/>
        <w:spacing w:before="0" w:beforeAutospacing="0" w:after="0" w:afterAutospacing="0" w:line="480" w:lineRule="exact"/>
        <w:ind w:firstLine="480"/>
        <w:rPr>
          <w:color w:val="auto"/>
          <w:highlight w:val="none"/>
        </w:rPr>
      </w:pPr>
      <w:r>
        <w:rPr>
          <w:color w:val="auto"/>
          <w:highlight w:val="none"/>
        </w:rPr>
        <w:t>1</w:t>
      </w:r>
      <w:r>
        <w:rPr>
          <w:rFonts w:hint="eastAsia"/>
          <w:color w:val="auto"/>
          <w:highlight w:val="none"/>
        </w:rPr>
        <w:t>、合同履行期内，如乙方无法提供有效期内的厂家授权，或租赁设备损坏无法正常使用</w:t>
      </w:r>
      <w:r>
        <w:rPr>
          <w:rFonts w:hint="eastAsia"/>
          <w:color w:val="auto"/>
          <w:highlight w:val="none"/>
          <w:lang w:val="en-US" w:eastAsia="zh-CN"/>
        </w:rPr>
        <w:t>一</w:t>
      </w:r>
      <w:r>
        <w:rPr>
          <w:rFonts w:hint="eastAsia"/>
          <w:color w:val="auto"/>
          <w:highlight w:val="none"/>
        </w:rPr>
        <w:t>周以上，甲方有权行使单方解除权，本合同自行终止。</w:t>
      </w:r>
    </w:p>
    <w:p>
      <w:pPr>
        <w:pStyle w:val="92"/>
        <w:spacing w:before="0" w:beforeAutospacing="0" w:after="0" w:afterAutospacing="0" w:line="480" w:lineRule="exact"/>
        <w:ind w:firstLine="480"/>
        <w:rPr>
          <w:color w:val="auto"/>
          <w:highlight w:val="none"/>
        </w:rPr>
      </w:pPr>
      <w:r>
        <w:rPr>
          <w:color w:val="auto"/>
          <w:highlight w:val="none"/>
        </w:rPr>
        <w:t>2</w:t>
      </w:r>
      <w:r>
        <w:rPr>
          <w:rFonts w:hint="eastAsia"/>
          <w:color w:val="auto"/>
          <w:highlight w:val="none"/>
        </w:rPr>
        <w:t>、在本合同执行周期内，如遇有省标或集团内新的招标，本合同从新标执行时间起自行终止。</w:t>
      </w:r>
    </w:p>
    <w:p>
      <w:pPr>
        <w:pStyle w:val="92"/>
        <w:spacing w:before="0" w:beforeAutospacing="0" w:after="0" w:afterAutospacing="0" w:line="480" w:lineRule="exact"/>
        <w:ind w:firstLine="480"/>
        <w:rPr>
          <w:color w:val="auto"/>
          <w:highlight w:val="none"/>
        </w:rPr>
      </w:pPr>
      <w:r>
        <w:rPr>
          <w:color w:val="auto"/>
          <w:highlight w:val="none"/>
        </w:rPr>
        <w:t>3</w:t>
      </w:r>
      <w:r>
        <w:rPr>
          <w:rFonts w:hint="eastAsia"/>
          <w:color w:val="auto"/>
          <w:highlight w:val="none"/>
        </w:rPr>
        <w:t>、廉洁条款</w:t>
      </w:r>
    </w:p>
    <w:p>
      <w:pPr>
        <w:snapToGrid w:val="0"/>
        <w:spacing w:line="480" w:lineRule="exact"/>
        <w:ind w:firstLine="482" w:firstLineChars="200"/>
        <w:rPr>
          <w:rFonts w:ascii="宋体" w:hAnsi="宋体" w:cs="仿宋"/>
          <w:bCs/>
          <w:color w:val="auto"/>
          <w:sz w:val="24"/>
          <w:highlight w:val="none"/>
        </w:rPr>
      </w:pPr>
      <w:r>
        <w:rPr>
          <w:rFonts w:hint="eastAsia" w:ascii="宋体" w:hAnsi="宋体" w:cs="仿宋"/>
          <w:b/>
          <w:color w:val="auto"/>
          <w:sz w:val="24"/>
          <w:highlight w:val="none"/>
        </w:rPr>
        <w:t>（1）</w:t>
      </w:r>
      <w:r>
        <w:rPr>
          <w:rFonts w:hint="eastAsia" w:ascii="宋体" w:hAnsi="宋体" w:cs="仿宋"/>
          <w:bCs/>
          <w:color w:val="auto"/>
          <w:sz w:val="24"/>
          <w:highlight w:val="none"/>
        </w:rPr>
        <w:t>乙方必须配合甲方根据中国的相关法规、政策等，执行反腐败要求。乙方及其员工，都需要按照诚实、公平及个人操守的最高标准行事。</w:t>
      </w:r>
    </w:p>
    <w:p>
      <w:pP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2）在本协议履行期间，乙方有任何不正当甚至非法行为（不限于是针对甲方任何员工或相关企业、人士的该等行为），包括但不限于行贿回扣、虚假报价、串通价格等或类似、变相的此类行为的，或乙方有任何其他有违甲方廉洁行医的政策和精神的，或有任何违反本条款的行为（包括但不限于对于合规审查的推诿），视为乙方严重违约，甲方有权单方面即时解除合同，并进行索赔。</w:t>
      </w:r>
    </w:p>
    <w:p>
      <w:pPr>
        <w:snapToGrid w:val="0"/>
        <w:spacing w:line="480" w:lineRule="exact"/>
        <w:ind w:firstLine="480" w:firstLineChars="200"/>
        <w:rPr>
          <w:rFonts w:ascii="宋体" w:hAnsi="宋体" w:cs="仿宋"/>
          <w:bCs/>
          <w:color w:val="auto"/>
          <w:sz w:val="24"/>
          <w:highlight w:val="none"/>
        </w:rPr>
      </w:pPr>
      <w:r>
        <w:rPr>
          <w:rFonts w:hint="eastAsia" w:ascii="宋体" w:hAnsi="宋体" w:cs="仿宋"/>
          <w:bCs/>
          <w:color w:val="auto"/>
          <w:sz w:val="24"/>
          <w:highlight w:val="none"/>
        </w:rPr>
        <w:t>（3）乙方因违反或涉嫌违反任何反腐败、反贿赂法律法规、政策精神（不限于针对甲方任何员工或相关企业、人士的该等行为），受到有权机关的调查、讯问或质询的，有义务在72小时内向甲方作出书面披露；受到任何处罚决定或经相关公文、裁判等认定有相关违法违规事实的，有义务立即告知甲方并按要求提供相关资料。前述情形下，甲方有权展开任何甲方认为必需的合规调查，所有费用由乙方承担，而且在此情况下，无论调查结果如何，甲方均有权解除本协议，视为乙方严重违约。</w:t>
      </w:r>
    </w:p>
    <w:p>
      <w:pPr>
        <w:pStyle w:val="92"/>
        <w:spacing w:before="0" w:beforeAutospacing="0" w:after="0" w:afterAutospacing="0" w:line="480" w:lineRule="exact"/>
        <w:ind w:firstLine="480"/>
        <w:rPr>
          <w:color w:val="auto"/>
          <w:highlight w:val="none"/>
        </w:rPr>
      </w:pPr>
      <w:r>
        <w:rPr>
          <w:rFonts w:hint="eastAsia"/>
          <w:color w:val="auto"/>
          <w:highlight w:val="none"/>
        </w:rPr>
        <w:t>4、保密条款</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（1）双方承诺，在</w:t>
      </w:r>
      <w:r>
        <w:rPr>
          <w:rFonts w:ascii="宋体" w:hAnsi="宋体"/>
          <w:color w:val="auto"/>
          <w:sz w:val="24"/>
          <w:highlight w:val="none"/>
        </w:rPr>
        <w:t>合作期间所知悉的</w:t>
      </w:r>
      <w:r>
        <w:rPr>
          <w:rFonts w:hint="eastAsia" w:ascii="宋体" w:hAnsi="宋体"/>
          <w:color w:val="auto"/>
          <w:sz w:val="24"/>
          <w:highlight w:val="none"/>
        </w:rPr>
        <w:t>对方商业秘密，以及所接触到的与对方公司有关的其他机密资讯或文件资料均</w:t>
      </w:r>
      <w:r>
        <w:rPr>
          <w:rFonts w:ascii="宋体" w:hAnsi="宋体"/>
          <w:color w:val="auto"/>
          <w:sz w:val="24"/>
          <w:highlight w:val="none"/>
        </w:rPr>
        <w:t>负有</w:t>
      </w:r>
      <w:r>
        <w:rPr>
          <w:rFonts w:hint="eastAsia" w:ascii="宋体" w:hAnsi="宋体"/>
          <w:color w:val="auto"/>
          <w:sz w:val="24"/>
          <w:highlight w:val="none"/>
        </w:rPr>
        <w:t>保密义务，遵守对方的保密制度，执行有关的保密工作程序。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双方均不得通过任何途径将对方商业秘密泄漏、私自使用或者允许其他人员使用，并有义务采取措施确保相关责任方内部相互监督，实行保密义务。否则，给对方造成损失的，由违约方与相关责任方相互承担连带责任。</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（3）协议终止时，双方应将所接收的对方公司的商业秘密资讯、文件资料或职务信息完全移交给对方或对方指定人员，不得以任何形式私自占有及带出。</w:t>
      </w:r>
    </w:p>
    <w:p>
      <w:pPr>
        <w:pStyle w:val="92"/>
        <w:spacing w:before="0" w:beforeAutospacing="0" w:after="0" w:afterAutospacing="0" w:line="480" w:lineRule="exact"/>
        <w:ind w:firstLine="480"/>
        <w:rPr>
          <w:color w:val="auto"/>
          <w:highlight w:val="none"/>
        </w:rPr>
      </w:pPr>
      <w:r>
        <w:rPr>
          <w:rFonts w:hint="eastAsia"/>
          <w:color w:val="auto"/>
          <w:highlight w:val="none"/>
        </w:rPr>
        <w:t>（4）双方应尽力配合对方的人员管理和正常的业务流程，不得寻求不正当的商业利益。对此，如果造成对方实际损失的，守约方有权以违约或侵权行为向对方要求赔偿，直至追究相关责任人的其刑事责任。</w:t>
      </w:r>
    </w:p>
    <w:p>
      <w:pPr>
        <w:pStyle w:val="92"/>
        <w:spacing w:before="0" w:beforeAutospacing="0" w:after="0" w:afterAutospacing="0" w:line="480" w:lineRule="exact"/>
        <w:ind w:firstLine="480"/>
        <w:rPr>
          <w:b/>
          <w:color w:val="auto"/>
          <w:highlight w:val="none"/>
        </w:rPr>
      </w:pPr>
      <w:r>
        <w:rPr>
          <w:b/>
          <w:color w:val="auto"/>
          <w:highlight w:val="none"/>
        </w:rPr>
        <w:t>第</w:t>
      </w:r>
      <w:r>
        <w:rPr>
          <w:rFonts w:hint="eastAsia"/>
          <w:b/>
          <w:color w:val="auto"/>
          <w:highlight w:val="none"/>
        </w:rPr>
        <w:t>九</w:t>
      </w:r>
      <w:r>
        <w:rPr>
          <w:b/>
          <w:color w:val="auto"/>
          <w:highlight w:val="none"/>
        </w:rPr>
        <w:t>条：</w:t>
      </w:r>
      <w:r>
        <w:rPr>
          <w:rFonts w:hint="eastAsia"/>
          <w:b/>
          <w:color w:val="auto"/>
          <w:highlight w:val="none"/>
        </w:rPr>
        <w:t>违约责任</w:t>
      </w:r>
    </w:p>
    <w:p>
      <w:pPr>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如出现以下情况，视为乙方严重违约，甲方可单方解除合同，并要求乙方赔偿违约导致的全部损失</w:t>
      </w:r>
      <w:bookmarkStart w:id="3" w:name="_Hlk159493349"/>
      <w:r>
        <w:rPr>
          <w:rFonts w:hint="eastAsia" w:ascii="宋体" w:hAnsi="宋体"/>
          <w:color w:val="auto"/>
          <w:sz w:val="24"/>
          <w:highlight w:val="none"/>
        </w:rPr>
        <w:t>（包括但不限于甲方因此所致的损失、对外赔偿责任、行政罚款、诉讼费用、保全费用、律师费用等）</w:t>
      </w:r>
      <w:bookmarkEnd w:id="3"/>
      <w:r>
        <w:rPr>
          <w:rFonts w:hint="eastAsia" w:ascii="宋体" w:hAnsi="宋体"/>
          <w:color w:val="auto"/>
          <w:sz w:val="24"/>
          <w:highlight w:val="none"/>
        </w:rPr>
        <w:t>：</w:t>
      </w:r>
    </w:p>
    <w:p>
      <w:pPr>
        <w:pStyle w:val="92"/>
        <w:spacing w:before="0" w:beforeAutospacing="0" w:after="0" w:afterAutospacing="0" w:line="480" w:lineRule="exact"/>
        <w:ind w:firstLine="480" w:firstLineChars="200"/>
        <w:rPr>
          <w:color w:val="auto"/>
          <w:highlight w:val="none"/>
        </w:rPr>
      </w:pPr>
      <w:r>
        <w:rPr>
          <w:rFonts w:hint="eastAsia"/>
          <w:color w:val="auto"/>
          <w:highlight w:val="none"/>
        </w:rPr>
        <w:t>1、合同签定、履行过程中，乙方有违反本协议廉洁条款，视为乙方严重违约.</w:t>
      </w:r>
    </w:p>
    <w:p>
      <w:pPr>
        <w:pStyle w:val="92"/>
        <w:spacing w:before="0" w:beforeAutospacing="0" w:after="0" w:afterAutospacing="0" w:line="480" w:lineRule="exact"/>
        <w:ind w:firstLine="480" w:firstLineChars="200"/>
        <w:rPr>
          <w:color w:val="auto"/>
          <w:highlight w:val="none"/>
        </w:rPr>
      </w:pPr>
      <w:r>
        <w:rPr>
          <w:rFonts w:hint="eastAsia"/>
          <w:color w:val="auto"/>
          <w:highlight w:val="none"/>
        </w:rPr>
        <w:t>2、因乙方产品质量、供货等原因，造成甲方不可预见的后果或损失（例如医疗纠纷、医疗隐患、监管部门罚款等），乙方应配合解决并承担违约责任。</w:t>
      </w:r>
    </w:p>
    <w:p>
      <w:pPr>
        <w:pStyle w:val="92"/>
        <w:spacing w:before="0" w:beforeAutospacing="0" w:after="0" w:afterAutospacing="0" w:line="480" w:lineRule="exact"/>
        <w:ind w:firstLine="480" w:firstLineChars="200"/>
        <w:rPr>
          <w:color w:val="auto"/>
          <w:highlight w:val="none"/>
        </w:rPr>
      </w:pPr>
      <w:r>
        <w:rPr>
          <w:color w:val="auto"/>
          <w:highlight w:val="none"/>
        </w:rPr>
        <w:t>3</w:t>
      </w:r>
      <w:r>
        <w:rPr>
          <w:rFonts w:hint="eastAsia"/>
          <w:color w:val="auto"/>
          <w:highlight w:val="none"/>
        </w:rPr>
        <w:t>、违反本协议约定的保密条款导致甲方损失的，甲方有权追究乙方的违约责任。</w:t>
      </w:r>
    </w:p>
    <w:p>
      <w:pPr>
        <w:adjustRightInd w:val="0"/>
        <w:snapToGrid w:val="0"/>
        <w:spacing w:line="480" w:lineRule="exact"/>
        <w:jc w:val="center"/>
        <w:rPr>
          <w:rFonts w:hint="eastAsia" w:ascii="宋体" w:hAnsi="宋体"/>
          <w:color w:val="auto"/>
          <w:sz w:val="24"/>
          <w:highlight w:val="none"/>
        </w:rPr>
      </w:pPr>
      <w:r>
        <w:rPr>
          <w:rFonts w:hint="eastAsia" w:ascii="宋体" w:hAnsi="宋体"/>
          <w:b/>
          <w:bCs/>
          <w:color w:val="auto"/>
          <w:sz w:val="24"/>
          <w:highlight w:val="none"/>
        </w:rPr>
        <w:t>第十章    争议的解决</w:t>
      </w:r>
    </w:p>
    <w:p>
      <w:pP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1、此合同一式四份。双方签字盖章生效后。</w:t>
      </w:r>
    </w:p>
    <w:p>
      <w:pP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2、凡有关本合同或执行本合同而发生的一切争议，应通过友好协商解决，如不能解决，向甲方所在地法院提起诉讼。</w:t>
      </w:r>
    </w:p>
    <w:p>
      <w:pPr>
        <w:adjustRightInd w:val="0"/>
        <w:snapToGrid w:val="0"/>
        <w:spacing w:line="480" w:lineRule="exact"/>
        <w:jc w:val="center"/>
        <w:rPr>
          <w:rFonts w:hint="eastAsia" w:ascii="宋体" w:hAnsi="宋体"/>
          <w:b/>
          <w:bCs/>
          <w:color w:val="auto"/>
          <w:sz w:val="24"/>
          <w:highlight w:val="none"/>
        </w:rPr>
      </w:pPr>
      <w:r>
        <w:rPr>
          <w:rFonts w:hint="eastAsia" w:ascii="宋体" w:hAnsi="宋体"/>
          <w:b/>
          <w:bCs/>
          <w:color w:val="auto"/>
          <w:sz w:val="24"/>
          <w:highlight w:val="none"/>
        </w:rPr>
        <w:t>第十一章     其 它</w:t>
      </w:r>
    </w:p>
    <w:p>
      <w:pP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1、本合同未尽事宜，可由双方另行签订《补充协议》，《补充协议》与本合同具有同等法律效应。</w:t>
      </w:r>
    </w:p>
    <w:p>
      <w:pPr>
        <w:adjustRightInd w:val="0"/>
        <w:snapToGrid w:val="0"/>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2、本合同中未涉及到的内容以中心（集团）</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号项目中的投标书和承诺书为准。</w:t>
      </w:r>
    </w:p>
    <w:p>
      <w:pPr>
        <w:adjustRightInd w:val="0"/>
        <w:snapToGrid w:val="0"/>
        <w:spacing w:line="48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乙方保证对其出售的货物具有合法性，所出售的货物上不存在任何未曾向甲方透露的担保物权，如抵押权、质押权、留置权等。乙方保证其所出售的货物没有侵犯任何第三者的知识产权和商业秘密等权利。如甲方使用该货物构成上述侵权时，则由乙方承担全部责任。</w:t>
      </w:r>
    </w:p>
    <w:p>
      <w:pP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甲  方：台州恩泽医疗中心（集团）  乙  方： </w:t>
      </w:r>
    </w:p>
    <w:p>
      <w:pPr>
        <w:spacing w:line="480" w:lineRule="exact"/>
        <w:ind w:left="5100" w:leftChars="200" w:hanging="4680" w:hangingChars="1950"/>
        <w:rPr>
          <w:rFonts w:hint="eastAsia" w:ascii="宋体" w:hAnsi="宋体"/>
          <w:color w:val="auto"/>
          <w:sz w:val="24"/>
          <w:highlight w:val="none"/>
        </w:rPr>
      </w:pPr>
      <w:r>
        <w:rPr>
          <w:rFonts w:hint="eastAsia" w:ascii="宋体" w:hAnsi="宋体"/>
          <w:color w:val="auto"/>
          <w:sz w:val="24"/>
          <w:highlight w:val="none"/>
        </w:rPr>
        <w:t xml:space="preserve">签字盖章：                        签字盖章： </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日  期：                          日  期： </w:t>
      </w:r>
    </w:p>
    <w:p>
      <w:pPr>
        <w:tabs>
          <w:tab w:val="left" w:pos="1898"/>
        </w:tabs>
        <w:autoSpaceDE w:val="0"/>
        <w:autoSpaceDN w:val="0"/>
        <w:adjustRightInd w:val="0"/>
        <w:spacing w:line="480" w:lineRule="exact"/>
        <w:jc w:val="center"/>
        <w:rPr>
          <w:rFonts w:hint="eastAsia" w:ascii="宋体" w:hAnsi="宋体"/>
          <w:b/>
          <w:color w:val="auto"/>
          <w:sz w:val="24"/>
          <w:highlight w:val="none"/>
        </w:rPr>
      </w:pPr>
    </w:p>
    <w:p>
      <w:pPr>
        <w:tabs>
          <w:tab w:val="left" w:pos="1898"/>
        </w:tabs>
        <w:autoSpaceDE w:val="0"/>
        <w:autoSpaceDN w:val="0"/>
        <w:adjustRightInd w:val="0"/>
        <w:spacing w:line="480" w:lineRule="exact"/>
        <w:jc w:val="center"/>
        <w:rPr>
          <w:rFonts w:hint="eastAsia" w:ascii="宋体" w:hAnsi="宋体"/>
          <w:b/>
          <w:color w:val="auto"/>
          <w:sz w:val="24"/>
          <w:highlight w:val="none"/>
        </w:rPr>
      </w:pPr>
    </w:p>
    <w:p>
      <w:pPr>
        <w:tabs>
          <w:tab w:val="left" w:pos="1898"/>
        </w:tabs>
        <w:autoSpaceDE w:val="0"/>
        <w:autoSpaceDN w:val="0"/>
        <w:adjustRightInd w:val="0"/>
        <w:spacing w:line="480" w:lineRule="exact"/>
        <w:jc w:val="center"/>
        <w:rPr>
          <w:rFonts w:hint="eastAsia" w:ascii="宋体" w:hAnsi="宋体"/>
          <w:b/>
          <w:color w:val="auto"/>
          <w:sz w:val="24"/>
          <w:highlight w:val="none"/>
        </w:rPr>
      </w:pPr>
    </w:p>
    <w:p>
      <w:pPr>
        <w:tabs>
          <w:tab w:val="left" w:pos="1898"/>
        </w:tabs>
        <w:autoSpaceDE w:val="0"/>
        <w:autoSpaceDN w:val="0"/>
        <w:adjustRightInd w:val="0"/>
        <w:spacing w:line="480" w:lineRule="exact"/>
        <w:rPr>
          <w:rFonts w:hint="eastAsia" w:ascii="宋体" w:hAnsi="宋体"/>
          <w:b/>
          <w:color w:val="auto"/>
          <w:sz w:val="24"/>
          <w:highlight w:val="none"/>
        </w:rPr>
      </w:pPr>
      <w:r>
        <w:rPr>
          <w:rFonts w:hint="eastAsia" w:ascii="宋体" w:hAnsi="宋体"/>
          <w:b/>
          <w:color w:val="auto"/>
          <w:sz w:val="24"/>
          <w:highlight w:val="none"/>
        </w:rPr>
        <w:t>附件1</w:t>
      </w:r>
    </w:p>
    <w:p>
      <w:pP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配置清单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468"/>
        <w:gridCol w:w="1345"/>
        <w:gridCol w:w="1238"/>
        <w:gridCol w:w="146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noWrap w:val="0"/>
            <w:vAlign w:val="top"/>
          </w:tcPr>
          <w:p>
            <w:pPr>
              <w:tabs>
                <w:tab w:val="left" w:pos="1898"/>
              </w:tabs>
              <w:autoSpaceDE w:val="0"/>
              <w:autoSpaceDN w:val="0"/>
              <w:adjustRightInd w:val="0"/>
              <w:spacing w:line="480" w:lineRule="exact"/>
              <w:rPr>
                <w:rFonts w:hint="eastAsia" w:ascii="宋体" w:hAnsi="宋体"/>
                <w:b/>
                <w:color w:val="auto"/>
                <w:spacing w:val="20"/>
                <w:sz w:val="24"/>
                <w:highlight w:val="none"/>
              </w:rPr>
            </w:pPr>
            <w:r>
              <w:rPr>
                <w:rFonts w:hint="eastAsia" w:ascii="宋体" w:hAnsi="宋体"/>
                <w:b/>
                <w:color w:val="auto"/>
                <w:spacing w:val="20"/>
                <w:sz w:val="24"/>
                <w:highlight w:val="none"/>
              </w:rPr>
              <w:t>生产厂家名称：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701" w:type="dxa"/>
            <w:noWrap w:val="0"/>
            <w:vAlign w:val="center"/>
          </w:tcPr>
          <w:p>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559" w:type="dxa"/>
            <w:noWrap w:val="0"/>
            <w:vAlign w:val="center"/>
          </w:tcPr>
          <w:p>
            <w:pPr>
              <w:pStyle w:val="93"/>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418" w:type="dxa"/>
            <w:noWrap w:val="0"/>
            <w:vAlign w:val="center"/>
          </w:tcPr>
          <w:p>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701" w:type="dxa"/>
            <w:noWrap w:val="0"/>
            <w:vAlign w:val="top"/>
          </w:tcPr>
          <w:p>
            <w:pPr>
              <w:tabs>
                <w:tab w:val="left" w:pos="1418"/>
              </w:tabs>
              <w:snapToGrid w:val="0"/>
              <w:spacing w:before="50" w:after="50" w:line="480" w:lineRule="exact"/>
              <w:jc w:val="center"/>
              <w:rPr>
                <w:rFonts w:ascii="宋体" w:hAnsi="宋体"/>
                <w:b/>
                <w:color w:val="auto"/>
                <w:sz w:val="24"/>
                <w:highlight w:val="none"/>
              </w:rPr>
            </w:pPr>
            <w:r>
              <w:rPr>
                <w:rFonts w:ascii="宋体" w:hAnsi="宋体"/>
                <w:b/>
                <w:color w:val="auto"/>
                <w:sz w:val="24"/>
                <w:highlight w:val="none"/>
              </w:rPr>
              <w:t>单位及数量</w:t>
            </w:r>
          </w:p>
        </w:tc>
        <w:tc>
          <w:tcPr>
            <w:tcW w:w="2091" w:type="dxa"/>
            <w:noWrap w:val="0"/>
            <w:vAlign w:val="top"/>
          </w:tcPr>
          <w:p>
            <w:pPr>
              <w:tabs>
                <w:tab w:val="left" w:pos="1418"/>
              </w:tabs>
              <w:snapToGrid w:val="0"/>
              <w:spacing w:before="50" w:after="50" w:line="480" w:lineRule="exact"/>
              <w:jc w:val="center"/>
              <w:rPr>
                <w:rFonts w:ascii="宋体" w:hAnsi="宋体"/>
                <w:b/>
                <w:color w:val="auto"/>
                <w:sz w:val="24"/>
                <w:highlight w:val="none"/>
              </w:rPr>
            </w:pPr>
            <w:r>
              <w:rPr>
                <w:rFonts w:hint="eastAsia" w:ascii="宋体" w:hAnsi="宋体"/>
                <w:b/>
                <w:color w:val="auto"/>
                <w:sz w:val="24"/>
                <w:highlight w:val="none"/>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559"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418"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170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c>
          <w:tcPr>
            <w:tcW w:w="2091" w:type="dxa"/>
            <w:noWrap w:val="0"/>
            <w:vAlign w:val="top"/>
          </w:tcPr>
          <w:p>
            <w:pPr>
              <w:tabs>
                <w:tab w:val="left" w:pos="1898"/>
              </w:tabs>
              <w:autoSpaceDE w:val="0"/>
              <w:autoSpaceDN w:val="0"/>
              <w:adjustRightInd w:val="0"/>
              <w:spacing w:line="480" w:lineRule="exact"/>
              <w:jc w:val="center"/>
              <w:rPr>
                <w:rFonts w:hint="eastAsia" w:ascii="宋体" w:hAnsi="宋体"/>
                <w:b/>
                <w:color w:val="auto"/>
                <w:sz w:val="24"/>
                <w:highlight w:val="none"/>
              </w:rPr>
            </w:pPr>
          </w:p>
        </w:tc>
      </w:tr>
    </w:tbl>
    <w:p>
      <w:pPr>
        <w:tabs>
          <w:tab w:val="left" w:pos="1898"/>
        </w:tabs>
        <w:autoSpaceDE w:val="0"/>
        <w:autoSpaceDN w:val="0"/>
        <w:adjustRightInd w:val="0"/>
        <w:spacing w:line="480" w:lineRule="exact"/>
        <w:jc w:val="center"/>
        <w:rPr>
          <w:rFonts w:hint="eastAsia" w:ascii="宋体" w:hAnsi="宋体"/>
          <w:b/>
          <w:color w:val="auto"/>
          <w:sz w:val="24"/>
          <w:highlight w:val="none"/>
        </w:rPr>
      </w:pPr>
      <w:r>
        <w:rPr>
          <w:rFonts w:hint="eastAsia" w:ascii="宋体" w:hAnsi="宋体"/>
          <w:b/>
          <w:color w:val="auto"/>
          <w:sz w:val="24"/>
          <w:highlight w:val="none"/>
        </w:rPr>
        <w:t>备品备件价格</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413"/>
        <w:gridCol w:w="1294"/>
        <w:gridCol w:w="1195"/>
        <w:gridCol w:w="165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center"/>
          </w:tcPr>
          <w:p>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序号</w:t>
            </w:r>
          </w:p>
        </w:tc>
        <w:tc>
          <w:tcPr>
            <w:tcW w:w="1413" w:type="dxa"/>
            <w:noWrap w:val="0"/>
            <w:vAlign w:val="center"/>
          </w:tcPr>
          <w:p>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名称</w:t>
            </w:r>
          </w:p>
        </w:tc>
        <w:tc>
          <w:tcPr>
            <w:tcW w:w="1294" w:type="dxa"/>
            <w:noWrap w:val="0"/>
            <w:vAlign w:val="center"/>
          </w:tcPr>
          <w:p>
            <w:pPr>
              <w:pStyle w:val="93"/>
              <w:snapToGrid w:val="0"/>
              <w:spacing w:before="50" w:after="50" w:line="480" w:lineRule="exact"/>
              <w:rPr>
                <w:rFonts w:ascii="宋体" w:hAnsi="宋体" w:eastAsia="宋体"/>
                <w:b/>
                <w:color w:val="auto"/>
                <w:highlight w:val="none"/>
              </w:rPr>
            </w:pPr>
            <w:r>
              <w:rPr>
                <w:rFonts w:ascii="宋体" w:hAnsi="宋体" w:eastAsia="宋体"/>
                <w:b/>
                <w:color w:val="auto"/>
                <w:highlight w:val="none"/>
              </w:rPr>
              <w:t>品牌</w:t>
            </w:r>
          </w:p>
        </w:tc>
        <w:tc>
          <w:tcPr>
            <w:tcW w:w="1195" w:type="dxa"/>
            <w:noWrap w:val="0"/>
            <w:vAlign w:val="center"/>
          </w:tcPr>
          <w:p>
            <w:pPr>
              <w:tabs>
                <w:tab w:val="left" w:pos="1418"/>
              </w:tabs>
              <w:snapToGrid w:val="0"/>
              <w:spacing w:before="50" w:after="50" w:line="480" w:lineRule="exact"/>
              <w:jc w:val="center"/>
              <w:rPr>
                <w:rFonts w:ascii="宋体" w:hAnsi="宋体"/>
                <w:b/>
                <w:color w:val="auto"/>
                <w:spacing w:val="20"/>
                <w:sz w:val="24"/>
                <w:highlight w:val="none"/>
              </w:rPr>
            </w:pPr>
            <w:r>
              <w:rPr>
                <w:rFonts w:ascii="宋体" w:hAnsi="宋体"/>
                <w:b/>
                <w:color w:val="auto"/>
                <w:sz w:val="24"/>
                <w:highlight w:val="none"/>
              </w:rPr>
              <w:t>规格型号</w:t>
            </w:r>
          </w:p>
        </w:tc>
        <w:tc>
          <w:tcPr>
            <w:tcW w:w="1658" w:type="dxa"/>
            <w:noWrap w:val="0"/>
            <w:vAlign w:val="top"/>
          </w:tcPr>
          <w:p>
            <w:pP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单价(元)</w:t>
            </w:r>
          </w:p>
        </w:tc>
        <w:tc>
          <w:tcPr>
            <w:tcW w:w="1712" w:type="dxa"/>
            <w:noWrap w:val="0"/>
            <w:vAlign w:val="top"/>
          </w:tcPr>
          <w:p>
            <w:pPr>
              <w:tabs>
                <w:tab w:val="left" w:pos="1418"/>
              </w:tabs>
              <w:snapToGrid w:val="0"/>
              <w:spacing w:before="50" w:after="50" w:line="480" w:lineRule="exact"/>
              <w:jc w:val="center"/>
              <w:rPr>
                <w:rFonts w:hint="eastAsia" w:ascii="宋体" w:hAnsi="宋体"/>
                <w:b/>
                <w:color w:val="auto"/>
                <w:sz w:val="24"/>
                <w:highlight w:val="none"/>
              </w:rPr>
            </w:pPr>
            <w:r>
              <w:rPr>
                <w:rFonts w:hint="eastAsia" w:ascii="宋体" w:hAnsi="宋体"/>
                <w:b/>
                <w:color w:val="auto"/>
                <w:sz w:val="24"/>
                <w:highlight w:val="none"/>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pPr>
              <w:tabs>
                <w:tab w:val="left" w:pos="1418"/>
              </w:tabs>
              <w:snapToGrid w:val="0"/>
              <w:spacing w:before="50" w:after="50" w:line="480" w:lineRule="exact"/>
              <w:jc w:val="center"/>
              <w:rPr>
                <w:rFonts w:hint="eastAsia" w:ascii="宋体" w:hAnsi="宋体"/>
                <w:b/>
                <w:color w:val="auto"/>
                <w:sz w:val="24"/>
                <w:highlight w:val="none"/>
              </w:rPr>
            </w:pPr>
          </w:p>
        </w:tc>
        <w:tc>
          <w:tcPr>
            <w:tcW w:w="1413" w:type="dxa"/>
            <w:noWrap w:val="0"/>
            <w:vAlign w:val="top"/>
          </w:tcPr>
          <w:p>
            <w:pPr>
              <w:tabs>
                <w:tab w:val="left" w:pos="1418"/>
              </w:tabs>
              <w:snapToGrid w:val="0"/>
              <w:spacing w:before="50" w:after="50" w:line="480" w:lineRule="exact"/>
              <w:jc w:val="center"/>
              <w:rPr>
                <w:rFonts w:hint="eastAsia" w:ascii="宋体" w:hAnsi="宋体"/>
                <w:b/>
                <w:color w:val="auto"/>
                <w:sz w:val="24"/>
                <w:highlight w:val="none"/>
              </w:rPr>
            </w:pPr>
          </w:p>
        </w:tc>
        <w:tc>
          <w:tcPr>
            <w:tcW w:w="1294" w:type="dxa"/>
            <w:noWrap w:val="0"/>
            <w:vAlign w:val="top"/>
          </w:tcPr>
          <w:p>
            <w:pPr>
              <w:tabs>
                <w:tab w:val="left" w:pos="1418"/>
              </w:tabs>
              <w:snapToGrid w:val="0"/>
              <w:spacing w:before="50" w:after="50" w:line="480" w:lineRule="exact"/>
              <w:jc w:val="center"/>
              <w:rPr>
                <w:rFonts w:hint="eastAsia" w:ascii="宋体" w:hAnsi="宋体"/>
                <w:b/>
                <w:color w:val="auto"/>
                <w:sz w:val="24"/>
                <w:highlight w:val="none"/>
              </w:rPr>
            </w:pPr>
          </w:p>
        </w:tc>
        <w:tc>
          <w:tcPr>
            <w:tcW w:w="1195" w:type="dxa"/>
            <w:noWrap w:val="0"/>
            <w:vAlign w:val="top"/>
          </w:tcPr>
          <w:p>
            <w:pPr>
              <w:tabs>
                <w:tab w:val="left" w:pos="1418"/>
              </w:tabs>
              <w:snapToGrid w:val="0"/>
              <w:spacing w:before="50" w:after="50" w:line="480" w:lineRule="exact"/>
              <w:jc w:val="center"/>
              <w:rPr>
                <w:rFonts w:hint="eastAsia" w:ascii="宋体" w:hAnsi="宋体"/>
                <w:b/>
                <w:color w:val="auto"/>
                <w:sz w:val="24"/>
                <w:highlight w:val="none"/>
              </w:rPr>
            </w:pPr>
          </w:p>
        </w:tc>
        <w:tc>
          <w:tcPr>
            <w:tcW w:w="1658" w:type="dxa"/>
            <w:noWrap w:val="0"/>
            <w:vAlign w:val="top"/>
          </w:tcPr>
          <w:p>
            <w:pPr>
              <w:tabs>
                <w:tab w:val="left" w:pos="1418"/>
              </w:tabs>
              <w:snapToGrid w:val="0"/>
              <w:spacing w:before="50" w:after="50" w:line="480" w:lineRule="exact"/>
              <w:jc w:val="center"/>
              <w:rPr>
                <w:rFonts w:hint="eastAsia" w:ascii="宋体" w:hAnsi="宋体"/>
                <w:b/>
                <w:color w:val="auto"/>
                <w:sz w:val="24"/>
                <w:highlight w:val="none"/>
              </w:rPr>
            </w:pPr>
          </w:p>
        </w:tc>
        <w:tc>
          <w:tcPr>
            <w:tcW w:w="1712" w:type="dxa"/>
            <w:noWrap w:val="0"/>
            <w:vAlign w:val="top"/>
          </w:tcPr>
          <w:p>
            <w:pPr>
              <w:tabs>
                <w:tab w:val="left" w:pos="1418"/>
              </w:tabs>
              <w:snapToGrid w:val="0"/>
              <w:spacing w:before="50" w:after="50" w:line="480" w:lineRule="exact"/>
              <w:jc w:val="center"/>
              <w:rPr>
                <w:rFonts w:hint="eastAsia" w:ascii="宋体" w:hAnsi="宋体"/>
                <w:b/>
                <w:color w:val="auto"/>
                <w:sz w:val="24"/>
                <w:highlight w:val="none"/>
              </w:rPr>
            </w:pPr>
          </w:p>
        </w:tc>
      </w:tr>
    </w:tbl>
    <w:p>
      <w:pPr>
        <w:spacing w:line="480" w:lineRule="exact"/>
        <w:rPr>
          <w:rFonts w:hint="eastAsia" w:ascii="宋体" w:hAnsi="宋体"/>
          <w:color w:val="auto"/>
          <w:sz w:val="24"/>
          <w:highlight w:val="none"/>
        </w:rPr>
      </w:pPr>
    </w:p>
    <w:p>
      <w:pPr>
        <w:rPr>
          <w:rFonts w:hint="eastAsia" w:ascii="宋体" w:hAnsi="宋体" w:cs="宋体"/>
          <w:b/>
          <w:bCs/>
          <w:color w:val="auto"/>
          <w:sz w:val="28"/>
          <w:szCs w:val="36"/>
          <w:highlight w:val="none"/>
        </w:rPr>
      </w:pPr>
    </w:p>
    <w:p>
      <w:pPr>
        <w:rPr>
          <w:rFonts w:hint="eastAsia" w:ascii="宋体" w:hAnsi="宋体" w:cs="宋体"/>
          <w:b/>
          <w:bCs/>
          <w:color w:val="auto"/>
          <w:sz w:val="28"/>
          <w:szCs w:val="36"/>
          <w:highlight w:val="none"/>
        </w:rPr>
      </w:pPr>
    </w:p>
    <w:p>
      <w:pPr>
        <w:rPr>
          <w:rFonts w:hint="eastAsia" w:ascii="宋体" w:hAnsi="宋体" w:cs="宋体"/>
          <w:b/>
          <w:bCs/>
          <w:color w:val="auto"/>
          <w:sz w:val="28"/>
          <w:szCs w:val="36"/>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第六章 投标文件格式附件</w:t>
      </w:r>
    </w:p>
    <w:p>
      <w:pPr>
        <w:shd w:val="clea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附件1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hd w:val="clear"/>
        <w:spacing w:line="360" w:lineRule="auto"/>
        <w:rPr>
          <w:rFonts w:hint="eastAsia" w:ascii="宋体" w:hAnsi="宋体" w:eastAsia="宋体" w:cs="宋体"/>
          <w:b/>
          <w:color w:val="auto"/>
          <w:sz w:val="30"/>
          <w:szCs w:val="30"/>
          <w:highlight w:val="none"/>
        </w:rPr>
      </w:pPr>
    </w:p>
    <w:p>
      <w:pPr>
        <w:shd w:val="clea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hd w:val="clea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shd w:val="clea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hd w:val="clear"/>
        <w:autoSpaceDE w:val="0"/>
        <w:autoSpaceDN w:val="0"/>
        <w:adjustRightInd w:val="0"/>
        <w:spacing w:line="360" w:lineRule="auto"/>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pPr>
        <w:shd w:val="clear"/>
        <w:autoSpaceDE w:val="0"/>
        <w:autoSpaceDN w:val="0"/>
        <w:adjustRightInd w:val="0"/>
        <w:spacing w:line="360" w:lineRule="auto"/>
        <w:rPr>
          <w:rFonts w:hint="eastAsia" w:ascii="宋体" w:hAnsi="宋体" w:eastAsia="宋体" w:cs="宋体"/>
          <w:color w:val="auto"/>
          <w:sz w:val="36"/>
          <w:szCs w:val="36"/>
          <w:highlight w:val="none"/>
        </w:rPr>
      </w:pP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w:t>
      </w:r>
      <w:r>
        <w:rPr>
          <w:rFonts w:hint="eastAsia" w:ascii="宋体" w:hAnsi="宋体" w:eastAsia="宋体" w:cs="宋体"/>
          <w:color w:val="auto"/>
          <w:sz w:val="32"/>
          <w:szCs w:val="32"/>
          <w:highlight w:val="none"/>
        </w:rPr>
        <w:t>（加盖公章）</w:t>
      </w:r>
      <w:r>
        <w:rPr>
          <w:rFonts w:hint="eastAsia" w:ascii="宋体" w:hAnsi="宋体" w:eastAsia="宋体" w:cs="宋体"/>
          <w:color w:val="auto"/>
          <w:sz w:val="36"/>
          <w:szCs w:val="36"/>
          <w:highlight w:val="none"/>
        </w:rPr>
        <w:t>：</w:t>
      </w: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b/>
          <w:bCs/>
          <w:color w:val="auto"/>
          <w:sz w:val="36"/>
          <w:szCs w:val="44"/>
          <w:highlight w:val="none"/>
        </w:rPr>
        <w:t>资格证明文件目录</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）投标声明书（附件3）；</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）授权委托书（法定代表人亲自办理投标事宜的，则无需提交）（附件4）；</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）法人或者其他组织的营业执照等证明文件，自然人的身份证明（附件5）；</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）具有良好的商业信誉和健全的财务会计制度的承诺（附件6）；</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）依法缴纳税收和社会保障资金的承诺（附件7）；</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）参加政府采购活动前三年内，在经营活动中没有重大违法记录（附件8）；</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7</w:t>
      </w:r>
      <w:r>
        <w:rPr>
          <w:rFonts w:hint="eastAsia" w:ascii="宋体" w:hAnsi="宋体" w:eastAsia="宋体" w:cs="宋体"/>
          <w:color w:val="auto"/>
          <w:sz w:val="24"/>
          <w:szCs w:val="32"/>
          <w:highlight w:val="none"/>
        </w:rPr>
        <w:t>）</w:t>
      </w:r>
      <w:r>
        <w:rPr>
          <w:rFonts w:hint="eastAsia" w:ascii="宋体" w:hAnsi="宋体" w:cs="宋体"/>
          <w:color w:val="auto"/>
          <w:sz w:val="24"/>
          <w:szCs w:val="32"/>
          <w:highlight w:val="none"/>
          <w:lang w:eastAsia="zh-CN"/>
        </w:rPr>
        <w:t>具有履行合同所必需的设备和专业技术能力承诺函</w:t>
      </w:r>
      <w:r>
        <w:rPr>
          <w:rFonts w:hint="eastAsia" w:ascii="宋体" w:hAnsi="宋体" w:eastAsia="宋体" w:cs="宋体"/>
          <w:color w:val="auto"/>
          <w:sz w:val="24"/>
          <w:szCs w:val="32"/>
          <w:highlight w:val="none"/>
        </w:rPr>
        <w:t>。</w:t>
      </w: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附件3</w:t>
      </w:r>
    </w:p>
    <w:p>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pPr>
        <w:shd w:val="clear"/>
        <w:spacing w:line="46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（供应商名称）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供应商名称 </w:t>
      </w:r>
      <w:r>
        <w:rPr>
          <w:rFonts w:hint="eastAsia" w:ascii="宋体" w:hAnsi="宋体" w:eastAsia="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超声乳化治疗仪采购项目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ZJWS2024-JJ233</w:t>
      </w:r>
      <w:r>
        <w:rPr>
          <w:rFonts w:hint="eastAsia" w:ascii="宋体" w:hAnsi="宋体" w:eastAsia="宋体" w:cs="宋体"/>
          <w:color w:val="auto"/>
          <w:sz w:val="24"/>
          <w:szCs w:val="32"/>
          <w:highlight w:val="none"/>
        </w:rPr>
        <w:t>）的公开招标，为此，我公司就本次投标有关事项郑重声明如下：</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不是采购人的附属机构；在获知本项目采购信息后，与采购人聘请的为此项目提供咨询服务的公司及其附属机构没有任何联系。</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保证，采购人在中华人民共和国境内使用我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投标</w:t>
      </w:r>
      <w:r>
        <w:rPr>
          <w:rFonts w:hint="eastAsia" w:ascii="宋体" w:hAnsi="宋体" w:eastAsia="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严格履行政府采购合同，不降低合同约定的产品质量和服务，不擅自变更、中止、终止合同，或拒绝履行合同义务；</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6、以上事项如有虚假或隐瞒，我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愿意承担一切后果，并不再寻求任何旨在减轻或免除法律责任的辩解。</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shd w:val="clear"/>
        <w:spacing w:line="460" w:lineRule="exac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p>
    <w:p>
      <w:pPr>
        <w:shd w:val="clear"/>
        <w:spacing w:line="460" w:lineRule="exac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rPr>
        <w:t>或盖章</w:t>
      </w:r>
      <w:r>
        <w:rPr>
          <w:rFonts w:hint="eastAsia" w:ascii="宋体" w:hAnsi="宋体" w:eastAsia="宋体" w:cs="宋体"/>
          <w:color w:val="auto"/>
          <w:sz w:val="24"/>
          <w:szCs w:val="32"/>
          <w:highlight w:val="none"/>
          <w:lang w:val="zh-CN"/>
        </w:rPr>
        <w:t>）：</w:t>
      </w:r>
    </w:p>
    <w:p>
      <w:pPr>
        <w:shd w:val="clear"/>
        <w:spacing w:line="460" w:lineRule="exac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日期：年月日</w:t>
      </w:r>
    </w:p>
    <w:p>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附件4</w:t>
      </w:r>
    </w:p>
    <w:p>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（采购代理机构名称）：</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（投标人全称）</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（法定代表人或营业执照中单位负责人姓名）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（授权委托代理人姓名） </w:t>
      </w:r>
      <w:r>
        <w:rPr>
          <w:rFonts w:hint="eastAsia" w:ascii="宋体" w:hAnsi="宋体" w:eastAsia="宋体" w:cs="宋体"/>
          <w:color w:val="auto"/>
          <w:sz w:val="24"/>
          <w:highlight w:val="none"/>
        </w:rPr>
        <w:t>为授权委托代理人，参加贵单位组织的</w:t>
      </w:r>
      <w:r>
        <w:rPr>
          <w:rFonts w:hint="eastAsia" w:ascii="宋体" w:hAnsi="宋体" w:cs="宋体"/>
          <w:color w:val="auto"/>
          <w:sz w:val="24"/>
          <w:highlight w:val="none"/>
          <w:u w:val="single"/>
          <w:lang w:eastAsia="zh-CN"/>
        </w:rPr>
        <w:t>超声乳化治疗仪采购项目</w:t>
      </w:r>
      <w:r>
        <w:rPr>
          <w:rFonts w:hint="eastAsia" w:ascii="宋体" w:hAnsi="宋体" w:eastAsia="宋体" w:cs="宋体"/>
          <w:color w:val="auto"/>
          <w:sz w:val="24"/>
          <w:highlight w:val="none"/>
        </w:rPr>
        <w:t>的采购活动，并代表我方全权办理针对上述项目的投标、开标、评标、签约等具体事务和签署相关文件。我方对授权委托代理人的签字事项负全部责任。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授权委托代理人无转委托权，特此委托。</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投标人全称（公章）：                      </w:t>
      </w:r>
      <w:r>
        <w:rPr>
          <w:rFonts w:hint="eastAsia" w:ascii="宋体" w:hAnsi="宋体" w:eastAsia="宋体" w:cs="宋体"/>
          <w:color w:val="auto"/>
          <w:sz w:val="24"/>
          <w:highlight w:val="none"/>
          <w:lang w:val="zh-CN"/>
        </w:rPr>
        <w:t>日期：年月日</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法定代表人姓名：</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pPr>
        <w:shd w:val="clear"/>
        <w:spacing w:line="360" w:lineRule="auto"/>
        <w:rPr>
          <w:rFonts w:hint="eastAsia" w:ascii="宋体" w:hAnsi="宋体" w:eastAsia="宋体" w:cs="宋体"/>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授权委托代理人身份证复印件粘帖处</w:t>
            </w:r>
          </w:p>
        </w:tc>
      </w:tr>
    </w:tbl>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授权委托代理人姓名：</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附件6</w:t>
      </w:r>
    </w:p>
    <w:p>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rPr>
        <w:t>台州恩泽医疗中心（集团）、浙江五石中正工程咨询有限公司</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我公司参加</w:t>
      </w:r>
      <w:r>
        <w:rPr>
          <w:rFonts w:hint="eastAsia" w:ascii="宋体" w:hAnsi="宋体" w:cs="宋体"/>
          <w:color w:val="auto"/>
          <w:sz w:val="24"/>
          <w:szCs w:val="32"/>
          <w:highlight w:val="none"/>
          <w:u w:val="single"/>
          <w:lang w:eastAsia="zh-CN"/>
        </w:rPr>
        <w:t>超声乳化治疗仪采购项目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ZJWS2024-JJ233</w:t>
      </w:r>
      <w:r>
        <w:rPr>
          <w:rFonts w:hint="eastAsia" w:ascii="宋体" w:hAnsi="宋体" w:eastAsia="宋体" w:cs="宋体"/>
          <w:color w:val="auto"/>
          <w:sz w:val="24"/>
          <w:szCs w:val="32"/>
          <w:highlight w:val="none"/>
        </w:rPr>
        <w:t>）的投标活动，作如下承诺：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如违反以上承诺，本公司愿承担一切法律责任。</w:t>
      </w:r>
    </w:p>
    <w:p>
      <w:pPr>
        <w:shd w:val="clear"/>
        <w:spacing w:line="360" w:lineRule="auto"/>
        <w:rPr>
          <w:rFonts w:hint="eastAsia" w:ascii="宋体" w:hAnsi="宋体" w:eastAsia="宋体" w:cs="宋体"/>
          <w:color w:val="auto"/>
          <w:sz w:val="24"/>
          <w:szCs w:val="32"/>
          <w:highlight w:val="none"/>
          <w:u w:val="single"/>
          <w:lang w:val="zh-CN"/>
        </w:rPr>
      </w:pPr>
    </w:p>
    <w:p>
      <w:pPr>
        <w:shd w:val="clear"/>
        <w:spacing w:line="360" w:lineRule="auto"/>
        <w:rPr>
          <w:rFonts w:hint="eastAsia" w:ascii="宋体" w:hAnsi="宋体" w:eastAsia="宋体" w:cs="宋体"/>
          <w:color w:val="auto"/>
          <w:sz w:val="24"/>
          <w:szCs w:val="32"/>
          <w:highlight w:val="none"/>
          <w:lang w:val="zh-CN"/>
        </w:rPr>
      </w:pPr>
    </w:p>
    <w:p>
      <w:pPr>
        <w:shd w:val="clear"/>
        <w:spacing w:line="360" w:lineRule="auto"/>
        <w:rPr>
          <w:rFonts w:hint="eastAsia" w:ascii="宋体" w:hAnsi="宋体" w:eastAsia="宋体" w:cs="宋体"/>
          <w:color w:val="auto"/>
          <w:sz w:val="24"/>
          <w:szCs w:val="32"/>
          <w:highlight w:val="none"/>
          <w:lang w:val="zh-CN"/>
        </w:rPr>
      </w:pPr>
    </w:p>
    <w:p>
      <w:pPr>
        <w:shd w:val="clear"/>
        <w:spacing w:line="360" w:lineRule="auto"/>
        <w:rPr>
          <w:rFonts w:hint="eastAsia" w:ascii="宋体" w:hAnsi="宋体" w:eastAsia="宋体" w:cs="宋体"/>
          <w:color w:val="auto"/>
          <w:sz w:val="24"/>
          <w:szCs w:val="32"/>
          <w:highlight w:val="none"/>
          <w:lang w:val="zh-CN"/>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附件7</w:t>
      </w: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rPr>
        <w:t>台州恩泽医疗中心（集团）、浙江五石中正工程咨询有限公司</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我公司参加</w:t>
      </w:r>
      <w:r>
        <w:rPr>
          <w:rFonts w:hint="eastAsia" w:ascii="宋体" w:hAnsi="宋体" w:cs="宋体"/>
          <w:color w:val="auto"/>
          <w:sz w:val="24"/>
          <w:szCs w:val="32"/>
          <w:highlight w:val="none"/>
          <w:u w:val="single"/>
          <w:lang w:eastAsia="zh-CN"/>
        </w:rPr>
        <w:t>超声乳化治疗仪采购项目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ZJWS2024-JJ233</w:t>
      </w:r>
      <w:r>
        <w:rPr>
          <w:rFonts w:hint="eastAsia" w:ascii="宋体" w:hAnsi="宋体" w:eastAsia="宋体" w:cs="宋体"/>
          <w:color w:val="auto"/>
          <w:sz w:val="24"/>
          <w:szCs w:val="32"/>
          <w:highlight w:val="none"/>
        </w:rPr>
        <w:t>）的投标活动，作如下承诺：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如违反以上承诺，本公司愿承担一切法律责任。</w:t>
      </w:r>
    </w:p>
    <w:p>
      <w:pPr>
        <w:shd w:val="clear"/>
        <w:spacing w:line="360" w:lineRule="auto"/>
        <w:rPr>
          <w:rFonts w:hint="eastAsia" w:ascii="宋体" w:hAnsi="宋体" w:eastAsia="宋体" w:cs="宋体"/>
          <w:color w:val="auto"/>
          <w:sz w:val="24"/>
          <w:szCs w:val="32"/>
          <w:highlight w:val="none"/>
          <w:lang w:val="zh-CN"/>
        </w:rPr>
      </w:pPr>
    </w:p>
    <w:p>
      <w:pPr>
        <w:shd w:val="clear"/>
        <w:spacing w:line="360" w:lineRule="auto"/>
        <w:rPr>
          <w:rFonts w:hint="eastAsia" w:ascii="宋体" w:hAnsi="宋体" w:eastAsia="宋体" w:cs="宋体"/>
          <w:color w:val="auto"/>
          <w:sz w:val="24"/>
          <w:szCs w:val="32"/>
          <w:highlight w:val="none"/>
          <w:lang w:val="zh-CN"/>
        </w:rPr>
      </w:pPr>
    </w:p>
    <w:p>
      <w:pPr>
        <w:shd w:val="clear"/>
        <w:spacing w:line="360" w:lineRule="auto"/>
        <w:rPr>
          <w:rFonts w:hint="eastAsia" w:ascii="宋体" w:hAnsi="宋体" w:eastAsia="宋体" w:cs="宋体"/>
          <w:color w:val="auto"/>
          <w:sz w:val="24"/>
          <w:szCs w:val="32"/>
          <w:highlight w:val="none"/>
          <w:lang w:val="zh-CN"/>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附件8</w:t>
      </w:r>
    </w:p>
    <w:p>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eastAsia="宋体" w:cs="宋体"/>
          <w:color w:val="auto"/>
          <w:sz w:val="24"/>
          <w:szCs w:val="32"/>
          <w:highlight w:val="none"/>
          <w:u w:val="single"/>
        </w:rPr>
        <w:t>台州恩泽医疗中心（集团）、浙江五石中正工程咨询有限公司</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我公司郑重承诺在参加本项目政府采购活动前三年内，在经营活动中</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color w:val="auto"/>
          <w:sz w:val="24"/>
          <w:szCs w:val="32"/>
          <w:highlight w:val="none"/>
        </w:rPr>
        <w:t>）重大违法记录，重大违法记录是指供应商因违法经营受到刑事处罚或者责令停产停业、吊销许可证或者执照、较大数额罚款等行政处罚。</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以上事项如有虚假或隐瞒，我方愿意承担一切后果和责任。</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特此声明。</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sz w:val="24"/>
          <w:szCs w:val="32"/>
          <w:highlight w:val="none"/>
        </w:rPr>
      </w:pPr>
    </w:p>
    <w:p>
      <w:pPr>
        <w:pStyle w:val="22"/>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sz w:val="24"/>
          <w:szCs w:val="32"/>
          <w:highlight w:val="none"/>
        </w:rPr>
      </w:pPr>
    </w:p>
    <w:p>
      <w:pPr>
        <w:pStyle w:val="22"/>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spacing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pPr>
        <w:shd w:val="clear"/>
        <w:spacing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eastAsia="宋体" w:cs="宋体"/>
          <w:color w:val="auto"/>
          <w:sz w:val="24"/>
          <w:szCs w:val="32"/>
          <w:highlight w:val="none"/>
          <w:u w:val="single"/>
        </w:rPr>
        <w:t>台州恩泽医疗中心（集团）、浙江五石中正工程咨询有限公司</w:t>
      </w:r>
    </w:p>
    <w:p>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b w:val="0"/>
          <w:bCs w:val="0"/>
          <w:color w:val="auto"/>
          <w:sz w:val="24"/>
          <w:szCs w:val="32"/>
          <w:highlight w:val="none"/>
          <w:u w:val="single"/>
          <w:lang w:eastAsia="zh-CN"/>
        </w:rPr>
        <w:t>超声乳化治疗仪采购项目</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ZJWS2024-JJ233</w:t>
      </w:r>
      <w:r>
        <w:rPr>
          <w:rFonts w:hint="eastAsia" w:ascii="宋体" w:hAnsi="宋体" w:eastAsia="宋体" w:cs="宋体"/>
          <w:b w:val="0"/>
          <w:bCs w:val="0"/>
          <w:color w:val="auto"/>
          <w:sz w:val="24"/>
          <w:szCs w:val="32"/>
          <w:highlight w:val="none"/>
          <w:u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pPr>
        <w:spacing w:line="360" w:lineRule="auto"/>
        <w:rPr>
          <w:rFonts w:ascii="宋体" w:hAnsi="宋体"/>
          <w:color w:val="auto"/>
          <w:sz w:val="24"/>
          <w:highlight w:val="none"/>
        </w:rPr>
      </w:pPr>
    </w:p>
    <w:p>
      <w:pPr>
        <w:shd w:val="clear"/>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p>
    <w:p>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附件9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hd w:val="clea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shd w:val="clea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hd w:val="clear"/>
        <w:autoSpaceDE w:val="0"/>
        <w:autoSpaceDN w:val="0"/>
        <w:adjustRightInd w:val="0"/>
        <w:spacing w:line="360" w:lineRule="auto"/>
        <w:jc w:val="center"/>
        <w:rPr>
          <w:rFonts w:hint="eastAsia" w:ascii="宋体" w:hAnsi="宋体" w:eastAsia="宋体" w:cs="宋体"/>
          <w:b/>
          <w:bCs/>
          <w:color w:val="auto"/>
          <w:spacing w:val="40"/>
          <w:sz w:val="28"/>
          <w:szCs w:val="28"/>
          <w:highlight w:val="none"/>
        </w:rPr>
      </w:pPr>
      <w:r>
        <w:rPr>
          <w:rFonts w:hint="eastAsia" w:ascii="宋体" w:hAnsi="宋体" w:eastAsia="宋体" w:cs="宋体"/>
          <w:b/>
          <w:bCs/>
          <w:color w:val="auto"/>
          <w:sz w:val="28"/>
          <w:szCs w:val="28"/>
          <w:highlight w:val="none"/>
          <w:lang w:val="zh-CN"/>
        </w:rPr>
        <w:t>（商务与技术文件</w:t>
      </w:r>
      <w:r>
        <w:rPr>
          <w:rFonts w:hint="eastAsia" w:ascii="宋体" w:hAnsi="宋体" w:eastAsia="宋体" w:cs="宋体"/>
          <w:b/>
          <w:bCs/>
          <w:color w:val="auto"/>
          <w:spacing w:val="40"/>
          <w:sz w:val="28"/>
          <w:szCs w:val="28"/>
          <w:highlight w:val="none"/>
        </w:rPr>
        <w:t>）</w:t>
      </w:r>
    </w:p>
    <w:p>
      <w:pPr>
        <w:shd w:val="clear"/>
        <w:autoSpaceDE w:val="0"/>
        <w:autoSpaceDN w:val="0"/>
        <w:adjustRightInd w:val="0"/>
        <w:spacing w:line="360" w:lineRule="auto"/>
        <w:rPr>
          <w:rFonts w:hint="eastAsia" w:ascii="宋体" w:hAnsi="宋体" w:eastAsia="宋体" w:cs="宋体"/>
          <w:color w:val="auto"/>
          <w:sz w:val="36"/>
          <w:szCs w:val="36"/>
          <w:highlight w:val="none"/>
        </w:rPr>
      </w:pP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w:t>
      </w:r>
      <w:r>
        <w:rPr>
          <w:rFonts w:hint="eastAsia" w:ascii="宋体" w:hAnsi="宋体" w:eastAsia="宋体" w:cs="宋体"/>
          <w:color w:val="auto"/>
          <w:sz w:val="32"/>
          <w:szCs w:val="32"/>
          <w:highlight w:val="none"/>
        </w:rPr>
        <w:t>（加盖公章）</w:t>
      </w:r>
      <w:r>
        <w:rPr>
          <w:rFonts w:hint="eastAsia" w:ascii="宋体" w:hAnsi="宋体" w:eastAsia="宋体" w:cs="宋体"/>
          <w:color w:val="auto"/>
          <w:sz w:val="36"/>
          <w:szCs w:val="36"/>
          <w:highlight w:val="none"/>
        </w:rPr>
        <w:t>：</w:t>
      </w: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第一部分  技术方案描述部分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1、投标人情况介绍（附件10）；</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2、项目需求的理解与分析；</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3、项目组织实施方案（附件11、附件12）； </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4、安装、调试及验收方案；</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第二部分  投标产品描述部分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1、投标产品描述及相关资料（附件13、附件14）；</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2、投标人需要说明的其他内容；（包括可能影响投标人技术性能评分项的各类证明材料）</w:t>
      </w:r>
    </w:p>
    <w:p>
      <w:pPr>
        <w:shd w:val="clear" w:color="auto" w:fill="auto"/>
        <w:bidi w:val="0"/>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第三部分  商务响应部分</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1、证书一览表（附件15）；</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2、近三年来类似项目的成功案例（附件16）</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3、售后服务描述及承诺（附件17，附件18）；</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4、代理证明（或制造商出具的授权书）；</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5、供应商为医疗器械生产企业的：第二类、第三类医疗器械生产企业提供《医疗器械生产许可证》、第一类医疗器械生产企业提供第一类医疗器械生产备案凭证；</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供应商为医疗器械经营企业的：第三类医疗器械经营企业提供《医疗器械经营许可证》、第二类医疗器械经营企业提供第二类医疗器械经营备案凭证；（适用于按医疗器械管理的货物）；</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食品药品监督管理部门核发的完整有效的医疗器械注册或备案证明；（适用于按医疗器械管理的设备）；</w:t>
      </w:r>
    </w:p>
    <w:p>
      <w:pPr>
        <w:shd w:val="clear" w:color="auto" w:fill="auto"/>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6、投标人需要说明的其他内容。（包括可能影响投标人企业实力及信誉评分项以及售后服务评分项的各类证明材料）</w:t>
      </w:r>
    </w:p>
    <w:p>
      <w:pPr>
        <w:shd w:val="clear"/>
        <w:spacing w:line="360" w:lineRule="auto"/>
        <w:rPr>
          <w:rFonts w:hint="eastAsia" w:ascii="宋体" w:hAnsi="宋体" w:eastAsia="宋体" w:cs="宋体"/>
          <w:color w:val="auto"/>
          <w:sz w:val="24"/>
          <w:szCs w:val="32"/>
          <w:highlight w:val="none"/>
          <w:lang w:val="zh-CN"/>
        </w:rPr>
      </w:pPr>
    </w:p>
    <w:p>
      <w:pPr>
        <w:shd w:val="clear"/>
        <w:spacing w:line="360" w:lineRule="auto"/>
        <w:rPr>
          <w:rFonts w:hint="eastAsia" w:ascii="宋体" w:hAnsi="宋体" w:eastAsia="宋体" w:cs="宋体"/>
          <w:color w:val="auto"/>
          <w:sz w:val="24"/>
          <w:szCs w:val="32"/>
          <w:highlight w:val="none"/>
          <w:lang w:val="zh-CN"/>
        </w:rPr>
      </w:pPr>
    </w:p>
    <w:p>
      <w:pPr>
        <w:shd w:val="clear"/>
        <w:spacing w:line="360" w:lineRule="auto"/>
        <w:rPr>
          <w:rFonts w:hint="eastAsia" w:ascii="宋体" w:hAnsi="宋体" w:eastAsia="宋体" w:cs="宋体"/>
          <w:color w:val="auto"/>
          <w:sz w:val="24"/>
          <w:szCs w:val="32"/>
          <w:highlight w:val="none"/>
          <w:lang w:val="zh-CN"/>
        </w:rPr>
      </w:pPr>
    </w:p>
    <w:p>
      <w:pPr>
        <w:shd w:val="clear"/>
        <w:spacing w:line="480" w:lineRule="exac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10</w:t>
      </w:r>
    </w:p>
    <w:p>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765" w:type="dxa"/>
            <w:gridSpan w:val="6"/>
            <w:vAlign w:val="center"/>
          </w:tcPr>
          <w:p>
            <w:pPr>
              <w:pStyle w:val="70"/>
              <w:shd w:val="clear" w:color="auto"/>
              <w:spacing w:line="360" w:lineRule="auto"/>
              <w:jc w:val="both"/>
              <w:rPr>
                <w:rFonts w:hint="eastAsia" w:ascii="宋体" w:hAnsi="宋体" w:eastAsia="宋体" w:cs="宋体"/>
                <w:bCs/>
                <w:color w:val="auto"/>
                <w:highlight w:val="none"/>
              </w:rPr>
            </w:pPr>
          </w:p>
        </w:tc>
        <w:tc>
          <w:tcPr>
            <w:tcW w:w="1560" w:type="dxa"/>
            <w:vAlign w:val="center"/>
          </w:tcPr>
          <w:p>
            <w:pPr>
              <w:pStyle w:val="70"/>
              <w:shd w:val="clear" w:color="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608" w:type="dxa"/>
            <w:gridSpan w:val="3"/>
            <w:vAlign w:val="center"/>
          </w:tcPr>
          <w:p>
            <w:pPr>
              <w:pStyle w:val="70"/>
              <w:shd w:val="clear" w:color="auto"/>
              <w:spacing w:line="360" w:lineRule="auto"/>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765" w:type="dxa"/>
            <w:gridSpan w:val="6"/>
            <w:tcBorders>
              <w:bottom w:val="single" w:color="auto" w:sz="4" w:space="0"/>
            </w:tcBorders>
            <w:vAlign w:val="center"/>
          </w:tcPr>
          <w:p>
            <w:pPr>
              <w:pStyle w:val="7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pPr>
              <w:pStyle w:val="70"/>
              <w:shd w:val="clear" w:color="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608" w:type="dxa"/>
            <w:gridSpan w:val="3"/>
            <w:vAlign w:val="center"/>
          </w:tcPr>
          <w:p>
            <w:pPr>
              <w:pStyle w:val="7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690" w:type="dxa"/>
            <w:tcBorders>
              <w:bottom w:val="single" w:color="auto" w:sz="4" w:space="0"/>
            </w:tcBorders>
            <w:vAlign w:val="center"/>
          </w:tcPr>
          <w:p>
            <w:pPr>
              <w:pStyle w:val="70"/>
              <w:shd w:val="clear" w:color="auto"/>
              <w:spacing w:before="0" w:beforeAutospacing="0" w:after="0" w:afterAutospacing="0"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vAlign w:val="center"/>
          </w:tcPr>
          <w:p>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115" w:type="dxa"/>
            <w:gridSpan w:val="3"/>
            <w:tcBorders>
              <w:bottom w:val="single" w:color="auto" w:sz="4" w:space="0"/>
            </w:tcBorders>
            <w:vAlign w:val="center"/>
          </w:tcPr>
          <w:p>
            <w:pPr>
              <w:widowControl/>
              <w:shd w:val="clear"/>
              <w:spacing w:line="360" w:lineRule="auto"/>
              <w:rPr>
                <w:rFonts w:hint="eastAsia" w:ascii="宋体" w:hAnsi="宋体" w:eastAsia="宋体" w:cs="宋体"/>
                <w:bCs/>
                <w:color w:val="auto"/>
                <w:spacing w:val="16"/>
                <w:kern w:val="0"/>
                <w:sz w:val="24"/>
                <w:highlight w:val="none"/>
              </w:rPr>
            </w:pPr>
          </w:p>
          <w:p>
            <w:pPr>
              <w:pStyle w:val="7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pPr>
              <w:pStyle w:val="70"/>
              <w:shd w:val="clear" w:color="auto"/>
              <w:spacing w:line="360" w:lineRule="auto"/>
              <w:ind w:left="107"/>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608" w:type="dxa"/>
            <w:gridSpan w:val="3"/>
            <w:vAlign w:val="center"/>
          </w:tcPr>
          <w:p>
            <w:pPr>
              <w:pStyle w:val="70"/>
              <w:shd w:val="clear" w:color="auto"/>
              <w:spacing w:line="360" w:lineRule="auto"/>
              <w:ind w:left="107"/>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690" w:type="dxa"/>
            <w:vMerge w:val="restart"/>
            <w:tcBorders>
              <w:top w:val="nil"/>
            </w:tcBorders>
            <w:vAlign w:val="center"/>
          </w:tcPr>
          <w:p>
            <w:pPr>
              <w:pStyle w:val="70"/>
              <w:shd w:val="clear" w:color="auto"/>
              <w:spacing w:line="360" w:lineRule="auto"/>
              <w:jc w:val="both"/>
              <w:rPr>
                <w:rFonts w:hint="eastAsia" w:ascii="宋体" w:hAnsi="宋体" w:eastAsia="宋体" w:cs="宋体"/>
                <w:bCs/>
                <w:color w:val="auto"/>
                <w:spacing w:val="16"/>
                <w:highlight w:val="none"/>
              </w:rPr>
            </w:pPr>
          </w:p>
        </w:tc>
        <w:tc>
          <w:tcPr>
            <w:tcW w:w="960" w:type="dxa"/>
            <w:gridSpan w:val="2"/>
            <w:tcBorders>
              <w:top w:val="nil"/>
              <w:bottom w:val="single" w:color="auto" w:sz="4" w:space="0"/>
            </w:tcBorders>
            <w:vAlign w:val="center"/>
          </w:tcPr>
          <w:p>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115" w:type="dxa"/>
            <w:gridSpan w:val="3"/>
            <w:tcBorders>
              <w:top w:val="nil"/>
              <w:bottom w:val="single" w:color="auto" w:sz="4" w:space="0"/>
            </w:tcBorders>
            <w:vAlign w:val="center"/>
          </w:tcPr>
          <w:p>
            <w:pPr>
              <w:widowControl/>
              <w:shd w:val="clear"/>
              <w:spacing w:line="360" w:lineRule="auto"/>
              <w:rPr>
                <w:rFonts w:hint="eastAsia" w:ascii="宋体" w:hAnsi="宋体" w:eastAsia="宋体" w:cs="宋体"/>
                <w:bCs/>
                <w:color w:val="auto"/>
                <w:spacing w:val="16"/>
                <w:kern w:val="0"/>
                <w:sz w:val="24"/>
                <w:highlight w:val="none"/>
              </w:rPr>
            </w:pPr>
          </w:p>
          <w:p>
            <w:pPr>
              <w:pStyle w:val="70"/>
              <w:shd w:val="clear" w:color="auto"/>
              <w:spacing w:line="360" w:lineRule="auto"/>
              <w:jc w:val="both"/>
              <w:rPr>
                <w:rFonts w:hint="eastAsia" w:ascii="宋体" w:hAnsi="宋体" w:eastAsia="宋体" w:cs="宋体"/>
                <w:bCs/>
                <w:color w:val="auto"/>
                <w:spacing w:val="16"/>
                <w:highlight w:val="none"/>
              </w:rPr>
            </w:pPr>
          </w:p>
        </w:tc>
        <w:tc>
          <w:tcPr>
            <w:tcW w:w="1560" w:type="dxa"/>
            <w:vMerge w:val="restart"/>
            <w:vAlign w:val="center"/>
          </w:tcPr>
          <w:p>
            <w:pPr>
              <w:pStyle w:val="70"/>
              <w:shd w:val="clear" w:color="auto"/>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608" w:type="dxa"/>
            <w:gridSpan w:val="3"/>
            <w:vMerge w:val="restart"/>
            <w:vAlign w:val="center"/>
          </w:tcPr>
          <w:p>
            <w:pPr>
              <w:pStyle w:val="7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70"/>
              <w:shd w:val="clear" w:color="auto"/>
              <w:spacing w:line="360" w:lineRule="auto"/>
              <w:ind w:left="107"/>
              <w:jc w:val="both"/>
              <w:rPr>
                <w:rFonts w:hint="eastAsia" w:ascii="宋体" w:hAnsi="宋体" w:eastAsia="宋体" w:cs="宋体"/>
                <w:bCs/>
                <w:color w:val="auto"/>
                <w:highlight w:val="none"/>
              </w:rPr>
            </w:pPr>
          </w:p>
        </w:tc>
        <w:tc>
          <w:tcPr>
            <w:tcW w:w="690" w:type="dxa"/>
            <w:vMerge w:val="continue"/>
            <w:tcBorders>
              <w:bottom w:val="single" w:color="auto" w:sz="4" w:space="0"/>
            </w:tcBorders>
            <w:vAlign w:val="center"/>
          </w:tcPr>
          <w:p>
            <w:pPr>
              <w:pStyle w:val="70"/>
              <w:shd w:val="clear" w:color="auto"/>
              <w:spacing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vAlign w:val="center"/>
          </w:tcPr>
          <w:p>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115" w:type="dxa"/>
            <w:gridSpan w:val="3"/>
            <w:tcBorders>
              <w:bottom w:val="single" w:color="auto" w:sz="4" w:space="0"/>
            </w:tcBorders>
            <w:vAlign w:val="center"/>
          </w:tcPr>
          <w:p>
            <w:pPr>
              <w:pStyle w:val="70"/>
              <w:shd w:val="clear" w:color="auto"/>
              <w:spacing w:line="360" w:lineRule="auto"/>
              <w:jc w:val="both"/>
              <w:rPr>
                <w:rFonts w:hint="eastAsia" w:ascii="宋体" w:hAnsi="宋体" w:eastAsia="宋体" w:cs="宋体"/>
                <w:bCs/>
                <w:color w:val="auto"/>
                <w:spacing w:val="16"/>
                <w:highlight w:val="none"/>
              </w:rPr>
            </w:pPr>
          </w:p>
        </w:tc>
        <w:tc>
          <w:tcPr>
            <w:tcW w:w="1560" w:type="dxa"/>
            <w:vMerge w:val="continue"/>
            <w:vAlign w:val="center"/>
          </w:tcPr>
          <w:p>
            <w:pPr>
              <w:pStyle w:val="70"/>
              <w:shd w:val="clear" w:color="auto"/>
              <w:spacing w:line="360" w:lineRule="auto"/>
              <w:jc w:val="center"/>
              <w:rPr>
                <w:rFonts w:hint="eastAsia" w:ascii="宋体" w:hAnsi="宋体" w:eastAsia="宋体" w:cs="宋体"/>
                <w:bCs/>
                <w:color w:val="auto"/>
                <w:spacing w:val="16"/>
                <w:highlight w:val="none"/>
              </w:rPr>
            </w:pPr>
          </w:p>
        </w:tc>
        <w:tc>
          <w:tcPr>
            <w:tcW w:w="2608" w:type="dxa"/>
            <w:gridSpan w:val="3"/>
            <w:vMerge w:val="continue"/>
            <w:vAlign w:val="center"/>
          </w:tcPr>
          <w:p>
            <w:pPr>
              <w:pStyle w:val="7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1.</w:t>
            </w:r>
          </w:p>
          <w:p>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企</w:t>
            </w:r>
          </w:p>
          <w:p>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业</w:t>
            </w:r>
          </w:p>
          <w:p>
            <w:pPr>
              <w:pStyle w:val="70"/>
              <w:shd w:val="clear" w:color="auto"/>
              <w:spacing w:line="360" w:lineRule="auto"/>
              <w:ind w:left="107"/>
              <w:jc w:val="both"/>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690" w:type="dxa"/>
            <w:tcBorders>
              <w:top w:val="nil"/>
            </w:tcBorders>
            <w:vAlign w:val="center"/>
          </w:tcPr>
          <w:p>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60" w:type="dxa"/>
            <w:gridSpan w:val="2"/>
            <w:tcBorders>
              <w:top w:val="nil"/>
            </w:tcBorders>
            <w:vAlign w:val="center"/>
          </w:tcPr>
          <w:p>
            <w:pPr>
              <w:pStyle w:val="70"/>
              <w:shd w:val="clear" w:color="auto"/>
              <w:spacing w:line="360" w:lineRule="auto"/>
              <w:jc w:val="both"/>
              <w:rPr>
                <w:rFonts w:hint="eastAsia" w:ascii="宋体" w:hAnsi="宋体" w:eastAsia="宋体" w:cs="宋体"/>
                <w:bCs/>
                <w:color w:val="auto"/>
                <w:spacing w:val="16"/>
                <w:highlight w:val="none"/>
              </w:rPr>
            </w:pPr>
          </w:p>
        </w:tc>
        <w:tc>
          <w:tcPr>
            <w:tcW w:w="926" w:type="dxa"/>
            <w:tcBorders>
              <w:top w:val="nil"/>
            </w:tcBorders>
            <w:vAlign w:val="center"/>
          </w:tcPr>
          <w:p>
            <w:pPr>
              <w:pStyle w:val="7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189" w:type="dxa"/>
            <w:gridSpan w:val="2"/>
            <w:tcBorders>
              <w:top w:val="nil"/>
            </w:tcBorders>
            <w:vAlign w:val="center"/>
          </w:tcPr>
          <w:p>
            <w:pPr>
              <w:widowControl/>
              <w:shd w:val="clear"/>
              <w:spacing w:line="360" w:lineRule="auto"/>
              <w:rPr>
                <w:rFonts w:hint="eastAsia" w:ascii="宋体" w:hAnsi="宋体" w:eastAsia="宋体" w:cs="宋体"/>
                <w:bCs/>
                <w:color w:val="auto"/>
                <w:spacing w:val="16"/>
                <w:kern w:val="0"/>
                <w:sz w:val="24"/>
                <w:highlight w:val="none"/>
              </w:rPr>
            </w:pPr>
          </w:p>
          <w:p>
            <w:pPr>
              <w:widowControl/>
              <w:shd w:val="clear"/>
              <w:spacing w:line="360" w:lineRule="auto"/>
              <w:rPr>
                <w:rFonts w:hint="eastAsia" w:ascii="宋体" w:hAnsi="宋体" w:eastAsia="宋体" w:cs="宋体"/>
                <w:bCs/>
                <w:color w:val="auto"/>
                <w:spacing w:val="16"/>
                <w:kern w:val="0"/>
                <w:sz w:val="24"/>
                <w:highlight w:val="none"/>
              </w:rPr>
            </w:pPr>
          </w:p>
          <w:p>
            <w:pPr>
              <w:pStyle w:val="7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pPr>
              <w:pStyle w:val="70"/>
              <w:shd w:val="clear" w:color="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608" w:type="dxa"/>
            <w:gridSpan w:val="3"/>
            <w:vAlign w:val="center"/>
          </w:tcPr>
          <w:p>
            <w:pPr>
              <w:widowControl/>
              <w:shd w:val="clear"/>
              <w:spacing w:line="360" w:lineRule="auto"/>
              <w:rPr>
                <w:rFonts w:hint="eastAsia" w:ascii="宋体" w:hAnsi="宋体" w:eastAsia="宋体" w:cs="宋体"/>
                <w:bCs/>
                <w:color w:val="auto"/>
                <w:spacing w:val="16"/>
                <w:kern w:val="0"/>
                <w:sz w:val="24"/>
                <w:highlight w:val="none"/>
              </w:rPr>
            </w:pPr>
          </w:p>
          <w:p>
            <w:pPr>
              <w:pStyle w:val="7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7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60" w:type="dxa"/>
            <w:gridSpan w:val="2"/>
            <w:vAlign w:val="center"/>
          </w:tcPr>
          <w:p>
            <w:pPr>
              <w:pStyle w:val="70"/>
              <w:shd w:val="clear" w:color="auto"/>
              <w:spacing w:line="360" w:lineRule="auto"/>
              <w:jc w:val="both"/>
              <w:rPr>
                <w:rFonts w:hint="eastAsia" w:ascii="宋体" w:hAnsi="宋体" w:eastAsia="宋体" w:cs="宋体"/>
                <w:bCs/>
                <w:color w:val="auto"/>
                <w:highlight w:val="none"/>
              </w:rPr>
            </w:pPr>
          </w:p>
        </w:tc>
        <w:tc>
          <w:tcPr>
            <w:tcW w:w="926" w:type="dxa"/>
            <w:vAlign w:val="center"/>
          </w:tcPr>
          <w:p>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189" w:type="dxa"/>
            <w:gridSpan w:val="2"/>
            <w:vAlign w:val="center"/>
          </w:tcPr>
          <w:p>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□自有□租赁</w:t>
            </w:r>
          </w:p>
        </w:tc>
        <w:tc>
          <w:tcPr>
            <w:tcW w:w="1560" w:type="dxa"/>
            <w:vAlign w:val="center"/>
          </w:tcPr>
          <w:p>
            <w:pPr>
              <w:pStyle w:val="70"/>
              <w:shd w:val="clear" w:color="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608" w:type="dxa"/>
            <w:gridSpan w:val="3"/>
            <w:vAlign w:val="center"/>
          </w:tcPr>
          <w:p>
            <w:pPr>
              <w:pStyle w:val="70"/>
              <w:shd w:val="clear" w:color="auto"/>
              <w:spacing w:before="0" w:beforeAutospacing="0" w:after="0" w:afterAutospacing="0"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7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pPr>
              <w:pStyle w:val="70"/>
              <w:shd w:val="clear" w:color="auto"/>
              <w:spacing w:line="360" w:lineRule="auto"/>
              <w:ind w:left="2"/>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60" w:type="dxa"/>
            <w:gridSpan w:val="2"/>
            <w:vAlign w:val="center"/>
          </w:tcPr>
          <w:p>
            <w:pPr>
              <w:pStyle w:val="70"/>
              <w:shd w:val="clear" w:color="auto"/>
              <w:spacing w:line="360" w:lineRule="auto"/>
              <w:ind w:left="2"/>
              <w:jc w:val="both"/>
              <w:rPr>
                <w:rFonts w:hint="eastAsia" w:ascii="宋体" w:hAnsi="宋体" w:eastAsia="宋体" w:cs="宋体"/>
                <w:bCs/>
                <w:color w:val="auto"/>
                <w:highlight w:val="none"/>
              </w:rPr>
            </w:pPr>
          </w:p>
        </w:tc>
        <w:tc>
          <w:tcPr>
            <w:tcW w:w="926" w:type="dxa"/>
            <w:vAlign w:val="center"/>
          </w:tcPr>
          <w:p>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2749" w:type="dxa"/>
            <w:gridSpan w:val="3"/>
            <w:vAlign w:val="center"/>
          </w:tcPr>
          <w:p>
            <w:pPr>
              <w:widowControl/>
              <w:shd w:val="clear"/>
              <w:spacing w:line="360" w:lineRule="auto"/>
              <w:rPr>
                <w:rFonts w:hint="eastAsia" w:ascii="宋体" w:hAnsi="宋体" w:eastAsia="宋体" w:cs="宋体"/>
                <w:bCs/>
                <w:color w:val="auto"/>
                <w:kern w:val="0"/>
                <w:sz w:val="24"/>
                <w:highlight w:val="none"/>
              </w:rPr>
            </w:pPr>
          </w:p>
          <w:p>
            <w:pPr>
              <w:pStyle w:val="70"/>
              <w:shd w:val="clear" w:color="auto"/>
              <w:spacing w:line="360" w:lineRule="auto"/>
              <w:ind w:left="107"/>
              <w:jc w:val="both"/>
              <w:rPr>
                <w:rFonts w:hint="eastAsia" w:ascii="宋体" w:hAnsi="宋体" w:eastAsia="宋体" w:cs="宋体"/>
                <w:bCs/>
                <w:color w:val="auto"/>
                <w:highlight w:val="none"/>
              </w:rPr>
            </w:pPr>
          </w:p>
        </w:tc>
        <w:tc>
          <w:tcPr>
            <w:tcW w:w="1675" w:type="dxa"/>
            <w:gridSpan w:val="2"/>
            <w:vAlign w:val="center"/>
          </w:tcPr>
          <w:p>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vAlign w:val="center"/>
          </w:tcPr>
          <w:p>
            <w:pPr>
              <w:pStyle w:val="70"/>
              <w:shd w:val="clear" w:color="auto"/>
              <w:spacing w:line="360" w:lineRule="auto"/>
              <w:ind w:left="107"/>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7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pPr>
              <w:pStyle w:val="70"/>
              <w:shd w:val="clear" w:color="auto"/>
              <w:spacing w:line="360" w:lineRule="auto"/>
              <w:ind w:left="2"/>
              <w:jc w:val="both"/>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243" w:type="dxa"/>
            <w:gridSpan w:val="9"/>
            <w:vAlign w:val="center"/>
          </w:tcPr>
          <w:p>
            <w:pPr>
              <w:pStyle w:val="70"/>
              <w:shd w:val="clear" w:color="auto"/>
              <w:spacing w:line="360" w:lineRule="auto"/>
              <w:ind w:left="107"/>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70"/>
              <w:shd w:val="clear" w:color="auto"/>
              <w:spacing w:line="360" w:lineRule="auto"/>
              <w:ind w:left="107"/>
              <w:jc w:val="both"/>
              <w:rPr>
                <w:rFonts w:hint="eastAsia" w:ascii="宋体" w:hAnsi="宋体" w:eastAsia="宋体" w:cs="宋体"/>
                <w:bCs/>
                <w:color w:val="auto"/>
                <w:highlight w:val="none"/>
              </w:rPr>
            </w:pPr>
          </w:p>
        </w:tc>
        <w:tc>
          <w:tcPr>
            <w:tcW w:w="7933" w:type="dxa"/>
            <w:gridSpan w:val="10"/>
            <w:vAlign w:val="center"/>
          </w:tcPr>
          <w:p>
            <w:pPr>
              <w:pStyle w:val="70"/>
              <w:shd w:val="clear" w:color="auto"/>
              <w:spacing w:line="360" w:lineRule="auto"/>
              <w:jc w:val="both"/>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7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2．</w:t>
            </w:r>
          </w:p>
          <w:p>
            <w:pPr>
              <w:pStyle w:val="70"/>
              <w:shd w:val="clear" w:color="auto"/>
              <w:spacing w:line="360" w:lineRule="auto"/>
              <w:ind w:left="107"/>
              <w:jc w:val="both"/>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355" w:type="dxa"/>
            <w:gridSpan w:val="2"/>
            <w:vMerge w:val="restart"/>
            <w:vAlign w:val="center"/>
          </w:tcPr>
          <w:p>
            <w:pPr>
              <w:pStyle w:val="70"/>
              <w:shd w:val="clear" w:color="auto"/>
              <w:spacing w:before="0" w:beforeAutospacing="0" w:after="0" w:afterAutospacing="0"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vAlign w:val="center"/>
          </w:tcPr>
          <w:p>
            <w:pPr>
              <w:pStyle w:val="70"/>
              <w:shd w:val="clear" w:color="auto"/>
              <w:spacing w:line="360" w:lineRule="auto"/>
              <w:ind w:right="-78" w:rightChars="-37"/>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077" w:type="dxa"/>
            <w:vAlign w:val="center"/>
          </w:tcPr>
          <w:p>
            <w:pPr>
              <w:pStyle w:val="7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617" w:type="dxa"/>
            <w:gridSpan w:val="2"/>
            <w:vAlign w:val="center"/>
          </w:tcPr>
          <w:p>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vAlign w:val="center"/>
          </w:tcPr>
          <w:p>
            <w:pPr>
              <w:pStyle w:val="7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vAlign w:val="center"/>
          </w:tcPr>
          <w:p>
            <w:pPr>
              <w:pStyle w:val="7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70"/>
              <w:shd w:val="clear" w:color="auto"/>
              <w:spacing w:line="360" w:lineRule="auto"/>
              <w:ind w:left="107"/>
              <w:jc w:val="both"/>
              <w:rPr>
                <w:rFonts w:hint="eastAsia" w:ascii="宋体" w:hAnsi="宋体" w:eastAsia="宋体" w:cs="宋体"/>
                <w:bCs/>
                <w:color w:val="auto"/>
                <w:highlight w:val="none"/>
              </w:rPr>
            </w:pPr>
          </w:p>
        </w:tc>
        <w:tc>
          <w:tcPr>
            <w:tcW w:w="1355" w:type="dxa"/>
            <w:gridSpan w:val="2"/>
            <w:vMerge w:val="continue"/>
            <w:vAlign w:val="center"/>
          </w:tcPr>
          <w:p>
            <w:pPr>
              <w:pStyle w:val="70"/>
              <w:shd w:val="clear" w:color="auto"/>
              <w:spacing w:line="360" w:lineRule="auto"/>
              <w:jc w:val="both"/>
              <w:rPr>
                <w:rFonts w:hint="eastAsia" w:ascii="宋体" w:hAnsi="宋体" w:eastAsia="宋体" w:cs="宋体"/>
                <w:bCs/>
                <w:color w:val="auto"/>
                <w:highlight w:val="none"/>
              </w:rPr>
            </w:pPr>
          </w:p>
        </w:tc>
        <w:tc>
          <w:tcPr>
            <w:tcW w:w="1333" w:type="dxa"/>
            <w:gridSpan w:val="3"/>
            <w:vAlign w:val="center"/>
          </w:tcPr>
          <w:p>
            <w:pPr>
              <w:pStyle w:val="70"/>
              <w:shd w:val="clear" w:color="auto"/>
              <w:spacing w:line="360" w:lineRule="auto"/>
              <w:jc w:val="both"/>
              <w:rPr>
                <w:rFonts w:hint="eastAsia" w:ascii="宋体" w:hAnsi="宋体" w:eastAsia="宋体" w:cs="宋体"/>
                <w:bCs/>
                <w:color w:val="auto"/>
                <w:highlight w:val="none"/>
              </w:rPr>
            </w:pPr>
          </w:p>
        </w:tc>
        <w:tc>
          <w:tcPr>
            <w:tcW w:w="1077" w:type="dxa"/>
            <w:vAlign w:val="center"/>
          </w:tcPr>
          <w:p>
            <w:pPr>
              <w:pStyle w:val="70"/>
              <w:shd w:val="clear" w:color="auto"/>
              <w:spacing w:line="360" w:lineRule="auto"/>
              <w:jc w:val="both"/>
              <w:rPr>
                <w:rFonts w:hint="eastAsia" w:ascii="宋体" w:hAnsi="宋体" w:eastAsia="宋体" w:cs="宋体"/>
                <w:bCs/>
                <w:color w:val="auto"/>
                <w:highlight w:val="none"/>
              </w:rPr>
            </w:pPr>
          </w:p>
        </w:tc>
        <w:tc>
          <w:tcPr>
            <w:tcW w:w="1617" w:type="dxa"/>
            <w:gridSpan w:val="2"/>
            <w:vAlign w:val="center"/>
          </w:tcPr>
          <w:p>
            <w:pPr>
              <w:pStyle w:val="70"/>
              <w:shd w:val="clear" w:color="auto"/>
              <w:spacing w:line="360" w:lineRule="auto"/>
              <w:jc w:val="both"/>
              <w:rPr>
                <w:rFonts w:hint="eastAsia" w:ascii="宋体" w:hAnsi="宋体" w:eastAsia="宋体" w:cs="宋体"/>
                <w:bCs/>
                <w:color w:val="auto"/>
                <w:highlight w:val="none"/>
              </w:rPr>
            </w:pPr>
          </w:p>
        </w:tc>
        <w:tc>
          <w:tcPr>
            <w:tcW w:w="2551" w:type="dxa"/>
            <w:gridSpan w:val="2"/>
            <w:vAlign w:val="center"/>
          </w:tcPr>
          <w:p>
            <w:pPr>
              <w:pStyle w:val="70"/>
              <w:shd w:val="clear" w:color="auto"/>
              <w:spacing w:line="360" w:lineRule="auto"/>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70"/>
              <w:shd w:val="clear" w:color="auto"/>
              <w:spacing w:line="360" w:lineRule="auto"/>
              <w:ind w:left="107"/>
              <w:jc w:val="both"/>
              <w:rPr>
                <w:rFonts w:hint="eastAsia" w:ascii="宋体" w:hAnsi="宋体" w:eastAsia="宋体" w:cs="宋体"/>
                <w:bCs/>
                <w:color w:val="auto"/>
                <w:spacing w:val="16"/>
                <w:highlight w:val="none"/>
              </w:rPr>
            </w:pPr>
          </w:p>
        </w:tc>
        <w:tc>
          <w:tcPr>
            <w:tcW w:w="1355" w:type="dxa"/>
            <w:gridSpan w:val="2"/>
            <w:vAlign w:val="center"/>
          </w:tcPr>
          <w:p>
            <w:pPr>
              <w:pStyle w:val="70"/>
              <w:shd w:val="clear" w:color="auto"/>
              <w:spacing w:before="0" w:beforeAutospacing="0" w:after="0" w:afterAutospacing="0" w:line="360" w:lineRule="auto"/>
              <w:ind w:right="-107" w:rightChars="-51"/>
              <w:jc w:val="both"/>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8"/>
            <w:vAlign w:val="center"/>
          </w:tcPr>
          <w:p>
            <w:pPr>
              <w:pStyle w:val="7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70"/>
              <w:shd w:val="clear" w:color="auto"/>
              <w:spacing w:line="360" w:lineRule="auto"/>
              <w:ind w:left="107"/>
              <w:jc w:val="both"/>
              <w:rPr>
                <w:rFonts w:hint="eastAsia" w:ascii="宋体" w:hAnsi="宋体" w:eastAsia="宋体" w:cs="宋体"/>
                <w:bCs/>
                <w:color w:val="auto"/>
                <w:spacing w:val="27"/>
                <w:highlight w:val="none"/>
              </w:rPr>
            </w:pPr>
          </w:p>
        </w:tc>
        <w:tc>
          <w:tcPr>
            <w:tcW w:w="1355" w:type="dxa"/>
            <w:gridSpan w:val="2"/>
            <w:vAlign w:val="center"/>
          </w:tcPr>
          <w:p>
            <w:pPr>
              <w:pStyle w:val="7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8"/>
            <w:vAlign w:val="center"/>
          </w:tcPr>
          <w:p>
            <w:pPr>
              <w:pStyle w:val="70"/>
              <w:shd w:val="clear" w:color="auto"/>
              <w:spacing w:line="360" w:lineRule="auto"/>
              <w:jc w:val="both"/>
              <w:rPr>
                <w:rFonts w:hint="eastAsia" w:ascii="宋体" w:hAnsi="宋体" w:eastAsia="宋体" w:cs="宋体"/>
                <w:bCs/>
                <w:color w:val="auto"/>
                <w:spacing w:val="16"/>
                <w:highlight w:val="none"/>
              </w:rPr>
            </w:pPr>
          </w:p>
        </w:tc>
      </w:tr>
    </w:tbl>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1.姓名栏必须将所有股东都统计在内，若非股份公司此行（第三行）无需填写；</w:t>
      </w:r>
    </w:p>
    <w:p>
      <w:pPr>
        <w:shd w:val="clear"/>
        <w:spacing w:line="360" w:lineRule="auto"/>
        <w:rPr>
          <w:rFonts w:hint="eastAsia" w:ascii="宋体" w:hAnsi="宋体" w:eastAsia="宋体" w:cs="宋体"/>
          <w:color w:val="auto"/>
          <w:sz w:val="24"/>
          <w:szCs w:val="32"/>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11</w:t>
      </w:r>
    </w:p>
    <w:p>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项目实施人员一览表（标段）</w:t>
      </w:r>
    </w:p>
    <w:p>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6"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hd w:val="clear"/>
              <w:snapToGrid w:val="0"/>
              <w:spacing w:before="156" w:beforeLines="50" w:after="50" w:line="360" w:lineRule="auto"/>
              <w:rPr>
                <w:rFonts w:hint="eastAsia" w:ascii="宋体" w:hAnsi="宋体" w:eastAsia="宋体" w:cs="宋体"/>
                <w:b/>
                <w:color w:val="auto"/>
                <w:kern w:val="44"/>
                <w:sz w:val="24"/>
                <w:szCs w:val="20"/>
                <w:highlight w:val="none"/>
              </w:rPr>
            </w:pPr>
          </w:p>
        </w:tc>
      </w:tr>
    </w:tbl>
    <w:p>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1.在填写时，如本表格不适合投标单位的实际情况，可根据本表格式自行划表填写。</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2.附人员证书复印件；</w:t>
      </w:r>
    </w:p>
    <w:p>
      <w:pPr>
        <w:shd w:val="clea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3.出具上述人员在本单位服务的外部证明，如：代缴个税税单或参加社会保险的《投保单》或《社会保险参保人员证明》等。</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widowControl/>
        <w:shd w:val="clear"/>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shd w:val="clear"/>
        <w:spacing w:line="480" w:lineRule="exac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附件12</w:t>
      </w:r>
    </w:p>
    <w:p>
      <w:pPr>
        <w:shd w:val="clear"/>
        <w:spacing w:before="156" w:beforeLines="50" w:after="156" w:afterLines="50" w:line="480" w:lineRule="exact"/>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采购项目：                                        采购编号：</w:t>
      </w:r>
    </w:p>
    <w:tbl>
      <w:tblPr>
        <w:tblStyle w:val="28"/>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注：业绩证明应提供旁证材料</w:t>
            </w:r>
          </w:p>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bl>
    <w:p>
      <w:pPr>
        <w:shd w:val="clear"/>
        <w:spacing w:line="360" w:lineRule="auto"/>
        <w:rPr>
          <w:rFonts w:hint="eastAsia" w:ascii="宋体" w:hAnsi="宋体" w:eastAsia="宋体" w:cs="宋体"/>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13</w:t>
      </w:r>
    </w:p>
    <w:p>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供货清单 (</w:t>
      </w:r>
      <w:r>
        <w:rPr>
          <w:rFonts w:hint="eastAsia" w:ascii="宋体" w:hAnsi="宋体" w:eastAsia="宋体" w:cs="宋体"/>
          <w:b/>
          <w:bCs/>
          <w:color w:val="auto"/>
          <w:sz w:val="32"/>
          <w:szCs w:val="40"/>
          <w:highlight w:val="none"/>
          <w:lang w:val="en-US" w:eastAsia="zh-CN"/>
        </w:rPr>
        <w:t>如有</w:t>
      </w:r>
      <w:r>
        <w:rPr>
          <w:rFonts w:hint="eastAsia" w:ascii="宋体" w:hAnsi="宋体" w:eastAsia="宋体" w:cs="宋体"/>
          <w:b/>
          <w:bCs/>
          <w:color w:val="auto"/>
          <w:sz w:val="32"/>
          <w:szCs w:val="40"/>
          <w:highlight w:val="none"/>
          <w:lang w:val="zh-CN"/>
        </w:rPr>
        <w:t>)</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28"/>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69" w:type="dxa"/>
            <w:vAlign w:val="center"/>
          </w:tcPr>
          <w:p>
            <w:pPr>
              <w:shd w:val="clea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34" w:type="dxa"/>
            <w:vAlign w:val="center"/>
          </w:tcPr>
          <w:p>
            <w:pPr>
              <w:shd w:val="clea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842" w:type="dxa"/>
            <w:vAlign w:val="center"/>
          </w:tcPr>
          <w:p>
            <w:pPr>
              <w:shd w:val="clea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1559" w:type="dxa"/>
            <w:vAlign w:val="center"/>
          </w:tcPr>
          <w:p>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auto"/>
                <w:sz w:val="24"/>
                <w:highlight w:val="none"/>
              </w:rPr>
            </w:pPr>
          </w:p>
        </w:tc>
        <w:tc>
          <w:tcPr>
            <w:tcW w:w="2169" w:type="dxa"/>
            <w:vAlign w:val="center"/>
          </w:tcPr>
          <w:p>
            <w:pPr>
              <w:shd w:val="clear"/>
              <w:jc w:val="center"/>
              <w:rPr>
                <w:rFonts w:hint="eastAsia" w:ascii="宋体" w:hAnsi="宋体" w:eastAsia="宋体" w:cs="宋体"/>
                <w:color w:val="auto"/>
                <w:sz w:val="24"/>
                <w:highlight w:val="none"/>
              </w:rPr>
            </w:pPr>
          </w:p>
        </w:tc>
        <w:tc>
          <w:tcPr>
            <w:tcW w:w="1134" w:type="dxa"/>
            <w:vAlign w:val="center"/>
          </w:tcPr>
          <w:p>
            <w:pPr>
              <w:shd w:val="clear"/>
              <w:jc w:val="center"/>
              <w:rPr>
                <w:rFonts w:hint="eastAsia" w:ascii="宋体" w:hAnsi="宋体" w:eastAsia="宋体" w:cs="宋体"/>
                <w:color w:val="auto"/>
                <w:sz w:val="24"/>
                <w:highlight w:val="none"/>
              </w:rPr>
            </w:pPr>
          </w:p>
        </w:tc>
        <w:tc>
          <w:tcPr>
            <w:tcW w:w="1842" w:type="dxa"/>
            <w:vAlign w:val="center"/>
          </w:tcPr>
          <w:p>
            <w:pPr>
              <w:shd w:val="clear"/>
              <w:jc w:val="center"/>
              <w:rPr>
                <w:rFonts w:hint="eastAsia" w:ascii="宋体" w:hAnsi="宋体" w:eastAsia="宋体" w:cs="宋体"/>
                <w:color w:val="auto"/>
                <w:sz w:val="24"/>
                <w:highlight w:val="none"/>
              </w:rPr>
            </w:pPr>
          </w:p>
        </w:tc>
        <w:tc>
          <w:tcPr>
            <w:tcW w:w="993" w:type="dxa"/>
            <w:vAlign w:val="center"/>
          </w:tcPr>
          <w:p>
            <w:pPr>
              <w:shd w:val="clear"/>
              <w:jc w:val="center"/>
              <w:rPr>
                <w:rFonts w:hint="eastAsia" w:ascii="宋体" w:hAnsi="宋体" w:eastAsia="宋体" w:cs="宋体"/>
                <w:color w:val="auto"/>
                <w:sz w:val="24"/>
                <w:highlight w:val="none"/>
              </w:rPr>
            </w:pPr>
          </w:p>
        </w:tc>
        <w:tc>
          <w:tcPr>
            <w:tcW w:w="1559"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auto"/>
                <w:sz w:val="24"/>
                <w:highlight w:val="none"/>
              </w:rPr>
            </w:pPr>
          </w:p>
        </w:tc>
        <w:tc>
          <w:tcPr>
            <w:tcW w:w="2169" w:type="dxa"/>
            <w:vAlign w:val="center"/>
          </w:tcPr>
          <w:p>
            <w:pPr>
              <w:shd w:val="clear"/>
              <w:jc w:val="center"/>
              <w:rPr>
                <w:rFonts w:hint="eastAsia" w:ascii="宋体" w:hAnsi="宋体" w:eastAsia="宋体" w:cs="宋体"/>
                <w:color w:val="auto"/>
                <w:sz w:val="24"/>
                <w:highlight w:val="none"/>
              </w:rPr>
            </w:pPr>
          </w:p>
        </w:tc>
        <w:tc>
          <w:tcPr>
            <w:tcW w:w="1134" w:type="dxa"/>
            <w:vAlign w:val="center"/>
          </w:tcPr>
          <w:p>
            <w:pPr>
              <w:shd w:val="clear"/>
              <w:jc w:val="center"/>
              <w:rPr>
                <w:rFonts w:hint="eastAsia" w:ascii="宋体" w:hAnsi="宋体" w:eastAsia="宋体" w:cs="宋体"/>
                <w:color w:val="auto"/>
                <w:sz w:val="24"/>
                <w:highlight w:val="none"/>
              </w:rPr>
            </w:pPr>
          </w:p>
        </w:tc>
        <w:tc>
          <w:tcPr>
            <w:tcW w:w="1842" w:type="dxa"/>
            <w:vAlign w:val="center"/>
          </w:tcPr>
          <w:p>
            <w:pPr>
              <w:shd w:val="clear"/>
              <w:jc w:val="center"/>
              <w:rPr>
                <w:rFonts w:hint="eastAsia" w:ascii="宋体" w:hAnsi="宋体" w:eastAsia="宋体" w:cs="宋体"/>
                <w:color w:val="auto"/>
                <w:sz w:val="24"/>
                <w:highlight w:val="none"/>
              </w:rPr>
            </w:pPr>
          </w:p>
        </w:tc>
        <w:tc>
          <w:tcPr>
            <w:tcW w:w="993" w:type="dxa"/>
            <w:vAlign w:val="center"/>
          </w:tcPr>
          <w:p>
            <w:pPr>
              <w:shd w:val="clear"/>
              <w:jc w:val="center"/>
              <w:rPr>
                <w:rFonts w:hint="eastAsia" w:ascii="宋体" w:hAnsi="宋体" w:eastAsia="宋体" w:cs="宋体"/>
                <w:color w:val="auto"/>
                <w:sz w:val="24"/>
                <w:highlight w:val="none"/>
              </w:rPr>
            </w:pPr>
          </w:p>
        </w:tc>
        <w:tc>
          <w:tcPr>
            <w:tcW w:w="1559"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auto"/>
                <w:sz w:val="24"/>
                <w:highlight w:val="none"/>
              </w:rPr>
            </w:pPr>
          </w:p>
        </w:tc>
        <w:tc>
          <w:tcPr>
            <w:tcW w:w="2169" w:type="dxa"/>
            <w:vAlign w:val="center"/>
          </w:tcPr>
          <w:p>
            <w:pPr>
              <w:shd w:val="clear"/>
              <w:jc w:val="center"/>
              <w:rPr>
                <w:rFonts w:hint="eastAsia" w:ascii="宋体" w:hAnsi="宋体" w:eastAsia="宋体" w:cs="宋体"/>
                <w:color w:val="auto"/>
                <w:sz w:val="24"/>
                <w:highlight w:val="none"/>
              </w:rPr>
            </w:pPr>
          </w:p>
        </w:tc>
        <w:tc>
          <w:tcPr>
            <w:tcW w:w="1134" w:type="dxa"/>
            <w:vAlign w:val="center"/>
          </w:tcPr>
          <w:p>
            <w:pPr>
              <w:shd w:val="clear"/>
              <w:jc w:val="center"/>
              <w:rPr>
                <w:rFonts w:hint="eastAsia" w:ascii="宋体" w:hAnsi="宋体" w:eastAsia="宋体" w:cs="宋体"/>
                <w:color w:val="auto"/>
                <w:sz w:val="24"/>
                <w:highlight w:val="none"/>
              </w:rPr>
            </w:pPr>
          </w:p>
        </w:tc>
        <w:tc>
          <w:tcPr>
            <w:tcW w:w="1842" w:type="dxa"/>
            <w:vAlign w:val="center"/>
          </w:tcPr>
          <w:p>
            <w:pPr>
              <w:shd w:val="clear"/>
              <w:jc w:val="center"/>
              <w:rPr>
                <w:rFonts w:hint="eastAsia" w:ascii="宋体" w:hAnsi="宋体" w:eastAsia="宋体" w:cs="宋体"/>
                <w:color w:val="auto"/>
                <w:sz w:val="24"/>
                <w:highlight w:val="none"/>
              </w:rPr>
            </w:pPr>
          </w:p>
        </w:tc>
        <w:tc>
          <w:tcPr>
            <w:tcW w:w="993" w:type="dxa"/>
            <w:vAlign w:val="center"/>
          </w:tcPr>
          <w:p>
            <w:pPr>
              <w:shd w:val="clear"/>
              <w:jc w:val="center"/>
              <w:rPr>
                <w:rFonts w:hint="eastAsia" w:ascii="宋体" w:hAnsi="宋体" w:eastAsia="宋体" w:cs="宋体"/>
                <w:color w:val="auto"/>
                <w:sz w:val="24"/>
                <w:highlight w:val="none"/>
              </w:rPr>
            </w:pPr>
          </w:p>
        </w:tc>
        <w:tc>
          <w:tcPr>
            <w:tcW w:w="1559"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auto"/>
                <w:sz w:val="24"/>
                <w:highlight w:val="none"/>
              </w:rPr>
            </w:pPr>
          </w:p>
        </w:tc>
        <w:tc>
          <w:tcPr>
            <w:tcW w:w="2169" w:type="dxa"/>
            <w:vAlign w:val="center"/>
          </w:tcPr>
          <w:p>
            <w:pPr>
              <w:shd w:val="clear"/>
              <w:jc w:val="center"/>
              <w:rPr>
                <w:rFonts w:hint="eastAsia" w:ascii="宋体" w:hAnsi="宋体" w:eastAsia="宋体" w:cs="宋体"/>
                <w:color w:val="auto"/>
                <w:sz w:val="24"/>
                <w:highlight w:val="none"/>
              </w:rPr>
            </w:pPr>
          </w:p>
        </w:tc>
        <w:tc>
          <w:tcPr>
            <w:tcW w:w="1134" w:type="dxa"/>
            <w:vAlign w:val="center"/>
          </w:tcPr>
          <w:p>
            <w:pPr>
              <w:shd w:val="clear"/>
              <w:jc w:val="center"/>
              <w:rPr>
                <w:rFonts w:hint="eastAsia" w:ascii="宋体" w:hAnsi="宋体" w:eastAsia="宋体" w:cs="宋体"/>
                <w:color w:val="auto"/>
                <w:sz w:val="24"/>
                <w:highlight w:val="none"/>
              </w:rPr>
            </w:pPr>
          </w:p>
        </w:tc>
        <w:tc>
          <w:tcPr>
            <w:tcW w:w="1842" w:type="dxa"/>
            <w:vAlign w:val="center"/>
          </w:tcPr>
          <w:p>
            <w:pPr>
              <w:shd w:val="clear"/>
              <w:jc w:val="center"/>
              <w:rPr>
                <w:rFonts w:hint="eastAsia" w:ascii="宋体" w:hAnsi="宋体" w:eastAsia="宋体" w:cs="宋体"/>
                <w:color w:val="auto"/>
                <w:sz w:val="24"/>
                <w:highlight w:val="none"/>
              </w:rPr>
            </w:pPr>
          </w:p>
        </w:tc>
        <w:tc>
          <w:tcPr>
            <w:tcW w:w="993" w:type="dxa"/>
            <w:vAlign w:val="center"/>
          </w:tcPr>
          <w:p>
            <w:pPr>
              <w:shd w:val="clear"/>
              <w:jc w:val="center"/>
              <w:rPr>
                <w:rFonts w:hint="eastAsia" w:ascii="宋体" w:hAnsi="宋体" w:eastAsia="宋体" w:cs="宋体"/>
                <w:color w:val="auto"/>
                <w:sz w:val="24"/>
                <w:highlight w:val="none"/>
              </w:rPr>
            </w:pPr>
          </w:p>
        </w:tc>
        <w:tc>
          <w:tcPr>
            <w:tcW w:w="1559"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auto"/>
                <w:sz w:val="24"/>
                <w:highlight w:val="none"/>
              </w:rPr>
            </w:pPr>
          </w:p>
        </w:tc>
        <w:tc>
          <w:tcPr>
            <w:tcW w:w="2169" w:type="dxa"/>
            <w:vAlign w:val="center"/>
          </w:tcPr>
          <w:p>
            <w:pPr>
              <w:shd w:val="clear"/>
              <w:jc w:val="center"/>
              <w:rPr>
                <w:rFonts w:hint="eastAsia" w:ascii="宋体" w:hAnsi="宋体" w:eastAsia="宋体" w:cs="宋体"/>
                <w:color w:val="auto"/>
                <w:sz w:val="24"/>
                <w:highlight w:val="none"/>
              </w:rPr>
            </w:pPr>
          </w:p>
        </w:tc>
        <w:tc>
          <w:tcPr>
            <w:tcW w:w="1134" w:type="dxa"/>
            <w:vAlign w:val="center"/>
          </w:tcPr>
          <w:p>
            <w:pPr>
              <w:shd w:val="clear"/>
              <w:jc w:val="center"/>
              <w:rPr>
                <w:rFonts w:hint="eastAsia" w:ascii="宋体" w:hAnsi="宋体" w:eastAsia="宋体" w:cs="宋体"/>
                <w:color w:val="auto"/>
                <w:sz w:val="24"/>
                <w:highlight w:val="none"/>
              </w:rPr>
            </w:pPr>
          </w:p>
        </w:tc>
        <w:tc>
          <w:tcPr>
            <w:tcW w:w="1842" w:type="dxa"/>
            <w:vAlign w:val="center"/>
          </w:tcPr>
          <w:p>
            <w:pPr>
              <w:shd w:val="clear"/>
              <w:jc w:val="center"/>
              <w:rPr>
                <w:rFonts w:hint="eastAsia" w:ascii="宋体" w:hAnsi="宋体" w:eastAsia="宋体" w:cs="宋体"/>
                <w:color w:val="auto"/>
                <w:sz w:val="24"/>
                <w:highlight w:val="none"/>
              </w:rPr>
            </w:pPr>
          </w:p>
        </w:tc>
        <w:tc>
          <w:tcPr>
            <w:tcW w:w="993" w:type="dxa"/>
            <w:vAlign w:val="center"/>
          </w:tcPr>
          <w:p>
            <w:pPr>
              <w:shd w:val="clear"/>
              <w:jc w:val="center"/>
              <w:rPr>
                <w:rFonts w:hint="eastAsia" w:ascii="宋体" w:hAnsi="宋体" w:eastAsia="宋体" w:cs="宋体"/>
                <w:color w:val="auto"/>
                <w:sz w:val="24"/>
                <w:highlight w:val="none"/>
              </w:rPr>
            </w:pPr>
          </w:p>
        </w:tc>
        <w:tc>
          <w:tcPr>
            <w:tcW w:w="1559"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auto"/>
                <w:sz w:val="24"/>
                <w:highlight w:val="none"/>
              </w:rPr>
            </w:pPr>
          </w:p>
        </w:tc>
        <w:tc>
          <w:tcPr>
            <w:tcW w:w="2169" w:type="dxa"/>
            <w:vAlign w:val="center"/>
          </w:tcPr>
          <w:p>
            <w:pPr>
              <w:shd w:val="clear"/>
              <w:jc w:val="center"/>
              <w:rPr>
                <w:rFonts w:hint="eastAsia" w:ascii="宋体" w:hAnsi="宋体" w:eastAsia="宋体" w:cs="宋体"/>
                <w:color w:val="auto"/>
                <w:sz w:val="24"/>
                <w:highlight w:val="none"/>
              </w:rPr>
            </w:pPr>
          </w:p>
        </w:tc>
        <w:tc>
          <w:tcPr>
            <w:tcW w:w="1134" w:type="dxa"/>
            <w:vAlign w:val="center"/>
          </w:tcPr>
          <w:p>
            <w:pPr>
              <w:shd w:val="clear"/>
              <w:jc w:val="center"/>
              <w:rPr>
                <w:rFonts w:hint="eastAsia" w:ascii="宋体" w:hAnsi="宋体" w:eastAsia="宋体" w:cs="宋体"/>
                <w:color w:val="auto"/>
                <w:sz w:val="24"/>
                <w:highlight w:val="none"/>
              </w:rPr>
            </w:pPr>
          </w:p>
        </w:tc>
        <w:tc>
          <w:tcPr>
            <w:tcW w:w="1842" w:type="dxa"/>
            <w:vAlign w:val="center"/>
          </w:tcPr>
          <w:p>
            <w:pPr>
              <w:shd w:val="clear"/>
              <w:jc w:val="center"/>
              <w:rPr>
                <w:rFonts w:hint="eastAsia" w:ascii="宋体" w:hAnsi="宋体" w:eastAsia="宋体" w:cs="宋体"/>
                <w:color w:val="auto"/>
                <w:sz w:val="24"/>
                <w:highlight w:val="none"/>
              </w:rPr>
            </w:pPr>
          </w:p>
        </w:tc>
        <w:tc>
          <w:tcPr>
            <w:tcW w:w="993" w:type="dxa"/>
            <w:vAlign w:val="center"/>
          </w:tcPr>
          <w:p>
            <w:pPr>
              <w:shd w:val="clear"/>
              <w:jc w:val="center"/>
              <w:rPr>
                <w:rFonts w:hint="eastAsia" w:ascii="宋体" w:hAnsi="宋体" w:eastAsia="宋体" w:cs="宋体"/>
                <w:color w:val="auto"/>
                <w:sz w:val="24"/>
                <w:highlight w:val="none"/>
              </w:rPr>
            </w:pPr>
          </w:p>
        </w:tc>
        <w:tc>
          <w:tcPr>
            <w:tcW w:w="1559"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shd w:val="clear"/>
              <w:jc w:val="center"/>
              <w:rPr>
                <w:rFonts w:hint="eastAsia" w:ascii="宋体" w:hAnsi="宋体" w:eastAsia="宋体" w:cs="宋体"/>
                <w:color w:val="auto"/>
                <w:sz w:val="24"/>
                <w:highlight w:val="none"/>
              </w:rPr>
            </w:pPr>
          </w:p>
        </w:tc>
        <w:tc>
          <w:tcPr>
            <w:tcW w:w="2169" w:type="dxa"/>
            <w:vAlign w:val="center"/>
          </w:tcPr>
          <w:p>
            <w:pPr>
              <w:shd w:val="clear"/>
              <w:jc w:val="center"/>
              <w:rPr>
                <w:rFonts w:hint="eastAsia" w:ascii="宋体" w:hAnsi="宋体" w:eastAsia="宋体" w:cs="宋体"/>
                <w:color w:val="auto"/>
                <w:sz w:val="24"/>
                <w:highlight w:val="none"/>
              </w:rPr>
            </w:pPr>
          </w:p>
        </w:tc>
        <w:tc>
          <w:tcPr>
            <w:tcW w:w="1134" w:type="dxa"/>
            <w:vAlign w:val="center"/>
          </w:tcPr>
          <w:p>
            <w:pPr>
              <w:shd w:val="clear"/>
              <w:jc w:val="center"/>
              <w:rPr>
                <w:rFonts w:hint="eastAsia" w:ascii="宋体" w:hAnsi="宋体" w:eastAsia="宋体" w:cs="宋体"/>
                <w:color w:val="auto"/>
                <w:sz w:val="24"/>
                <w:highlight w:val="none"/>
              </w:rPr>
            </w:pPr>
          </w:p>
        </w:tc>
        <w:tc>
          <w:tcPr>
            <w:tcW w:w="1842" w:type="dxa"/>
            <w:vAlign w:val="center"/>
          </w:tcPr>
          <w:p>
            <w:pPr>
              <w:shd w:val="clear"/>
              <w:jc w:val="center"/>
              <w:rPr>
                <w:rFonts w:hint="eastAsia" w:ascii="宋体" w:hAnsi="宋体" w:eastAsia="宋体" w:cs="宋体"/>
                <w:color w:val="auto"/>
                <w:sz w:val="24"/>
                <w:highlight w:val="none"/>
              </w:rPr>
            </w:pPr>
          </w:p>
        </w:tc>
        <w:tc>
          <w:tcPr>
            <w:tcW w:w="993" w:type="dxa"/>
            <w:vAlign w:val="center"/>
          </w:tcPr>
          <w:p>
            <w:pPr>
              <w:shd w:val="clear"/>
              <w:jc w:val="center"/>
              <w:rPr>
                <w:rFonts w:hint="eastAsia" w:ascii="宋体" w:hAnsi="宋体" w:eastAsia="宋体" w:cs="宋体"/>
                <w:color w:val="auto"/>
                <w:sz w:val="24"/>
                <w:highlight w:val="none"/>
              </w:rPr>
            </w:pPr>
          </w:p>
        </w:tc>
        <w:tc>
          <w:tcPr>
            <w:tcW w:w="1559" w:type="dxa"/>
            <w:vAlign w:val="center"/>
          </w:tcPr>
          <w:p>
            <w:pPr>
              <w:shd w:val="clear"/>
              <w:jc w:val="center"/>
              <w:rPr>
                <w:rFonts w:hint="eastAsia" w:ascii="宋体" w:hAnsi="宋体" w:eastAsia="宋体" w:cs="宋体"/>
                <w:color w:val="auto"/>
                <w:sz w:val="24"/>
                <w:highlight w:val="none"/>
              </w:rPr>
            </w:pPr>
          </w:p>
        </w:tc>
      </w:tr>
    </w:tbl>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1.本表中的名称、数量应与报价明细表中相对应的报价名称、数量一致。</w:t>
      </w:r>
    </w:p>
    <w:p>
      <w:pPr>
        <w:shd w:val="clear"/>
        <w:spacing w:line="360" w:lineRule="auto"/>
        <w:rPr>
          <w:rFonts w:hint="eastAsia" w:ascii="宋体" w:hAnsi="宋体" w:eastAsia="宋体" w:cs="宋体"/>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14</w:t>
      </w:r>
    </w:p>
    <w:p>
      <w:pPr>
        <w:shd w:val="clear"/>
        <w:spacing w:line="480" w:lineRule="exact"/>
        <w:ind w:left="48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pPr>
              <w:shd w:val="clear"/>
              <w:spacing w:line="360" w:lineRule="auto"/>
              <w:ind w:left="13" w:leftChars="6"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49" w:type="dxa"/>
            <w:vAlign w:val="center"/>
          </w:tcPr>
          <w:p>
            <w:pPr>
              <w:shd w:val="clear"/>
              <w:spacing w:line="360" w:lineRule="auto"/>
              <w:ind w:left="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60" w:type="dxa"/>
            <w:vAlign w:val="center"/>
          </w:tcPr>
          <w:p>
            <w:pPr>
              <w:shd w:val="clear"/>
              <w:spacing w:line="360" w:lineRule="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招标参数</w:t>
            </w:r>
          </w:p>
        </w:tc>
        <w:tc>
          <w:tcPr>
            <w:tcW w:w="1401" w:type="dxa"/>
            <w:vAlign w:val="center"/>
          </w:tcPr>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投标参数</w:t>
            </w:r>
          </w:p>
        </w:tc>
        <w:tc>
          <w:tcPr>
            <w:tcW w:w="1365" w:type="dxa"/>
            <w:vAlign w:val="center"/>
          </w:tcPr>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spacing w:line="360" w:lineRule="auto"/>
              <w:rPr>
                <w:rFonts w:hint="eastAsia" w:ascii="宋体" w:hAnsi="宋体" w:eastAsia="宋体" w:cs="宋体"/>
                <w:color w:val="auto"/>
                <w:sz w:val="24"/>
                <w:highlight w:val="none"/>
              </w:rPr>
            </w:pPr>
          </w:p>
        </w:tc>
        <w:tc>
          <w:tcPr>
            <w:tcW w:w="1785" w:type="dxa"/>
            <w:vAlign w:val="center"/>
          </w:tcPr>
          <w:p>
            <w:pPr>
              <w:shd w:val="clear"/>
              <w:spacing w:line="360" w:lineRule="auto"/>
              <w:rPr>
                <w:rFonts w:hint="eastAsia" w:ascii="宋体" w:hAnsi="宋体" w:eastAsia="宋体" w:cs="宋体"/>
                <w:color w:val="auto"/>
                <w:sz w:val="24"/>
                <w:highlight w:val="none"/>
              </w:rPr>
            </w:pPr>
          </w:p>
        </w:tc>
        <w:tc>
          <w:tcPr>
            <w:tcW w:w="1449" w:type="dxa"/>
            <w:vAlign w:val="center"/>
          </w:tcPr>
          <w:p>
            <w:pPr>
              <w:shd w:val="clear"/>
              <w:spacing w:line="360" w:lineRule="auto"/>
              <w:rPr>
                <w:rFonts w:hint="eastAsia" w:ascii="宋体" w:hAnsi="宋体" w:eastAsia="宋体" w:cs="宋体"/>
                <w:color w:val="auto"/>
                <w:sz w:val="24"/>
                <w:highlight w:val="none"/>
              </w:rPr>
            </w:pPr>
          </w:p>
        </w:tc>
        <w:tc>
          <w:tcPr>
            <w:tcW w:w="1560" w:type="dxa"/>
            <w:vAlign w:val="center"/>
          </w:tcPr>
          <w:p>
            <w:pPr>
              <w:shd w:val="clear"/>
              <w:spacing w:line="360" w:lineRule="auto"/>
              <w:rPr>
                <w:rFonts w:hint="eastAsia" w:ascii="宋体" w:hAnsi="宋体" w:eastAsia="宋体" w:cs="宋体"/>
                <w:color w:val="auto"/>
                <w:sz w:val="24"/>
                <w:highlight w:val="none"/>
              </w:rPr>
            </w:pPr>
          </w:p>
        </w:tc>
        <w:tc>
          <w:tcPr>
            <w:tcW w:w="1401" w:type="dxa"/>
            <w:vAlign w:val="center"/>
          </w:tcPr>
          <w:p>
            <w:pPr>
              <w:shd w:val="clear"/>
              <w:spacing w:line="360" w:lineRule="auto"/>
              <w:rPr>
                <w:rFonts w:hint="eastAsia" w:ascii="宋体" w:hAnsi="宋体" w:eastAsia="宋体" w:cs="宋体"/>
                <w:color w:val="auto"/>
                <w:sz w:val="24"/>
                <w:highlight w:val="none"/>
              </w:rPr>
            </w:pPr>
          </w:p>
        </w:tc>
        <w:tc>
          <w:tcPr>
            <w:tcW w:w="1365"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auto"/>
                <w:sz w:val="24"/>
                <w:highlight w:val="none"/>
              </w:rPr>
            </w:pPr>
          </w:p>
        </w:tc>
        <w:tc>
          <w:tcPr>
            <w:tcW w:w="1785" w:type="dxa"/>
            <w:vAlign w:val="center"/>
          </w:tcPr>
          <w:p>
            <w:pPr>
              <w:shd w:val="clear"/>
              <w:spacing w:line="360" w:lineRule="auto"/>
              <w:rPr>
                <w:rFonts w:hint="eastAsia" w:ascii="宋体" w:hAnsi="宋体" w:eastAsia="宋体" w:cs="宋体"/>
                <w:color w:val="auto"/>
                <w:sz w:val="24"/>
                <w:highlight w:val="none"/>
              </w:rPr>
            </w:pPr>
          </w:p>
        </w:tc>
        <w:tc>
          <w:tcPr>
            <w:tcW w:w="1449" w:type="dxa"/>
            <w:vAlign w:val="center"/>
          </w:tcPr>
          <w:p>
            <w:pPr>
              <w:shd w:val="clear"/>
              <w:spacing w:line="360" w:lineRule="auto"/>
              <w:rPr>
                <w:rFonts w:hint="eastAsia" w:ascii="宋体" w:hAnsi="宋体" w:eastAsia="宋体" w:cs="宋体"/>
                <w:color w:val="auto"/>
                <w:sz w:val="24"/>
                <w:highlight w:val="none"/>
              </w:rPr>
            </w:pPr>
          </w:p>
        </w:tc>
        <w:tc>
          <w:tcPr>
            <w:tcW w:w="1560" w:type="dxa"/>
            <w:vAlign w:val="center"/>
          </w:tcPr>
          <w:p>
            <w:pPr>
              <w:shd w:val="clear"/>
              <w:spacing w:line="360" w:lineRule="auto"/>
              <w:rPr>
                <w:rFonts w:hint="eastAsia" w:ascii="宋体" w:hAnsi="宋体" w:eastAsia="宋体" w:cs="宋体"/>
                <w:color w:val="auto"/>
                <w:sz w:val="24"/>
                <w:highlight w:val="none"/>
              </w:rPr>
            </w:pPr>
          </w:p>
        </w:tc>
        <w:tc>
          <w:tcPr>
            <w:tcW w:w="1401" w:type="dxa"/>
            <w:vAlign w:val="center"/>
          </w:tcPr>
          <w:p>
            <w:pPr>
              <w:shd w:val="clear"/>
              <w:spacing w:line="360" w:lineRule="auto"/>
              <w:rPr>
                <w:rFonts w:hint="eastAsia" w:ascii="宋体" w:hAnsi="宋体" w:eastAsia="宋体" w:cs="宋体"/>
                <w:color w:val="auto"/>
                <w:sz w:val="24"/>
                <w:highlight w:val="none"/>
              </w:rPr>
            </w:pPr>
          </w:p>
        </w:tc>
        <w:tc>
          <w:tcPr>
            <w:tcW w:w="1365"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auto"/>
                <w:sz w:val="24"/>
                <w:highlight w:val="none"/>
              </w:rPr>
            </w:pPr>
          </w:p>
        </w:tc>
        <w:tc>
          <w:tcPr>
            <w:tcW w:w="1785" w:type="dxa"/>
            <w:vAlign w:val="center"/>
          </w:tcPr>
          <w:p>
            <w:pPr>
              <w:shd w:val="clear"/>
              <w:spacing w:line="360" w:lineRule="auto"/>
              <w:rPr>
                <w:rFonts w:hint="eastAsia" w:ascii="宋体" w:hAnsi="宋体" w:eastAsia="宋体" w:cs="宋体"/>
                <w:color w:val="auto"/>
                <w:sz w:val="24"/>
                <w:highlight w:val="none"/>
              </w:rPr>
            </w:pPr>
          </w:p>
        </w:tc>
        <w:tc>
          <w:tcPr>
            <w:tcW w:w="1449" w:type="dxa"/>
            <w:vAlign w:val="center"/>
          </w:tcPr>
          <w:p>
            <w:pPr>
              <w:shd w:val="clear"/>
              <w:spacing w:line="360" w:lineRule="auto"/>
              <w:rPr>
                <w:rFonts w:hint="eastAsia" w:ascii="宋体" w:hAnsi="宋体" w:eastAsia="宋体" w:cs="宋体"/>
                <w:color w:val="auto"/>
                <w:sz w:val="24"/>
                <w:highlight w:val="none"/>
              </w:rPr>
            </w:pPr>
          </w:p>
        </w:tc>
        <w:tc>
          <w:tcPr>
            <w:tcW w:w="1560" w:type="dxa"/>
            <w:vAlign w:val="center"/>
          </w:tcPr>
          <w:p>
            <w:pPr>
              <w:shd w:val="clear"/>
              <w:spacing w:line="360" w:lineRule="auto"/>
              <w:rPr>
                <w:rFonts w:hint="eastAsia" w:ascii="宋体" w:hAnsi="宋体" w:eastAsia="宋体" w:cs="宋体"/>
                <w:color w:val="auto"/>
                <w:sz w:val="24"/>
                <w:highlight w:val="none"/>
              </w:rPr>
            </w:pPr>
          </w:p>
        </w:tc>
        <w:tc>
          <w:tcPr>
            <w:tcW w:w="1401" w:type="dxa"/>
            <w:vAlign w:val="center"/>
          </w:tcPr>
          <w:p>
            <w:pPr>
              <w:shd w:val="clear"/>
              <w:spacing w:line="360" w:lineRule="auto"/>
              <w:rPr>
                <w:rFonts w:hint="eastAsia" w:ascii="宋体" w:hAnsi="宋体" w:eastAsia="宋体" w:cs="宋体"/>
                <w:color w:val="auto"/>
                <w:sz w:val="24"/>
                <w:highlight w:val="none"/>
              </w:rPr>
            </w:pPr>
          </w:p>
        </w:tc>
        <w:tc>
          <w:tcPr>
            <w:tcW w:w="1365"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spacing w:line="360" w:lineRule="auto"/>
              <w:rPr>
                <w:rFonts w:hint="eastAsia" w:ascii="宋体" w:hAnsi="宋体" w:eastAsia="宋体" w:cs="宋体"/>
                <w:color w:val="auto"/>
                <w:sz w:val="24"/>
                <w:highlight w:val="none"/>
              </w:rPr>
            </w:pPr>
          </w:p>
        </w:tc>
        <w:tc>
          <w:tcPr>
            <w:tcW w:w="1785" w:type="dxa"/>
            <w:vAlign w:val="center"/>
          </w:tcPr>
          <w:p>
            <w:pPr>
              <w:shd w:val="clear"/>
              <w:spacing w:line="360" w:lineRule="auto"/>
              <w:rPr>
                <w:rFonts w:hint="eastAsia" w:ascii="宋体" w:hAnsi="宋体" w:eastAsia="宋体" w:cs="宋体"/>
                <w:color w:val="auto"/>
                <w:sz w:val="24"/>
                <w:highlight w:val="none"/>
              </w:rPr>
            </w:pPr>
          </w:p>
        </w:tc>
        <w:tc>
          <w:tcPr>
            <w:tcW w:w="1449" w:type="dxa"/>
            <w:vAlign w:val="center"/>
          </w:tcPr>
          <w:p>
            <w:pPr>
              <w:shd w:val="clear"/>
              <w:spacing w:line="360" w:lineRule="auto"/>
              <w:rPr>
                <w:rFonts w:hint="eastAsia" w:ascii="宋体" w:hAnsi="宋体" w:eastAsia="宋体" w:cs="宋体"/>
                <w:color w:val="auto"/>
                <w:sz w:val="24"/>
                <w:highlight w:val="none"/>
              </w:rPr>
            </w:pPr>
          </w:p>
        </w:tc>
        <w:tc>
          <w:tcPr>
            <w:tcW w:w="1560" w:type="dxa"/>
            <w:vAlign w:val="center"/>
          </w:tcPr>
          <w:p>
            <w:pPr>
              <w:shd w:val="clear"/>
              <w:spacing w:line="360" w:lineRule="auto"/>
              <w:rPr>
                <w:rFonts w:hint="eastAsia" w:ascii="宋体" w:hAnsi="宋体" w:eastAsia="宋体" w:cs="宋体"/>
                <w:color w:val="auto"/>
                <w:sz w:val="24"/>
                <w:highlight w:val="none"/>
              </w:rPr>
            </w:pPr>
          </w:p>
        </w:tc>
        <w:tc>
          <w:tcPr>
            <w:tcW w:w="1401" w:type="dxa"/>
            <w:vAlign w:val="center"/>
          </w:tcPr>
          <w:p>
            <w:pPr>
              <w:shd w:val="clear"/>
              <w:spacing w:line="360" w:lineRule="auto"/>
              <w:rPr>
                <w:rFonts w:hint="eastAsia" w:ascii="宋体" w:hAnsi="宋体" w:eastAsia="宋体" w:cs="宋体"/>
                <w:color w:val="auto"/>
                <w:sz w:val="24"/>
                <w:highlight w:val="none"/>
              </w:rPr>
            </w:pPr>
          </w:p>
        </w:tc>
        <w:tc>
          <w:tcPr>
            <w:tcW w:w="1365"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hd w:val="clear"/>
              <w:spacing w:line="360" w:lineRule="auto"/>
              <w:rPr>
                <w:rFonts w:hint="eastAsia" w:ascii="宋体" w:hAnsi="宋体" w:eastAsia="宋体" w:cs="宋体"/>
                <w:color w:val="auto"/>
                <w:sz w:val="24"/>
                <w:highlight w:val="none"/>
              </w:rPr>
            </w:pPr>
          </w:p>
        </w:tc>
        <w:tc>
          <w:tcPr>
            <w:tcW w:w="1785" w:type="dxa"/>
            <w:vAlign w:val="center"/>
          </w:tcPr>
          <w:p>
            <w:pPr>
              <w:shd w:val="clear"/>
              <w:spacing w:line="360" w:lineRule="auto"/>
              <w:rPr>
                <w:rFonts w:hint="eastAsia" w:ascii="宋体" w:hAnsi="宋体" w:eastAsia="宋体" w:cs="宋体"/>
                <w:color w:val="auto"/>
                <w:sz w:val="24"/>
                <w:highlight w:val="none"/>
              </w:rPr>
            </w:pPr>
          </w:p>
        </w:tc>
        <w:tc>
          <w:tcPr>
            <w:tcW w:w="1449" w:type="dxa"/>
            <w:vAlign w:val="center"/>
          </w:tcPr>
          <w:p>
            <w:pPr>
              <w:shd w:val="clear"/>
              <w:spacing w:line="360" w:lineRule="auto"/>
              <w:rPr>
                <w:rFonts w:hint="eastAsia" w:ascii="宋体" w:hAnsi="宋体" w:eastAsia="宋体" w:cs="宋体"/>
                <w:color w:val="auto"/>
                <w:sz w:val="24"/>
                <w:highlight w:val="none"/>
              </w:rPr>
            </w:pPr>
          </w:p>
        </w:tc>
        <w:tc>
          <w:tcPr>
            <w:tcW w:w="1560" w:type="dxa"/>
            <w:vAlign w:val="center"/>
          </w:tcPr>
          <w:p>
            <w:pPr>
              <w:shd w:val="clear"/>
              <w:spacing w:line="360" w:lineRule="auto"/>
              <w:rPr>
                <w:rFonts w:hint="eastAsia" w:ascii="宋体" w:hAnsi="宋体" w:eastAsia="宋体" w:cs="宋体"/>
                <w:color w:val="auto"/>
                <w:sz w:val="24"/>
                <w:highlight w:val="none"/>
              </w:rPr>
            </w:pPr>
          </w:p>
        </w:tc>
        <w:tc>
          <w:tcPr>
            <w:tcW w:w="1401" w:type="dxa"/>
            <w:vAlign w:val="center"/>
          </w:tcPr>
          <w:p>
            <w:pPr>
              <w:shd w:val="clear"/>
              <w:spacing w:line="360" w:lineRule="auto"/>
              <w:rPr>
                <w:rFonts w:hint="eastAsia" w:ascii="宋体" w:hAnsi="宋体" w:eastAsia="宋体" w:cs="宋体"/>
                <w:color w:val="auto"/>
                <w:sz w:val="24"/>
                <w:highlight w:val="none"/>
              </w:rPr>
            </w:pPr>
          </w:p>
        </w:tc>
        <w:tc>
          <w:tcPr>
            <w:tcW w:w="1365"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spacing w:line="360" w:lineRule="auto"/>
              <w:rPr>
                <w:rFonts w:hint="eastAsia" w:ascii="宋体" w:hAnsi="宋体" w:eastAsia="宋体" w:cs="宋体"/>
                <w:color w:val="auto"/>
                <w:sz w:val="24"/>
                <w:highlight w:val="none"/>
              </w:rPr>
            </w:pPr>
          </w:p>
        </w:tc>
        <w:tc>
          <w:tcPr>
            <w:tcW w:w="1785" w:type="dxa"/>
            <w:vAlign w:val="center"/>
          </w:tcPr>
          <w:p>
            <w:pPr>
              <w:shd w:val="clear"/>
              <w:spacing w:line="360" w:lineRule="auto"/>
              <w:rPr>
                <w:rFonts w:hint="eastAsia" w:ascii="宋体" w:hAnsi="宋体" w:eastAsia="宋体" w:cs="宋体"/>
                <w:color w:val="auto"/>
                <w:sz w:val="24"/>
                <w:highlight w:val="none"/>
              </w:rPr>
            </w:pPr>
          </w:p>
        </w:tc>
        <w:tc>
          <w:tcPr>
            <w:tcW w:w="1449" w:type="dxa"/>
            <w:vAlign w:val="center"/>
          </w:tcPr>
          <w:p>
            <w:pPr>
              <w:shd w:val="clear"/>
              <w:spacing w:line="360" w:lineRule="auto"/>
              <w:rPr>
                <w:rFonts w:hint="eastAsia" w:ascii="宋体" w:hAnsi="宋体" w:eastAsia="宋体" w:cs="宋体"/>
                <w:color w:val="auto"/>
                <w:sz w:val="24"/>
                <w:highlight w:val="none"/>
              </w:rPr>
            </w:pPr>
          </w:p>
        </w:tc>
        <w:tc>
          <w:tcPr>
            <w:tcW w:w="1560" w:type="dxa"/>
            <w:vAlign w:val="center"/>
          </w:tcPr>
          <w:p>
            <w:pPr>
              <w:shd w:val="clear"/>
              <w:spacing w:line="360" w:lineRule="auto"/>
              <w:rPr>
                <w:rFonts w:hint="eastAsia" w:ascii="宋体" w:hAnsi="宋体" w:eastAsia="宋体" w:cs="宋体"/>
                <w:color w:val="auto"/>
                <w:sz w:val="24"/>
                <w:highlight w:val="none"/>
              </w:rPr>
            </w:pPr>
          </w:p>
        </w:tc>
        <w:tc>
          <w:tcPr>
            <w:tcW w:w="1401" w:type="dxa"/>
            <w:vAlign w:val="center"/>
          </w:tcPr>
          <w:p>
            <w:pPr>
              <w:shd w:val="clear"/>
              <w:spacing w:line="360" w:lineRule="auto"/>
              <w:rPr>
                <w:rFonts w:hint="eastAsia" w:ascii="宋体" w:hAnsi="宋体" w:eastAsia="宋体" w:cs="宋体"/>
                <w:color w:val="auto"/>
                <w:sz w:val="24"/>
                <w:highlight w:val="none"/>
              </w:rPr>
            </w:pPr>
          </w:p>
        </w:tc>
        <w:tc>
          <w:tcPr>
            <w:tcW w:w="1365"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spacing w:line="360" w:lineRule="auto"/>
              <w:rPr>
                <w:rFonts w:hint="eastAsia" w:ascii="宋体" w:hAnsi="宋体" w:eastAsia="宋体" w:cs="宋体"/>
                <w:color w:val="auto"/>
                <w:sz w:val="24"/>
                <w:highlight w:val="none"/>
              </w:rPr>
            </w:pPr>
          </w:p>
        </w:tc>
        <w:tc>
          <w:tcPr>
            <w:tcW w:w="1785" w:type="dxa"/>
            <w:vAlign w:val="center"/>
          </w:tcPr>
          <w:p>
            <w:pPr>
              <w:shd w:val="clear"/>
              <w:spacing w:line="360" w:lineRule="auto"/>
              <w:rPr>
                <w:rFonts w:hint="eastAsia" w:ascii="宋体" w:hAnsi="宋体" w:eastAsia="宋体" w:cs="宋体"/>
                <w:color w:val="auto"/>
                <w:sz w:val="24"/>
                <w:highlight w:val="none"/>
              </w:rPr>
            </w:pPr>
          </w:p>
        </w:tc>
        <w:tc>
          <w:tcPr>
            <w:tcW w:w="1449" w:type="dxa"/>
            <w:vAlign w:val="center"/>
          </w:tcPr>
          <w:p>
            <w:pPr>
              <w:shd w:val="clear"/>
              <w:spacing w:line="360" w:lineRule="auto"/>
              <w:rPr>
                <w:rFonts w:hint="eastAsia" w:ascii="宋体" w:hAnsi="宋体" w:eastAsia="宋体" w:cs="宋体"/>
                <w:color w:val="auto"/>
                <w:sz w:val="24"/>
                <w:highlight w:val="none"/>
              </w:rPr>
            </w:pPr>
          </w:p>
        </w:tc>
        <w:tc>
          <w:tcPr>
            <w:tcW w:w="1560" w:type="dxa"/>
            <w:vAlign w:val="center"/>
          </w:tcPr>
          <w:p>
            <w:pPr>
              <w:shd w:val="clear"/>
              <w:spacing w:line="360" w:lineRule="auto"/>
              <w:rPr>
                <w:rFonts w:hint="eastAsia" w:ascii="宋体" w:hAnsi="宋体" w:eastAsia="宋体" w:cs="宋体"/>
                <w:color w:val="auto"/>
                <w:sz w:val="24"/>
                <w:highlight w:val="none"/>
              </w:rPr>
            </w:pPr>
          </w:p>
        </w:tc>
        <w:tc>
          <w:tcPr>
            <w:tcW w:w="1401" w:type="dxa"/>
            <w:vAlign w:val="center"/>
          </w:tcPr>
          <w:p>
            <w:pPr>
              <w:shd w:val="clear"/>
              <w:spacing w:line="360" w:lineRule="auto"/>
              <w:rPr>
                <w:rFonts w:hint="eastAsia" w:ascii="宋体" w:hAnsi="宋体" w:eastAsia="宋体" w:cs="宋体"/>
                <w:color w:val="auto"/>
                <w:sz w:val="24"/>
                <w:highlight w:val="none"/>
              </w:rPr>
            </w:pPr>
          </w:p>
        </w:tc>
        <w:tc>
          <w:tcPr>
            <w:tcW w:w="1365" w:type="dxa"/>
            <w:vAlign w:val="center"/>
          </w:tcPr>
          <w:p>
            <w:pPr>
              <w:shd w:val="clear"/>
              <w:spacing w:line="360" w:lineRule="auto"/>
              <w:rPr>
                <w:rFonts w:hint="eastAsia" w:ascii="宋体" w:hAnsi="宋体" w:eastAsia="宋体" w:cs="宋体"/>
                <w:color w:val="auto"/>
                <w:sz w:val="24"/>
                <w:highlight w:val="none"/>
              </w:rPr>
            </w:pPr>
          </w:p>
        </w:tc>
      </w:tr>
    </w:tbl>
    <w:p>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1.本表的名称须与《报价明细表》一致。</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2.本表参照本招标文件第四章“招标需求”内第二条“具体技术需求”填制，投标人应根据投标设备的性能指标、服务指标，对照招标文件要求在“偏离情况”栏注明“正偏离”、“负偏离”或“无偏离”。</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hd w:val="clear"/>
        <w:spacing w:line="360" w:lineRule="auto"/>
        <w:rPr>
          <w:rFonts w:hint="eastAsia" w:ascii="宋体" w:hAnsi="宋体" w:eastAsia="宋体" w:cs="宋体"/>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15</w:t>
      </w:r>
    </w:p>
    <w:p>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tbl>
      <w:tblPr>
        <w:tblStyle w:val="2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0"/>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double" w:color="auto" w:sz="4" w:space="0"/>
            </w:tcBorders>
          </w:tcPr>
          <w:p>
            <w:pPr>
              <w:pStyle w:val="60"/>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double" w:color="auto" w:sz="4" w:space="0"/>
            </w:tcBorders>
          </w:tcPr>
          <w:p>
            <w:pPr>
              <w:pStyle w:val="60"/>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double" w:color="auto" w:sz="4" w:space="0"/>
              <w:right w:val="single" w:color="auto" w:sz="4" w:space="0"/>
            </w:tcBorders>
          </w:tcPr>
          <w:p>
            <w:pPr>
              <w:pStyle w:val="60"/>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258" w:type="dxa"/>
          </w:tcPr>
          <w:p>
            <w:pPr>
              <w:pStyle w:val="60"/>
              <w:shd w:val="clear"/>
              <w:spacing w:line="360" w:lineRule="auto"/>
              <w:jc w:val="center"/>
              <w:rPr>
                <w:rFonts w:hint="eastAsia" w:ascii="宋体" w:hAnsi="宋体" w:eastAsia="宋体" w:cs="宋体"/>
                <w:color w:val="auto"/>
                <w:szCs w:val="21"/>
                <w:highlight w:val="none"/>
              </w:rPr>
            </w:pPr>
          </w:p>
        </w:tc>
        <w:tc>
          <w:tcPr>
            <w:tcW w:w="2260" w:type="dxa"/>
          </w:tcPr>
          <w:p>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258" w:type="dxa"/>
          </w:tcPr>
          <w:p>
            <w:pPr>
              <w:pStyle w:val="60"/>
              <w:shd w:val="clear"/>
              <w:spacing w:line="360" w:lineRule="auto"/>
              <w:jc w:val="center"/>
              <w:rPr>
                <w:rFonts w:hint="eastAsia" w:ascii="宋体" w:hAnsi="宋体" w:eastAsia="宋体" w:cs="宋体"/>
                <w:color w:val="auto"/>
                <w:szCs w:val="21"/>
                <w:highlight w:val="none"/>
              </w:rPr>
            </w:pPr>
          </w:p>
        </w:tc>
        <w:tc>
          <w:tcPr>
            <w:tcW w:w="2260" w:type="dxa"/>
          </w:tcPr>
          <w:p>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258" w:type="dxa"/>
          </w:tcPr>
          <w:p>
            <w:pPr>
              <w:pStyle w:val="60"/>
              <w:shd w:val="clear"/>
              <w:spacing w:line="360" w:lineRule="auto"/>
              <w:jc w:val="center"/>
              <w:rPr>
                <w:rFonts w:hint="eastAsia" w:ascii="宋体" w:hAnsi="宋体" w:eastAsia="宋体" w:cs="宋体"/>
                <w:color w:val="auto"/>
                <w:szCs w:val="21"/>
                <w:highlight w:val="none"/>
              </w:rPr>
            </w:pPr>
          </w:p>
        </w:tc>
        <w:tc>
          <w:tcPr>
            <w:tcW w:w="2260" w:type="dxa"/>
          </w:tcPr>
          <w:p>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258" w:type="dxa"/>
          </w:tcPr>
          <w:p>
            <w:pPr>
              <w:pStyle w:val="60"/>
              <w:shd w:val="clear"/>
              <w:spacing w:line="360" w:lineRule="auto"/>
              <w:jc w:val="center"/>
              <w:rPr>
                <w:rFonts w:hint="eastAsia" w:ascii="宋体" w:hAnsi="宋体" w:eastAsia="宋体" w:cs="宋体"/>
                <w:color w:val="auto"/>
                <w:szCs w:val="21"/>
                <w:highlight w:val="none"/>
              </w:rPr>
            </w:pPr>
          </w:p>
        </w:tc>
        <w:tc>
          <w:tcPr>
            <w:tcW w:w="2260" w:type="dxa"/>
          </w:tcPr>
          <w:p>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258" w:type="dxa"/>
          </w:tcPr>
          <w:p>
            <w:pPr>
              <w:pStyle w:val="60"/>
              <w:shd w:val="clear"/>
              <w:spacing w:line="360" w:lineRule="auto"/>
              <w:jc w:val="center"/>
              <w:rPr>
                <w:rFonts w:hint="eastAsia" w:ascii="宋体" w:hAnsi="宋体" w:eastAsia="宋体" w:cs="宋体"/>
                <w:color w:val="auto"/>
                <w:szCs w:val="21"/>
                <w:highlight w:val="none"/>
              </w:rPr>
            </w:pPr>
          </w:p>
        </w:tc>
        <w:tc>
          <w:tcPr>
            <w:tcW w:w="2260" w:type="dxa"/>
          </w:tcPr>
          <w:p>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258" w:type="dxa"/>
          </w:tcPr>
          <w:p>
            <w:pPr>
              <w:pStyle w:val="60"/>
              <w:shd w:val="clear"/>
              <w:spacing w:line="360" w:lineRule="auto"/>
              <w:jc w:val="center"/>
              <w:rPr>
                <w:rFonts w:hint="eastAsia" w:ascii="宋体" w:hAnsi="宋体" w:eastAsia="宋体" w:cs="宋体"/>
                <w:color w:val="auto"/>
                <w:szCs w:val="21"/>
                <w:highlight w:val="none"/>
              </w:rPr>
            </w:pPr>
          </w:p>
        </w:tc>
        <w:tc>
          <w:tcPr>
            <w:tcW w:w="2260" w:type="dxa"/>
          </w:tcPr>
          <w:p>
            <w:pPr>
              <w:pStyle w:val="60"/>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258" w:type="dxa"/>
            <w:tcBorders>
              <w:bottom w:val="doub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260" w:type="dxa"/>
            <w:tcBorders>
              <w:bottom w:val="double" w:color="auto" w:sz="4" w:space="0"/>
            </w:tcBorders>
          </w:tcPr>
          <w:p>
            <w:pPr>
              <w:pStyle w:val="60"/>
              <w:shd w:val="clear"/>
              <w:spacing w:line="360" w:lineRule="auto"/>
              <w:jc w:val="center"/>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pPr>
              <w:pStyle w:val="60"/>
              <w:shd w:val="clear"/>
              <w:spacing w:line="360" w:lineRule="auto"/>
              <w:jc w:val="center"/>
              <w:rPr>
                <w:rFonts w:hint="eastAsia" w:ascii="宋体" w:hAnsi="宋体" w:eastAsia="宋体" w:cs="宋体"/>
                <w:color w:val="auto"/>
                <w:szCs w:val="21"/>
                <w:highlight w:val="none"/>
              </w:rPr>
            </w:pPr>
          </w:p>
        </w:tc>
      </w:tr>
    </w:tbl>
    <w:p>
      <w:pPr>
        <w:shd w:val="clear"/>
        <w:spacing w:line="360" w:lineRule="auto"/>
        <w:jc w:val="left"/>
        <w:rPr>
          <w:rFonts w:hint="eastAsia" w:ascii="宋体" w:hAnsi="宋体" w:eastAsia="宋体" w:cs="宋体"/>
          <w:b/>
          <w:bCs/>
          <w:color w:val="auto"/>
          <w:sz w:val="24"/>
          <w:szCs w:val="32"/>
          <w:highlight w:val="none"/>
          <w:lang w:val="zh-CN"/>
        </w:rPr>
      </w:pPr>
    </w:p>
    <w:p>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1.填写投标人获得资质、认证或企业信誉证书；</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2.附所列证书复印件或其他证明材料。</w:t>
      </w:r>
    </w:p>
    <w:p>
      <w:pPr>
        <w:shd w:val="clear"/>
        <w:spacing w:line="360" w:lineRule="auto"/>
        <w:jc w:val="left"/>
        <w:rPr>
          <w:rFonts w:hint="eastAsia" w:ascii="宋体" w:hAnsi="宋体" w:eastAsia="宋体" w:cs="宋体"/>
          <w:b/>
          <w:bCs/>
          <w:color w:val="auto"/>
          <w:sz w:val="24"/>
          <w:szCs w:val="32"/>
          <w:highlight w:val="none"/>
          <w:lang w:val="zh-CN"/>
        </w:rPr>
      </w:pPr>
    </w:p>
    <w:p>
      <w:pPr>
        <w:shd w:val="clear"/>
        <w:spacing w:line="360" w:lineRule="auto"/>
        <w:jc w:val="left"/>
        <w:rPr>
          <w:rFonts w:hint="eastAsia" w:ascii="宋体" w:hAnsi="宋体" w:eastAsia="宋体" w:cs="宋体"/>
          <w:b/>
          <w:bCs/>
          <w:color w:val="auto"/>
          <w:sz w:val="24"/>
          <w:szCs w:val="32"/>
          <w:highlight w:val="none"/>
          <w:lang w:val="zh-CN"/>
        </w:rPr>
      </w:pPr>
    </w:p>
    <w:p>
      <w:pPr>
        <w:shd w:val="clear"/>
        <w:spacing w:line="360" w:lineRule="auto"/>
        <w:jc w:val="left"/>
        <w:rPr>
          <w:rFonts w:hint="eastAsia" w:ascii="宋体" w:hAnsi="宋体" w:eastAsia="宋体" w:cs="宋体"/>
          <w:b/>
          <w:bCs/>
          <w:color w:val="auto"/>
          <w:sz w:val="24"/>
          <w:szCs w:val="32"/>
          <w:highlight w:val="none"/>
          <w:lang w:val="zh-CN"/>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16</w:t>
      </w:r>
    </w:p>
    <w:p>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6"/>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6"/>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6"/>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6"/>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6"/>
              <w:shd w:val="clear"/>
              <w:spacing w:line="360" w:lineRule="auto"/>
              <w:rPr>
                <w:rFonts w:hint="eastAsia" w:ascii="宋体" w:hAnsi="宋体" w:eastAsia="宋体" w:cs="宋体"/>
                <w:color w:val="auto"/>
                <w:sz w:val="24"/>
                <w:highlight w:val="none"/>
              </w:rPr>
            </w:pPr>
          </w:p>
        </w:tc>
      </w:tr>
    </w:tbl>
    <w:p>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1.业绩证明应提供证明材料（合同复印件可只提供首页、含金额页、盖章页并加盖投标人公章）；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2.报价供应商可按此表格式复制。</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17</w:t>
      </w:r>
    </w:p>
    <w:p>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c>
          <w:tcPr>
            <w:tcW w:w="1785" w:type="dxa"/>
            <w:vAlign w:val="center"/>
          </w:tcPr>
          <w:p>
            <w:pPr>
              <w:shd w:val="clear"/>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vAlign w:val="center"/>
          </w:tcPr>
          <w:p>
            <w:pPr>
              <w:shd w:val="clear"/>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25" w:type="dxa"/>
            <w:vAlign w:val="center"/>
          </w:tcPr>
          <w:p>
            <w:pPr>
              <w:shd w:val="clea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hd w:val="clear"/>
              <w:rPr>
                <w:rFonts w:hint="eastAsia" w:ascii="宋体" w:hAnsi="宋体" w:eastAsia="宋体" w:cs="宋体"/>
                <w:color w:val="auto"/>
                <w:sz w:val="24"/>
                <w:highlight w:val="none"/>
              </w:rPr>
            </w:pPr>
          </w:p>
        </w:tc>
        <w:tc>
          <w:tcPr>
            <w:tcW w:w="1785" w:type="dxa"/>
          </w:tcPr>
          <w:p>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vAlign w:val="center"/>
          </w:tcPr>
          <w:p>
            <w:pPr>
              <w:shd w:val="clear"/>
              <w:rPr>
                <w:rFonts w:hint="eastAsia" w:ascii="宋体" w:hAnsi="宋体" w:eastAsia="宋体" w:cs="宋体"/>
                <w:color w:val="auto"/>
                <w:sz w:val="24"/>
                <w:highlight w:val="none"/>
              </w:rPr>
            </w:pPr>
          </w:p>
        </w:tc>
        <w:tc>
          <w:tcPr>
            <w:tcW w:w="1365" w:type="dxa"/>
            <w:vAlign w:val="center"/>
          </w:tcPr>
          <w:p>
            <w:pPr>
              <w:shd w:val="clear"/>
              <w:rPr>
                <w:rFonts w:hint="eastAsia" w:ascii="宋体" w:hAnsi="宋体" w:eastAsia="宋体" w:cs="宋体"/>
                <w:color w:val="auto"/>
                <w:sz w:val="24"/>
                <w:highlight w:val="none"/>
              </w:rPr>
            </w:pPr>
          </w:p>
        </w:tc>
        <w:tc>
          <w:tcPr>
            <w:tcW w:w="2625" w:type="dxa"/>
            <w:vAlign w:val="center"/>
          </w:tcPr>
          <w:p>
            <w:pPr>
              <w:shd w:val="clea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hd w:val="clear"/>
              <w:rPr>
                <w:rFonts w:hint="eastAsia" w:ascii="宋体" w:hAnsi="宋体" w:eastAsia="宋体" w:cs="宋体"/>
                <w:color w:val="auto"/>
                <w:sz w:val="24"/>
                <w:highlight w:val="none"/>
              </w:rPr>
            </w:pPr>
          </w:p>
        </w:tc>
        <w:tc>
          <w:tcPr>
            <w:tcW w:w="1785" w:type="dxa"/>
          </w:tcPr>
          <w:p>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备品备件及耗材等要求</w:t>
            </w:r>
          </w:p>
        </w:tc>
        <w:tc>
          <w:tcPr>
            <w:tcW w:w="1785" w:type="dxa"/>
            <w:vAlign w:val="center"/>
          </w:tcPr>
          <w:p>
            <w:pPr>
              <w:shd w:val="clear"/>
              <w:rPr>
                <w:rFonts w:hint="eastAsia" w:ascii="宋体" w:hAnsi="宋体" w:eastAsia="宋体" w:cs="宋体"/>
                <w:color w:val="auto"/>
                <w:sz w:val="24"/>
                <w:highlight w:val="none"/>
              </w:rPr>
            </w:pPr>
          </w:p>
        </w:tc>
        <w:tc>
          <w:tcPr>
            <w:tcW w:w="1365" w:type="dxa"/>
            <w:vAlign w:val="center"/>
          </w:tcPr>
          <w:p>
            <w:pPr>
              <w:shd w:val="clear"/>
              <w:rPr>
                <w:rFonts w:hint="eastAsia" w:ascii="宋体" w:hAnsi="宋体" w:eastAsia="宋体" w:cs="宋体"/>
                <w:color w:val="auto"/>
                <w:sz w:val="24"/>
                <w:highlight w:val="none"/>
              </w:rPr>
            </w:pPr>
          </w:p>
        </w:tc>
        <w:tc>
          <w:tcPr>
            <w:tcW w:w="2625" w:type="dxa"/>
            <w:vAlign w:val="center"/>
          </w:tcPr>
          <w:p>
            <w:pPr>
              <w:shd w:val="clea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auto"/>
                <w:sz w:val="24"/>
                <w:highlight w:val="none"/>
              </w:rPr>
            </w:pPr>
          </w:p>
        </w:tc>
        <w:tc>
          <w:tcPr>
            <w:tcW w:w="1785" w:type="dxa"/>
          </w:tcPr>
          <w:p>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vAlign w:val="center"/>
          </w:tcPr>
          <w:p>
            <w:pPr>
              <w:shd w:val="clear"/>
              <w:rPr>
                <w:rFonts w:hint="eastAsia" w:ascii="宋体" w:hAnsi="宋体" w:eastAsia="宋体" w:cs="宋体"/>
                <w:color w:val="auto"/>
                <w:sz w:val="24"/>
                <w:highlight w:val="none"/>
              </w:rPr>
            </w:pPr>
          </w:p>
        </w:tc>
        <w:tc>
          <w:tcPr>
            <w:tcW w:w="1365" w:type="dxa"/>
            <w:vAlign w:val="center"/>
          </w:tcPr>
          <w:p>
            <w:pPr>
              <w:shd w:val="clear"/>
              <w:rPr>
                <w:rFonts w:hint="eastAsia" w:ascii="宋体" w:hAnsi="宋体" w:eastAsia="宋体" w:cs="宋体"/>
                <w:color w:val="auto"/>
                <w:sz w:val="24"/>
                <w:highlight w:val="none"/>
              </w:rPr>
            </w:pPr>
          </w:p>
        </w:tc>
        <w:tc>
          <w:tcPr>
            <w:tcW w:w="2625" w:type="dxa"/>
            <w:vAlign w:val="center"/>
          </w:tcPr>
          <w:p>
            <w:pPr>
              <w:shd w:val="clea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auto"/>
                <w:sz w:val="24"/>
                <w:highlight w:val="none"/>
              </w:rPr>
            </w:pPr>
          </w:p>
        </w:tc>
        <w:tc>
          <w:tcPr>
            <w:tcW w:w="1785" w:type="dxa"/>
          </w:tcPr>
          <w:p>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交货和服务</w:t>
            </w:r>
          </w:p>
          <w:p>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vAlign w:val="center"/>
          </w:tcPr>
          <w:p>
            <w:pPr>
              <w:shd w:val="clear"/>
              <w:rPr>
                <w:rFonts w:hint="eastAsia" w:ascii="宋体" w:hAnsi="宋体" w:eastAsia="宋体" w:cs="宋体"/>
                <w:color w:val="auto"/>
                <w:sz w:val="24"/>
                <w:highlight w:val="none"/>
              </w:rPr>
            </w:pPr>
          </w:p>
        </w:tc>
        <w:tc>
          <w:tcPr>
            <w:tcW w:w="1365" w:type="dxa"/>
            <w:vAlign w:val="center"/>
          </w:tcPr>
          <w:p>
            <w:pPr>
              <w:shd w:val="clear"/>
              <w:rPr>
                <w:rFonts w:hint="eastAsia" w:ascii="宋体" w:hAnsi="宋体" w:eastAsia="宋体" w:cs="宋体"/>
                <w:color w:val="auto"/>
                <w:sz w:val="24"/>
                <w:highlight w:val="none"/>
              </w:rPr>
            </w:pPr>
          </w:p>
        </w:tc>
        <w:tc>
          <w:tcPr>
            <w:tcW w:w="2625" w:type="dxa"/>
            <w:vAlign w:val="center"/>
          </w:tcPr>
          <w:p>
            <w:pPr>
              <w:shd w:val="clea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auto"/>
                <w:sz w:val="24"/>
                <w:highlight w:val="none"/>
              </w:rPr>
            </w:pPr>
          </w:p>
        </w:tc>
        <w:tc>
          <w:tcPr>
            <w:tcW w:w="1785" w:type="dxa"/>
          </w:tcPr>
          <w:p>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vAlign w:val="center"/>
          </w:tcPr>
          <w:p>
            <w:pPr>
              <w:shd w:val="clear"/>
              <w:rPr>
                <w:rFonts w:hint="eastAsia" w:ascii="宋体" w:hAnsi="宋体" w:eastAsia="宋体" w:cs="宋体"/>
                <w:color w:val="auto"/>
                <w:sz w:val="24"/>
                <w:highlight w:val="none"/>
              </w:rPr>
            </w:pPr>
          </w:p>
        </w:tc>
        <w:tc>
          <w:tcPr>
            <w:tcW w:w="1365" w:type="dxa"/>
            <w:vAlign w:val="center"/>
          </w:tcPr>
          <w:p>
            <w:pPr>
              <w:shd w:val="clear"/>
              <w:rPr>
                <w:rFonts w:hint="eastAsia" w:ascii="宋体" w:hAnsi="宋体" w:eastAsia="宋体" w:cs="宋体"/>
                <w:color w:val="auto"/>
                <w:sz w:val="24"/>
                <w:highlight w:val="none"/>
              </w:rPr>
            </w:pPr>
          </w:p>
        </w:tc>
        <w:tc>
          <w:tcPr>
            <w:tcW w:w="2625" w:type="dxa"/>
            <w:vAlign w:val="center"/>
          </w:tcPr>
          <w:p>
            <w:pPr>
              <w:shd w:val="clea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hd w:val="clear"/>
              <w:rPr>
                <w:rFonts w:hint="eastAsia" w:ascii="宋体" w:hAnsi="宋体" w:eastAsia="宋体" w:cs="宋体"/>
                <w:color w:val="auto"/>
                <w:sz w:val="24"/>
                <w:highlight w:val="none"/>
              </w:rPr>
            </w:pPr>
          </w:p>
        </w:tc>
        <w:tc>
          <w:tcPr>
            <w:tcW w:w="1785" w:type="dxa"/>
          </w:tcPr>
          <w:p>
            <w:pPr>
              <w:shd w:val="clea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vAlign w:val="center"/>
          </w:tcPr>
          <w:p>
            <w:pPr>
              <w:shd w:val="clear"/>
              <w:rPr>
                <w:rFonts w:hint="eastAsia" w:ascii="宋体" w:hAnsi="宋体" w:eastAsia="宋体" w:cs="宋体"/>
                <w:color w:val="auto"/>
                <w:sz w:val="24"/>
                <w:highlight w:val="none"/>
              </w:rPr>
            </w:pPr>
          </w:p>
        </w:tc>
        <w:tc>
          <w:tcPr>
            <w:tcW w:w="1365" w:type="dxa"/>
            <w:vAlign w:val="center"/>
          </w:tcPr>
          <w:p>
            <w:pPr>
              <w:shd w:val="clear"/>
              <w:rPr>
                <w:rFonts w:hint="eastAsia" w:ascii="宋体" w:hAnsi="宋体" w:eastAsia="宋体" w:cs="宋体"/>
                <w:color w:val="auto"/>
                <w:sz w:val="24"/>
                <w:highlight w:val="none"/>
              </w:rPr>
            </w:pPr>
          </w:p>
        </w:tc>
        <w:tc>
          <w:tcPr>
            <w:tcW w:w="2625" w:type="dxa"/>
            <w:vAlign w:val="center"/>
          </w:tcPr>
          <w:p>
            <w:pPr>
              <w:shd w:val="clea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hd w:val="clear"/>
              <w:rPr>
                <w:rFonts w:hint="eastAsia" w:ascii="宋体" w:hAnsi="宋体" w:eastAsia="宋体" w:cs="宋体"/>
                <w:color w:val="auto"/>
                <w:sz w:val="24"/>
                <w:highlight w:val="none"/>
              </w:rPr>
            </w:pPr>
          </w:p>
        </w:tc>
        <w:tc>
          <w:tcPr>
            <w:tcW w:w="1785" w:type="dxa"/>
          </w:tcPr>
          <w:p>
            <w:pPr>
              <w:shd w:val="clear"/>
              <w:snapToGrid w:val="0"/>
              <w:rPr>
                <w:rFonts w:hint="eastAsia" w:ascii="宋体" w:hAnsi="宋体" w:eastAsia="宋体" w:cs="宋体"/>
                <w:color w:val="auto"/>
                <w:sz w:val="24"/>
                <w:highlight w:val="none"/>
              </w:rPr>
            </w:pPr>
          </w:p>
        </w:tc>
        <w:tc>
          <w:tcPr>
            <w:tcW w:w="1785" w:type="dxa"/>
            <w:vAlign w:val="center"/>
          </w:tcPr>
          <w:p>
            <w:pPr>
              <w:shd w:val="clear"/>
              <w:rPr>
                <w:rFonts w:hint="eastAsia" w:ascii="宋体" w:hAnsi="宋体" w:eastAsia="宋体" w:cs="宋体"/>
                <w:color w:val="auto"/>
                <w:sz w:val="24"/>
                <w:highlight w:val="none"/>
              </w:rPr>
            </w:pPr>
          </w:p>
        </w:tc>
        <w:tc>
          <w:tcPr>
            <w:tcW w:w="1365" w:type="dxa"/>
            <w:vAlign w:val="center"/>
          </w:tcPr>
          <w:p>
            <w:pPr>
              <w:shd w:val="clear"/>
              <w:rPr>
                <w:rFonts w:hint="eastAsia" w:ascii="宋体" w:hAnsi="宋体" w:eastAsia="宋体" w:cs="宋体"/>
                <w:color w:val="auto"/>
                <w:sz w:val="24"/>
                <w:highlight w:val="none"/>
              </w:rPr>
            </w:pPr>
          </w:p>
        </w:tc>
        <w:tc>
          <w:tcPr>
            <w:tcW w:w="2625" w:type="dxa"/>
            <w:vAlign w:val="center"/>
          </w:tcPr>
          <w:p>
            <w:pPr>
              <w:shd w:val="clea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hd w:val="clear"/>
              <w:rPr>
                <w:rFonts w:hint="eastAsia" w:ascii="宋体" w:hAnsi="宋体" w:eastAsia="宋体" w:cs="宋体"/>
                <w:color w:val="auto"/>
                <w:sz w:val="24"/>
                <w:highlight w:val="none"/>
              </w:rPr>
            </w:pPr>
          </w:p>
        </w:tc>
        <w:tc>
          <w:tcPr>
            <w:tcW w:w="1785" w:type="dxa"/>
          </w:tcPr>
          <w:p>
            <w:pPr>
              <w:shd w:val="clear"/>
              <w:snapToGrid w:val="0"/>
              <w:rPr>
                <w:rFonts w:hint="eastAsia" w:ascii="宋体" w:hAnsi="宋体" w:eastAsia="宋体" w:cs="宋体"/>
                <w:color w:val="auto"/>
                <w:sz w:val="24"/>
                <w:highlight w:val="none"/>
              </w:rPr>
            </w:pPr>
          </w:p>
        </w:tc>
        <w:tc>
          <w:tcPr>
            <w:tcW w:w="1785" w:type="dxa"/>
            <w:vAlign w:val="center"/>
          </w:tcPr>
          <w:p>
            <w:pPr>
              <w:shd w:val="clear"/>
              <w:rPr>
                <w:rFonts w:hint="eastAsia" w:ascii="宋体" w:hAnsi="宋体" w:eastAsia="宋体" w:cs="宋体"/>
                <w:color w:val="auto"/>
                <w:sz w:val="24"/>
                <w:highlight w:val="none"/>
              </w:rPr>
            </w:pPr>
          </w:p>
        </w:tc>
        <w:tc>
          <w:tcPr>
            <w:tcW w:w="1365" w:type="dxa"/>
            <w:vAlign w:val="center"/>
          </w:tcPr>
          <w:p>
            <w:pPr>
              <w:shd w:val="clear"/>
              <w:rPr>
                <w:rFonts w:hint="eastAsia" w:ascii="宋体" w:hAnsi="宋体" w:eastAsia="宋体" w:cs="宋体"/>
                <w:color w:val="auto"/>
                <w:sz w:val="24"/>
                <w:highlight w:val="none"/>
              </w:rPr>
            </w:pPr>
          </w:p>
        </w:tc>
        <w:tc>
          <w:tcPr>
            <w:tcW w:w="2625" w:type="dxa"/>
            <w:vAlign w:val="center"/>
          </w:tcPr>
          <w:p>
            <w:pPr>
              <w:shd w:val="clear"/>
              <w:rPr>
                <w:rFonts w:hint="eastAsia" w:ascii="宋体" w:hAnsi="宋体" w:eastAsia="宋体" w:cs="宋体"/>
                <w:color w:val="auto"/>
                <w:sz w:val="24"/>
                <w:highlight w:val="none"/>
              </w:rPr>
            </w:pPr>
          </w:p>
        </w:tc>
      </w:tr>
    </w:tbl>
    <w:p>
      <w:pPr>
        <w:shd w:val="clear"/>
        <w:spacing w:line="360" w:lineRule="auto"/>
        <w:rPr>
          <w:rFonts w:hint="eastAsia" w:ascii="宋体" w:hAnsi="宋体" w:eastAsia="宋体" w:cs="宋体"/>
          <w:b/>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widowControl/>
        <w:shd w:val="clear"/>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shd w:val="clear"/>
        <w:tabs>
          <w:tab w:val="left" w:pos="2460"/>
        </w:tabs>
        <w:spacing w:line="480" w:lineRule="exac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附件18</w:t>
      </w:r>
    </w:p>
    <w:p>
      <w:pPr>
        <w:shd w:val="clear"/>
        <w:spacing w:line="480" w:lineRule="exact"/>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9"/>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vAlign w:val="center"/>
          </w:tcPr>
          <w:p>
            <w:pPr>
              <w:pStyle w:val="59"/>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vAlign w:val="center"/>
          </w:tcPr>
          <w:p>
            <w:pPr>
              <w:pStyle w:val="59"/>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vAlign w:val="center"/>
          </w:tcPr>
          <w:p>
            <w:pPr>
              <w:pStyle w:val="59"/>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9"/>
              <w:shd w:val="clea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保修期内售后服务情况(服务方式、服务网点、售后服务的内容和措施等等，可用附页和宣传材料)</w:t>
            </w:r>
          </w:p>
        </w:tc>
        <w:tc>
          <w:tcPr>
            <w:tcW w:w="4061" w:type="dxa"/>
          </w:tcPr>
          <w:p>
            <w:pPr>
              <w:pStyle w:val="59"/>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生产厂商售后服务情况：</w:t>
            </w:r>
          </w:p>
        </w:tc>
        <w:tc>
          <w:tcPr>
            <w:tcW w:w="1373" w:type="dxa"/>
          </w:tcPr>
          <w:p>
            <w:pPr>
              <w:pStyle w:val="59"/>
              <w:shd w:val="clear"/>
              <w:spacing w:line="360" w:lineRule="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9"/>
              <w:widowControl/>
              <w:shd w:val="clear"/>
              <w:spacing w:line="360" w:lineRule="auto"/>
              <w:jc w:val="left"/>
              <w:rPr>
                <w:rFonts w:hint="eastAsia" w:ascii="宋体" w:hAnsi="宋体" w:eastAsia="宋体" w:cs="宋体"/>
                <w:bCs/>
                <w:color w:val="auto"/>
                <w:sz w:val="24"/>
                <w:highlight w:val="none"/>
              </w:rPr>
            </w:pPr>
          </w:p>
        </w:tc>
        <w:tc>
          <w:tcPr>
            <w:tcW w:w="2355" w:type="dxa"/>
            <w:vMerge w:val="continue"/>
            <w:vAlign w:val="center"/>
          </w:tcPr>
          <w:p>
            <w:pPr>
              <w:pStyle w:val="59"/>
              <w:widowControl/>
              <w:shd w:val="clear"/>
              <w:spacing w:line="360" w:lineRule="auto"/>
              <w:jc w:val="left"/>
              <w:rPr>
                <w:rFonts w:hint="eastAsia" w:ascii="宋体" w:hAnsi="宋体" w:eastAsia="宋体" w:cs="宋体"/>
                <w:bCs/>
                <w:color w:val="auto"/>
                <w:sz w:val="24"/>
                <w:highlight w:val="none"/>
              </w:rPr>
            </w:pPr>
          </w:p>
        </w:tc>
        <w:tc>
          <w:tcPr>
            <w:tcW w:w="4061" w:type="dxa"/>
          </w:tcPr>
          <w:p>
            <w:pPr>
              <w:pStyle w:val="59"/>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投标人售后服务情况：</w:t>
            </w:r>
          </w:p>
        </w:tc>
        <w:tc>
          <w:tcPr>
            <w:tcW w:w="1373" w:type="dxa"/>
          </w:tcPr>
          <w:p>
            <w:pPr>
              <w:pStyle w:val="59"/>
              <w:shd w:val="clear"/>
              <w:spacing w:line="360" w:lineRule="auto"/>
              <w:jc w:val="left"/>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9"/>
              <w:shd w:val="clea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pPr>
              <w:pStyle w:val="59"/>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保修期后售后服务</w:t>
            </w:r>
          </w:p>
        </w:tc>
        <w:tc>
          <w:tcPr>
            <w:tcW w:w="4061" w:type="dxa"/>
          </w:tcPr>
          <w:p>
            <w:pPr>
              <w:pStyle w:val="59"/>
              <w:widowControl/>
              <w:shd w:val="clear"/>
              <w:spacing w:line="360" w:lineRule="auto"/>
              <w:jc w:val="left"/>
              <w:rPr>
                <w:rFonts w:hint="eastAsia" w:ascii="宋体" w:hAnsi="宋体" w:eastAsia="宋体" w:cs="宋体"/>
                <w:bCs/>
                <w:color w:val="auto"/>
                <w:sz w:val="24"/>
                <w:highlight w:val="none"/>
              </w:rPr>
            </w:pPr>
          </w:p>
          <w:p>
            <w:pPr>
              <w:pStyle w:val="59"/>
              <w:widowControl/>
              <w:shd w:val="clear"/>
              <w:spacing w:line="360" w:lineRule="auto"/>
              <w:jc w:val="left"/>
              <w:rPr>
                <w:rFonts w:hint="eastAsia" w:ascii="宋体" w:hAnsi="宋体" w:eastAsia="宋体" w:cs="宋体"/>
                <w:bCs/>
                <w:color w:val="auto"/>
                <w:sz w:val="24"/>
                <w:highlight w:val="none"/>
              </w:rPr>
            </w:pPr>
          </w:p>
          <w:p>
            <w:pPr>
              <w:pStyle w:val="59"/>
              <w:shd w:val="clear"/>
              <w:spacing w:line="360" w:lineRule="auto"/>
              <w:rPr>
                <w:rFonts w:hint="eastAsia" w:ascii="宋体" w:hAnsi="宋体" w:eastAsia="宋体" w:cs="宋体"/>
                <w:bCs/>
                <w:color w:val="auto"/>
                <w:sz w:val="24"/>
                <w:highlight w:val="none"/>
              </w:rPr>
            </w:pPr>
          </w:p>
        </w:tc>
        <w:tc>
          <w:tcPr>
            <w:tcW w:w="1373" w:type="dxa"/>
          </w:tcPr>
          <w:p>
            <w:pPr>
              <w:pStyle w:val="59"/>
              <w:widowControl/>
              <w:shd w:val="clear"/>
              <w:spacing w:line="360" w:lineRule="auto"/>
              <w:jc w:val="left"/>
              <w:rPr>
                <w:rFonts w:hint="eastAsia" w:ascii="宋体" w:hAnsi="宋体" w:eastAsia="宋体" w:cs="宋体"/>
                <w:bCs/>
                <w:color w:val="auto"/>
                <w:sz w:val="24"/>
                <w:highlight w:val="none"/>
              </w:rPr>
            </w:pPr>
          </w:p>
          <w:p>
            <w:pPr>
              <w:pStyle w:val="59"/>
              <w:widowControl/>
              <w:shd w:val="clear"/>
              <w:spacing w:line="360" w:lineRule="auto"/>
              <w:jc w:val="left"/>
              <w:rPr>
                <w:rFonts w:hint="eastAsia" w:ascii="宋体" w:hAnsi="宋体" w:eastAsia="宋体" w:cs="宋体"/>
                <w:bCs/>
                <w:color w:val="auto"/>
                <w:sz w:val="24"/>
                <w:highlight w:val="none"/>
              </w:rPr>
            </w:pPr>
          </w:p>
          <w:p>
            <w:pPr>
              <w:pStyle w:val="59"/>
              <w:shd w:val="clear"/>
              <w:spacing w:line="360" w:lineRule="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tcPr>
          <w:p>
            <w:pPr>
              <w:pStyle w:val="59"/>
              <w:widowControl/>
              <w:shd w:val="clear"/>
              <w:spacing w:line="360" w:lineRule="auto"/>
              <w:jc w:val="left"/>
              <w:rPr>
                <w:rFonts w:hint="eastAsia" w:ascii="宋体" w:hAnsi="宋体" w:eastAsia="宋体" w:cs="宋体"/>
                <w:bCs/>
                <w:i/>
                <w:color w:val="auto"/>
                <w:sz w:val="24"/>
                <w:highlight w:val="none"/>
              </w:rPr>
            </w:pPr>
          </w:p>
          <w:p>
            <w:pPr>
              <w:pStyle w:val="59"/>
              <w:widowControl/>
              <w:shd w:val="clear"/>
              <w:spacing w:line="360" w:lineRule="auto"/>
              <w:jc w:val="left"/>
              <w:rPr>
                <w:rFonts w:hint="eastAsia" w:ascii="宋体" w:hAnsi="宋体" w:eastAsia="宋体" w:cs="宋体"/>
                <w:bCs/>
                <w:i/>
                <w:color w:val="auto"/>
                <w:sz w:val="24"/>
                <w:highlight w:val="none"/>
              </w:rPr>
            </w:pPr>
          </w:p>
        </w:tc>
        <w:tc>
          <w:tcPr>
            <w:tcW w:w="1373" w:type="dxa"/>
          </w:tcPr>
          <w:p>
            <w:pPr>
              <w:pStyle w:val="59"/>
              <w:widowControl/>
              <w:shd w:val="clear"/>
              <w:spacing w:line="360" w:lineRule="auto"/>
              <w:jc w:val="left"/>
              <w:rPr>
                <w:rFonts w:hint="eastAsia" w:ascii="宋体" w:hAnsi="宋体" w:eastAsia="宋体" w:cs="宋体"/>
                <w:bCs/>
                <w:i/>
                <w:color w:val="auto"/>
                <w:sz w:val="24"/>
                <w:highlight w:val="none"/>
              </w:rPr>
            </w:pPr>
          </w:p>
          <w:p>
            <w:pPr>
              <w:pStyle w:val="59"/>
              <w:widowControl/>
              <w:shd w:val="clear"/>
              <w:spacing w:line="360" w:lineRule="auto"/>
              <w:jc w:val="left"/>
              <w:rPr>
                <w:rFonts w:hint="eastAsia" w:ascii="宋体" w:hAnsi="宋体" w:eastAsia="宋体" w:cs="宋体"/>
                <w:bCs/>
                <w:i/>
                <w:color w:val="auto"/>
                <w:sz w:val="24"/>
                <w:highlight w:val="none"/>
              </w:rPr>
            </w:pPr>
          </w:p>
          <w:p>
            <w:pPr>
              <w:pStyle w:val="59"/>
              <w:widowControl/>
              <w:shd w:val="clear"/>
              <w:spacing w:line="360" w:lineRule="auto"/>
              <w:jc w:val="left"/>
              <w:rPr>
                <w:rFonts w:hint="eastAsia" w:ascii="宋体" w:hAnsi="宋体" w:eastAsia="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vAlign w:val="center"/>
          </w:tcPr>
          <w:p>
            <w:pPr>
              <w:pStyle w:val="59"/>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Borders>
              <w:bottom w:val="single" w:color="auto" w:sz="4" w:space="0"/>
            </w:tcBorders>
          </w:tcPr>
          <w:p>
            <w:pPr>
              <w:pStyle w:val="59"/>
              <w:widowControl/>
              <w:shd w:val="clear"/>
              <w:spacing w:line="360" w:lineRule="auto"/>
              <w:jc w:val="left"/>
              <w:rPr>
                <w:rFonts w:hint="eastAsia" w:ascii="宋体" w:hAnsi="宋体" w:eastAsia="宋体" w:cs="宋体"/>
                <w:bCs/>
                <w:color w:val="auto"/>
                <w:sz w:val="24"/>
                <w:highlight w:val="none"/>
              </w:rPr>
            </w:pPr>
          </w:p>
        </w:tc>
        <w:tc>
          <w:tcPr>
            <w:tcW w:w="1373" w:type="dxa"/>
            <w:tcBorders>
              <w:bottom w:val="single" w:color="auto" w:sz="4" w:space="0"/>
            </w:tcBorders>
          </w:tcPr>
          <w:p>
            <w:pPr>
              <w:pStyle w:val="59"/>
              <w:widowControl/>
              <w:shd w:val="clear"/>
              <w:spacing w:line="360" w:lineRule="auto"/>
              <w:jc w:val="left"/>
              <w:rPr>
                <w:rFonts w:hint="eastAsia" w:ascii="宋体" w:hAnsi="宋体" w:eastAsia="宋体" w:cs="宋体"/>
                <w:bCs/>
                <w:color w:val="auto"/>
                <w:sz w:val="24"/>
                <w:highlight w:val="none"/>
              </w:rPr>
            </w:pPr>
          </w:p>
        </w:tc>
      </w:tr>
    </w:tbl>
    <w:p>
      <w:pPr>
        <w:shd w:val="clear"/>
        <w:spacing w:line="360" w:lineRule="auto"/>
        <w:rPr>
          <w:rFonts w:hint="eastAsia" w:ascii="宋体" w:hAnsi="宋体" w:eastAsia="宋体" w:cs="宋体"/>
          <w:b/>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widowControl/>
        <w:shd w:val="clear"/>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附件19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pPr>
        <w:shd w:val="clear"/>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hd w:val="clea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pPr>
        <w:shd w:val="clear"/>
        <w:jc w:val="center"/>
        <w:rPr>
          <w:rFonts w:hint="eastAsia" w:ascii="宋体" w:hAnsi="宋体" w:eastAsia="宋体" w:cs="宋体"/>
          <w:b/>
          <w:color w:val="auto"/>
          <w:spacing w:val="40"/>
          <w:sz w:val="84"/>
          <w:szCs w:val="84"/>
          <w:highlight w:val="none"/>
        </w:rPr>
      </w:pPr>
    </w:p>
    <w:p>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pPr>
        <w:shd w:val="clear"/>
        <w:jc w:val="center"/>
        <w:rPr>
          <w:rFonts w:hint="eastAsia" w:ascii="宋体" w:hAnsi="宋体" w:eastAsia="宋体" w:cs="宋体"/>
          <w:color w:val="auto"/>
          <w:sz w:val="36"/>
          <w:szCs w:val="36"/>
          <w:highlight w:val="none"/>
        </w:rPr>
      </w:pPr>
    </w:p>
    <w:p>
      <w:pPr>
        <w:shd w:val="clear"/>
        <w:jc w:val="center"/>
        <w:rPr>
          <w:rFonts w:hint="eastAsia" w:ascii="宋体" w:hAnsi="宋体" w:eastAsia="宋体" w:cs="宋体"/>
          <w:color w:val="auto"/>
          <w:sz w:val="36"/>
          <w:szCs w:val="36"/>
          <w:highlight w:val="none"/>
        </w:rPr>
      </w:pPr>
    </w:p>
    <w:p>
      <w:pPr>
        <w:shd w:val="clear"/>
        <w:jc w:val="center"/>
        <w:rPr>
          <w:rFonts w:hint="eastAsia" w:ascii="宋体" w:hAnsi="宋体" w:eastAsia="宋体" w:cs="宋体"/>
          <w:color w:val="auto"/>
          <w:sz w:val="36"/>
          <w:szCs w:val="36"/>
          <w:highlight w:val="none"/>
        </w:rPr>
      </w:pPr>
    </w:p>
    <w:p>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w:t>
      </w:r>
      <w:r>
        <w:rPr>
          <w:rFonts w:hint="eastAsia" w:ascii="宋体" w:hAnsi="宋体" w:eastAsia="宋体" w:cs="宋体"/>
          <w:color w:val="auto"/>
          <w:sz w:val="32"/>
          <w:szCs w:val="32"/>
          <w:highlight w:val="none"/>
        </w:rPr>
        <w:t>（加盖公章，如为联合体，则为联合体牵头人）</w:t>
      </w:r>
      <w:r>
        <w:rPr>
          <w:rFonts w:hint="eastAsia" w:ascii="宋体" w:hAnsi="宋体" w:eastAsia="宋体" w:cs="宋体"/>
          <w:color w:val="auto"/>
          <w:sz w:val="36"/>
          <w:szCs w:val="36"/>
          <w:highlight w:val="none"/>
        </w:rPr>
        <w:t>：</w:t>
      </w:r>
    </w:p>
    <w:p>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hd w:val="clear"/>
        <w:spacing w:line="360" w:lineRule="auto"/>
        <w:rPr>
          <w:rFonts w:hint="eastAsia" w:ascii="宋体" w:hAnsi="宋体" w:eastAsia="宋体" w:cs="宋体"/>
          <w:color w:val="auto"/>
          <w:sz w:val="24"/>
          <w:highlight w:val="none"/>
        </w:rPr>
      </w:pPr>
    </w:p>
    <w:p>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1、开标一览表（附件20）；</w:t>
      </w:r>
    </w:p>
    <w:p>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2、报价明细表（附件21）；</w:t>
      </w:r>
    </w:p>
    <w:p>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3、针对报价投标人认为其他需要说明的；</w:t>
      </w:r>
    </w:p>
    <w:p>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4、中小企业等声明函（附件22）。</w:t>
      </w:r>
    </w:p>
    <w:p>
      <w:pPr>
        <w:shd w:val="clear"/>
        <w:spacing w:line="360" w:lineRule="auto"/>
        <w:ind w:firstLine="480" w:firstLineChars="200"/>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sz w:val="24"/>
          <w:szCs w:val="32"/>
          <w:highlight w:val="none"/>
        </w:rPr>
      </w:pPr>
    </w:p>
    <w:p>
      <w:pPr>
        <w:pStyle w:val="22"/>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sz w:val="24"/>
          <w:szCs w:val="32"/>
          <w:highlight w:val="none"/>
        </w:rPr>
      </w:pPr>
    </w:p>
    <w:p>
      <w:pPr>
        <w:pStyle w:val="22"/>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sz w:val="24"/>
          <w:szCs w:val="32"/>
          <w:highlight w:val="none"/>
        </w:rPr>
      </w:pPr>
    </w:p>
    <w:p>
      <w:pPr>
        <w:pStyle w:val="22"/>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sz w:val="24"/>
          <w:szCs w:val="32"/>
          <w:highlight w:val="none"/>
        </w:rPr>
      </w:pPr>
    </w:p>
    <w:p>
      <w:pPr>
        <w:pStyle w:val="22"/>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sz w:val="24"/>
          <w:szCs w:val="32"/>
          <w:highlight w:val="none"/>
        </w:rPr>
      </w:pPr>
    </w:p>
    <w:p>
      <w:pPr>
        <w:pStyle w:val="22"/>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pStyle w:val="10"/>
        <w:shd w:val="clear"/>
        <w:rPr>
          <w:rFonts w:hint="eastAsia" w:ascii="宋体" w:hAnsi="宋体" w:eastAsia="宋体" w:cs="宋体"/>
          <w:color w:val="auto"/>
          <w:szCs w:val="32"/>
          <w:highlight w:val="none"/>
        </w:rPr>
      </w:pPr>
    </w:p>
    <w:p>
      <w:pPr>
        <w:pStyle w:val="26"/>
        <w:shd w:val="clear"/>
        <w:rPr>
          <w:rFonts w:hint="eastAsia" w:ascii="宋体" w:hAnsi="宋体" w:eastAsia="宋体" w:cs="宋体"/>
          <w:color w:val="auto"/>
          <w:sz w:val="24"/>
          <w:szCs w:val="32"/>
          <w:highlight w:val="none"/>
        </w:rPr>
      </w:pPr>
    </w:p>
    <w:p>
      <w:pPr>
        <w:pStyle w:val="22"/>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shd w:val="clear"/>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附件20</w:t>
      </w:r>
    </w:p>
    <w:p>
      <w:pPr>
        <w:shd w:val="clea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shd w:val="clear"/>
        <w:spacing w:line="360" w:lineRule="auto"/>
        <w:ind w:left="-2" w:hanging="2"/>
        <w:jc w:val="center"/>
        <w:rPr>
          <w:rFonts w:hint="eastAsia" w:ascii="宋体" w:hAnsi="宋体" w:eastAsia="宋体" w:cs="宋体"/>
          <w:b/>
          <w:color w:val="auto"/>
          <w:sz w:val="32"/>
          <w:szCs w:val="32"/>
          <w:highlight w:val="none"/>
        </w:rPr>
      </w:pP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hd w:val="clea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shd w:val="clear"/>
              <w:rPr>
                <w:rFonts w:hint="eastAsia" w:ascii="宋体" w:hAnsi="宋体" w:eastAsia="宋体" w:cs="宋体"/>
                <w:color w:val="auto"/>
                <w:sz w:val="24"/>
                <w:highlight w:val="none"/>
              </w:rPr>
            </w:pPr>
          </w:p>
        </w:tc>
        <w:tc>
          <w:tcPr>
            <w:tcW w:w="1349" w:type="dxa"/>
            <w:vAlign w:val="center"/>
          </w:tcPr>
          <w:p>
            <w:pPr>
              <w:shd w:val="clea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29" w:type="dxa"/>
            <w:vAlign w:val="center"/>
          </w:tcPr>
          <w:p>
            <w:pPr>
              <w:shd w:val="clear"/>
              <w:autoSpaceDE w:val="0"/>
              <w:autoSpaceDN w:val="0"/>
              <w:spacing w:line="450" w:lineRule="exact"/>
              <w:jc w:val="center"/>
              <w:textAlignment w:val="bottom"/>
              <w:rPr>
                <w:rFonts w:hint="eastAsia" w:ascii="宋体" w:hAnsi="宋体" w:eastAsia="宋体" w:cs="宋体"/>
                <w:color w:val="auto"/>
                <w:sz w:val="24"/>
                <w:highlight w:val="none"/>
              </w:rPr>
            </w:pPr>
          </w:p>
        </w:tc>
      </w:tr>
    </w:tbl>
    <w:p>
      <w:pPr>
        <w:shd w:val="clear"/>
        <w:spacing w:line="360" w:lineRule="auto"/>
        <w:ind w:firstLine="480" w:firstLineChars="200"/>
        <w:jc w:val="left"/>
        <w:rPr>
          <w:rFonts w:hint="eastAsia" w:ascii="宋体" w:hAnsi="宋体" w:eastAsia="宋体" w:cs="宋体"/>
          <w:color w:val="auto"/>
          <w:sz w:val="24"/>
          <w:szCs w:val="32"/>
          <w:highlight w:val="none"/>
        </w:rPr>
      </w:pPr>
    </w:p>
    <w:p>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填报要求：</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pPr>
        <w:shd w:val="clear"/>
        <w:spacing w:line="360" w:lineRule="auto"/>
        <w:rPr>
          <w:rFonts w:hint="eastAsia" w:ascii="宋体" w:hAnsi="宋体" w:eastAsia="宋体" w:cs="宋体"/>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jc w:val="left"/>
        <w:rPr>
          <w:rFonts w:hint="eastAsia" w:ascii="宋体" w:hAnsi="宋体" w:eastAsia="宋体" w:cs="宋体"/>
          <w:color w:val="auto"/>
          <w:sz w:val="24"/>
          <w:szCs w:val="32"/>
          <w:highlight w:val="none"/>
        </w:rPr>
      </w:pPr>
    </w:p>
    <w:p>
      <w:pPr>
        <w:shd w:val="clear"/>
        <w:spacing w:line="360" w:lineRule="auto"/>
        <w:ind w:firstLine="480" w:firstLineChars="200"/>
        <w:jc w:val="left"/>
        <w:rPr>
          <w:rFonts w:hint="eastAsia" w:ascii="宋体" w:hAnsi="宋体" w:eastAsia="宋体" w:cs="宋体"/>
          <w:color w:val="auto"/>
          <w:sz w:val="24"/>
          <w:szCs w:val="32"/>
          <w:highlight w:val="none"/>
        </w:rPr>
      </w:pPr>
    </w:p>
    <w:p>
      <w:pPr>
        <w:shd w:val="clear"/>
        <w:spacing w:line="360" w:lineRule="auto"/>
        <w:ind w:firstLine="480" w:firstLineChars="200"/>
        <w:jc w:val="left"/>
        <w:rPr>
          <w:rFonts w:hint="eastAsia" w:ascii="宋体" w:hAnsi="宋体" w:eastAsia="宋体" w:cs="宋体"/>
          <w:color w:val="auto"/>
          <w:sz w:val="24"/>
          <w:szCs w:val="32"/>
          <w:highlight w:val="none"/>
        </w:rPr>
      </w:pPr>
    </w:p>
    <w:p>
      <w:pPr>
        <w:shd w:val="clear"/>
        <w:spacing w:line="360" w:lineRule="auto"/>
        <w:ind w:firstLine="480" w:firstLineChars="200"/>
        <w:jc w:val="left"/>
        <w:rPr>
          <w:rFonts w:hint="eastAsia" w:ascii="宋体" w:hAnsi="宋体" w:eastAsia="宋体" w:cs="宋体"/>
          <w:color w:val="auto"/>
          <w:sz w:val="24"/>
          <w:szCs w:val="32"/>
          <w:highlight w:val="none"/>
        </w:rPr>
      </w:pPr>
    </w:p>
    <w:p>
      <w:pPr>
        <w:shd w:val="clear"/>
        <w:spacing w:line="360" w:lineRule="auto"/>
        <w:ind w:firstLine="480" w:firstLineChars="200"/>
        <w:jc w:val="left"/>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附件21</w:t>
      </w:r>
    </w:p>
    <w:p>
      <w:pPr>
        <w:shd w:val="clea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报价明细表</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536" w:type="dxa"/>
            <w:vAlign w:val="center"/>
          </w:tcPr>
          <w:p>
            <w:pPr>
              <w:shd w:val="clear"/>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报价项目</w:t>
            </w:r>
          </w:p>
        </w:tc>
        <w:tc>
          <w:tcPr>
            <w:tcW w:w="851" w:type="dxa"/>
            <w:vAlign w:val="center"/>
          </w:tcPr>
          <w:p>
            <w:pPr>
              <w:shd w:val="clea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536" w:type="dxa"/>
            <w:vAlign w:val="center"/>
          </w:tcPr>
          <w:p>
            <w:pPr>
              <w:shd w:val="clear"/>
              <w:jc w:val="center"/>
              <w:rPr>
                <w:rFonts w:hint="eastAsia" w:ascii="宋体" w:hAnsi="宋体" w:eastAsia="宋体" w:cs="宋体"/>
                <w:color w:val="auto"/>
                <w:sz w:val="24"/>
                <w:highlight w:val="none"/>
              </w:rPr>
            </w:pPr>
          </w:p>
        </w:tc>
        <w:tc>
          <w:tcPr>
            <w:tcW w:w="851" w:type="dxa"/>
            <w:vAlign w:val="center"/>
          </w:tcPr>
          <w:p>
            <w:pPr>
              <w:shd w:val="clear"/>
              <w:spacing w:line="360" w:lineRule="auto"/>
              <w:jc w:val="center"/>
              <w:rPr>
                <w:rFonts w:hint="eastAsia" w:ascii="宋体" w:hAnsi="宋体" w:eastAsia="宋体" w:cs="宋体"/>
                <w:color w:val="auto"/>
                <w:sz w:val="24"/>
                <w:highlight w:val="none"/>
              </w:rPr>
            </w:pPr>
          </w:p>
        </w:tc>
        <w:tc>
          <w:tcPr>
            <w:tcW w:w="992" w:type="dxa"/>
            <w:vAlign w:val="center"/>
          </w:tcPr>
          <w:p>
            <w:pPr>
              <w:shd w:val="clear"/>
              <w:spacing w:line="360" w:lineRule="auto"/>
              <w:rPr>
                <w:rFonts w:hint="eastAsia" w:ascii="宋体" w:hAnsi="宋体" w:eastAsia="宋体" w:cs="宋体"/>
                <w:color w:val="auto"/>
                <w:sz w:val="24"/>
                <w:highlight w:val="none"/>
              </w:rPr>
            </w:pPr>
          </w:p>
        </w:tc>
        <w:tc>
          <w:tcPr>
            <w:tcW w:w="992" w:type="dxa"/>
            <w:vAlign w:val="center"/>
          </w:tcPr>
          <w:p>
            <w:pPr>
              <w:shd w:val="clear"/>
              <w:spacing w:line="360" w:lineRule="auto"/>
              <w:rPr>
                <w:rFonts w:hint="eastAsia" w:ascii="宋体" w:hAnsi="宋体" w:eastAsia="宋体" w:cs="宋体"/>
                <w:color w:val="auto"/>
                <w:sz w:val="24"/>
                <w:highlight w:val="none"/>
              </w:rPr>
            </w:pPr>
          </w:p>
        </w:tc>
        <w:tc>
          <w:tcPr>
            <w:tcW w:w="709"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536" w:type="dxa"/>
            <w:vAlign w:val="center"/>
          </w:tcPr>
          <w:p>
            <w:pPr>
              <w:shd w:val="clear"/>
              <w:jc w:val="center"/>
              <w:rPr>
                <w:rFonts w:hint="eastAsia" w:ascii="宋体" w:hAnsi="宋体" w:eastAsia="宋体" w:cs="宋体"/>
                <w:color w:val="auto"/>
                <w:sz w:val="24"/>
                <w:highlight w:val="none"/>
              </w:rPr>
            </w:pPr>
          </w:p>
        </w:tc>
        <w:tc>
          <w:tcPr>
            <w:tcW w:w="851" w:type="dxa"/>
            <w:vAlign w:val="center"/>
          </w:tcPr>
          <w:p>
            <w:pPr>
              <w:shd w:val="clear"/>
              <w:spacing w:line="360" w:lineRule="auto"/>
              <w:jc w:val="center"/>
              <w:rPr>
                <w:rFonts w:hint="eastAsia" w:ascii="宋体" w:hAnsi="宋体" w:eastAsia="宋体" w:cs="宋体"/>
                <w:color w:val="auto"/>
                <w:sz w:val="24"/>
                <w:highlight w:val="none"/>
              </w:rPr>
            </w:pPr>
          </w:p>
        </w:tc>
        <w:tc>
          <w:tcPr>
            <w:tcW w:w="992" w:type="dxa"/>
            <w:vAlign w:val="center"/>
          </w:tcPr>
          <w:p>
            <w:pPr>
              <w:shd w:val="clear"/>
              <w:spacing w:line="360" w:lineRule="auto"/>
              <w:rPr>
                <w:rFonts w:hint="eastAsia" w:ascii="宋体" w:hAnsi="宋体" w:eastAsia="宋体" w:cs="宋体"/>
                <w:color w:val="auto"/>
                <w:sz w:val="24"/>
                <w:highlight w:val="none"/>
              </w:rPr>
            </w:pPr>
          </w:p>
        </w:tc>
        <w:tc>
          <w:tcPr>
            <w:tcW w:w="992" w:type="dxa"/>
            <w:vAlign w:val="center"/>
          </w:tcPr>
          <w:p>
            <w:pPr>
              <w:shd w:val="clear"/>
              <w:spacing w:line="360" w:lineRule="auto"/>
              <w:rPr>
                <w:rFonts w:hint="eastAsia" w:ascii="宋体" w:hAnsi="宋体" w:eastAsia="宋体" w:cs="宋体"/>
                <w:color w:val="auto"/>
                <w:sz w:val="24"/>
                <w:highlight w:val="none"/>
              </w:rPr>
            </w:pPr>
          </w:p>
        </w:tc>
        <w:tc>
          <w:tcPr>
            <w:tcW w:w="709"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536" w:type="dxa"/>
            <w:vAlign w:val="center"/>
          </w:tcPr>
          <w:p>
            <w:pPr>
              <w:shd w:val="clear"/>
              <w:jc w:val="center"/>
              <w:rPr>
                <w:rFonts w:hint="eastAsia" w:ascii="宋体" w:hAnsi="宋体" w:eastAsia="宋体" w:cs="宋体"/>
                <w:color w:val="auto"/>
                <w:sz w:val="24"/>
                <w:highlight w:val="none"/>
              </w:rPr>
            </w:pPr>
          </w:p>
        </w:tc>
        <w:tc>
          <w:tcPr>
            <w:tcW w:w="851" w:type="dxa"/>
            <w:vAlign w:val="center"/>
          </w:tcPr>
          <w:p>
            <w:pPr>
              <w:shd w:val="clear"/>
              <w:spacing w:line="360" w:lineRule="auto"/>
              <w:jc w:val="center"/>
              <w:rPr>
                <w:rFonts w:hint="eastAsia" w:ascii="宋体" w:hAnsi="宋体" w:eastAsia="宋体" w:cs="宋体"/>
                <w:color w:val="auto"/>
                <w:sz w:val="24"/>
                <w:highlight w:val="none"/>
              </w:rPr>
            </w:pPr>
          </w:p>
        </w:tc>
        <w:tc>
          <w:tcPr>
            <w:tcW w:w="992" w:type="dxa"/>
            <w:vAlign w:val="center"/>
          </w:tcPr>
          <w:p>
            <w:pPr>
              <w:shd w:val="clear"/>
              <w:spacing w:line="360" w:lineRule="auto"/>
              <w:rPr>
                <w:rFonts w:hint="eastAsia" w:ascii="宋体" w:hAnsi="宋体" w:eastAsia="宋体" w:cs="宋体"/>
                <w:color w:val="auto"/>
                <w:sz w:val="24"/>
                <w:highlight w:val="none"/>
              </w:rPr>
            </w:pPr>
          </w:p>
        </w:tc>
        <w:tc>
          <w:tcPr>
            <w:tcW w:w="992" w:type="dxa"/>
            <w:vAlign w:val="center"/>
          </w:tcPr>
          <w:p>
            <w:pPr>
              <w:shd w:val="clear"/>
              <w:spacing w:line="360" w:lineRule="auto"/>
              <w:rPr>
                <w:rFonts w:hint="eastAsia" w:ascii="宋体" w:hAnsi="宋体" w:eastAsia="宋体" w:cs="宋体"/>
                <w:color w:val="auto"/>
                <w:sz w:val="24"/>
                <w:highlight w:val="none"/>
              </w:rPr>
            </w:pPr>
          </w:p>
        </w:tc>
        <w:tc>
          <w:tcPr>
            <w:tcW w:w="709"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536"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51" w:type="dxa"/>
            <w:vAlign w:val="center"/>
          </w:tcPr>
          <w:p>
            <w:pPr>
              <w:shd w:val="clear"/>
              <w:spacing w:line="360" w:lineRule="auto"/>
              <w:jc w:val="center"/>
              <w:rPr>
                <w:rFonts w:hint="eastAsia" w:ascii="宋体" w:hAnsi="宋体" w:eastAsia="宋体" w:cs="宋体"/>
                <w:color w:val="auto"/>
                <w:sz w:val="24"/>
                <w:highlight w:val="none"/>
              </w:rPr>
            </w:pPr>
          </w:p>
        </w:tc>
        <w:tc>
          <w:tcPr>
            <w:tcW w:w="992" w:type="dxa"/>
            <w:vAlign w:val="center"/>
          </w:tcPr>
          <w:p>
            <w:pPr>
              <w:shd w:val="clear"/>
              <w:spacing w:line="360" w:lineRule="auto"/>
              <w:rPr>
                <w:rFonts w:hint="eastAsia" w:ascii="宋体" w:hAnsi="宋体" w:eastAsia="宋体" w:cs="宋体"/>
                <w:color w:val="auto"/>
                <w:sz w:val="24"/>
                <w:highlight w:val="none"/>
              </w:rPr>
            </w:pPr>
          </w:p>
        </w:tc>
        <w:tc>
          <w:tcPr>
            <w:tcW w:w="992" w:type="dxa"/>
            <w:vAlign w:val="center"/>
          </w:tcPr>
          <w:p>
            <w:pPr>
              <w:shd w:val="clear"/>
              <w:spacing w:line="360" w:lineRule="auto"/>
              <w:rPr>
                <w:rFonts w:hint="eastAsia" w:ascii="宋体" w:hAnsi="宋体" w:eastAsia="宋体" w:cs="宋体"/>
                <w:color w:val="auto"/>
                <w:sz w:val="24"/>
                <w:highlight w:val="none"/>
              </w:rPr>
            </w:pPr>
          </w:p>
        </w:tc>
        <w:tc>
          <w:tcPr>
            <w:tcW w:w="709" w:type="dxa"/>
            <w:vAlign w:val="center"/>
          </w:tcPr>
          <w:p>
            <w:pPr>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pPr>
        <w:shd w:val="clear"/>
        <w:spacing w:line="360" w:lineRule="auto"/>
        <w:jc w:val="left"/>
        <w:rPr>
          <w:rFonts w:hint="eastAsia" w:ascii="宋体" w:hAnsi="宋体" w:eastAsia="宋体" w:cs="宋体"/>
          <w:b/>
          <w:bCs/>
          <w:color w:val="auto"/>
          <w:sz w:val="24"/>
          <w:szCs w:val="32"/>
          <w:highlight w:val="none"/>
        </w:rPr>
      </w:pPr>
    </w:p>
    <w:p>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1.本表为《开标一览表》的报价明细表，如有缺项、漏项，视为投标报价中已包含相关费用，采购人无需另外支付任何费用。</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“报价明细表”中的报价合计应与“开标一览表”中的投标报价相一致，不一致时，以开标一览表为准。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pPr>
        <w:shd w:val="clear"/>
        <w:spacing w:line="360" w:lineRule="auto"/>
        <w:jc w:val="left"/>
        <w:rPr>
          <w:rFonts w:hint="eastAsia" w:ascii="宋体" w:hAnsi="宋体" w:eastAsia="宋体" w:cs="宋体"/>
          <w:color w:val="auto"/>
          <w:sz w:val="24"/>
          <w:szCs w:val="32"/>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22</w:t>
      </w:r>
    </w:p>
    <w:p>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中小企业声明函（货物）</w:t>
      </w:r>
    </w:p>
    <w:p>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 xml:space="preserve">采购活动，提供的货物全部由符合政策要求的中小企业制造。相关企业的具体情况如下： </w:t>
      </w:r>
    </w:p>
    <w:p>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行业；制造商为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Style w:val="35"/>
          <w:rFonts w:hint="eastAsia" w:ascii="宋体" w:hAnsi="宋体" w:eastAsia="宋体" w:cs="宋体"/>
          <w:b w:val="0"/>
          <w:bCs/>
          <w:color w:val="auto"/>
          <w:sz w:val="24"/>
          <w:szCs w:val="24"/>
          <w:highlight w:val="none"/>
          <w:lang w:val="en-US" w:eastAsia="zh-CN"/>
        </w:rPr>
        <w:footnoteReference w:id="0"/>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u w:val="single"/>
          <w:lang w:val="en-US" w:eastAsia="zh-CN"/>
        </w:rPr>
        <w:t>（标的名称）</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行业；制造商为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（中型企业、小型企业、微型企业）</w:t>
      </w:r>
      <w:r>
        <w:rPr>
          <w:rFonts w:hint="eastAsia" w:ascii="宋体" w:hAnsi="宋体" w:eastAsia="宋体" w:cs="宋体"/>
          <w:b w:val="0"/>
          <w:bCs/>
          <w:color w:val="auto"/>
          <w:sz w:val="24"/>
          <w:szCs w:val="24"/>
          <w:highlight w:val="none"/>
          <w:lang w:val="en-US" w:eastAsia="zh-CN"/>
        </w:rPr>
        <w:t>；</w:t>
      </w:r>
    </w:p>
    <w:p>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企业名称（盖章）：</w:t>
      </w:r>
    </w:p>
    <w:p>
      <w:pPr>
        <w:shd w:val="clear"/>
        <w:spacing w:line="360" w:lineRule="auto"/>
        <w:ind w:firstLine="4800" w:firstLineChars="20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    期：</w:t>
      </w: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jc w:val="left"/>
        <w:rPr>
          <w:rFonts w:hint="eastAsia" w:ascii="宋体" w:hAnsi="宋体" w:eastAsia="宋体" w:cs="宋体"/>
          <w:b w:val="0"/>
          <w:bCs/>
          <w:color w:val="auto"/>
          <w:sz w:val="24"/>
          <w:szCs w:val="24"/>
          <w:highlight w:val="none"/>
          <w:lang w:val="en-US" w:eastAsia="zh-CN"/>
        </w:rPr>
      </w:pPr>
    </w:p>
    <w:p>
      <w:pPr>
        <w:shd w:val="clea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hd w:val="clea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hd w:val="clear"/>
        <w:bidi w:val="0"/>
        <w:spacing w:line="360" w:lineRule="auto"/>
        <w:ind w:firstLine="480" w:firstLineChars="200"/>
        <w:rPr>
          <w:rFonts w:hint="eastAsia" w:ascii="宋体" w:hAnsi="宋体" w:eastAsia="宋体" w:cs="宋体"/>
          <w:color w:val="auto"/>
          <w:sz w:val="24"/>
          <w:szCs w:val="24"/>
          <w:highlight w:val="none"/>
        </w:rPr>
      </w:pPr>
    </w:p>
    <w:p>
      <w:pPr>
        <w:shd w:val="clear"/>
        <w:spacing w:line="360" w:lineRule="auto"/>
        <w:ind w:firstLine="3120" w:firstLineChars="13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单位名称（单位公章）：</w:t>
      </w:r>
    </w:p>
    <w:p>
      <w:pPr>
        <w:shd w:val="clear"/>
        <w:spacing w:line="360" w:lineRule="auto"/>
        <w:ind w:firstLine="5040" w:firstLineChars="21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日期：</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月</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日</w:t>
      </w:r>
    </w:p>
    <w:p>
      <w:pPr>
        <w:shd w:val="clear"/>
        <w:spacing w:line="360" w:lineRule="auto"/>
        <w:rPr>
          <w:rFonts w:hint="eastAsia" w:ascii="宋体" w:hAnsi="宋体" w:eastAsia="宋体" w:cs="宋体"/>
          <w:bCs/>
          <w:color w:val="auto"/>
          <w:sz w:val="24"/>
          <w:highlight w:val="none"/>
        </w:rPr>
      </w:pPr>
    </w:p>
    <w:p>
      <w:pPr>
        <w:shd w:val="clear"/>
        <w:spacing w:line="360" w:lineRule="auto"/>
        <w:rPr>
          <w:rFonts w:hint="eastAsia" w:ascii="宋体" w:hAnsi="宋体" w:eastAsia="宋体" w:cs="宋体"/>
          <w:bCs/>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中小企业等声明函填表说明：</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pPr>
        <w:shd w:val="clea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"http://202.106.120.146/baosong/appweb/orgScale.html" </w:instrText>
      </w:r>
      <w:r>
        <w:rPr>
          <w:rFonts w:hint="eastAsia" w:ascii="宋体" w:hAnsi="宋体" w:eastAsia="宋体" w:cs="宋体"/>
          <w:color w:val="auto"/>
          <w:highlight w:val="none"/>
        </w:rPr>
        <w:fldChar w:fldCharType="separate"/>
      </w:r>
      <w:r>
        <w:rPr>
          <w:rStyle w:val="33"/>
          <w:rFonts w:hint="eastAsia" w:ascii="宋体" w:hAnsi="宋体" w:eastAsia="宋体" w:cs="宋体"/>
          <w:color w:val="auto"/>
          <w:sz w:val="24"/>
          <w:highlight w:val="none"/>
        </w:rPr>
        <w:t>http://202.106.120.146/baosong/appweb/orgScale.html</w:t>
      </w:r>
      <w:r>
        <w:rPr>
          <w:rStyle w:val="33"/>
          <w:rFonts w:hint="eastAsia" w:ascii="宋体" w:hAnsi="宋体" w:eastAsia="宋体" w:cs="宋体"/>
          <w:color w:val="auto"/>
          <w:sz w:val="24"/>
          <w:highlight w:val="none"/>
        </w:rPr>
        <w:fldChar w:fldCharType="end"/>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（3）投标人未提供《中小企业声明函》的、《中小企业声明函》中内容应填写而未进行填写或未如实填写的，将不给予投标人小微企业报价优惠扣除。</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预中标供应商享受小微企业报价优惠扣除的，将按规定公开预中标供应商的《中小企业声明函》。</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（4）如国家对中小企业划型标准有新的规定的，从其规定。</w:t>
      </w: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420" w:lineRule="exact"/>
        <w:rPr>
          <w:rFonts w:hint="eastAsia" w:ascii="宋体" w:hAnsi="宋体" w:eastAsia="宋体" w:cs="宋体"/>
          <w:b/>
          <w:bCs/>
          <w:color w:val="auto"/>
          <w:sz w:val="28"/>
          <w:szCs w:val="36"/>
          <w:highlight w:val="none"/>
          <w:lang w:val="en-GB"/>
        </w:rPr>
      </w:pPr>
      <w:r>
        <w:rPr>
          <w:rFonts w:hint="eastAsia" w:ascii="宋体" w:hAnsi="宋体" w:eastAsia="宋体" w:cs="宋体"/>
          <w:b/>
          <w:bCs/>
          <w:color w:val="auto"/>
          <w:sz w:val="28"/>
          <w:szCs w:val="36"/>
          <w:highlight w:val="none"/>
          <w:lang w:val="en-GB"/>
        </w:rPr>
        <w:t>附件：</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GB"/>
        </w:rPr>
        <w:t>政府采购活动确认声明书</w:t>
      </w:r>
    </w:p>
    <w:p>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pPr>
        <w:shd w:val="clea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（法人代表）合法授权参加</w:t>
      </w:r>
      <w:r>
        <w:rPr>
          <w:rFonts w:hint="eastAsia" w:ascii="宋体" w:hAnsi="宋体" w:cs="宋体"/>
          <w:b/>
          <w:bCs/>
          <w:color w:val="auto"/>
          <w:sz w:val="24"/>
          <w:highlight w:val="none"/>
          <w:u w:val="single"/>
          <w:lang w:val="zh-CN"/>
        </w:rPr>
        <w:t>超声乳化治疗仪采购项目</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zh-CN"/>
        </w:rPr>
        <w:t>编号：</w:t>
      </w:r>
      <w:r>
        <w:rPr>
          <w:rFonts w:hint="eastAsia" w:ascii="宋体" w:hAnsi="宋体" w:cs="宋体"/>
          <w:b/>
          <w:bCs/>
          <w:color w:val="auto"/>
          <w:sz w:val="24"/>
          <w:highlight w:val="none"/>
          <w:u w:val="single"/>
          <w:lang w:val="zh-CN"/>
        </w:rPr>
        <w:t>ZJWS2024-JJ233</w:t>
      </w:r>
      <w:r>
        <w:rPr>
          <w:rFonts w:hint="eastAsia" w:ascii="宋体" w:hAnsi="宋体" w:eastAsia="宋体" w:cs="宋体"/>
          <w:color w:val="auto"/>
          <w:sz w:val="24"/>
          <w:highlight w:val="none"/>
          <w:lang w:val="zh-CN"/>
        </w:rPr>
        <w:t>）政府采购活动，经与本单位法人代表（负责人）联系确认，现就有关公平竞争事项郑重声明如下：</w:t>
      </w:r>
    </w:p>
    <w:p>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 □不存在利害关系 □存在下列利害关系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D.其他可能影响采购公正的利害关系（如有，请如实说明）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三、现已清楚知道并严格遵守政府采购法律法规和现场纪律。</w:t>
      </w:r>
    </w:p>
    <w:p>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pPr>
        <w:shd w:val="clear"/>
        <w:spacing w:line="420" w:lineRule="exact"/>
        <w:ind w:firstLine="4819" w:firstLineChars="20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供应商代表签名：</w:t>
      </w:r>
    </w:p>
    <w:p>
      <w:pPr>
        <w:shd w:val="clear"/>
        <w:spacing w:line="42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  月  日</w:t>
      </w:r>
    </w:p>
    <w:p>
      <w:pPr>
        <w:shd w:val="clear"/>
        <w:spacing w:line="4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说明：商务技术文件开启后30分钟内，供应商通过邮件形式将经授权代表签署的《</w:t>
      </w:r>
      <w:r>
        <w:rPr>
          <w:rFonts w:hint="eastAsia" w:ascii="宋体" w:hAnsi="宋体" w:eastAsia="宋体" w:cs="宋体"/>
          <w:b/>
          <w:bCs/>
          <w:color w:val="auto"/>
          <w:sz w:val="24"/>
          <w:highlight w:val="none"/>
          <w:lang w:val="en-GB"/>
        </w:rPr>
        <w:t>政府采购活动确认声明书</w:t>
      </w:r>
      <w:r>
        <w:rPr>
          <w:rFonts w:hint="eastAsia" w:ascii="宋体" w:hAnsi="宋体" w:eastAsia="宋体" w:cs="宋体"/>
          <w:b/>
          <w:bCs/>
          <w:color w:val="auto"/>
          <w:sz w:val="24"/>
          <w:highlight w:val="none"/>
        </w:rPr>
        <w:t>》扫描件发至代理机构经办人邮箱（邮箱地址：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"mailto:303054329@qq.com）；"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highlight w:val="none"/>
        </w:rPr>
        <w:t>zjwstz@163.com）；</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snapToGrid w:val="0"/>
      </w:pPr>
      <w:r>
        <w:rPr>
          <w:rStyle w:val="35"/>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2B355759"/>
    <w:multiLevelType w:val="multilevel"/>
    <w:tmpl w:val="2B355759"/>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4D7242B8"/>
    <w:multiLevelType w:val="multilevel"/>
    <w:tmpl w:val="4D7242B8"/>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jc3Y2ZhZTQ5ODMxZDQ4ZjMwMTkwOGIxNDVjNjE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F276E"/>
    <w:rsid w:val="00B0420E"/>
    <w:rsid w:val="00B468A8"/>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E319E7"/>
    <w:rsid w:val="00E372BC"/>
    <w:rsid w:val="00EC69CC"/>
    <w:rsid w:val="00EF2797"/>
    <w:rsid w:val="00F127FF"/>
    <w:rsid w:val="00F64E95"/>
    <w:rsid w:val="00F74D1E"/>
    <w:rsid w:val="00F835F4"/>
    <w:rsid w:val="00F94869"/>
    <w:rsid w:val="00FF3519"/>
    <w:rsid w:val="0162067B"/>
    <w:rsid w:val="01935887"/>
    <w:rsid w:val="01BB35F9"/>
    <w:rsid w:val="01E76B4C"/>
    <w:rsid w:val="022F3D89"/>
    <w:rsid w:val="0248373E"/>
    <w:rsid w:val="026B5F45"/>
    <w:rsid w:val="02997B42"/>
    <w:rsid w:val="02E64D83"/>
    <w:rsid w:val="032A758D"/>
    <w:rsid w:val="035E2B6B"/>
    <w:rsid w:val="03887300"/>
    <w:rsid w:val="03B933C5"/>
    <w:rsid w:val="04220E8F"/>
    <w:rsid w:val="047F2580"/>
    <w:rsid w:val="04AE50DC"/>
    <w:rsid w:val="04CC341D"/>
    <w:rsid w:val="05137CD7"/>
    <w:rsid w:val="060B26E0"/>
    <w:rsid w:val="060D6019"/>
    <w:rsid w:val="06BD404D"/>
    <w:rsid w:val="07367BC9"/>
    <w:rsid w:val="07A02299"/>
    <w:rsid w:val="07AB7419"/>
    <w:rsid w:val="086C0E69"/>
    <w:rsid w:val="097A796A"/>
    <w:rsid w:val="09DB1C02"/>
    <w:rsid w:val="0A3D172D"/>
    <w:rsid w:val="0ADB4F19"/>
    <w:rsid w:val="0B982374"/>
    <w:rsid w:val="0C00559E"/>
    <w:rsid w:val="0C1E2BA0"/>
    <w:rsid w:val="0C20219F"/>
    <w:rsid w:val="0C765CB2"/>
    <w:rsid w:val="0CCE3D8B"/>
    <w:rsid w:val="0CE7066A"/>
    <w:rsid w:val="0D026C5D"/>
    <w:rsid w:val="0E4F7C80"/>
    <w:rsid w:val="0E970358"/>
    <w:rsid w:val="0EF06582"/>
    <w:rsid w:val="0F38476A"/>
    <w:rsid w:val="0F7F533D"/>
    <w:rsid w:val="0FA21B2E"/>
    <w:rsid w:val="10053DFB"/>
    <w:rsid w:val="10392EAE"/>
    <w:rsid w:val="10706EC2"/>
    <w:rsid w:val="109A6009"/>
    <w:rsid w:val="112127F4"/>
    <w:rsid w:val="114D620F"/>
    <w:rsid w:val="127549CB"/>
    <w:rsid w:val="12767ED2"/>
    <w:rsid w:val="12807280"/>
    <w:rsid w:val="12C37550"/>
    <w:rsid w:val="131A6B3F"/>
    <w:rsid w:val="13CE2B23"/>
    <w:rsid w:val="13E64BE3"/>
    <w:rsid w:val="13FC1BC3"/>
    <w:rsid w:val="141D64B2"/>
    <w:rsid w:val="148463E6"/>
    <w:rsid w:val="14D20D9B"/>
    <w:rsid w:val="14F714F9"/>
    <w:rsid w:val="1527076B"/>
    <w:rsid w:val="15A72BED"/>
    <w:rsid w:val="15AE1060"/>
    <w:rsid w:val="16082E04"/>
    <w:rsid w:val="1621170E"/>
    <w:rsid w:val="16F20AA9"/>
    <w:rsid w:val="17E12275"/>
    <w:rsid w:val="18297C96"/>
    <w:rsid w:val="18820ED2"/>
    <w:rsid w:val="188B546E"/>
    <w:rsid w:val="189D4520"/>
    <w:rsid w:val="18B91D2B"/>
    <w:rsid w:val="18C40414"/>
    <w:rsid w:val="18E11A7C"/>
    <w:rsid w:val="1A6A6D44"/>
    <w:rsid w:val="1A727F64"/>
    <w:rsid w:val="1A817123"/>
    <w:rsid w:val="1AC8084D"/>
    <w:rsid w:val="1B674FFA"/>
    <w:rsid w:val="1B9F5145"/>
    <w:rsid w:val="1BC66472"/>
    <w:rsid w:val="1C093ECB"/>
    <w:rsid w:val="1C2A1FDB"/>
    <w:rsid w:val="1C8170E0"/>
    <w:rsid w:val="1C925590"/>
    <w:rsid w:val="1C96375A"/>
    <w:rsid w:val="1CE4433A"/>
    <w:rsid w:val="1CEF09F5"/>
    <w:rsid w:val="1D434A51"/>
    <w:rsid w:val="1D554B87"/>
    <w:rsid w:val="1D955145"/>
    <w:rsid w:val="1DAA4E99"/>
    <w:rsid w:val="1DC530BD"/>
    <w:rsid w:val="1DF513D6"/>
    <w:rsid w:val="1E3E4D04"/>
    <w:rsid w:val="1E58234F"/>
    <w:rsid w:val="1EB000C3"/>
    <w:rsid w:val="1EE84AA8"/>
    <w:rsid w:val="1EEA12FF"/>
    <w:rsid w:val="1F031196"/>
    <w:rsid w:val="1FA321C4"/>
    <w:rsid w:val="20340911"/>
    <w:rsid w:val="205B0BA4"/>
    <w:rsid w:val="20C17471"/>
    <w:rsid w:val="212B2D67"/>
    <w:rsid w:val="213E1548"/>
    <w:rsid w:val="21B14797"/>
    <w:rsid w:val="2259413E"/>
    <w:rsid w:val="228447E5"/>
    <w:rsid w:val="23424F53"/>
    <w:rsid w:val="23586C07"/>
    <w:rsid w:val="236E14E2"/>
    <w:rsid w:val="23931399"/>
    <w:rsid w:val="2432505E"/>
    <w:rsid w:val="244D0366"/>
    <w:rsid w:val="24585E27"/>
    <w:rsid w:val="246456B0"/>
    <w:rsid w:val="250B1C22"/>
    <w:rsid w:val="252E28FE"/>
    <w:rsid w:val="258E7B0C"/>
    <w:rsid w:val="25E54514"/>
    <w:rsid w:val="25EC42FB"/>
    <w:rsid w:val="268A132E"/>
    <w:rsid w:val="269668A6"/>
    <w:rsid w:val="26B51612"/>
    <w:rsid w:val="270C4AA5"/>
    <w:rsid w:val="270F224B"/>
    <w:rsid w:val="27352109"/>
    <w:rsid w:val="27381BA3"/>
    <w:rsid w:val="28076A74"/>
    <w:rsid w:val="281C3EDC"/>
    <w:rsid w:val="283B0257"/>
    <w:rsid w:val="283B2A21"/>
    <w:rsid w:val="28EE5691"/>
    <w:rsid w:val="29803A90"/>
    <w:rsid w:val="29D148D0"/>
    <w:rsid w:val="29E30E59"/>
    <w:rsid w:val="2A3E177C"/>
    <w:rsid w:val="2A3F4BF5"/>
    <w:rsid w:val="2A420242"/>
    <w:rsid w:val="2AC803DC"/>
    <w:rsid w:val="2AF71430"/>
    <w:rsid w:val="2AFB4FC0"/>
    <w:rsid w:val="2B38078E"/>
    <w:rsid w:val="2B520C88"/>
    <w:rsid w:val="2C011CA6"/>
    <w:rsid w:val="2C074D0B"/>
    <w:rsid w:val="2CBA0A59"/>
    <w:rsid w:val="2D046180"/>
    <w:rsid w:val="2D0E4908"/>
    <w:rsid w:val="2D450775"/>
    <w:rsid w:val="2D9B645B"/>
    <w:rsid w:val="2E831505"/>
    <w:rsid w:val="2F095FB3"/>
    <w:rsid w:val="2F402F53"/>
    <w:rsid w:val="2FC040E2"/>
    <w:rsid w:val="30143D85"/>
    <w:rsid w:val="301E14DD"/>
    <w:rsid w:val="3071362F"/>
    <w:rsid w:val="31752B09"/>
    <w:rsid w:val="31A87135"/>
    <w:rsid w:val="32F55181"/>
    <w:rsid w:val="3361798A"/>
    <w:rsid w:val="341548E3"/>
    <w:rsid w:val="343B0120"/>
    <w:rsid w:val="34776C5D"/>
    <w:rsid w:val="35571045"/>
    <w:rsid w:val="35671120"/>
    <w:rsid w:val="359B739A"/>
    <w:rsid w:val="35A2480D"/>
    <w:rsid w:val="360971EA"/>
    <w:rsid w:val="363C3B54"/>
    <w:rsid w:val="36623E0E"/>
    <w:rsid w:val="36CC4020"/>
    <w:rsid w:val="37712A39"/>
    <w:rsid w:val="37802EB3"/>
    <w:rsid w:val="38496946"/>
    <w:rsid w:val="388E0DA1"/>
    <w:rsid w:val="38983E4E"/>
    <w:rsid w:val="397462A5"/>
    <w:rsid w:val="3A0146B6"/>
    <w:rsid w:val="3AE50133"/>
    <w:rsid w:val="3B345EA5"/>
    <w:rsid w:val="3B7641EF"/>
    <w:rsid w:val="3B907037"/>
    <w:rsid w:val="3C17152E"/>
    <w:rsid w:val="3D1275D3"/>
    <w:rsid w:val="3D96448A"/>
    <w:rsid w:val="3DB531EC"/>
    <w:rsid w:val="3DBB71E5"/>
    <w:rsid w:val="3E4F2DCA"/>
    <w:rsid w:val="3EA4532B"/>
    <w:rsid w:val="3F6A5E19"/>
    <w:rsid w:val="3F77220A"/>
    <w:rsid w:val="3FED78DC"/>
    <w:rsid w:val="408E5559"/>
    <w:rsid w:val="40D37C93"/>
    <w:rsid w:val="40D83598"/>
    <w:rsid w:val="41701A43"/>
    <w:rsid w:val="41FF0180"/>
    <w:rsid w:val="42A472AC"/>
    <w:rsid w:val="42A96C58"/>
    <w:rsid w:val="42C65079"/>
    <w:rsid w:val="43036342"/>
    <w:rsid w:val="431C0EEF"/>
    <w:rsid w:val="43346686"/>
    <w:rsid w:val="43855031"/>
    <w:rsid w:val="43D911A2"/>
    <w:rsid w:val="4493250C"/>
    <w:rsid w:val="44957494"/>
    <w:rsid w:val="44E23928"/>
    <w:rsid w:val="45233669"/>
    <w:rsid w:val="4563730C"/>
    <w:rsid w:val="456B496E"/>
    <w:rsid w:val="45A50118"/>
    <w:rsid w:val="45DA6384"/>
    <w:rsid w:val="46EE4BDB"/>
    <w:rsid w:val="472F3AEF"/>
    <w:rsid w:val="47A74EC0"/>
    <w:rsid w:val="48694FA0"/>
    <w:rsid w:val="488E768B"/>
    <w:rsid w:val="48936506"/>
    <w:rsid w:val="48F41BA0"/>
    <w:rsid w:val="497F6965"/>
    <w:rsid w:val="49A8192A"/>
    <w:rsid w:val="49F41D5E"/>
    <w:rsid w:val="49FB248F"/>
    <w:rsid w:val="4A6358C8"/>
    <w:rsid w:val="4AA43BF0"/>
    <w:rsid w:val="4AA82D78"/>
    <w:rsid w:val="4B0F02D7"/>
    <w:rsid w:val="4B1972CC"/>
    <w:rsid w:val="4B1E31F7"/>
    <w:rsid w:val="4B55797D"/>
    <w:rsid w:val="4B7B0985"/>
    <w:rsid w:val="4BC1596D"/>
    <w:rsid w:val="4BCB3573"/>
    <w:rsid w:val="4CA846B1"/>
    <w:rsid w:val="4CE75373"/>
    <w:rsid w:val="4D3016DE"/>
    <w:rsid w:val="4D52234C"/>
    <w:rsid w:val="4D5934CA"/>
    <w:rsid w:val="4DB64580"/>
    <w:rsid w:val="4DBA747C"/>
    <w:rsid w:val="4E8578F7"/>
    <w:rsid w:val="4EFC0CFC"/>
    <w:rsid w:val="4F643C80"/>
    <w:rsid w:val="50477D3F"/>
    <w:rsid w:val="506F7733"/>
    <w:rsid w:val="50C963FC"/>
    <w:rsid w:val="51776BB3"/>
    <w:rsid w:val="521D5543"/>
    <w:rsid w:val="524457F9"/>
    <w:rsid w:val="537A3277"/>
    <w:rsid w:val="53E65C00"/>
    <w:rsid w:val="54DA14BE"/>
    <w:rsid w:val="55106ABC"/>
    <w:rsid w:val="55341E11"/>
    <w:rsid w:val="553A4203"/>
    <w:rsid w:val="563848A4"/>
    <w:rsid w:val="566D4B95"/>
    <w:rsid w:val="56DC1295"/>
    <w:rsid w:val="56EE365E"/>
    <w:rsid w:val="572656D4"/>
    <w:rsid w:val="577A076D"/>
    <w:rsid w:val="578671EF"/>
    <w:rsid w:val="578D0B51"/>
    <w:rsid w:val="57A674E7"/>
    <w:rsid w:val="57E45422"/>
    <w:rsid w:val="59080873"/>
    <w:rsid w:val="59234CED"/>
    <w:rsid w:val="59837876"/>
    <w:rsid w:val="59AD06A4"/>
    <w:rsid w:val="5A4D586D"/>
    <w:rsid w:val="5A56726E"/>
    <w:rsid w:val="5A6249B0"/>
    <w:rsid w:val="5A9E1939"/>
    <w:rsid w:val="5AD20FEA"/>
    <w:rsid w:val="5B3C1575"/>
    <w:rsid w:val="5B534421"/>
    <w:rsid w:val="5B8754F4"/>
    <w:rsid w:val="5C995E78"/>
    <w:rsid w:val="5CAD763C"/>
    <w:rsid w:val="5D775FB8"/>
    <w:rsid w:val="5DBB3FB7"/>
    <w:rsid w:val="5E3A0E23"/>
    <w:rsid w:val="5E3A2E3F"/>
    <w:rsid w:val="5EE84C68"/>
    <w:rsid w:val="5FA703FC"/>
    <w:rsid w:val="602463B0"/>
    <w:rsid w:val="6026592A"/>
    <w:rsid w:val="602C4CF9"/>
    <w:rsid w:val="60E07B05"/>
    <w:rsid w:val="61161505"/>
    <w:rsid w:val="61E75867"/>
    <w:rsid w:val="621D5BA4"/>
    <w:rsid w:val="627739AE"/>
    <w:rsid w:val="63197EAF"/>
    <w:rsid w:val="635B6748"/>
    <w:rsid w:val="638D4169"/>
    <w:rsid w:val="63947A95"/>
    <w:rsid w:val="63C91A2B"/>
    <w:rsid w:val="64281C7B"/>
    <w:rsid w:val="644A7E43"/>
    <w:rsid w:val="64C84453"/>
    <w:rsid w:val="656E5279"/>
    <w:rsid w:val="65AA5AF0"/>
    <w:rsid w:val="66754F1F"/>
    <w:rsid w:val="669358D0"/>
    <w:rsid w:val="6718370C"/>
    <w:rsid w:val="671C6EB1"/>
    <w:rsid w:val="67B05ABC"/>
    <w:rsid w:val="67B167D1"/>
    <w:rsid w:val="67DB0789"/>
    <w:rsid w:val="680779EE"/>
    <w:rsid w:val="685F1C50"/>
    <w:rsid w:val="68925D1C"/>
    <w:rsid w:val="68D20B8D"/>
    <w:rsid w:val="699022E9"/>
    <w:rsid w:val="6A531C45"/>
    <w:rsid w:val="6A714498"/>
    <w:rsid w:val="6AB97AD1"/>
    <w:rsid w:val="6ABB5F80"/>
    <w:rsid w:val="6ADF5030"/>
    <w:rsid w:val="6B0B3BC7"/>
    <w:rsid w:val="6BF84F47"/>
    <w:rsid w:val="6C26034B"/>
    <w:rsid w:val="6C8E6D3B"/>
    <w:rsid w:val="6CB01564"/>
    <w:rsid w:val="6CC13BE1"/>
    <w:rsid w:val="6DCC7B1B"/>
    <w:rsid w:val="6E970129"/>
    <w:rsid w:val="6F1658B8"/>
    <w:rsid w:val="70500E79"/>
    <w:rsid w:val="70F729E3"/>
    <w:rsid w:val="711B0B8A"/>
    <w:rsid w:val="711F327D"/>
    <w:rsid w:val="715B1526"/>
    <w:rsid w:val="725014B0"/>
    <w:rsid w:val="727151E7"/>
    <w:rsid w:val="72977757"/>
    <w:rsid w:val="730C7BC8"/>
    <w:rsid w:val="73344DC7"/>
    <w:rsid w:val="73A111F6"/>
    <w:rsid w:val="745919C6"/>
    <w:rsid w:val="74702A9A"/>
    <w:rsid w:val="74AE7F7A"/>
    <w:rsid w:val="74BA7437"/>
    <w:rsid w:val="74C046C2"/>
    <w:rsid w:val="750B780B"/>
    <w:rsid w:val="75241FEA"/>
    <w:rsid w:val="75445CB6"/>
    <w:rsid w:val="75745308"/>
    <w:rsid w:val="75F12EBC"/>
    <w:rsid w:val="761C2BBB"/>
    <w:rsid w:val="7671701C"/>
    <w:rsid w:val="767E61E2"/>
    <w:rsid w:val="76E64746"/>
    <w:rsid w:val="77087B85"/>
    <w:rsid w:val="776A1DE8"/>
    <w:rsid w:val="77AA6501"/>
    <w:rsid w:val="780D2FE5"/>
    <w:rsid w:val="78232A2D"/>
    <w:rsid w:val="785D00CA"/>
    <w:rsid w:val="79362E73"/>
    <w:rsid w:val="799D73A3"/>
    <w:rsid w:val="7A403646"/>
    <w:rsid w:val="7B3369D6"/>
    <w:rsid w:val="7C097088"/>
    <w:rsid w:val="7C1D7794"/>
    <w:rsid w:val="7C8434BE"/>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6"/>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6"/>
    <w:autoRedefine/>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rPr>
      <w:szCs w:val="20"/>
    </w:rPr>
  </w:style>
  <w:style w:type="paragraph" w:styleId="8">
    <w:name w:val="toc 2"/>
    <w:basedOn w:val="1"/>
    <w:next w:val="1"/>
    <w:autoRedefine/>
    <w:qFormat/>
    <w:uiPriority w:val="99"/>
    <w:pPr>
      <w:ind w:left="420" w:leftChars="200"/>
    </w:pPr>
  </w:style>
  <w:style w:type="paragraph" w:styleId="9">
    <w:name w:val="annotation text"/>
    <w:basedOn w:val="1"/>
    <w:link w:val="42"/>
    <w:autoRedefine/>
    <w:qFormat/>
    <w:uiPriority w:val="99"/>
    <w:pPr>
      <w:jc w:val="left"/>
    </w:pPr>
  </w:style>
  <w:style w:type="paragraph" w:styleId="10">
    <w:name w:val="Body Text"/>
    <w:basedOn w:val="1"/>
    <w:link w:val="43"/>
    <w:autoRedefine/>
    <w:qFormat/>
    <w:uiPriority w:val="99"/>
    <w:pPr>
      <w:spacing w:line="360" w:lineRule="exact"/>
    </w:pPr>
    <w:rPr>
      <w:sz w:val="24"/>
    </w:rPr>
  </w:style>
  <w:style w:type="paragraph" w:styleId="11">
    <w:name w:val="Body Text Indent"/>
    <w:basedOn w:val="1"/>
    <w:next w:val="1"/>
    <w:link w:val="50"/>
    <w:autoRedefine/>
    <w:qFormat/>
    <w:uiPriority w:val="99"/>
    <w:pPr>
      <w:spacing w:after="120"/>
      <w:ind w:left="420" w:leftChars="200"/>
    </w:pPr>
  </w:style>
  <w:style w:type="paragraph" w:styleId="12">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51"/>
    <w:autoRedefine/>
    <w:qFormat/>
    <w:uiPriority w:val="99"/>
    <w:rPr>
      <w:rFonts w:ascii="宋体" w:hAnsi="Courier New"/>
    </w:rPr>
  </w:style>
  <w:style w:type="paragraph" w:styleId="14">
    <w:name w:val="Date"/>
    <w:basedOn w:val="1"/>
    <w:next w:val="1"/>
    <w:link w:val="47"/>
    <w:autoRedefine/>
    <w:qFormat/>
    <w:uiPriority w:val="99"/>
    <w:pPr>
      <w:ind w:left="2500" w:leftChars="2500"/>
    </w:pPr>
    <w:rPr>
      <w:rFonts w:ascii="Calibri" w:hAnsi="Calibri" w:eastAsia="楷体_GB2312"/>
      <w:sz w:val="32"/>
      <w:szCs w:val="22"/>
    </w:rPr>
  </w:style>
  <w:style w:type="paragraph" w:styleId="15">
    <w:name w:val="Body Text Indent 2"/>
    <w:basedOn w:val="1"/>
    <w:next w:val="16"/>
    <w:autoRedefine/>
    <w:qFormat/>
    <w:locked/>
    <w:uiPriority w:val="0"/>
    <w:pPr>
      <w:spacing w:after="120" w:line="480" w:lineRule="auto"/>
      <w:ind w:left="420" w:firstLine="3584"/>
    </w:pPr>
    <w:rPr>
      <w:rFonts w:ascii="Calibri" w:hAnsi="Calibri"/>
    </w:rPr>
  </w:style>
  <w:style w:type="paragraph" w:styleId="16">
    <w:name w:val="toc 1"/>
    <w:basedOn w:val="1"/>
    <w:next w:val="1"/>
    <w:autoRedefine/>
    <w:qFormat/>
    <w:locked/>
    <w:uiPriority w:val="0"/>
    <w:pPr>
      <w:ind w:firstLine="3584"/>
    </w:pPr>
    <w:rPr>
      <w:rFonts w:ascii="Calibri" w:hAnsi="Calibri"/>
    </w:rPr>
  </w:style>
  <w:style w:type="paragraph" w:styleId="17">
    <w:name w:val="Balloon Text"/>
    <w:basedOn w:val="1"/>
    <w:link w:val="48"/>
    <w:autoRedefine/>
    <w:qFormat/>
    <w:uiPriority w:val="99"/>
    <w:rPr>
      <w:sz w:val="18"/>
      <w:szCs w:val="18"/>
    </w:rPr>
  </w:style>
  <w:style w:type="paragraph" w:styleId="18">
    <w:name w:val="footer"/>
    <w:basedOn w:val="1"/>
    <w:link w:val="54"/>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snapToGrid w:val="0"/>
    </w:pPr>
    <w:rPr>
      <w:rFonts w:ascii="Arial" w:hAnsi="Arial"/>
    </w:rPr>
  </w:style>
  <w:style w:type="paragraph" w:styleId="20">
    <w:name w:val="header"/>
    <w:basedOn w:val="1"/>
    <w:next w:val="15"/>
    <w:link w:val="4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autoRedefine/>
    <w:qFormat/>
    <w:locked/>
    <w:uiPriority w:val="99"/>
    <w:pPr>
      <w:snapToGrid w:val="0"/>
      <w:jc w:val="left"/>
    </w:pPr>
    <w:rPr>
      <w:sz w:val="18"/>
    </w:rPr>
  </w:style>
  <w:style w:type="paragraph" w:styleId="22">
    <w:name w:val="toc 6"/>
    <w:basedOn w:val="1"/>
    <w:next w:val="1"/>
    <w:autoRedefine/>
    <w:qFormat/>
    <w:locked/>
    <w:uiPriority w:val="99"/>
    <w:pPr>
      <w:widowControl/>
      <w:ind w:left="1000"/>
      <w:jc w:val="left"/>
    </w:pPr>
    <w:rPr>
      <w:kern w:val="0"/>
      <w:sz w:val="18"/>
      <w:szCs w:val="20"/>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5">
    <w:name w:val="annotation subject"/>
    <w:basedOn w:val="9"/>
    <w:next w:val="9"/>
    <w:link w:val="41"/>
    <w:autoRedefine/>
    <w:qFormat/>
    <w:uiPriority w:val="99"/>
    <w:rPr>
      <w:b/>
      <w:bCs/>
    </w:rPr>
  </w:style>
  <w:style w:type="paragraph" w:styleId="26">
    <w:name w:val="Body Text First Indent"/>
    <w:basedOn w:val="10"/>
    <w:next w:val="1"/>
    <w:autoRedefine/>
    <w:qFormat/>
    <w:locked/>
    <w:uiPriority w:val="99"/>
    <w:pPr>
      <w:ind w:firstLine="420"/>
    </w:pPr>
    <w:rPr>
      <w:sz w:val="21"/>
    </w:rPr>
  </w:style>
  <w:style w:type="paragraph" w:styleId="27">
    <w:name w:val="Body Text First Indent 2"/>
    <w:basedOn w:val="11"/>
    <w:autoRedefine/>
    <w:qFormat/>
    <w:locked/>
    <w:uiPriority w:val="0"/>
    <w:pPr>
      <w:ind w:firstLine="420"/>
    </w:pPr>
  </w:style>
  <w:style w:type="table" w:styleId="29">
    <w:name w:val="Table Grid"/>
    <w:basedOn w:val="2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locked/>
    <w:uiPriority w:val="0"/>
    <w:rPr>
      <w:b/>
    </w:rPr>
  </w:style>
  <w:style w:type="character" w:styleId="32">
    <w:name w:val="page number"/>
    <w:basedOn w:val="30"/>
    <w:autoRedefine/>
    <w:qFormat/>
    <w:locked/>
    <w:uiPriority w:val="0"/>
  </w:style>
  <w:style w:type="character" w:styleId="33">
    <w:name w:val="Hyperlink"/>
    <w:basedOn w:val="30"/>
    <w:autoRedefine/>
    <w:unhideWhenUsed/>
    <w:qFormat/>
    <w:locked/>
    <w:uiPriority w:val="0"/>
    <w:rPr>
      <w:color w:val="0000FF"/>
      <w:u w:val="single"/>
    </w:rPr>
  </w:style>
  <w:style w:type="character" w:styleId="34">
    <w:name w:val="annotation reference"/>
    <w:basedOn w:val="30"/>
    <w:autoRedefine/>
    <w:qFormat/>
    <w:uiPriority w:val="99"/>
    <w:rPr>
      <w:rFonts w:cs="Times New Roman"/>
      <w:sz w:val="21"/>
      <w:szCs w:val="21"/>
    </w:rPr>
  </w:style>
  <w:style w:type="character" w:styleId="35">
    <w:name w:val="footnote reference"/>
    <w:basedOn w:val="30"/>
    <w:autoRedefine/>
    <w:qFormat/>
    <w:locked/>
    <w:uiPriority w:val="99"/>
    <w:rPr>
      <w:vertAlign w:val="superscript"/>
    </w:rPr>
  </w:style>
  <w:style w:type="character" w:customStyle="1" w:styleId="36">
    <w:name w:val="NormalCharacter"/>
    <w:autoRedefine/>
    <w:qFormat/>
    <w:uiPriority w:val="0"/>
    <w:rPr>
      <w:rFonts w:ascii="Calibri" w:hAnsi="Calibri"/>
      <w:kern w:val="2"/>
      <w:sz w:val="21"/>
      <w:szCs w:val="24"/>
      <w:lang w:val="en-US" w:eastAsia="zh-CN" w:bidi="ar-SA"/>
    </w:rPr>
  </w:style>
  <w:style w:type="paragraph" w:customStyle="1" w:styleId="37">
    <w:name w:val="BodyText1I2"/>
    <w:basedOn w:val="38"/>
    <w:qFormat/>
    <w:uiPriority w:val="0"/>
    <w:pPr>
      <w:spacing w:after="120" w:line="240" w:lineRule="auto"/>
      <w:ind w:left="200" w:leftChars="200" w:firstLine="200" w:firstLineChars="200"/>
    </w:pPr>
    <w:rPr>
      <w:rFonts w:ascii="Calibri" w:hAnsi="Calibri"/>
      <w:sz w:val="21"/>
      <w:szCs w:val="22"/>
    </w:rPr>
  </w:style>
  <w:style w:type="paragraph" w:customStyle="1" w:styleId="38">
    <w:name w:val="BodyTextIndent"/>
    <w:basedOn w:val="1"/>
    <w:qFormat/>
    <w:uiPriority w:val="0"/>
    <w:pPr>
      <w:spacing w:line="480" w:lineRule="exact"/>
      <w:ind w:firstLine="480" w:firstLineChars="200"/>
    </w:pPr>
    <w:rPr>
      <w:rFonts w:ascii="宋体" w:hAnsi="宋体"/>
      <w:sz w:val="24"/>
    </w:rPr>
  </w:style>
  <w:style w:type="paragraph" w:customStyle="1" w:styleId="39">
    <w:name w:val="正文（首行缩进2字符）"/>
    <w:basedOn w:val="1"/>
    <w:autoRedefine/>
    <w:qFormat/>
    <w:uiPriority w:val="0"/>
    <w:pPr>
      <w:spacing w:line="360" w:lineRule="auto"/>
      <w:ind w:firstLine="420" w:firstLineChars="200"/>
    </w:pPr>
    <w:rPr>
      <w:szCs w:val="21"/>
    </w:rPr>
  </w:style>
  <w:style w:type="character" w:customStyle="1" w:styleId="40">
    <w:name w:val="标题 2 字符"/>
    <w:basedOn w:val="30"/>
    <w:link w:val="3"/>
    <w:autoRedefine/>
    <w:semiHidden/>
    <w:qFormat/>
    <w:locked/>
    <w:uiPriority w:val="99"/>
    <w:rPr>
      <w:rFonts w:ascii="Cambria" w:hAnsi="Cambria" w:eastAsia="宋体" w:cs="Times New Roman"/>
      <w:b/>
      <w:bCs/>
      <w:sz w:val="32"/>
      <w:szCs w:val="32"/>
    </w:rPr>
  </w:style>
  <w:style w:type="character" w:customStyle="1" w:styleId="41">
    <w:name w:val="批注主题 字符"/>
    <w:basedOn w:val="42"/>
    <w:link w:val="25"/>
    <w:autoRedefine/>
    <w:qFormat/>
    <w:locked/>
    <w:uiPriority w:val="99"/>
    <w:rPr>
      <w:rFonts w:ascii="Times New Roman" w:hAnsi="Times New Roman" w:eastAsia="宋体" w:cs="Times New Roman"/>
      <w:b/>
      <w:bCs/>
      <w:kern w:val="2"/>
      <w:sz w:val="24"/>
      <w:szCs w:val="24"/>
    </w:rPr>
  </w:style>
  <w:style w:type="character" w:customStyle="1" w:styleId="42">
    <w:name w:val="批注文字 字符"/>
    <w:basedOn w:val="30"/>
    <w:link w:val="9"/>
    <w:autoRedefine/>
    <w:qFormat/>
    <w:locked/>
    <w:uiPriority w:val="99"/>
    <w:rPr>
      <w:rFonts w:ascii="Times New Roman" w:hAnsi="Times New Roman" w:eastAsia="宋体" w:cs="Times New Roman"/>
      <w:kern w:val="2"/>
      <w:sz w:val="24"/>
      <w:szCs w:val="24"/>
    </w:rPr>
  </w:style>
  <w:style w:type="character" w:customStyle="1" w:styleId="43">
    <w:name w:val="正文文本 字符"/>
    <w:basedOn w:val="30"/>
    <w:link w:val="10"/>
    <w:autoRedefine/>
    <w:semiHidden/>
    <w:qFormat/>
    <w:locked/>
    <w:uiPriority w:val="99"/>
    <w:rPr>
      <w:rFonts w:cs="Times New Roman"/>
      <w:sz w:val="24"/>
      <w:szCs w:val="24"/>
    </w:rPr>
  </w:style>
  <w:style w:type="character" w:customStyle="1" w:styleId="44">
    <w:name w:val="font01"/>
    <w:autoRedefine/>
    <w:qFormat/>
    <w:uiPriority w:val="0"/>
    <w:rPr>
      <w:rFonts w:hint="eastAsia" w:ascii="宋体" w:hAnsi="宋体" w:eastAsia="宋体" w:cs="宋体"/>
      <w:color w:val="000000"/>
      <w:sz w:val="24"/>
      <w:szCs w:val="24"/>
      <w:u w:val="none"/>
    </w:rPr>
  </w:style>
  <w:style w:type="character" w:customStyle="1" w:styleId="45">
    <w:name w:val="页眉 字符"/>
    <w:basedOn w:val="30"/>
    <w:link w:val="20"/>
    <w:autoRedefine/>
    <w:semiHidden/>
    <w:qFormat/>
    <w:locked/>
    <w:uiPriority w:val="99"/>
    <w:rPr>
      <w:rFonts w:cs="Times New Roman"/>
      <w:sz w:val="18"/>
      <w:szCs w:val="18"/>
    </w:rPr>
  </w:style>
  <w:style w:type="character" w:customStyle="1" w:styleId="46">
    <w:name w:val="标题 3 字符"/>
    <w:basedOn w:val="30"/>
    <w:link w:val="4"/>
    <w:autoRedefine/>
    <w:semiHidden/>
    <w:qFormat/>
    <w:locked/>
    <w:uiPriority w:val="99"/>
    <w:rPr>
      <w:rFonts w:cs="Times New Roman"/>
      <w:b/>
      <w:bCs/>
      <w:sz w:val="32"/>
      <w:szCs w:val="32"/>
    </w:rPr>
  </w:style>
  <w:style w:type="character" w:customStyle="1" w:styleId="47">
    <w:name w:val="日期 字符"/>
    <w:basedOn w:val="30"/>
    <w:link w:val="14"/>
    <w:autoRedefine/>
    <w:semiHidden/>
    <w:qFormat/>
    <w:locked/>
    <w:uiPriority w:val="99"/>
    <w:rPr>
      <w:rFonts w:cs="Times New Roman"/>
      <w:sz w:val="24"/>
      <w:szCs w:val="24"/>
    </w:rPr>
  </w:style>
  <w:style w:type="character" w:customStyle="1" w:styleId="48">
    <w:name w:val="批注框文本 字符"/>
    <w:basedOn w:val="30"/>
    <w:link w:val="17"/>
    <w:autoRedefine/>
    <w:qFormat/>
    <w:locked/>
    <w:uiPriority w:val="99"/>
    <w:rPr>
      <w:rFonts w:ascii="Times New Roman" w:hAnsi="Times New Roman" w:eastAsia="宋体" w:cs="Times New Roman"/>
      <w:kern w:val="2"/>
      <w:sz w:val="18"/>
      <w:szCs w:val="18"/>
    </w:rPr>
  </w:style>
  <w:style w:type="character" w:customStyle="1" w:styleId="49">
    <w:name w:val="font31"/>
    <w:autoRedefine/>
    <w:qFormat/>
    <w:uiPriority w:val="0"/>
    <w:rPr>
      <w:rFonts w:hint="eastAsia" w:ascii="宋体" w:hAnsi="宋体" w:eastAsia="宋体" w:cs="宋体"/>
      <w:color w:val="000000"/>
      <w:sz w:val="24"/>
      <w:szCs w:val="24"/>
      <w:u w:val="none"/>
    </w:rPr>
  </w:style>
  <w:style w:type="character" w:customStyle="1" w:styleId="50">
    <w:name w:val="正文文本缩进 字符"/>
    <w:basedOn w:val="30"/>
    <w:link w:val="11"/>
    <w:autoRedefine/>
    <w:qFormat/>
    <w:locked/>
    <w:uiPriority w:val="99"/>
    <w:rPr>
      <w:rFonts w:cs="Times New Roman"/>
      <w:kern w:val="2"/>
      <w:sz w:val="24"/>
      <w:szCs w:val="24"/>
    </w:rPr>
  </w:style>
  <w:style w:type="character" w:customStyle="1" w:styleId="51">
    <w:name w:val="纯文本 字符"/>
    <w:basedOn w:val="30"/>
    <w:link w:val="13"/>
    <w:autoRedefine/>
    <w:semiHidden/>
    <w:qFormat/>
    <w:locked/>
    <w:uiPriority w:val="99"/>
    <w:rPr>
      <w:rFonts w:ascii="宋体" w:hAnsi="Courier New" w:cs="Courier New"/>
      <w:sz w:val="21"/>
      <w:szCs w:val="21"/>
    </w:rPr>
  </w:style>
  <w:style w:type="character" w:customStyle="1" w:styleId="52">
    <w:name w:val="标题 1 字符"/>
    <w:basedOn w:val="30"/>
    <w:link w:val="2"/>
    <w:autoRedefine/>
    <w:qFormat/>
    <w:locked/>
    <w:uiPriority w:val="99"/>
    <w:rPr>
      <w:rFonts w:ascii="Times New Roman" w:hAnsi="Times New Roman" w:cs="Times New Roman"/>
      <w:b/>
      <w:bCs/>
      <w:kern w:val="44"/>
      <w:sz w:val="44"/>
      <w:szCs w:val="44"/>
    </w:rPr>
  </w:style>
  <w:style w:type="character" w:customStyle="1" w:styleId="53">
    <w:name w:val="font11"/>
    <w:autoRedefine/>
    <w:qFormat/>
    <w:uiPriority w:val="0"/>
    <w:rPr>
      <w:rFonts w:hint="default" w:ascii="Times New Roman" w:hAnsi="Times New Roman" w:cs="Times New Roman"/>
      <w:color w:val="000000"/>
      <w:sz w:val="24"/>
      <w:szCs w:val="24"/>
      <w:u w:val="none"/>
    </w:rPr>
  </w:style>
  <w:style w:type="character" w:customStyle="1" w:styleId="54">
    <w:name w:val="页脚 字符"/>
    <w:basedOn w:val="30"/>
    <w:link w:val="18"/>
    <w:autoRedefine/>
    <w:semiHidden/>
    <w:qFormat/>
    <w:locked/>
    <w:uiPriority w:val="99"/>
    <w:rPr>
      <w:rFonts w:cs="Times New Roman"/>
      <w:sz w:val="18"/>
      <w:szCs w:val="18"/>
    </w:rPr>
  </w:style>
  <w:style w:type="paragraph" w:customStyle="1" w:styleId="55">
    <w:name w:val="正文_14"/>
    <w:autoRedefine/>
    <w:qFormat/>
    <w:uiPriority w:val="99"/>
    <w:rPr>
      <w:rFonts w:ascii="Times New Roman" w:hAnsi="Times New Roman" w:eastAsia="宋体" w:cs="Times New Roman"/>
      <w:sz w:val="21"/>
      <w:szCs w:val="22"/>
      <w:lang w:val="en-US" w:eastAsia="zh-CN" w:bidi="ar-SA"/>
    </w:rPr>
  </w:style>
  <w:style w:type="paragraph" w:customStyle="1" w:styleId="56">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_3"/>
    <w:basedOn w:val="59"/>
    <w:autoRedefine/>
    <w:qFormat/>
    <w:uiPriority w:val="99"/>
    <w:pPr>
      <w:widowControl/>
      <w:jc w:val="left"/>
    </w:pPr>
    <w:rPr>
      <w:rFonts w:ascii="宋体" w:hAnsi="Courier New"/>
      <w:szCs w:val="21"/>
    </w:rPr>
  </w:style>
  <w:style w:type="paragraph" w:customStyle="1" w:styleId="5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列出段落1"/>
    <w:basedOn w:val="1"/>
    <w:autoRedefine/>
    <w:qFormat/>
    <w:uiPriority w:val="99"/>
    <w:pPr>
      <w:ind w:firstLine="420" w:firstLineChars="200"/>
    </w:pPr>
    <w:rPr>
      <w:rFonts w:ascii="Calibri" w:hAnsi="Calibri"/>
      <w:kern w:val="0"/>
      <w:szCs w:val="20"/>
    </w:rPr>
  </w:style>
  <w:style w:type="paragraph" w:customStyle="1" w:styleId="63">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4">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5">
    <w:name w:val="正文2"/>
    <w:basedOn w:val="1"/>
    <w:autoRedefine/>
    <w:qFormat/>
    <w:uiPriority w:val="0"/>
    <w:pPr>
      <w:spacing w:before="156" w:line="360" w:lineRule="auto"/>
      <w:ind w:firstLine="510" w:firstLineChars="200"/>
    </w:pPr>
    <w:rPr>
      <w:sz w:val="24"/>
      <w:szCs w:val="20"/>
    </w:rPr>
  </w:style>
  <w:style w:type="paragraph" w:customStyle="1" w:styleId="66">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9">
    <w:name w:val="列表段落1"/>
    <w:basedOn w:val="1"/>
    <w:autoRedefine/>
    <w:qFormat/>
    <w:uiPriority w:val="99"/>
    <w:pPr>
      <w:ind w:firstLine="420" w:firstLineChars="200"/>
    </w:pPr>
    <w:rPr>
      <w:rFonts w:ascii="Calibri" w:hAnsi="Calibri"/>
      <w:szCs w:val="22"/>
    </w:rPr>
  </w:style>
  <w:style w:type="paragraph" w:customStyle="1" w:styleId="7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1">
    <w:name w:val="纯文本_0_1"/>
    <w:basedOn w:val="1"/>
    <w:autoRedefine/>
    <w:qFormat/>
    <w:uiPriority w:val="99"/>
    <w:pPr>
      <w:widowControl/>
      <w:jc w:val="left"/>
    </w:pPr>
    <w:rPr>
      <w:rFonts w:ascii="宋体" w:hAnsi="Courier New"/>
      <w:szCs w:val="21"/>
    </w:rPr>
  </w:style>
  <w:style w:type="paragraph" w:customStyle="1" w:styleId="72">
    <w:name w:val="表格文字"/>
    <w:basedOn w:val="1"/>
    <w:next w:val="10"/>
    <w:autoRedefine/>
    <w:qFormat/>
    <w:uiPriority w:val="99"/>
    <w:pPr>
      <w:adjustRightInd w:val="0"/>
      <w:spacing w:line="420" w:lineRule="atLeast"/>
      <w:jc w:val="left"/>
      <w:textAlignment w:val="baseline"/>
    </w:pPr>
    <w:rPr>
      <w:kern w:val="0"/>
    </w:rPr>
  </w:style>
  <w:style w:type="paragraph" w:customStyle="1" w:styleId="7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4">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5">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标题 4 字符"/>
    <w:basedOn w:val="30"/>
    <w:link w:val="5"/>
    <w:autoRedefine/>
    <w:qFormat/>
    <w:uiPriority w:val="9"/>
    <w:rPr>
      <w:rFonts w:asciiTheme="majorHAnsi" w:hAnsiTheme="majorHAnsi" w:eastAsiaTheme="majorEastAsia" w:cstheme="majorBidi"/>
      <w:b/>
      <w:bCs/>
      <w:kern w:val="2"/>
      <w:sz w:val="28"/>
      <w:szCs w:val="28"/>
    </w:rPr>
  </w:style>
  <w:style w:type="paragraph" w:styleId="77">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78">
    <w:name w:val="Table Paragraph"/>
    <w:basedOn w:val="1"/>
    <w:autoRedefine/>
    <w:qFormat/>
    <w:uiPriority w:val="1"/>
  </w:style>
  <w:style w:type="paragraph" w:styleId="79">
    <w:name w:val="List Paragraph"/>
    <w:basedOn w:val="1"/>
    <w:autoRedefine/>
    <w:qFormat/>
    <w:uiPriority w:val="34"/>
    <w:pPr>
      <w:ind w:firstLine="420" w:firstLineChars="200"/>
    </w:pPr>
  </w:style>
  <w:style w:type="paragraph" w:customStyle="1" w:styleId="80">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1">
    <w:name w:val="网格型13"/>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12"/>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1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4"/>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7"/>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8"/>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9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15"/>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6"/>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5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1"/>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67</Pages>
  <Words>30039</Words>
  <Characters>31965</Characters>
  <Lines>341</Lines>
  <Paragraphs>96</Paragraphs>
  <TotalTime>46</TotalTime>
  <ScaleCrop>false</ScaleCrop>
  <LinksUpToDate>false</LinksUpToDate>
  <CharactersWithSpaces>32897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2020-06-17T02:13:00Z</dcterms:created>
  <dc:creator>S-mile</dc:creator>
  <cp:lastModifiedBy>jin</cp:lastModifiedBy>
  <dcterms:modified xsi:type="dcterms:W3CDTF">2024-08-02T02:42:24Z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7FC5F3FB5A3A4EEF94F724EA5840A3BB_13</vt:lpwstr>
  </property>
</Properties>
</file>