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C8001">
      <w:pPr>
        <w:shd w:val="clear" w:color="auto"/>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p>
    <w:p w14:paraId="103216BD">
      <w:pPr>
        <w:shd w:val="clear"/>
        <w:jc w:val="center"/>
        <w:rPr>
          <w:rFonts w:ascii="宋体" w:hAnsi="宋体" w:cs="宋体"/>
          <w:color w:val="000000" w:themeColor="text1"/>
          <w:sz w:val="36"/>
          <w:szCs w:val="36"/>
          <w:highlight w:val="none"/>
          <w14:textFill>
            <w14:solidFill>
              <w14:schemeClr w14:val="tx1"/>
            </w14:solidFill>
          </w14:textFill>
        </w:rPr>
      </w:pPr>
      <w:r>
        <w:rPr>
          <w:rFonts w:ascii="宋体" w:hAnsi="宋体" w:eastAsia="宋体" w:cs="宋体"/>
          <w:color w:val="000000" w:themeColor="text1"/>
          <w:kern w:val="2"/>
          <w:sz w:val="21"/>
          <w:szCs w:val="24"/>
          <w:highlight w:val="none"/>
          <w:lang w:val="en-US" w:eastAsia="zh-CN" w:bidi="ar-SA"/>
          <w14:textFill>
            <w14:solidFill>
              <w14:schemeClr w14:val="tx1"/>
            </w14:solidFill>
          </w14:textFill>
        </w:rPr>
        <w:drawing>
          <wp:anchor distT="0" distB="0" distL="0" distR="0" simplePos="0" relativeHeight="251659264" behindDoc="1" locked="0" layoutInCell="1" allowOverlap="1">
            <wp:simplePos x="0" y="0"/>
            <wp:positionH relativeFrom="page">
              <wp:posOffset>677545</wp:posOffset>
            </wp:positionH>
            <wp:positionV relativeFrom="page">
              <wp:posOffset>1565910</wp:posOffset>
            </wp:positionV>
            <wp:extent cx="2971800" cy="2091690"/>
            <wp:effectExtent l="0" t="0" r="0" b="3810"/>
            <wp:wrapNone/>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7" cstate="print">
                      <a:lum contrast="12000"/>
                    </a:blip>
                    <a:srcRect/>
                    <a:stretch>
                      <a:fillRect/>
                    </a:stretch>
                  </pic:blipFill>
                  <pic:spPr>
                    <a:xfrm>
                      <a:off x="0" y="0"/>
                      <a:ext cx="2971800" cy="2091690"/>
                    </a:xfrm>
                    <a:prstGeom prst="rect">
                      <a:avLst/>
                    </a:prstGeom>
                    <a:ln>
                      <a:noFill/>
                    </a:ln>
                  </pic:spPr>
                </pic:pic>
              </a:graphicData>
            </a:graphic>
          </wp:anchor>
        </w:drawing>
      </w:r>
    </w:p>
    <w:p w14:paraId="0B9B2064">
      <w:pPr>
        <w:shd w:val="clear"/>
        <w:jc w:val="center"/>
        <w:rPr>
          <w:rFonts w:ascii="宋体" w:hAnsi="宋体" w:cs="宋体"/>
          <w:color w:val="000000" w:themeColor="text1"/>
          <w:sz w:val="52"/>
          <w:szCs w:val="52"/>
          <w:highlight w:val="none"/>
          <w14:textFill>
            <w14:solidFill>
              <w14:schemeClr w14:val="tx1"/>
            </w14:solidFill>
          </w14:textFill>
        </w:rPr>
      </w:pPr>
    </w:p>
    <w:p w14:paraId="09F924F5">
      <w:pPr>
        <w:shd w:val="clear"/>
        <w:jc w:val="center"/>
        <w:rPr>
          <w:rFonts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 xml:space="preserve">         F-STONE</w:t>
      </w:r>
    </w:p>
    <w:p w14:paraId="53437E59">
      <w:pPr>
        <w:shd w:val="clear"/>
        <w:jc w:val="center"/>
        <w:rPr>
          <w:rFonts w:ascii="宋体" w:hAnsi="宋体" w:cs="宋体"/>
          <w:color w:val="000000" w:themeColor="text1"/>
          <w:sz w:val="36"/>
          <w:szCs w:val="36"/>
          <w:highlight w:val="none"/>
          <w14:textFill>
            <w14:solidFill>
              <w14:schemeClr w14:val="tx1"/>
            </w14:solidFill>
          </w14:textFill>
        </w:rPr>
      </w:pPr>
    </w:p>
    <w:p w14:paraId="7A88A7D8">
      <w:pPr>
        <w:shd w:val="clear"/>
        <w:jc w:val="center"/>
        <w:rPr>
          <w:rFonts w:ascii="宋体" w:hAnsi="宋体" w:cs="宋体"/>
          <w:b/>
          <w:color w:val="000000" w:themeColor="text1"/>
          <w:sz w:val="72"/>
          <w:szCs w:val="72"/>
          <w:highlight w:val="none"/>
          <w14:textFill>
            <w14:solidFill>
              <w14:schemeClr w14:val="tx1"/>
            </w14:solidFill>
          </w14:textFill>
        </w:rPr>
      </w:pPr>
    </w:p>
    <w:p w14:paraId="7105C963">
      <w:pPr>
        <w:shd w:val="clear" w:color="auto"/>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政府采购电子竞争性磋商文件</w:t>
      </w:r>
    </w:p>
    <w:p w14:paraId="6417FB57">
      <w:pPr>
        <w:shd w:val="clear" w:color="auto"/>
        <w:spacing w:line="360" w:lineRule="auto"/>
        <w:jc w:val="center"/>
        <w:textAlignment w:val="bottom"/>
        <w:rPr>
          <w:rFonts w:ascii="宋体" w:hAnsi="宋体" w:cs="宋体"/>
          <w:color w:val="000000" w:themeColor="text1"/>
          <w:sz w:val="28"/>
          <w:szCs w:val="28"/>
          <w:highlight w:val="none"/>
          <w14:textFill>
            <w14:solidFill>
              <w14:schemeClr w14:val="tx1"/>
            </w14:solidFill>
          </w14:textFill>
        </w:rPr>
      </w:pPr>
    </w:p>
    <w:p w14:paraId="351E8A6E">
      <w:pPr>
        <w:shd w:val="clear" w:color="auto"/>
        <w:spacing w:line="360" w:lineRule="auto"/>
        <w:jc w:val="center"/>
        <w:textAlignment w:val="bottom"/>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ZJWS2024-LQ130-1</w:t>
      </w:r>
    </w:p>
    <w:p w14:paraId="149FC07E">
      <w:pPr>
        <w:shd w:val="clear" w:color="auto"/>
        <w:tabs>
          <w:tab w:val="left" w:pos="1860"/>
        </w:tabs>
        <w:spacing w:line="360" w:lineRule="auto"/>
        <w:jc w:val="center"/>
        <w:textAlignment w:val="bottom"/>
        <w:rPr>
          <w:rFonts w:ascii="宋体" w:hAnsi="宋体" w:cs="宋体"/>
          <w:color w:val="000000" w:themeColor="text1"/>
          <w:kern w:val="0"/>
          <w:sz w:val="28"/>
          <w:highlight w:val="none"/>
          <w14:textFill>
            <w14:solidFill>
              <w14:schemeClr w14:val="tx1"/>
            </w14:solidFill>
          </w14:textFill>
        </w:rPr>
      </w:pPr>
    </w:p>
    <w:p w14:paraId="16641AC1">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食堂劳务外包服务项目（二次）</w:t>
      </w:r>
    </w:p>
    <w:p w14:paraId="54560FF0">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14:paraId="69D4BDC7">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w:t>
      </w:r>
      <w:r>
        <w:rPr>
          <w:rFonts w:hint="eastAsia" w:ascii="宋体" w:hAnsi="宋体" w:cs="宋体"/>
          <w:color w:val="000000" w:themeColor="text1"/>
          <w:kern w:val="0"/>
          <w:sz w:val="28"/>
          <w:highlight w:val="none"/>
          <w:lang w:eastAsia="zh-CN"/>
          <w14:textFill>
            <w14:solidFill>
              <w14:schemeClr w14:val="tx1"/>
            </w14:solidFill>
          </w14:textFill>
        </w:rPr>
        <w:t>台州市路桥区人民法院</w:t>
      </w:r>
    </w:p>
    <w:p w14:paraId="05BA0DBA">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14:paraId="799F8B29">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采购代理机构：</w:t>
      </w:r>
      <w:r>
        <w:rPr>
          <w:rFonts w:hint="eastAsia" w:ascii="宋体" w:hAnsi="宋体" w:cs="宋体"/>
          <w:color w:val="000000" w:themeColor="text1"/>
          <w:kern w:val="0"/>
          <w:sz w:val="28"/>
          <w:highlight w:val="none"/>
          <w:lang w:eastAsia="zh-CN"/>
          <w14:textFill>
            <w14:solidFill>
              <w14:schemeClr w14:val="tx1"/>
            </w14:solidFill>
          </w14:textFill>
        </w:rPr>
        <w:t>浙江五石中正工程咨询有限公司</w:t>
      </w:r>
    </w:p>
    <w:p w14:paraId="0BBF6601">
      <w:pPr>
        <w:shd w:val="clea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p>
    <w:p w14:paraId="7F44063B">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lang w:eastAsia="zh-CN"/>
          <w14:textFill>
            <w14:solidFill>
              <w14:schemeClr w14:val="tx1"/>
            </w14:solidFill>
          </w14:textFill>
        </w:rPr>
        <w:t>二○二四年</w:t>
      </w:r>
      <w:r>
        <w:rPr>
          <w:rFonts w:hint="eastAsia" w:ascii="宋体" w:hAnsi="宋体" w:cs="宋体"/>
          <w:color w:val="000000" w:themeColor="text1"/>
          <w:kern w:val="0"/>
          <w:sz w:val="28"/>
          <w:highlight w:val="none"/>
          <w:lang w:val="en-US" w:eastAsia="zh-CN"/>
          <w14:textFill>
            <w14:solidFill>
              <w14:schemeClr w14:val="tx1"/>
            </w14:solidFill>
          </w14:textFill>
        </w:rPr>
        <w:t>八</w:t>
      </w:r>
      <w:r>
        <w:rPr>
          <w:rFonts w:hint="eastAsia" w:ascii="宋体" w:hAnsi="宋体" w:cs="宋体"/>
          <w:color w:val="000000" w:themeColor="text1"/>
          <w:kern w:val="0"/>
          <w:sz w:val="28"/>
          <w:highlight w:val="none"/>
          <w:lang w:eastAsia="zh-CN"/>
          <w14:textFill>
            <w14:solidFill>
              <w14:schemeClr w14:val="tx1"/>
            </w14:solidFill>
          </w14:textFill>
        </w:rPr>
        <w:t>月</w:t>
      </w:r>
    </w:p>
    <w:p w14:paraId="69C6CC4A">
      <w:pPr>
        <w:shd w:val="clear"/>
        <w:jc w:val="center"/>
        <w:rPr>
          <w:rFonts w:hint="eastAsia" w:ascii="宋体" w:hAnsi="宋体" w:cs="宋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3E8F6647">
      <w:pPr>
        <w:shd w:val="clea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67254359">
      <w:pPr>
        <w:shd w:val="clear"/>
        <w:spacing w:line="360" w:lineRule="auto"/>
        <w:rPr>
          <w:rFonts w:ascii="宋体" w:hAnsi="宋体" w:cs="宋体"/>
          <w:color w:val="000000" w:themeColor="text1"/>
          <w:sz w:val="28"/>
          <w:szCs w:val="28"/>
          <w:highlight w:val="none"/>
          <w14:textFill>
            <w14:solidFill>
              <w14:schemeClr w14:val="tx1"/>
            </w14:solidFill>
          </w14:textFill>
        </w:rPr>
      </w:pPr>
    </w:p>
    <w:p w14:paraId="1EEDC95C">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一、竞争性磋商公告</w:t>
      </w:r>
    </w:p>
    <w:p w14:paraId="110D8538">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二、供应商须知</w:t>
      </w:r>
    </w:p>
    <w:p w14:paraId="6BCBADB6">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三、评审办法及评审标准  </w:t>
      </w:r>
    </w:p>
    <w:p w14:paraId="6AA73695">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四、项目需求</w:t>
      </w:r>
    </w:p>
    <w:p w14:paraId="3BF711E2">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五、政府采购合同主要条款指引       </w:t>
      </w:r>
    </w:p>
    <w:p w14:paraId="2850C4C8">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六、响应文件格式附件</w:t>
      </w:r>
    </w:p>
    <w:p w14:paraId="727DA06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01B26A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69DE38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483062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39514B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57228B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DB2878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612559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E74691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958C41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4621BC0">
      <w:pPr>
        <w:pStyle w:val="27"/>
        <w:shd w:val="clear"/>
        <w:ind w:firstLine="720"/>
        <w:rPr>
          <w:color w:val="000000" w:themeColor="text1"/>
          <w:highlight w:val="none"/>
          <w14:textFill>
            <w14:solidFill>
              <w14:schemeClr w14:val="tx1"/>
            </w14:solidFill>
          </w14:textFill>
        </w:rPr>
      </w:pPr>
    </w:p>
    <w:p w14:paraId="7490FEC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5BE610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9597D4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61E32B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2112CA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9721DB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7F6052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D3D1B8F">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第一部分 竞争性磋商公告</w:t>
      </w:r>
    </w:p>
    <w:p w14:paraId="4ABE443C">
      <w:pPr>
        <w:shd w:val="clea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根据《中华人民共和国政府采购法》及《浙江省政府向社会力量购买服务指导性目录（20</w:t>
      </w:r>
      <w:r>
        <w:rPr>
          <w:rFonts w:hint="eastAsia" w:ascii="宋体" w:hAnsi="宋体" w:cs="宋体"/>
          <w:b/>
          <w:bCs/>
          <w:color w:val="000000" w:themeColor="text1"/>
          <w:sz w:val="24"/>
          <w:szCs w:val="32"/>
          <w:highlight w:val="none"/>
          <w:lang w:val="en-US" w:eastAsia="zh-CN"/>
          <w14:textFill>
            <w14:solidFill>
              <w14:schemeClr w14:val="tx1"/>
            </w14:solidFill>
          </w14:textFill>
        </w:rPr>
        <w:t>24</w:t>
      </w:r>
      <w:r>
        <w:rPr>
          <w:rFonts w:hint="eastAsia" w:ascii="宋体" w:hAnsi="宋体" w:cs="宋体"/>
          <w:b/>
          <w:bCs/>
          <w:color w:val="000000" w:themeColor="text1"/>
          <w:sz w:val="24"/>
          <w:szCs w:val="32"/>
          <w:highlight w:val="none"/>
          <w14:textFill>
            <w14:solidFill>
              <w14:schemeClr w14:val="tx1"/>
            </w14:solidFill>
          </w14:textFill>
        </w:rPr>
        <w:t>年度）》第B1105条</w:t>
      </w:r>
      <w:r>
        <w:rPr>
          <w:rFonts w:hint="eastAsia" w:ascii="宋体" w:hAnsi="宋体" w:cs="宋体"/>
          <w:color w:val="000000" w:themeColor="text1"/>
          <w:sz w:val="24"/>
          <w:szCs w:val="32"/>
          <w:highlight w:val="none"/>
          <w14:textFill>
            <w14:solidFill>
              <w14:schemeClr w14:val="tx1"/>
            </w14:solidFill>
          </w14:textFill>
        </w:rPr>
        <w:t>，本项目为餐饮服务项目，采用竞争性磋商方式开展采购。</w:t>
      </w:r>
      <w:r>
        <w:rPr>
          <w:rFonts w:hint="eastAsia" w:ascii="宋体" w:hAnsi="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eastAsia" w:ascii="宋体" w:hAnsi="宋体" w:cs="宋体"/>
          <w:b/>
          <w:bCs/>
          <w:color w:val="000000" w:themeColor="text1"/>
          <w:sz w:val="24"/>
          <w:szCs w:val="32"/>
          <w:highlight w:val="none"/>
          <w:u w:val="none"/>
          <w14:textFill>
            <w14:solidFill>
              <w14:schemeClr w14:val="tx1"/>
            </w14:solidFill>
          </w14:textFill>
        </w:rPr>
        <w:t>台州市路桥区人民法院</w:t>
      </w:r>
      <w:r>
        <w:rPr>
          <w:rFonts w:hint="eastAsia" w:ascii="宋体" w:hAnsi="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u w:val="none"/>
          <w:lang w:eastAsia="zh-CN"/>
          <w14:textFill>
            <w14:solidFill>
              <w14:schemeClr w14:val="tx1"/>
            </w14:solidFill>
          </w14:textFill>
        </w:rPr>
        <w:t>食堂劳务外包服务项目（二次）</w:t>
      </w:r>
      <w:r>
        <w:rPr>
          <w:rFonts w:hint="eastAsia" w:ascii="宋体" w:hAnsi="宋体" w:cs="宋体"/>
          <w:color w:val="000000" w:themeColor="text1"/>
          <w:sz w:val="24"/>
          <w:szCs w:val="32"/>
          <w:highlight w:val="none"/>
          <w14:textFill>
            <w14:solidFill>
              <w14:schemeClr w14:val="tx1"/>
            </w14:solidFill>
          </w14:textFill>
        </w:rPr>
        <w:t>进行竞争性磋商采购，欢迎合格供应商前来磋商。</w:t>
      </w:r>
    </w:p>
    <w:p w14:paraId="2FB15ACE">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w:t>
      </w:r>
      <w:r>
        <w:rPr>
          <w:rFonts w:hint="eastAsia" w:ascii="宋体" w:hAnsi="宋体" w:cs="宋体"/>
          <w:color w:val="000000" w:themeColor="text1"/>
          <w:sz w:val="24"/>
          <w:szCs w:val="32"/>
          <w:highlight w:val="none"/>
          <w:lang w:eastAsia="zh-CN"/>
          <w14:textFill>
            <w14:solidFill>
              <w14:schemeClr w14:val="tx1"/>
            </w14:solidFill>
          </w14:textFill>
        </w:rPr>
        <w:t>ZJWS2024-LQ130-1</w:t>
      </w:r>
    </w:p>
    <w:p w14:paraId="185E293E">
      <w:pPr>
        <w:shd w:val="clea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二、磋商内容：</w:t>
      </w:r>
    </w:p>
    <w:tbl>
      <w:tblPr>
        <w:tblStyle w:val="28"/>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96"/>
        <w:gridCol w:w="1163"/>
        <w:gridCol w:w="637"/>
        <w:gridCol w:w="511"/>
        <w:gridCol w:w="1602"/>
        <w:gridCol w:w="3160"/>
      </w:tblGrid>
      <w:tr w14:paraId="04B9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1CFA992B">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序</w:t>
            </w:r>
            <w:r>
              <w:rPr>
                <w:rFonts w:hint="eastAsia" w:ascii="宋体" w:hAnsi="宋体"/>
                <w:b/>
                <w:color w:val="000000" w:themeColor="text1"/>
                <w:sz w:val="24"/>
                <w:szCs w:val="24"/>
                <w:highlight w:val="none"/>
                <w14:textFill>
                  <w14:solidFill>
                    <w14:schemeClr w14:val="tx1"/>
                  </w14:solidFill>
                </w14:textFill>
              </w:rPr>
              <w:t>号</w:t>
            </w:r>
          </w:p>
        </w:tc>
        <w:tc>
          <w:tcPr>
            <w:tcW w:w="1696" w:type="dxa"/>
            <w:noWrap w:val="0"/>
            <w:vAlign w:val="center"/>
          </w:tcPr>
          <w:p w14:paraId="79CE1AB1">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项目名称</w:t>
            </w:r>
          </w:p>
        </w:tc>
        <w:tc>
          <w:tcPr>
            <w:tcW w:w="1163" w:type="dxa"/>
            <w:noWrap w:val="0"/>
            <w:vAlign w:val="center"/>
          </w:tcPr>
          <w:p w14:paraId="1B4FFC90">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简要技术要求</w:t>
            </w:r>
          </w:p>
        </w:tc>
        <w:tc>
          <w:tcPr>
            <w:tcW w:w="637" w:type="dxa"/>
            <w:noWrap w:val="0"/>
            <w:vAlign w:val="center"/>
          </w:tcPr>
          <w:p w14:paraId="7C9521FC">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数量</w:t>
            </w:r>
          </w:p>
        </w:tc>
        <w:tc>
          <w:tcPr>
            <w:tcW w:w="511" w:type="dxa"/>
            <w:noWrap w:val="0"/>
            <w:vAlign w:val="center"/>
          </w:tcPr>
          <w:p w14:paraId="43431354">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单位</w:t>
            </w:r>
          </w:p>
        </w:tc>
        <w:tc>
          <w:tcPr>
            <w:tcW w:w="1602" w:type="dxa"/>
            <w:noWrap w:val="0"/>
            <w:vAlign w:val="center"/>
          </w:tcPr>
          <w:p w14:paraId="362AE300">
            <w:pPr>
              <w:shd w:val="clear"/>
              <w:tabs>
                <w:tab w:val="left" w:pos="8280"/>
              </w:tabs>
              <w:autoSpaceDE w:val="0"/>
              <w:autoSpaceDN w:val="0"/>
              <w:adjustRightInd w:val="0"/>
              <w:ind w:right="25"/>
              <w:jc w:val="center"/>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预算</w:t>
            </w:r>
          </w:p>
          <w:p w14:paraId="647A3534">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（万元）</w:t>
            </w:r>
          </w:p>
        </w:tc>
        <w:tc>
          <w:tcPr>
            <w:tcW w:w="3160" w:type="dxa"/>
            <w:noWrap w:val="0"/>
            <w:vAlign w:val="center"/>
          </w:tcPr>
          <w:p w14:paraId="7DA390FB">
            <w:pPr>
              <w:shd w:val="clear"/>
              <w:tabs>
                <w:tab w:val="left" w:pos="8280"/>
              </w:tabs>
              <w:autoSpaceDE w:val="0"/>
              <w:autoSpaceDN w:val="0"/>
              <w:adjustRightInd w:val="0"/>
              <w:ind w:right="25" w:firstLine="240"/>
              <w:jc w:val="center"/>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服务期限</w:t>
            </w:r>
          </w:p>
        </w:tc>
      </w:tr>
      <w:tr w14:paraId="1D56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7F7E2C00">
            <w:pPr>
              <w:shd w:val="clear"/>
              <w:tabs>
                <w:tab w:val="left" w:pos="8280"/>
              </w:tabs>
              <w:autoSpaceDE w:val="0"/>
              <w:autoSpaceDN w:val="0"/>
              <w:adjustRightInd w:val="0"/>
              <w:ind w:right="25"/>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1696" w:type="dxa"/>
            <w:noWrap w:val="0"/>
            <w:vAlign w:val="center"/>
          </w:tcPr>
          <w:p w14:paraId="19DCBD80">
            <w:pPr>
              <w:shd w:val="clear"/>
              <w:tabs>
                <w:tab w:val="left" w:pos="8280"/>
              </w:tabs>
              <w:autoSpaceDE w:val="0"/>
              <w:autoSpaceDN w:val="0"/>
              <w:adjustRightInd w:val="0"/>
              <w:ind w:right="25"/>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食堂劳务外包服务项目（二次）</w:t>
            </w:r>
          </w:p>
        </w:tc>
        <w:tc>
          <w:tcPr>
            <w:tcW w:w="1163" w:type="dxa"/>
            <w:noWrap w:val="0"/>
            <w:vAlign w:val="center"/>
          </w:tcPr>
          <w:p w14:paraId="2C3F0D59">
            <w:pPr>
              <w:shd w:val="clear"/>
              <w:tabs>
                <w:tab w:val="left" w:pos="8280"/>
              </w:tabs>
              <w:autoSpaceDE w:val="0"/>
              <w:autoSpaceDN w:val="0"/>
              <w:adjustRightInd w:val="0"/>
              <w:ind w:right="25"/>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详见项目需求</w:t>
            </w:r>
          </w:p>
        </w:tc>
        <w:tc>
          <w:tcPr>
            <w:tcW w:w="637" w:type="dxa"/>
            <w:noWrap w:val="0"/>
            <w:vAlign w:val="center"/>
          </w:tcPr>
          <w:p w14:paraId="1ABADE79">
            <w:pPr>
              <w:shd w:val="clear"/>
              <w:tabs>
                <w:tab w:val="left" w:pos="8280"/>
              </w:tabs>
              <w:autoSpaceDE w:val="0"/>
              <w:autoSpaceDN w:val="0"/>
              <w:adjustRightInd w:val="0"/>
              <w:ind w:right="25"/>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511" w:type="dxa"/>
            <w:noWrap w:val="0"/>
            <w:vAlign w:val="center"/>
          </w:tcPr>
          <w:p w14:paraId="4477C678">
            <w:pPr>
              <w:widowControl/>
              <w:shd w:val="clea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项</w:t>
            </w:r>
          </w:p>
        </w:tc>
        <w:tc>
          <w:tcPr>
            <w:tcW w:w="1602" w:type="dxa"/>
            <w:noWrap w:val="0"/>
            <w:vAlign w:val="center"/>
          </w:tcPr>
          <w:p w14:paraId="122B45E7">
            <w:pPr>
              <w:shd w:val="clear"/>
              <w:tabs>
                <w:tab w:val="left" w:pos="8280"/>
              </w:tabs>
              <w:autoSpaceDE w:val="0"/>
              <w:autoSpaceDN w:val="0"/>
              <w:adjustRightInd w:val="0"/>
              <w:ind w:right="25"/>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134.2/两年</w:t>
            </w:r>
          </w:p>
        </w:tc>
        <w:tc>
          <w:tcPr>
            <w:tcW w:w="3160" w:type="dxa"/>
            <w:noWrap w:val="0"/>
            <w:vAlign w:val="center"/>
          </w:tcPr>
          <w:p w14:paraId="2DE07024">
            <w:pPr>
              <w:shd w:val="clear"/>
              <w:tabs>
                <w:tab w:val="left" w:pos="8280"/>
              </w:tabs>
              <w:autoSpaceDE w:val="0"/>
              <w:autoSpaceDN w:val="0"/>
              <w:adjustRightInd w:val="0"/>
              <w:ind w:right="25"/>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服务期限：两年。</w:t>
            </w:r>
            <w:r>
              <w:rPr>
                <w:rFonts w:hint="eastAsia" w:ascii="宋体" w:hAnsi="宋体" w:cs="宋体"/>
                <w:b/>
                <w:bCs/>
                <w:color w:val="000000" w:themeColor="text1"/>
                <w:sz w:val="24"/>
                <w:szCs w:val="24"/>
                <w:highlight w:val="none"/>
                <w:lang w:val="en-US" w:eastAsia="zh-CN"/>
                <w14:textFill>
                  <w14:solidFill>
                    <w14:schemeClr w14:val="tx1"/>
                  </w14:solidFill>
                </w14:textFill>
              </w:rPr>
              <w:t>合同一年一签</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default" w:cs="Times New Roman"/>
                <w:b w:val="0"/>
                <w:bCs w:val="0"/>
                <w:color w:val="000000" w:themeColor="text1"/>
                <w:sz w:val="24"/>
                <w:szCs w:val="24"/>
                <w:highlight w:val="none"/>
                <w:lang w:val="en-US" w:eastAsia="zh-CN"/>
                <w14:textFill>
                  <w14:solidFill>
                    <w14:schemeClr w14:val="tx1"/>
                  </w14:solidFill>
                </w14:textFill>
              </w:rPr>
              <w:t>续签年份财政预算金额未达到原合同金额且中标供应商不同意按新的预算金额续签合同的或者续签年份财政预算未通过的，续签合同的约定自动失效，新合同中供应商利益不得高于原合同，新合同签订之前必须报监督部门审批并备案</w:t>
            </w:r>
            <w:r>
              <w:rPr>
                <w:rFonts w:hint="eastAsia" w:cs="Times New Roman"/>
                <w:b w:val="0"/>
                <w:bCs w:val="0"/>
                <w:color w:val="000000" w:themeColor="text1"/>
                <w:sz w:val="24"/>
                <w:szCs w:val="24"/>
                <w:highlight w:val="none"/>
                <w:lang w:val="en-US" w:eastAsia="zh-CN"/>
                <w14:textFill>
                  <w14:solidFill>
                    <w14:schemeClr w14:val="tx1"/>
                  </w14:solidFill>
                </w14:textFill>
              </w:rPr>
              <w:t>）</w:t>
            </w:r>
          </w:p>
        </w:tc>
      </w:tr>
    </w:tbl>
    <w:p w14:paraId="44DB662E">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三、合格磋商供应商的资格条件：</w:t>
      </w:r>
    </w:p>
    <w:p w14:paraId="216DC15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符合《中华人民共和国政府采购法》第二十二条及其他法律、行政法规规定的对投标主体的要求；</w:t>
      </w:r>
    </w:p>
    <w:p w14:paraId="45F49654">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2、落实政府采购政策需满足的资格要求</w:t>
      </w:r>
      <w:r>
        <w:rPr>
          <w:rFonts w:hint="eastAsia" w:ascii="宋体" w:hAnsi="宋体" w:eastAsia="宋体" w:cs="宋体"/>
          <w:color w:val="000000" w:themeColor="text1"/>
          <w:sz w:val="24"/>
          <w:highlight w:val="none"/>
          <w14:textFill>
            <w14:solidFill>
              <w14:schemeClr w14:val="tx1"/>
            </w14:solidFill>
          </w14:textFill>
        </w:rPr>
        <w:t>：本项目专门面向中小企业采购（须在资格证明文件里提供《中小企业声明函》）</w:t>
      </w:r>
    </w:p>
    <w:p w14:paraId="3D2103FF">
      <w:pPr>
        <w:shd w:val="clear"/>
        <w:spacing w:line="360" w:lineRule="auto"/>
        <w:ind w:firstLine="480" w:firstLineChars="200"/>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3、本项目的特定资格要求：无</w:t>
      </w:r>
    </w:p>
    <w:p w14:paraId="1BBA947C">
      <w:pPr>
        <w:pStyle w:val="10"/>
        <w:shd w:val="clear"/>
        <w:ind w:firstLine="480"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本项目</w:t>
      </w:r>
      <w:r>
        <w:rPr>
          <w:rFonts w:hint="eastAsia" w:ascii="宋体" w:hAnsi="宋体" w:cs="宋体"/>
          <w:color w:val="000000" w:themeColor="text1"/>
          <w:sz w:val="24"/>
          <w:szCs w:val="32"/>
          <w:highlight w:val="none"/>
          <w:lang w:val="en-US" w:eastAsia="zh-CN"/>
          <w14:textFill>
            <w14:solidFill>
              <w14:schemeClr w14:val="tx1"/>
            </w14:solidFill>
          </w14:textFill>
        </w:rPr>
        <w:t>不</w:t>
      </w:r>
      <w:r>
        <w:rPr>
          <w:rFonts w:hint="eastAsia" w:ascii="宋体" w:hAnsi="宋体" w:cs="宋体"/>
          <w:color w:val="000000" w:themeColor="text1"/>
          <w:sz w:val="24"/>
          <w:szCs w:val="32"/>
          <w:highlight w:val="none"/>
          <w:lang w:eastAsia="zh-CN"/>
          <w14:textFill>
            <w14:solidFill>
              <w14:schemeClr w14:val="tx1"/>
            </w14:solidFill>
          </w14:textFill>
        </w:rPr>
        <w:t>接受联合体投标</w:t>
      </w:r>
      <w:r>
        <w:rPr>
          <w:rFonts w:hint="eastAsia" w:ascii="宋体" w:hAnsi="宋体" w:cs="宋体"/>
          <w:color w:val="000000" w:themeColor="text1"/>
          <w:sz w:val="24"/>
          <w:szCs w:val="32"/>
          <w:highlight w:val="none"/>
          <w14:textFill>
            <w14:solidFill>
              <w14:schemeClr w14:val="tx1"/>
            </w14:solidFill>
          </w14:textFill>
        </w:rPr>
        <w:t>。</w:t>
      </w:r>
    </w:p>
    <w:p w14:paraId="2FD28EFD">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四、磋商文件获取的时间、方式：</w:t>
      </w:r>
    </w:p>
    <w:p w14:paraId="6665AF3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1、本项目磋商文件于“政府采购云平台”在线获取，不提供磋商文件纸质版。供应商获取磋商文件前应先完成“政府采购云平台”的账号注册。</w:t>
      </w:r>
    </w:p>
    <w:p w14:paraId="463D09F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2、获取时间：自本公告发布之日起至响应文件递交截止时间止（以供应商完成获取磋商文件申请后下载磋商文件的时间为准）。</w:t>
      </w:r>
    </w:p>
    <w:p w14:paraId="5E1A867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3、地点：政采云平台（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lang w:eastAsia="zh-CN"/>
          <w14:textFill>
            <w14:solidFill>
              <w14:schemeClr w14:val="tx1"/>
            </w14:solidFill>
          </w14:textFill>
        </w:rPr>
        <w:t>https://zfcg.czt.zj.gov.cn/</w:t>
      </w:r>
      <w:r>
        <w:rPr>
          <w:rFonts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14:paraId="6DF2960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2F16C490">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特别提示：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553F06C4">
      <w:pPr>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29E149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五、投标说明：</w:t>
      </w:r>
    </w:p>
    <w:p w14:paraId="69BC3C2E">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本项目实行电子投标，供应商应按照本项目采购文件和政采云平台的要求编制、加密并递交响应文件。供应商在使用系统进行投标的过程中遇到涉及平台使用的任何问题，可致电政采云平台技术支持热线咨询，联系方式：</w:t>
      </w:r>
      <w:r>
        <w:rPr>
          <w:rFonts w:hint="eastAsia" w:ascii="宋体" w:hAnsi="宋体" w:cs="宋体"/>
          <w:color w:val="000000" w:themeColor="text1"/>
          <w:kern w:val="0"/>
          <w:sz w:val="24"/>
          <w:highlight w:val="none"/>
          <w:u w:val="single"/>
          <w:lang w:eastAsia="zh-CN"/>
          <w14:textFill>
            <w14:solidFill>
              <w14:schemeClr w14:val="tx1"/>
            </w14:solidFill>
          </w14:textFill>
        </w:rPr>
        <w:t>95763</w:t>
      </w:r>
      <w:r>
        <w:rPr>
          <w:rFonts w:hint="eastAsia" w:ascii="宋体" w:hAnsi="宋体" w:cs="宋体"/>
          <w:color w:val="000000" w:themeColor="text1"/>
          <w:kern w:val="0"/>
          <w:sz w:val="24"/>
          <w:highlight w:val="none"/>
          <w:u w:val="single"/>
          <w14:textFill>
            <w14:solidFill>
              <w14:schemeClr w14:val="tx1"/>
            </w14:solidFill>
          </w14:textFill>
        </w:rPr>
        <w:t>。</w:t>
      </w:r>
    </w:p>
    <w:p w14:paraId="64C9CE33">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2.供应商通过政采云平台电子投标工具制作响应文件，电子投标工具请供应商自行前往浙江政府采购网下载并安装（下载网址：</w:t>
      </w:r>
      <w:r>
        <w:rPr>
          <w:rFonts w:hint="eastAsia" w:ascii="宋体" w:hAnsi="宋体" w:eastAsia="宋体" w:cs="宋体"/>
          <w:color w:val="000000" w:themeColor="text1"/>
          <w:sz w:val="24"/>
          <w:szCs w:val="24"/>
          <w:highlight w:val="none"/>
          <w:u w:val="single"/>
          <w14:textFill>
            <w14:solidFill>
              <w14:schemeClr w14:val="tx1"/>
            </w14:solidFill>
          </w14:textFill>
        </w:rPr>
        <w:t>https://zfcg.czt.zj.gov.cn/luban/detail?parentId=600030&amp;articleId=ZoGATzO%2FwUdM7eXAIXLAyg%3D%3D&amp;utm=luban.luban-PC-37000.979-pc-websitegroup-zhejiang-secondPage-front.1.58e482b00f1311eea8dfcb72d7241801</w:t>
      </w:r>
      <w:r>
        <w:rPr>
          <w:rFonts w:hint="eastAsia" w:ascii="宋体" w:hAnsi="宋体" w:cs="宋体"/>
          <w:color w:val="000000" w:themeColor="text1"/>
          <w:kern w:val="0"/>
          <w:sz w:val="24"/>
          <w:highlight w:val="none"/>
          <w:u w:val="single"/>
          <w14:textFill>
            <w14:solidFill>
              <w14:schemeClr w14:val="tx1"/>
            </w14:solidFill>
          </w14:textFill>
        </w:rPr>
        <w:t>）。</w:t>
      </w:r>
    </w:p>
    <w:p w14:paraId="42508301">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3.供应商应在开标前完成CA数字证书办理。（办理流程详见</w:t>
      </w:r>
      <w:r>
        <w:rPr>
          <w:rFonts w:hint="eastAsia" w:ascii="宋体" w:hAnsi="宋体" w:eastAsia="宋体" w:cs="宋体"/>
          <w:color w:val="000000" w:themeColor="text1"/>
          <w:sz w:val="24"/>
          <w:szCs w:val="24"/>
          <w:highlight w:val="none"/>
          <w:u w:val="single"/>
          <w14:textFill>
            <w14:solidFill>
              <w14:schemeClr w14:val="tx1"/>
            </w14:solidFill>
          </w14:textFill>
        </w:rPr>
        <w:t>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000000" w:themeColor="text1"/>
          <w:kern w:val="0"/>
          <w:sz w:val="24"/>
          <w:highlight w:val="none"/>
          <w:u w:val="single"/>
          <w14:textFill>
            <w14:solidFill>
              <w14:schemeClr w14:val="tx1"/>
            </w14:solidFill>
          </w14:textFill>
        </w:rPr>
        <w:t>）</w:t>
      </w:r>
    </w:p>
    <w:p w14:paraId="2B26FC04">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4.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截止时间后传输、递交的响应文件，将被拒收。在开标后规定的投标有效期内，供应商不能撤销响应文件。</w:t>
      </w:r>
    </w:p>
    <w:p w14:paraId="2D05E90D">
      <w:pPr>
        <w:shd w:val="clea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5.响应文件的组成、份数、密封、效力</w:t>
      </w:r>
    </w:p>
    <w:p w14:paraId="15F76531">
      <w:pPr>
        <w:shd w:val="clea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本项目实行电子投标，供应商应准备电子响应文件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还可以提供</w:t>
      </w:r>
      <w:r>
        <w:rPr>
          <w:rFonts w:hint="eastAsia" w:ascii="宋体" w:hAnsi="宋体" w:cs="宋体"/>
          <w:color w:val="000000" w:themeColor="text1"/>
          <w:sz w:val="24"/>
          <w:highlight w:val="none"/>
          <w14:textFill>
            <w14:solidFill>
              <w14:schemeClr w14:val="tx1"/>
            </w14:solidFill>
          </w14:textFill>
        </w:rPr>
        <w:t>以介质（U盘）存储的数据电文形式、纸质备份响应文件</w:t>
      </w:r>
      <w:r>
        <w:rPr>
          <w:rFonts w:hint="eastAsia" w:ascii="宋体" w:hAnsi="宋体" w:cs="宋体"/>
          <w:color w:val="000000" w:themeColor="text1"/>
          <w:sz w:val="24"/>
          <w:highlight w:val="none"/>
          <w:lang w:eastAsia="zh-CN"/>
          <w14:textFill>
            <w14:solidFill>
              <w14:schemeClr w14:val="tx1"/>
            </w14:solidFill>
          </w14:textFill>
        </w:rPr>
        <w:t>。</w:t>
      </w:r>
    </w:p>
    <w:p w14:paraId="2DE68823">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5.1电子响应文件，按政采云平台项目采购--电子招投标操作指南及本采购文件要求编制。</w:t>
      </w:r>
    </w:p>
    <w:p w14:paraId="6D910424">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w:t>
      </w:r>
      <w:bookmarkStart w:id="0" w:name="_Hlk34638143"/>
      <w:r>
        <w:rPr>
          <w:rFonts w:hint="eastAsia" w:ascii="宋体" w:hAnsi="宋体" w:cs="宋体"/>
          <w:color w:val="000000" w:themeColor="text1"/>
          <w:sz w:val="24"/>
          <w:highlight w:val="none"/>
          <w14:textFill>
            <w14:solidFill>
              <w14:schemeClr w14:val="tx1"/>
            </w14:solidFill>
          </w14:textFill>
        </w:rPr>
        <w:t>纸质</w:t>
      </w:r>
      <w:bookmarkEnd w:id="0"/>
      <w:r>
        <w:rPr>
          <w:rFonts w:hint="eastAsia" w:ascii="宋体" w:hAnsi="宋体" w:cs="宋体"/>
          <w:color w:val="000000" w:themeColor="text1"/>
          <w:sz w:val="24"/>
          <w:highlight w:val="none"/>
          <w14:textFill>
            <w14:solidFill>
              <w14:schemeClr w14:val="tx1"/>
            </w14:solidFill>
          </w14:textFill>
        </w:rPr>
        <w:t>备份响应文件以纸质文件的形式编制，</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w:t>
      </w:r>
    </w:p>
    <w:p w14:paraId="4089956C">
      <w:pPr>
        <w:shd w:val="clea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bookmarkStart w:id="1" w:name="_Hlk34639647"/>
      <w:r>
        <w:rPr>
          <w:rFonts w:hint="eastAsia" w:ascii="宋体" w:hAnsi="宋体" w:cs="宋体"/>
          <w:color w:val="000000" w:themeColor="text1"/>
          <w:sz w:val="24"/>
          <w:highlight w:val="none"/>
          <w14:textFill>
            <w14:solidFill>
              <w14:schemeClr w14:val="tx1"/>
            </w14:solidFill>
          </w14:textFill>
        </w:rPr>
        <w:t>5.3</w:t>
      </w:r>
      <w:r>
        <w:rPr>
          <w:rFonts w:hint="eastAsia" w:ascii="宋体" w:hAnsi="宋体" w:cs="宋体"/>
          <w:color w:val="000000" w:themeColor="text1"/>
          <w:sz w:val="24"/>
          <w:highlight w:val="none"/>
          <w:u w:val="none"/>
          <w14:textFill>
            <w14:solidFill>
              <w14:schemeClr w14:val="tx1"/>
            </w14:solidFill>
          </w14:textFill>
        </w:rPr>
        <w:t>磋商供应商在“政府采购云平台”完成“电子加密响应文件”的上传递交后，还可以在投标截止时间前递交以介质（U盘）存储的数据电文形式和纸质形式的“备份响应文件”，“备份响应文件”应当密封包装并在包装上标注投标项目名称、供应商名称并加盖公章。以介质（U盘）存储的数据电文形式和纸质形式的“备份响应文件”需分别密封，可采用以下两种方式其中一种送达（逾期送达或未密封将被拒收）：</w:t>
      </w:r>
    </w:p>
    <w:p w14:paraId="2B856C1F">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①在投标截止时间前送交到开标地点；</w:t>
      </w:r>
    </w:p>
    <w:p w14:paraId="372899A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②采用邮寄方式（包裹外包装上请注明单位、项目名称、联系电话等信息，以便代理机构作接收登记工作），邮寄接收截止时间为投标截止时间（邮寄地址：</w:t>
      </w:r>
      <w:r>
        <w:rPr>
          <w:rFonts w:hint="eastAsia" w:ascii="宋体" w:hAnsi="宋体" w:cs="宋体"/>
          <w:color w:val="000000" w:themeColor="text1"/>
          <w:sz w:val="24"/>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（浙江省台州市椒江区东环大道576号二楼，联系人：金老师，电话：0576-88781913））。</w:t>
      </w:r>
    </w:p>
    <w:p w14:paraId="4D8692A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投标无效。</w:t>
      </w:r>
    </w:p>
    <w:bookmarkEnd w:id="1"/>
    <w:p w14:paraId="4E985FDD">
      <w:pPr>
        <w:shd w:val="clea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bookmarkStart w:id="2" w:name="_Hlk34638256"/>
      <w:r>
        <w:rPr>
          <w:rFonts w:hint="eastAsia" w:ascii="宋体" w:hAnsi="宋体" w:cs="宋体"/>
          <w:color w:val="000000" w:themeColor="text1"/>
          <w:sz w:val="24"/>
          <w:highlight w:val="none"/>
          <w:u w:val="none"/>
          <w14:textFill>
            <w14:solidFill>
              <w14:schemeClr w14:val="tx1"/>
            </w14:solidFill>
          </w14:textFill>
        </w:rPr>
        <w:t>5.5响应文件启用顺序和效力：</w:t>
      </w:r>
      <w:bookmarkEnd w:id="2"/>
      <w:r>
        <w:rPr>
          <w:rFonts w:hint="eastAsia" w:ascii="宋体" w:hAnsi="宋体" w:cs="宋体"/>
          <w:color w:val="000000" w:themeColor="text1"/>
          <w:sz w:val="24"/>
          <w:highlight w:val="none"/>
          <w:u w:val="none"/>
          <w14:textFill>
            <w14:solidFill>
              <w14:schemeClr w14:val="tx1"/>
            </w14:solidFill>
          </w14:textFill>
        </w:rPr>
        <w:t>磋商响应文件的启用，按先后顺位分别为电子磋商响应文件、以介质（U盘）存储的数据电文形式的备份磋商响应文件。通过“政府采购云平台”上传递交的磋商响应文件已按时解密的，备份磋商响应文件自动失效。</w:t>
      </w:r>
    </w:p>
    <w:p w14:paraId="03D729B8">
      <w:pPr>
        <w:shd w:val="clea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5.6▲未传输递交电子响应文件的，投标无效。</w:t>
      </w:r>
    </w:p>
    <w:p w14:paraId="4FA0EB20">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lang w:eastAsia="zh-CN"/>
          <w14:textFill>
            <w14:solidFill>
              <w14:schemeClr w14:val="tx1"/>
            </w14:solidFill>
          </w14:textFill>
        </w:rPr>
        <w:t>2024年09月02日上午09:30</w:t>
      </w:r>
    </w:p>
    <w:p w14:paraId="77C633F2">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color w:val="000000" w:themeColor="text1"/>
          <w:sz w:val="24"/>
          <w:szCs w:val="32"/>
          <w:highlight w:val="none"/>
          <w:lang w:eastAsia="zh-CN"/>
          <w14:textFill>
            <w14:solidFill>
              <w14:schemeClr w14:val="tx1"/>
            </w14:solidFill>
          </w14:textFill>
        </w:rPr>
        <w:t>“政府采购云平台”线上开标</w:t>
      </w:r>
      <w:r>
        <w:rPr>
          <w:rFonts w:hint="eastAsia" w:ascii="宋体" w:hAnsi="宋体" w:cs="宋体"/>
          <w:color w:val="000000" w:themeColor="text1"/>
          <w:sz w:val="24"/>
          <w:szCs w:val="32"/>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lang w:eastAsia="zh-CN"/>
          <w14:textFill>
            <w14:solidFill>
              <w14:schemeClr w14:val="tx1"/>
            </w14:solidFill>
          </w14:textFill>
        </w:rPr>
        <w:t>台州市路桥区财富大道999号区政府商城办公区（商城国际）五楼政府采购中心开标室（二）</w:t>
      </w:r>
      <w:r>
        <w:rPr>
          <w:rFonts w:hint="eastAsia" w:ascii="宋体" w:hAnsi="宋体" w:cs="宋体"/>
          <w:color w:val="000000" w:themeColor="text1"/>
          <w:sz w:val="24"/>
          <w:szCs w:val="32"/>
          <w:highlight w:val="none"/>
          <w14:textFill>
            <w14:solidFill>
              <w14:schemeClr w14:val="tx1"/>
            </w14:solidFill>
          </w14:textFill>
        </w:rPr>
        <w:t>。</w:t>
      </w:r>
    </w:p>
    <w:p w14:paraId="0AA2B532">
      <w:pPr>
        <w:shd w:val="clear"/>
        <w:spacing w:line="360" w:lineRule="auto"/>
        <w:ind w:firstLine="482" w:firstLineChars="200"/>
        <w:outlineLvl w:val="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八、相关注意事项：</w:t>
      </w:r>
    </w:p>
    <w:p w14:paraId="11BBF01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供应商如对采购文件有异议应按规定的时间提出，且应当在采购响应截止时间之前，逾期提出的，采购组织机构可不予受理、答复。</w:t>
      </w:r>
    </w:p>
    <w:p w14:paraId="10BE9FD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8144F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14:paraId="556B852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1）信用信息查询的截止时点：开标后评标前；</w:t>
      </w:r>
    </w:p>
    <w:p w14:paraId="56F6C64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www.creditchina.gov.cn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www.ccgp.gov.cn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www.zjzfcg.gov.cn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14:paraId="0BF3451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3）信用信息查询记录和证据留存具体方式：采购代理机构经办人将查询网页打印与其他项目相关文件一并保存；</w:t>
      </w:r>
    </w:p>
    <w:p w14:paraId="21E23A2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4）信用信息的使用规则：供应商存在不良信用记录的，其投标将被作为无效投标被拒绝。</w:t>
      </w:r>
    </w:p>
    <w:p w14:paraId="0999F59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3.不良信用记录指：被列入失信被执行人、重大税收违法案件当事人名单、政府采购严重违法失信行为记录名单或浙江政府采购网曝光台中尚在行政处罚期内的。</w:t>
      </w:r>
    </w:p>
    <w:p w14:paraId="6EC86261">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4.开标时间后30分钟内，供应商须登录“政采云”平台，用“项目采购-开标评标”功能解密响应文件，供应商未按时解密或解密失败的，其上传的电子响应文件自动失效。电脑及CA解密设备自备。</w:t>
      </w:r>
    </w:p>
    <w:p w14:paraId="503BA54D">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九、联系方式：</w:t>
      </w:r>
    </w:p>
    <w:p w14:paraId="2AEE2DF7">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w:t>
      </w:r>
      <w:r>
        <w:rPr>
          <w:rFonts w:hint="eastAsia" w:ascii="宋体" w:hAnsi="宋体" w:cs="宋体"/>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w:t>
      </w:r>
    </w:p>
    <w:p w14:paraId="5990C989">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项目负责人：徐</w:t>
      </w:r>
      <w:r>
        <w:rPr>
          <w:rFonts w:hint="eastAsia" w:ascii="宋体" w:hAnsi="宋体" w:cs="宋体"/>
          <w:color w:val="000000" w:themeColor="text1"/>
          <w:sz w:val="24"/>
          <w:szCs w:val="32"/>
          <w:highlight w:val="none"/>
          <w:lang w:val="en-US" w:eastAsia="zh-CN"/>
          <w14:textFill>
            <w14:solidFill>
              <w14:schemeClr w14:val="tx1"/>
            </w14:solidFill>
          </w14:textFill>
        </w:rPr>
        <w:t>名峰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color="auto" w:fill="FFFFFF"/>
          <w14:textFill>
            <w14:solidFill>
              <w14:schemeClr w14:val="tx1"/>
            </w14:solidFill>
          </w14:textFill>
        </w:rPr>
        <w:t>石晓林、高琳</w:t>
      </w:r>
      <w:r>
        <w:rPr>
          <w:rFonts w:hint="eastAsia" w:ascii="宋体" w:hAnsi="宋体" w:cs="宋体"/>
          <w:color w:val="000000" w:themeColor="text1"/>
          <w:sz w:val="24"/>
          <w:szCs w:val="32"/>
          <w:highlight w:val="none"/>
          <w14:textFill>
            <w14:solidFill>
              <w14:schemeClr w14:val="tx1"/>
            </w14:solidFill>
          </w14:textFill>
        </w:rPr>
        <w:t>；</w:t>
      </w:r>
    </w:p>
    <w:p w14:paraId="47D6826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联系电话：</w:t>
      </w:r>
      <w:r>
        <w:rPr>
          <w:rFonts w:hint="eastAsia" w:ascii="宋体" w:hAnsi="宋体" w:cs="宋体"/>
          <w:color w:val="000000" w:themeColor="text1"/>
          <w:sz w:val="24"/>
          <w:szCs w:val="32"/>
          <w:highlight w:val="none"/>
          <w:lang w:val="en-US" w:eastAsia="zh-CN"/>
          <w14:textFill>
            <w14:solidFill>
              <w14:schemeClr w14:val="tx1"/>
            </w14:solidFill>
          </w14:textFill>
        </w:rPr>
        <w:t>15088711407</w:t>
      </w:r>
      <w:r>
        <w:rPr>
          <w:rFonts w:hint="eastAsia" w:ascii="宋体" w:hAnsi="宋体" w:cs="宋体"/>
          <w:color w:val="000000" w:themeColor="text1"/>
          <w:sz w:val="24"/>
          <w:szCs w:val="32"/>
          <w:highlight w:val="none"/>
          <w14:textFill>
            <w14:solidFill>
              <w14:schemeClr w14:val="tx1"/>
            </w14:solidFill>
          </w14:textFill>
        </w:rPr>
        <w:t>；</w:t>
      </w:r>
    </w:p>
    <w:p w14:paraId="7E07F4F8">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质疑接收人：</w:t>
      </w:r>
      <w:r>
        <w:rPr>
          <w:rFonts w:hint="eastAsia" w:ascii="宋体" w:hAnsi="宋体" w:cs="宋体"/>
          <w:color w:val="000000" w:themeColor="text1"/>
          <w:sz w:val="24"/>
          <w:szCs w:val="32"/>
          <w:highlight w:val="none"/>
          <w:lang w:eastAsia="zh-CN"/>
          <w14:textFill>
            <w14:solidFill>
              <w14:schemeClr w14:val="tx1"/>
            </w14:solidFill>
          </w14:textFill>
        </w:rPr>
        <w:t>徐少媚</w:t>
      </w:r>
      <w:r>
        <w:rPr>
          <w:rFonts w:hint="eastAsia" w:ascii="宋体" w:hAnsi="宋体" w:cs="宋体"/>
          <w:color w:val="000000" w:themeColor="text1"/>
          <w:sz w:val="24"/>
          <w:szCs w:val="32"/>
          <w:highlight w:val="none"/>
          <w14:textFill>
            <w14:solidFill>
              <w14:schemeClr w14:val="tx1"/>
            </w14:solidFill>
          </w14:textFill>
        </w:rPr>
        <w:t>；</w:t>
      </w:r>
    </w:p>
    <w:p w14:paraId="1F09F8B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联系电话：</w:t>
      </w:r>
      <w:r>
        <w:rPr>
          <w:rFonts w:hint="eastAsia" w:ascii="宋体" w:hAnsi="宋体" w:cs="宋体"/>
          <w:color w:val="000000" w:themeColor="text1"/>
          <w:sz w:val="24"/>
          <w:szCs w:val="32"/>
          <w:highlight w:val="none"/>
          <w:lang w:eastAsia="zh-CN"/>
          <w14:textFill>
            <w14:solidFill>
              <w14:schemeClr w14:val="tx1"/>
            </w14:solidFill>
          </w14:textFill>
        </w:rPr>
        <w:t>0576-</w:t>
      </w:r>
      <w:r>
        <w:rPr>
          <w:rFonts w:hint="eastAsia" w:ascii="宋体" w:hAnsi="宋体" w:cs="宋体"/>
          <w:color w:val="000000" w:themeColor="text1"/>
          <w:sz w:val="24"/>
          <w:szCs w:val="32"/>
          <w:highlight w:val="none"/>
          <w:lang w:val="en-US" w:eastAsia="zh-CN"/>
          <w14:textFill>
            <w14:solidFill>
              <w14:schemeClr w14:val="tx1"/>
            </w14:solidFill>
          </w14:textFill>
        </w:rPr>
        <w:t>88785265</w:t>
      </w:r>
      <w:r>
        <w:rPr>
          <w:rFonts w:hint="eastAsia" w:ascii="宋体" w:hAnsi="宋体" w:cs="宋体"/>
          <w:color w:val="000000" w:themeColor="text1"/>
          <w:sz w:val="24"/>
          <w:szCs w:val="32"/>
          <w:highlight w:val="none"/>
          <w14:textFill>
            <w14:solidFill>
              <w14:schemeClr w14:val="tx1"/>
            </w14:solidFill>
          </w14:textFill>
        </w:rPr>
        <w:t>；传真：0571-85342190；</w:t>
      </w:r>
    </w:p>
    <w:p w14:paraId="2D33E94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地点：杭州市拱墅区白石路318号中国（杭州）人力资源服务产业园北楼512室；</w:t>
      </w:r>
    </w:p>
    <w:p w14:paraId="395B22D3">
      <w:pPr>
        <w:shd w:val="clear"/>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采购单位：台州市路桥区人民法院；</w:t>
      </w:r>
    </w:p>
    <w:p w14:paraId="20A00E39">
      <w:pPr>
        <w:shd w:val="clear"/>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联系人：潘女士；联系电话：0576-82510239；</w:t>
      </w:r>
    </w:p>
    <w:p w14:paraId="01584BFC">
      <w:pPr>
        <w:shd w:val="clear"/>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质疑联系人：王女士；联系电话：0576-82510599；</w:t>
      </w:r>
    </w:p>
    <w:p w14:paraId="42980731">
      <w:pPr>
        <w:shd w:val="clear"/>
        <w:spacing w:line="360" w:lineRule="auto"/>
        <w:ind w:firstLine="480" w:firstLineChars="200"/>
        <w:rPr>
          <w:rFonts w:hint="default"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地址：台州市路桥区腾达路969号。</w:t>
      </w:r>
    </w:p>
    <w:p w14:paraId="18F211FE">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en-US" w:eastAsia="zh-CN"/>
          <w14:textFill>
            <w14:solidFill>
              <w14:schemeClr w14:val="tx1"/>
            </w14:solidFill>
          </w14:textFill>
        </w:rPr>
        <w:t>2</w:t>
      </w:r>
      <w:r>
        <w:rPr>
          <w:rFonts w:hint="eastAsia" w:ascii="宋体" w:hAnsi="宋体" w:cs="宋体"/>
          <w:b/>
          <w:bCs/>
          <w:color w:val="000000" w:themeColor="text1"/>
          <w:sz w:val="24"/>
          <w:szCs w:val="32"/>
          <w:highlight w:val="none"/>
          <w14:textFill>
            <w14:solidFill>
              <w14:schemeClr w14:val="tx1"/>
            </w14:solidFill>
          </w14:textFill>
        </w:rPr>
        <w:t>、同级政府采购监管管理部门：</w:t>
      </w:r>
      <w:r>
        <w:rPr>
          <w:rFonts w:hint="eastAsia" w:ascii="宋体" w:hAnsi="宋体" w:cs="宋体"/>
          <w:color w:val="000000" w:themeColor="text1"/>
          <w:sz w:val="24"/>
          <w:szCs w:val="32"/>
          <w:highlight w:val="none"/>
          <w14:textFill>
            <w14:solidFill>
              <w14:schemeClr w14:val="tx1"/>
            </w14:solidFill>
          </w14:textFill>
        </w:rPr>
        <w:t>台州市路桥区财政局监督绩效管理与采购监管科；</w:t>
      </w:r>
    </w:p>
    <w:p w14:paraId="628E91E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联系人：吴女士；监督投诉电话：0576-82517851；</w:t>
      </w:r>
    </w:p>
    <w:p w14:paraId="5694CDF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地址：台州市路桥区西路桥大道58号。</w:t>
      </w:r>
    </w:p>
    <w:p w14:paraId="4D8A2CF4">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en-US" w:eastAsia="zh-CN"/>
          <w14:textFill>
            <w14:solidFill>
              <w14:schemeClr w14:val="tx1"/>
            </w14:solidFill>
          </w14:textFill>
        </w:rPr>
        <w:t>3</w:t>
      </w:r>
      <w:r>
        <w:rPr>
          <w:rFonts w:hint="eastAsia" w:ascii="宋体" w:hAnsi="宋体" w:cs="宋体"/>
          <w:b/>
          <w:bCs/>
          <w:color w:val="000000" w:themeColor="text1"/>
          <w:sz w:val="24"/>
          <w:szCs w:val="32"/>
          <w:highlight w:val="none"/>
          <w14:textFill>
            <w14:solidFill>
              <w14:schemeClr w14:val="tx1"/>
            </w14:solidFill>
          </w14:textFill>
        </w:rPr>
        <w:t>、银行（中标项目贷款咨询）</w:t>
      </w:r>
    </w:p>
    <w:p w14:paraId="1E19D37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中标人可根据项目情况及自身需求向以下银行申请企业贷款，利率从优。</w:t>
      </w:r>
    </w:p>
    <w:tbl>
      <w:tblPr>
        <w:tblStyle w:val="28"/>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2"/>
        <w:gridCol w:w="5346"/>
        <w:gridCol w:w="1663"/>
        <w:gridCol w:w="900"/>
        <w:gridCol w:w="1505"/>
      </w:tblGrid>
      <w:tr w14:paraId="545F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19FA1">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EDB55">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银 行 名 称</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97512">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政采贷年利率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2B92C">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联系人</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3400C">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联系电话</w:t>
            </w:r>
          </w:p>
        </w:tc>
      </w:tr>
      <w:tr w14:paraId="543E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93B68">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1C1DF">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中国建设银行股份有限公司台州路桥支行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CFF45">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4.80%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3F282">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徐剑鸿</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99210">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15167671223</w:t>
            </w:r>
          </w:p>
        </w:tc>
      </w:tr>
      <w:tr w14:paraId="54D5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AFE74">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87D48">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中国工商银行股份有限公司台州路桥支行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6455F">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3.8%起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7572C">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倪  昊</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B7504">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15968680259</w:t>
            </w:r>
          </w:p>
        </w:tc>
      </w:tr>
      <w:tr w14:paraId="4706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4A4FD">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A9E2B">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中国农业银行股份有限公司台州路桥支行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EB867">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3.85%起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36158">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丁道兵</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389CA">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13606668045</w:t>
            </w:r>
          </w:p>
        </w:tc>
      </w:tr>
      <w:tr w14:paraId="268D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97AB0">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57BFD">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中国银行股份有限公司台州市路桥区支行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CFB36">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59BEA">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车  斌</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71CE6">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13750661198</w:t>
            </w:r>
          </w:p>
        </w:tc>
      </w:tr>
      <w:tr w14:paraId="2448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C45FC">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C7064">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台州银行股份有限公司</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1EE19">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7.08%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44F78">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黄红芹</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F37F6">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13968689000</w:t>
            </w:r>
          </w:p>
        </w:tc>
      </w:tr>
      <w:tr w14:paraId="62F0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6C4AF">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675D8">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浙江泰隆商业银行股份有限公司</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68D4B">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7.08%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713EF">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冯观凤</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5C146">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17858683988</w:t>
            </w:r>
          </w:p>
        </w:tc>
      </w:tr>
      <w:tr w14:paraId="6140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B15DE">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92A9B">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中国邮政储蓄银行股份有限公司台州市路桥区支行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B284C">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4.35%起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DEB62">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沈丹华</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F9CCF">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13306566969</w:t>
            </w:r>
          </w:p>
        </w:tc>
      </w:tr>
      <w:tr w14:paraId="0FD3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8FA01">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21B9D">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交通银行股份有限公司台州路桥支行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0CA15">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AF2E6">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刘鲁浙</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91323">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15968662111</w:t>
            </w:r>
          </w:p>
        </w:tc>
      </w:tr>
      <w:tr w14:paraId="5FA9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A8924">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A9F1C">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兴业银行股份有限公司台州路桥支行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BCAF6">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4%起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39CBB">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蒋  峰</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34445">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13586088395</w:t>
            </w:r>
          </w:p>
        </w:tc>
      </w:tr>
      <w:tr w14:paraId="79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0CF34">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0D64F">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中信银行股份有限公司台州路桥支行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5D570">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4.15%起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F6B30">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曹筱婕</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37762">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18105768199</w:t>
            </w:r>
          </w:p>
        </w:tc>
      </w:tr>
      <w:tr w14:paraId="7B39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75940">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1CFAE">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浙商银行股份有限公司台州路桥小微企业专营支行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5CF58">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6.75%</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F58F5">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庄道勇</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B510D">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13867611023</w:t>
            </w:r>
          </w:p>
        </w:tc>
      </w:tr>
      <w:tr w14:paraId="0284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4A13E">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E9E49">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广发银行股份有限公司台州路桥小微企业专营支行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B11CA">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5.65%</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E4081">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林  春</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4CCBF">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13858687790</w:t>
            </w:r>
          </w:p>
        </w:tc>
      </w:tr>
      <w:tr w14:paraId="07AC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8312B">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C909F">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平安银行股份有限公司台州路桥小微企业专营支行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A29A3">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7%</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902AA">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李俊丽</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59B19">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15906861025</w:t>
            </w:r>
          </w:p>
        </w:tc>
      </w:tr>
      <w:tr w14:paraId="2448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6E6D1">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D1551">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宁波银行股份有限公司台州路桥小微企业专营支行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A0FF8">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5%-6%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574A6">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李诚杰</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1BC91">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13395745558</w:t>
            </w:r>
          </w:p>
        </w:tc>
      </w:tr>
      <w:tr w14:paraId="0B50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76DDC">
            <w:pPr>
              <w:widowControl/>
              <w:shd w:val="clea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C3F10">
            <w:pPr>
              <w:keepNext w:val="0"/>
              <w:keepLines w:val="0"/>
              <w:widowControl/>
              <w:suppressLineNumbers w:val="0"/>
              <w:shd w:val="clear"/>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浙江台州路桥富民村镇银行股份有限公司</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AFEA9">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7.80%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538FD">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金根灵</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91B54">
            <w:pPr>
              <w:keepNext w:val="0"/>
              <w:keepLines w:val="0"/>
              <w:widowControl/>
              <w:suppressLineNumbers w:val="0"/>
              <w:shd w:val="clea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13157608788</w:t>
            </w:r>
          </w:p>
        </w:tc>
      </w:tr>
    </w:tbl>
    <w:p w14:paraId="77865003">
      <w:pPr>
        <w:widowControl/>
        <w:shd w:val="clear"/>
        <w:jc w:val="righ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9F785F1">
      <w:pPr>
        <w:widowControl/>
        <w:shd w:val="clear"/>
        <w:jc w:val="right"/>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浙江五石中正工程咨询有限公司</w:t>
      </w:r>
    </w:p>
    <w:p w14:paraId="1E9EF0B0">
      <w:pPr>
        <w:shd w:val="clea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2024年8月</w:t>
      </w:r>
    </w:p>
    <w:p w14:paraId="45B6D529">
      <w:pPr>
        <w:shd w:val="clear"/>
        <w:spacing w:line="360" w:lineRule="auto"/>
        <w:jc w:val="both"/>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r>
        <w:rPr>
          <w:rFonts w:hint="eastAsia" w:ascii="宋体" w:hAnsi="宋体" w:cs="宋体"/>
          <w:b/>
          <w:bCs/>
          <w:color w:val="000000" w:themeColor="text1"/>
          <w:sz w:val="36"/>
          <w:szCs w:val="44"/>
          <w:highlight w:val="none"/>
          <w:lang w:val="en-US" w:eastAsia="zh-CN"/>
          <w14:textFill>
            <w14:solidFill>
              <w14:schemeClr w14:val="tx1"/>
            </w14:solidFill>
          </w14:textFill>
        </w:rPr>
        <w:t xml:space="preserve">             </w:t>
      </w:r>
      <w:r>
        <w:rPr>
          <w:rFonts w:hint="eastAsia" w:ascii="宋体" w:hAnsi="宋体" w:cs="宋体"/>
          <w:b/>
          <w:bCs/>
          <w:color w:val="000000" w:themeColor="text1"/>
          <w:sz w:val="36"/>
          <w:szCs w:val="44"/>
          <w:highlight w:val="none"/>
          <w14:textFill>
            <w14:solidFill>
              <w14:schemeClr w14:val="tx1"/>
            </w14:solidFill>
          </w14:textFill>
        </w:rPr>
        <w:t>第二部分 供应商须知</w:t>
      </w:r>
    </w:p>
    <w:p w14:paraId="5445C37E">
      <w:pPr>
        <w:shd w:val="clear"/>
        <w:spacing w:line="360" w:lineRule="auto"/>
        <w:ind w:firstLine="482" w:firstLineChars="200"/>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2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212"/>
      </w:tblGrid>
      <w:tr w14:paraId="6522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2C7E96C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30" w:type="dxa"/>
            <w:vAlign w:val="center"/>
          </w:tcPr>
          <w:p w14:paraId="3DC50E6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7212" w:type="dxa"/>
            <w:vAlign w:val="center"/>
          </w:tcPr>
          <w:p w14:paraId="16FB914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14:paraId="7580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14:paraId="1D3395C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530" w:type="dxa"/>
            <w:vAlign w:val="center"/>
          </w:tcPr>
          <w:p w14:paraId="166DAE1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7212" w:type="dxa"/>
            <w:vAlign w:val="center"/>
          </w:tcPr>
          <w:p w14:paraId="24FF78FC">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符合竞争性磋商公告资格要求的供应商。</w:t>
            </w:r>
          </w:p>
        </w:tc>
      </w:tr>
      <w:tr w14:paraId="5771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14:paraId="44C55A9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530" w:type="dxa"/>
            <w:vAlign w:val="center"/>
          </w:tcPr>
          <w:p w14:paraId="1A2EEBD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现场踏勘</w:t>
            </w:r>
          </w:p>
        </w:tc>
        <w:tc>
          <w:tcPr>
            <w:tcW w:w="7212" w:type="dxa"/>
            <w:vAlign w:val="center"/>
          </w:tcPr>
          <w:p w14:paraId="5B0A2152">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各磋商供应商自行前往勘察现场和周围环境，所产生的费用由磋商供应商自理。</w:t>
            </w:r>
          </w:p>
        </w:tc>
      </w:tr>
      <w:tr w14:paraId="00CD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14:paraId="5EE5D4A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530" w:type="dxa"/>
            <w:vAlign w:val="center"/>
          </w:tcPr>
          <w:p w14:paraId="780E2C82">
            <w:pPr>
              <w:shd w:val="clea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磋商响应文件有效期</w:t>
            </w:r>
          </w:p>
        </w:tc>
        <w:tc>
          <w:tcPr>
            <w:tcW w:w="7212" w:type="dxa"/>
            <w:vAlign w:val="center"/>
          </w:tcPr>
          <w:p w14:paraId="011C3297">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磋商响应有效期为磋商后90天，磋商响应有效期从提交磋商响应文件的截止之日起算。</w:t>
            </w:r>
          </w:p>
        </w:tc>
      </w:tr>
      <w:tr w14:paraId="3D7B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jc w:val="center"/>
        </w:trPr>
        <w:tc>
          <w:tcPr>
            <w:tcW w:w="740" w:type="dxa"/>
            <w:vAlign w:val="center"/>
          </w:tcPr>
          <w:p w14:paraId="2E4A421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530" w:type="dxa"/>
            <w:vAlign w:val="center"/>
          </w:tcPr>
          <w:p w14:paraId="7B89352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磋商响应文件递交</w:t>
            </w:r>
          </w:p>
        </w:tc>
        <w:tc>
          <w:tcPr>
            <w:tcW w:w="7212" w:type="dxa"/>
            <w:vAlign w:val="center"/>
          </w:tcPr>
          <w:p w14:paraId="76804783">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本项目实行电子投标，供应商应准备电子响应文件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还可以提供</w:t>
            </w:r>
            <w:r>
              <w:rPr>
                <w:rFonts w:hint="eastAsia" w:ascii="宋体" w:hAnsi="宋体" w:cs="宋体"/>
                <w:color w:val="000000" w:themeColor="text1"/>
                <w:sz w:val="24"/>
                <w:highlight w:val="none"/>
                <w14:textFill>
                  <w14:solidFill>
                    <w14:schemeClr w14:val="tx1"/>
                  </w14:solidFill>
                </w14:textFill>
              </w:rPr>
              <w:t>以介质存储的数据电文形式的备份响应文件、纸质备份响应文件</w:t>
            </w:r>
            <w:r>
              <w:rPr>
                <w:rFonts w:hint="eastAsia" w:ascii="宋体" w:hAnsi="宋体" w:cs="宋体"/>
                <w:color w:val="000000" w:themeColor="text1"/>
                <w:sz w:val="24"/>
                <w:highlight w:val="none"/>
                <w:lang w:eastAsia="zh-CN"/>
                <w14:textFill>
                  <w14:solidFill>
                    <w14:schemeClr w14:val="tx1"/>
                  </w14:solidFill>
                </w14:textFill>
              </w:rPr>
              <w:t>。</w:t>
            </w:r>
          </w:p>
          <w:p w14:paraId="71FA6A8B">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1.电子响应文件，按政采云平台项目采购--电子招投标操作指南及本采购文件要求编制、递交。</w:t>
            </w:r>
          </w:p>
          <w:p w14:paraId="254F9328">
            <w:pPr>
              <w:shd w:val="clear"/>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2.以介质存储的数据电文形式的备份响应文件，按政采云平台项目采购-电子招投标操作指南中上传的电子响应文件格式，以U盘形式提供。数量为1份。</w:t>
            </w:r>
          </w:p>
          <w:p w14:paraId="26B88275">
            <w:pPr>
              <w:shd w:val="clear"/>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3.纸质备份响应文件以纸质文件的形式编制，数量均为2份（正本一份，副本一份）。</w:t>
            </w:r>
          </w:p>
          <w:p w14:paraId="6DD2D291">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4.响应文件启用顺序和效力：磋商响应文件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的启用，按先后顺位分别为电子</w:t>
            </w:r>
            <w:r>
              <w:rPr>
                <w:rFonts w:hint="eastAsia" w:ascii="宋体" w:hAnsi="宋体" w:cs="宋体"/>
                <w:color w:val="000000" w:themeColor="text1"/>
                <w:sz w:val="24"/>
                <w:highlight w:val="none"/>
                <w14:textFill>
                  <w14:solidFill>
                    <w14:schemeClr w14:val="tx1"/>
                  </w14:solidFill>
                </w14:textFill>
              </w:rPr>
              <w:t>磋商响应文件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、以介质（U盘）存储的数据电文形式的备份</w:t>
            </w:r>
            <w:r>
              <w:rPr>
                <w:rFonts w:hint="eastAsia" w:ascii="宋体" w:hAnsi="宋体" w:cs="宋体"/>
                <w:color w:val="000000" w:themeColor="text1"/>
                <w:sz w:val="24"/>
                <w:highlight w:val="none"/>
                <w14:textFill>
                  <w14:solidFill>
                    <w14:schemeClr w14:val="tx1"/>
                  </w14:solidFill>
                </w14:textFill>
              </w:rPr>
              <w:t>磋商响应文件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。通过“政府采购云平台”上传递交的</w:t>
            </w:r>
            <w:r>
              <w:rPr>
                <w:rFonts w:hint="eastAsia" w:ascii="宋体" w:hAnsi="宋体" w:cs="宋体"/>
                <w:color w:val="000000" w:themeColor="text1"/>
                <w:sz w:val="24"/>
                <w:highlight w:val="none"/>
                <w14:textFill>
                  <w14:solidFill>
                    <w14:schemeClr w14:val="tx1"/>
                  </w14:solidFill>
                </w14:textFill>
              </w:rPr>
              <w:t>磋商响应文件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已按时解密的，备份</w:t>
            </w:r>
            <w:r>
              <w:rPr>
                <w:rFonts w:hint="eastAsia" w:ascii="宋体" w:hAnsi="宋体" w:cs="宋体"/>
                <w:color w:val="000000" w:themeColor="text1"/>
                <w:sz w:val="24"/>
                <w:highlight w:val="none"/>
                <w14:textFill>
                  <w14:solidFill>
                    <w14:schemeClr w14:val="tx1"/>
                  </w14:solidFill>
                </w14:textFill>
              </w:rPr>
              <w:t>磋商响应文件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自动失效</w:t>
            </w:r>
            <w:r>
              <w:rPr>
                <w:rFonts w:hint="eastAsia" w:ascii="宋体" w:hAnsi="宋体" w:cs="宋体"/>
                <w:color w:val="000000" w:themeColor="text1"/>
                <w:sz w:val="24"/>
                <w:highlight w:val="none"/>
                <w14:textFill>
                  <w14:solidFill>
                    <w14:schemeClr w14:val="tx1"/>
                  </w14:solidFill>
                </w14:textFill>
              </w:rPr>
              <w:t>。</w:t>
            </w:r>
          </w:p>
          <w:p w14:paraId="12849D25">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5.▲未传输递交电子响应文件的，投标无效。</w:t>
            </w:r>
          </w:p>
        </w:tc>
      </w:tr>
      <w:tr w14:paraId="0262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6" w:hRule="atLeast"/>
          <w:jc w:val="center"/>
        </w:trPr>
        <w:tc>
          <w:tcPr>
            <w:tcW w:w="740" w:type="dxa"/>
            <w:vAlign w:val="center"/>
          </w:tcPr>
          <w:p w14:paraId="471C5C5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530" w:type="dxa"/>
            <w:vAlign w:val="center"/>
          </w:tcPr>
          <w:p w14:paraId="4FD4C66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磋商时间及评审地址</w:t>
            </w:r>
          </w:p>
        </w:tc>
        <w:tc>
          <w:tcPr>
            <w:tcW w:w="7212" w:type="dxa"/>
            <w:vAlign w:val="center"/>
          </w:tcPr>
          <w:p w14:paraId="1A75D242">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时间：北京时间</w:t>
            </w:r>
            <w:r>
              <w:rPr>
                <w:rFonts w:hint="eastAsia" w:ascii="宋体" w:hAnsi="宋体" w:cs="宋体"/>
                <w:color w:val="000000" w:themeColor="text1"/>
                <w:sz w:val="24"/>
                <w:highlight w:val="none"/>
                <w:lang w:eastAsia="zh-CN"/>
                <w14:textFill>
                  <w14:solidFill>
                    <w14:schemeClr w14:val="tx1"/>
                  </w14:solidFill>
                </w14:textFill>
              </w:rPr>
              <w:t>2024年09月02日上午09:30</w:t>
            </w:r>
          </w:p>
          <w:p w14:paraId="6C64F0A2">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地点：“政府采购云平台”线上开标</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台州市路桥区财富大道999号区政府商城办公区（商城国际）五楼政府采购中心开标室（二）</w:t>
            </w:r>
            <w:r>
              <w:rPr>
                <w:rFonts w:hint="eastAsia" w:ascii="宋体" w:hAnsi="宋体" w:eastAsia="宋体" w:cs="宋体"/>
                <w:color w:val="000000" w:themeColor="text1"/>
                <w:sz w:val="24"/>
                <w:highlight w:val="none"/>
                <w:lang w:eastAsia="zh-CN"/>
                <w14:textFill>
                  <w14:solidFill>
                    <w14:schemeClr w14:val="tx1"/>
                  </w14:solidFill>
                </w14:textFill>
              </w:rPr>
              <w:t>。</w:t>
            </w:r>
          </w:p>
        </w:tc>
      </w:tr>
      <w:tr w14:paraId="196B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40" w:type="dxa"/>
            <w:vAlign w:val="center"/>
          </w:tcPr>
          <w:p w14:paraId="28AB189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530" w:type="dxa"/>
            <w:vAlign w:val="center"/>
          </w:tcPr>
          <w:p w14:paraId="52A5017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7212" w:type="dxa"/>
            <w:vAlign w:val="center"/>
          </w:tcPr>
          <w:p w14:paraId="5EF78606">
            <w:pPr>
              <w:shd w:val="clea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供应商在收到中标通知书后一周内向采购单位交纳本项目履约保证金，金额为中标合同价的1%，整体项目验收通过合格后无息退还。（履约保证金可以采用保函、担保、保险等形式）</w:t>
            </w:r>
          </w:p>
        </w:tc>
      </w:tr>
      <w:tr w14:paraId="78AD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2E522F5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530" w:type="dxa"/>
            <w:vAlign w:val="center"/>
          </w:tcPr>
          <w:p w14:paraId="0301F2DF">
            <w:pPr>
              <w:shd w:val="clear"/>
              <w:spacing w:line="360" w:lineRule="auto"/>
              <w:ind w:left="1"/>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样品及演示</w:t>
            </w:r>
          </w:p>
        </w:tc>
        <w:tc>
          <w:tcPr>
            <w:tcW w:w="7212" w:type="dxa"/>
            <w:vAlign w:val="center"/>
          </w:tcPr>
          <w:p w14:paraId="0D819F82">
            <w:pPr>
              <w:shd w:val="clear"/>
              <w:spacing w:line="360" w:lineRule="auto"/>
              <w:ind w:left="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无要求。</w:t>
            </w:r>
          </w:p>
        </w:tc>
      </w:tr>
      <w:tr w14:paraId="7FC3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0" w:type="dxa"/>
            <w:vAlign w:val="center"/>
          </w:tcPr>
          <w:p w14:paraId="313C7DA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530" w:type="dxa"/>
            <w:vAlign w:val="center"/>
          </w:tcPr>
          <w:p w14:paraId="3856C066">
            <w:pPr>
              <w:shd w:val="clear"/>
              <w:spacing w:line="360" w:lineRule="auto"/>
              <w:ind w:left="1"/>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7212" w:type="dxa"/>
            <w:vAlign w:val="center"/>
          </w:tcPr>
          <w:p w14:paraId="11E30D27">
            <w:pPr>
              <w:shd w:val="clear"/>
              <w:spacing w:line="360" w:lineRule="auto"/>
              <w:ind w:left="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符合国家相关规定。</w:t>
            </w:r>
          </w:p>
        </w:tc>
      </w:tr>
      <w:tr w14:paraId="027C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14:paraId="3769AD7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530" w:type="dxa"/>
            <w:vAlign w:val="center"/>
          </w:tcPr>
          <w:p w14:paraId="1069A27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212" w:type="dxa"/>
            <w:vAlign w:val="center"/>
          </w:tcPr>
          <w:p w14:paraId="0A5C6844">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▲”的条款是实质性条款，磋商响应文件须做出实质性响应，否则终止磋商。</w:t>
            </w:r>
          </w:p>
        </w:tc>
      </w:tr>
      <w:tr w14:paraId="6BAB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14:paraId="724439B1">
            <w:pPr>
              <w:shd w:val="clea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530" w:type="dxa"/>
            <w:vAlign w:val="center"/>
          </w:tcPr>
          <w:p w14:paraId="36E5C7F5">
            <w:pPr>
              <w:shd w:val="clear"/>
              <w:autoSpaceDE w:val="0"/>
              <w:autoSpaceDN w:val="0"/>
              <w:adjustRightInd w:val="0"/>
              <w:spacing w:line="240" w:lineRule="auto"/>
              <w:jc w:val="cente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其他事项</w:t>
            </w:r>
          </w:p>
        </w:tc>
        <w:tc>
          <w:tcPr>
            <w:tcW w:w="7212" w:type="dxa"/>
            <w:vAlign w:val="center"/>
          </w:tcPr>
          <w:p w14:paraId="3486E748">
            <w:pPr>
              <w:shd w:val="clear"/>
              <w:autoSpaceDE w:val="0"/>
              <w:autoSpaceDN w:val="0"/>
              <w:adjustRightInd w:val="0"/>
              <w:spacing w:line="24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技术文件开启后30分钟内，供应商通过邮件形式将经授权代表签署的《政府采购活动确认声明书》扫描件发至代理机构邮箱（邮箱地址：zjwstz@163.com）；不填写或未按规定发出邮件的，视同默认不存在确认声明书中的相关违规情形。</w:t>
            </w:r>
          </w:p>
        </w:tc>
      </w:tr>
      <w:tr w14:paraId="3BF6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14:paraId="5DB39968">
            <w:pPr>
              <w:shd w:val="clear"/>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1530" w:type="dxa"/>
            <w:vAlign w:val="center"/>
          </w:tcPr>
          <w:p w14:paraId="11668309">
            <w:pPr>
              <w:shd w:val="clear"/>
              <w:autoSpaceDE w:val="0"/>
              <w:autoSpaceDN w:val="0"/>
              <w:adjustRightInd w:val="0"/>
              <w:spacing w:line="24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Hans"/>
                <w14:textFill>
                  <w14:solidFill>
                    <w14:schemeClr w14:val="tx1"/>
                  </w14:solidFill>
                </w14:textFill>
              </w:rPr>
              <w:t>所属行业</w:t>
            </w:r>
          </w:p>
        </w:tc>
        <w:tc>
          <w:tcPr>
            <w:tcW w:w="7212" w:type="dxa"/>
            <w:vAlign w:val="center"/>
          </w:tcPr>
          <w:p w14:paraId="58EFFCA7">
            <w:pPr>
              <w:shd w:val="clear"/>
              <w:autoSpaceDE w:val="0"/>
              <w:autoSpaceDN w:val="0"/>
              <w:adjustRightInd w:val="0"/>
              <w:spacing w:line="240" w:lineRule="auto"/>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餐饮业</w:t>
            </w:r>
          </w:p>
        </w:tc>
      </w:tr>
    </w:tbl>
    <w:p w14:paraId="1141021B">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46EA1CA9">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、总  则</w:t>
      </w:r>
    </w:p>
    <w:p w14:paraId="258458A3">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适用范围</w:t>
      </w:r>
    </w:p>
    <w:p w14:paraId="0B5DE10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本磋商文件适用于本次项目的磋商、评审、确定成交供应商、验收、合同履约、付款等行为（法律、法规另有规定的，从其规定）。</w:t>
      </w:r>
    </w:p>
    <w:p w14:paraId="23EA3D25">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（二）定义</w:t>
      </w:r>
    </w:p>
    <w:p w14:paraId="3AF063D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1、“采购组织机构”：是指采购人委托组织磋商的采购代理机构。</w:t>
      </w:r>
    </w:p>
    <w:p w14:paraId="3FA0613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14:paraId="6E42BD9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3、磋商供应商：是指向采购组织机构提交磋商响应文件的单位或个人。</w:t>
      </w:r>
    </w:p>
    <w:p w14:paraId="4897307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4、服务：是指除货物和工程以外的政府采购对象，包括各类专业服务、信息网络开发服务、金融保险服务、运输服务，以及维修与维护服务等。</w:t>
      </w:r>
    </w:p>
    <w:p w14:paraId="193F532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5、“书面形式”包括信函、传真等。</w:t>
      </w:r>
    </w:p>
    <w:p w14:paraId="1E834E6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6、“▲”系指实质性要求条款。</w:t>
      </w:r>
    </w:p>
    <w:p w14:paraId="130D9754">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（三）磋商费用</w:t>
      </w:r>
    </w:p>
    <w:p w14:paraId="17D7C10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不论磋商结果如何，供应商均应自行承担所有与磋商有关的全部费用（磋商文件有相关规定除外）。</w:t>
      </w:r>
    </w:p>
    <w:p w14:paraId="4ECDF5FA">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（四）特别说明</w:t>
      </w:r>
    </w:p>
    <w:p w14:paraId="2C063515">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14:paraId="72AA6082">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D20851">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3、供应商不得相互串通磋商报价，不得妨碍其他供应商的公平竞争，不得损害采购人或其他供应商的合法权益，供应商不得以向采购人、磋商小组成员行贿或者采取其他不正当手段谋取成交。</w:t>
      </w:r>
    </w:p>
    <w:p w14:paraId="50622CC7">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14:paraId="3F32FCA4">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5、磋商响应文件（即响应文件）格式中的表格式样可以根据项目差别做适当调整，但应当保持表格样式基本形态不变。</w:t>
      </w:r>
    </w:p>
    <w:p w14:paraId="51E92B6F">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14:paraId="4004A483">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7、本项目不允许分包</w:t>
      </w:r>
      <w:r>
        <w:rPr>
          <w:rFonts w:hint="eastAsia" w:ascii="宋体" w:hAnsi="宋体" w:cs="宋体"/>
          <w:color w:val="000000" w:themeColor="text1"/>
          <w:sz w:val="24"/>
          <w:highlight w:val="none"/>
          <w14:textFill>
            <w14:solidFill>
              <w14:schemeClr w14:val="tx1"/>
            </w14:solidFill>
          </w14:textFill>
        </w:rPr>
        <w:t>。</w:t>
      </w:r>
    </w:p>
    <w:p w14:paraId="1325B1B6">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二、磋商响应文件</w:t>
      </w:r>
    </w:p>
    <w:p w14:paraId="06FB3BC8">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（一）磋商响应文件的组成</w:t>
      </w:r>
    </w:p>
    <w:p w14:paraId="2F559C16">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【特别提示：如有要求提供资料原件的，原件另行包装，并与磋商响应文件一起提交，磋商响应截止时间后所有原件不予接收。资料原件也可以用与原件相符的公证原件替代】</w:t>
      </w:r>
    </w:p>
    <w:p w14:paraId="06A4CCB0">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（一）磋商响应文件的组成</w:t>
      </w:r>
    </w:p>
    <w:p w14:paraId="23288294">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【特别提示：如有要求提供资料原件的，原件另行包装，并与磋商响应文件一起提交，磋商响应截止时间后所有原件不予接收。资料原件也可以用与原件相符的公证原件替代】</w:t>
      </w:r>
    </w:p>
    <w:p w14:paraId="5DC62A4E">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lang w:val="en-US" w:eastAsia="zh-CN"/>
          <w14:textFill>
            <w14:solidFill>
              <w14:schemeClr w14:val="tx1"/>
            </w14:solidFill>
          </w14:textFill>
        </w:rPr>
        <w:t>▲</w:t>
      </w:r>
      <w:r>
        <w:rPr>
          <w:rFonts w:hint="eastAsia" w:ascii="宋体" w:hAnsi="宋体" w:cs="宋体"/>
          <w:b/>
          <w:bCs/>
          <w:color w:val="000000" w:themeColor="text1"/>
          <w:sz w:val="24"/>
          <w:szCs w:val="32"/>
          <w:highlight w:val="none"/>
          <w14:textFill>
            <w14:solidFill>
              <w14:schemeClr w14:val="tx1"/>
            </w14:solidFill>
          </w14:textFill>
        </w:rPr>
        <w:t>1、资格证明内容的组成：</w:t>
      </w:r>
    </w:p>
    <w:p w14:paraId="09446F72">
      <w:pPr>
        <w:shd w:val="clear"/>
        <w:spacing w:line="360" w:lineRule="auto"/>
        <w:ind w:firstLine="480" w:firstLineChars="200"/>
        <w:jc w:val="left"/>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磋商声明书</w:t>
      </w:r>
      <w:r>
        <w:rPr>
          <w:rFonts w:hint="eastAsia" w:ascii="宋体" w:hAnsi="宋体" w:cs="宋体"/>
          <w:color w:val="000000" w:themeColor="text1"/>
          <w:sz w:val="24"/>
          <w:szCs w:val="32"/>
          <w:highlight w:val="none"/>
          <w:lang w:eastAsia="zh-CN"/>
          <w14:textFill>
            <w14:solidFill>
              <w14:schemeClr w14:val="tx1"/>
            </w14:solidFill>
          </w14:textFill>
        </w:rPr>
        <w:t>；</w:t>
      </w:r>
    </w:p>
    <w:p w14:paraId="1CF70278">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）授权委托书（法定代表人（单位负责人）亲自办理磋商响应事宜的，则无需提交）；</w:t>
      </w:r>
    </w:p>
    <w:p w14:paraId="23685B97">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）法人或者其他组织的营业执照等证明文件，自然人的身份证明；</w:t>
      </w:r>
    </w:p>
    <w:p w14:paraId="01A205FE">
      <w:pPr>
        <w:shd w:val="clear"/>
        <w:spacing w:line="36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）具有良好的商业信誉和健全的财务会计制度的承诺；</w:t>
      </w:r>
    </w:p>
    <w:p w14:paraId="34FAA71D">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依法缴纳税收和社会保障资金的承诺</w:t>
      </w:r>
      <w:r>
        <w:rPr>
          <w:rFonts w:hint="eastAsia" w:ascii="宋体" w:hAnsi="宋体" w:cs="宋体"/>
          <w:color w:val="000000" w:themeColor="text1"/>
          <w:sz w:val="24"/>
          <w:szCs w:val="32"/>
          <w:highlight w:val="none"/>
          <w14:textFill>
            <w14:solidFill>
              <w14:schemeClr w14:val="tx1"/>
            </w14:solidFill>
          </w14:textFill>
        </w:rPr>
        <w:t>；</w:t>
      </w:r>
    </w:p>
    <w:p w14:paraId="6A206363">
      <w:pPr>
        <w:shd w:val="clear"/>
        <w:spacing w:line="36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）具备履行合同所必需的设备和专业技术能力的证明材料（根据项目性质提供）；</w:t>
      </w:r>
    </w:p>
    <w:p w14:paraId="3D303EB4">
      <w:pPr>
        <w:shd w:val="clear"/>
        <w:spacing w:line="360" w:lineRule="auto"/>
        <w:ind w:firstLine="480" w:firstLineChars="200"/>
        <w:jc w:val="left"/>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参加政府采购活动前三年内，在经营活动中没有重大违法记录（承诺函）</w:t>
      </w:r>
      <w:r>
        <w:rPr>
          <w:rFonts w:hint="eastAsia" w:ascii="宋体" w:hAnsi="宋体" w:cs="宋体"/>
          <w:color w:val="000000" w:themeColor="text1"/>
          <w:sz w:val="24"/>
          <w:szCs w:val="32"/>
          <w:highlight w:val="none"/>
          <w14:textFill>
            <w14:solidFill>
              <w14:schemeClr w14:val="tx1"/>
            </w14:solidFill>
          </w14:textFill>
        </w:rPr>
        <w:t>；</w:t>
      </w:r>
    </w:p>
    <w:p w14:paraId="5FBA345A">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落实政府采购政策需满足的资格要求所对应的证明材料</w:t>
      </w:r>
      <w:r>
        <w:rPr>
          <w:rFonts w:hint="eastAsia" w:ascii="宋体" w:hAnsi="宋体" w:cs="宋体"/>
          <w:color w:val="000000" w:themeColor="text1"/>
          <w:sz w:val="24"/>
          <w:szCs w:val="32"/>
          <w:highlight w:val="none"/>
          <w:lang w:val="en-US" w:eastAsia="zh-CN"/>
          <w14:textFill>
            <w14:solidFill>
              <w14:schemeClr w14:val="tx1"/>
            </w14:solidFill>
          </w14:textFill>
        </w:rPr>
        <w:t>（中小企业声明函）</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14:paraId="5EFA6F0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2、商务与技术内容的组成：</w:t>
      </w:r>
    </w:p>
    <w:p w14:paraId="43ED9A47">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（1）供应商情况介绍。</w:t>
      </w:r>
    </w:p>
    <w:p w14:paraId="027365D1">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（2）磋商响应方案描述：</w:t>
      </w:r>
    </w:p>
    <w:p w14:paraId="5A999CD1">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7A5C86FC">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B.项目组织实施方案（包括项目实施进度安排、项目实施人员及项目负责人的资质等）。</w:t>
      </w:r>
    </w:p>
    <w:p w14:paraId="2DBFD062">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（3）磋商响应描述及相关资料：</w:t>
      </w:r>
    </w:p>
    <w:p w14:paraId="5EEAD5C7">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C.商务及技术响应表。</w:t>
      </w:r>
    </w:p>
    <w:p w14:paraId="7D549E34">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（4）供应商通过的质量管理和质量保证体系、自主创新相关证书、软件著作权证等等与本项目相关的认证证书或文件；</w:t>
      </w:r>
    </w:p>
    <w:p w14:paraId="6326CA03">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（5）近三年来类似项目的成功案例（供应商类似项目实施情况一览表、合同复印件及其相应的发票、用户验收报告等；</w:t>
      </w:r>
    </w:p>
    <w:p w14:paraId="07F9874C">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（6）供应商认为需要提供的其他资料（包括可能影响供应商商务与技术内容评分的各类证明材料）。</w:t>
      </w:r>
    </w:p>
    <w:p w14:paraId="0BE9A337">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（7）售后服务描述及承诺：</w:t>
      </w:r>
    </w:p>
    <w:p w14:paraId="49E4DFD6">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A.距采购人最近的服务网点详细介绍（包括地理位置、资质资格、技术力量、工作业绩、服务内容及联系电话等）。</w:t>
      </w:r>
    </w:p>
    <w:p w14:paraId="5ED5F2DF">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B.针对本项目的售后服务措施及承诺（售后技术服务方案、人员配备、响应时间、技术培训方案等）。</w:t>
      </w:r>
    </w:p>
    <w:p w14:paraId="64C77605">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3、报价内容的组成</w:t>
      </w:r>
    </w:p>
    <w:p w14:paraId="09542AD0">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（1）报价内容由首次报价一览表、报价明细表，以及供应商认为其他需要说明的内容组成。</w:t>
      </w:r>
    </w:p>
    <w:p w14:paraId="5AE778BB">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）总报价应当包括合同包含的所有风险责任、</w:t>
      </w:r>
      <w:r>
        <w:rPr>
          <w:rFonts w:hint="eastAsia" w:ascii="宋体" w:hAnsi="宋体" w:cs="宋体"/>
          <w:color w:val="000000" w:themeColor="text1"/>
          <w:sz w:val="24"/>
          <w:szCs w:val="32"/>
          <w:highlight w:val="none"/>
          <w14:textFill>
            <w14:solidFill>
              <w14:schemeClr w14:val="tx1"/>
            </w14:solidFill>
          </w14:textFill>
        </w:rPr>
        <w:t>管理费</w:t>
      </w:r>
      <w:r>
        <w:rPr>
          <w:rFonts w:hint="eastAsia" w:ascii="宋体" w:hAnsi="宋体" w:cs="宋体"/>
          <w:color w:val="000000" w:themeColor="text1"/>
          <w:sz w:val="24"/>
          <w:szCs w:val="32"/>
          <w:highlight w:val="none"/>
          <w:lang w:val="zh-CN"/>
          <w14:textFill>
            <w14:solidFill>
              <w14:schemeClr w14:val="tx1"/>
            </w14:solidFill>
          </w14:textFill>
        </w:rPr>
        <w:t>等各项费用及不可预见费等所需的全部费用。</w:t>
      </w:r>
    </w:p>
    <w:p w14:paraId="14BDF2CC">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）相关报价表需打印或用不退色的墨水填写， 磋商响应报价表不得涂改和增删，如有错漏必须修改，修改处须由同一签署人签字或盖章。由于字迹模糊或表达不清引起的后果由供应商负责。</w:t>
      </w:r>
    </w:p>
    <w:p w14:paraId="3BF6105A">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）报价有关表格应按磋商采购文件中相关附表格式填写。</w:t>
      </w:r>
    </w:p>
    <w:p w14:paraId="21061532">
      <w:pPr>
        <w:shd w:val="clear"/>
        <w:spacing w:line="360" w:lineRule="auto"/>
        <w:ind w:firstLine="241" w:firstLineChars="100"/>
        <w:rPr>
          <w:rFonts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（二）磋商响应文件的制作、封装及递交要求</w:t>
      </w:r>
    </w:p>
    <w:p w14:paraId="0108AEC7">
      <w:pPr>
        <w:shd w:val="clear"/>
        <w:spacing w:line="360" w:lineRule="auto"/>
        <w:ind w:firstLine="482" w:firstLineChars="200"/>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1、磋商响应文件的制作要求</w:t>
      </w:r>
    </w:p>
    <w:p w14:paraId="34ADBB66">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1.1本项目通过“政府采购云平台（www.zcygov.cn）”实行在线投标响应（电子投标）。供应商应通过“政采云电子交易客户端”，并按照本</w:t>
      </w:r>
      <w:r>
        <w:rPr>
          <w:rFonts w:hint="eastAsia" w:ascii="宋体" w:hAnsi="宋体" w:cs="宋体"/>
          <w:color w:val="000000" w:themeColor="text1"/>
          <w:sz w:val="24"/>
          <w:szCs w:val="32"/>
          <w:highlight w:val="none"/>
          <w:lang w:val="zh-CN"/>
          <w14:textFill>
            <w14:solidFill>
              <w14:schemeClr w14:val="tx1"/>
            </w14:solidFill>
          </w14:textFill>
        </w:rPr>
        <w:t>磋商</w:t>
      </w:r>
      <w:r>
        <w:rPr>
          <w:rFonts w:hint="eastAsia" w:ascii="宋体" w:hAnsi="宋体" w:cs="宋体"/>
          <w:color w:val="000000" w:themeColor="text1"/>
          <w:sz w:val="24"/>
          <w:szCs w:val="32"/>
          <w:highlight w:val="none"/>
          <w14:textFill>
            <w14:solidFill>
              <w14:schemeClr w14:val="tx1"/>
            </w14:solidFill>
          </w14:textFill>
        </w:rPr>
        <w:t>文件和“政府采购云平台”的要求编制并加密</w:t>
      </w:r>
      <w:r>
        <w:rPr>
          <w:rFonts w:hint="eastAsia" w:ascii="宋体" w:hAnsi="宋体" w:cs="宋体"/>
          <w:color w:val="000000" w:themeColor="text1"/>
          <w:sz w:val="24"/>
          <w:szCs w:val="32"/>
          <w:highlight w:val="none"/>
          <w:lang w:val="zh-CN"/>
          <w14:textFill>
            <w14:solidFill>
              <w14:schemeClr w14:val="tx1"/>
            </w14:solidFill>
          </w14:textFill>
        </w:rPr>
        <w:t>磋商响应文件</w:t>
      </w:r>
      <w:r>
        <w:rPr>
          <w:rFonts w:hint="eastAsia" w:ascii="宋体" w:hAnsi="宋体" w:cs="宋体"/>
          <w:color w:val="000000" w:themeColor="text1"/>
          <w:sz w:val="24"/>
          <w:szCs w:val="32"/>
          <w:highlight w:val="none"/>
          <w14:textFill>
            <w14:solidFill>
              <w14:schemeClr w14:val="tx1"/>
            </w14:solidFill>
          </w14:textFill>
        </w:rPr>
        <w:t>。</w:t>
      </w:r>
    </w:p>
    <w:p w14:paraId="2DE99861">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1.2各供应商在编制磋商响应文件时请按照磋商文件第六部分规定的格式进行，</w:t>
      </w:r>
      <w:r>
        <w:rPr>
          <w:rFonts w:hint="eastAsia" w:ascii="宋体" w:hAnsi="宋体" w:cs="宋体"/>
          <w:color w:val="000000" w:themeColor="text1"/>
          <w:sz w:val="24"/>
          <w:szCs w:val="32"/>
          <w:highlight w:val="none"/>
          <w14:textFill>
            <w14:solidFill>
              <w14:schemeClr w14:val="tx1"/>
            </w14:solidFill>
          </w14:textFill>
        </w:rPr>
        <w:t>并按格式要求在指定位置根据要求进行签章，否则视为未提供，未提供格式的，请各供应商自行拟定格式。</w:t>
      </w:r>
    </w:p>
    <w:p w14:paraId="5ABC60F5">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1.3 供应商应对所提供的全部资料的真实性承担法律责任，磋商响应文件内容中有要求盖章或签字的地方，必须加盖磋商供应商的公章以及法定代表人（单位负责人）或授权委托代理人的盖章或签字，其中所有证书类文件提供的复印件必须全部加盖单位公章且必须在有效期内的。</w:t>
      </w:r>
    </w:p>
    <w:p w14:paraId="55109879">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1.4磋商响应文件以及磋商供应商与采购组织机构就有关磋商事宜的所有来往函电，均应以中文汉语书写。除签字、盖章、专用名称等特殊情形外，以中文汉语以外的文字表述的磋商响应文件视同未提供。</w:t>
      </w:r>
    </w:p>
    <w:p w14:paraId="480F9424">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1.5 若磋商供应商不按采购文件的要求提供资格审查材料，其风险由磋商供应商自行承担。</w:t>
      </w:r>
    </w:p>
    <w:p w14:paraId="1F00DEE0">
      <w:pPr>
        <w:shd w:val="clear"/>
        <w:spacing w:line="360" w:lineRule="auto"/>
        <w:ind w:firstLine="482" w:firstLineChars="200"/>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2、提供纸质响应文件要求：见《前附表》</w:t>
      </w:r>
    </w:p>
    <w:p w14:paraId="683761F4">
      <w:pPr>
        <w:shd w:val="clear"/>
        <w:spacing w:line="360" w:lineRule="auto"/>
        <w:ind w:firstLine="482" w:firstLineChars="200"/>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3、响应文件的签章</w:t>
      </w:r>
    </w:p>
    <w:p w14:paraId="45391022">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磋商响应</w:t>
      </w:r>
      <w:r>
        <w:rPr>
          <w:rFonts w:hint="eastAsia" w:ascii="宋体" w:hAnsi="宋体" w:cs="宋体"/>
          <w:color w:val="000000" w:themeColor="text1"/>
          <w:sz w:val="24"/>
          <w:szCs w:val="32"/>
          <w:highlight w:val="none"/>
          <w14:textFill>
            <w14:solidFill>
              <w14:schemeClr w14:val="tx1"/>
            </w14:solidFill>
          </w14:textFill>
        </w:rPr>
        <w:t>文件按照</w:t>
      </w:r>
      <w:r>
        <w:rPr>
          <w:rFonts w:hint="eastAsia" w:ascii="宋体" w:hAnsi="宋体" w:cs="宋体"/>
          <w:color w:val="000000" w:themeColor="text1"/>
          <w:sz w:val="24"/>
          <w:szCs w:val="32"/>
          <w:highlight w:val="none"/>
          <w:lang w:val="zh-CN"/>
          <w14:textFill>
            <w14:solidFill>
              <w14:schemeClr w14:val="tx1"/>
            </w14:solidFill>
          </w14:textFill>
        </w:rPr>
        <w:t>磋商</w:t>
      </w:r>
      <w:r>
        <w:rPr>
          <w:rFonts w:hint="eastAsia" w:ascii="宋体" w:hAnsi="宋体" w:cs="宋体"/>
          <w:color w:val="000000" w:themeColor="text1"/>
          <w:sz w:val="24"/>
          <w:szCs w:val="32"/>
          <w:highlight w:val="none"/>
          <w14:textFill>
            <w14:solidFill>
              <w14:schemeClr w14:val="tx1"/>
            </w14:solidFill>
          </w14:textFill>
        </w:rPr>
        <w:t>文件第六部分格式要求进行签署、盖章。供应商的响应文件未按照</w:t>
      </w:r>
      <w:r>
        <w:rPr>
          <w:rFonts w:hint="eastAsia" w:ascii="宋体" w:hAnsi="宋体" w:cs="宋体"/>
          <w:color w:val="000000" w:themeColor="text1"/>
          <w:sz w:val="24"/>
          <w:szCs w:val="32"/>
          <w:highlight w:val="none"/>
          <w:lang w:val="zh-CN"/>
          <w14:textFill>
            <w14:solidFill>
              <w14:schemeClr w14:val="tx1"/>
            </w14:solidFill>
          </w14:textFill>
        </w:rPr>
        <w:t>磋商</w:t>
      </w:r>
      <w:r>
        <w:rPr>
          <w:rFonts w:hint="eastAsia" w:ascii="宋体" w:hAnsi="宋体" w:cs="宋体"/>
          <w:color w:val="000000" w:themeColor="text1"/>
          <w:sz w:val="24"/>
          <w:szCs w:val="32"/>
          <w:highlight w:val="none"/>
          <w14:textFill>
            <w14:solidFill>
              <w14:schemeClr w14:val="tx1"/>
            </w14:solidFill>
          </w14:textFill>
        </w:rPr>
        <w:t>文件要求签署、盖章的，其投标无效；其中电子响应文件中所须加盖公章部分均采用CA签章，并根据《政府采购项目电子交易管理操作指南-供应商》及本采购文件规定的格式和顺序编制电子响应文件并进行关联定位。</w:t>
      </w:r>
    </w:p>
    <w:p w14:paraId="3B54DCA7">
      <w:pPr>
        <w:shd w:val="clear"/>
        <w:spacing w:line="360" w:lineRule="auto"/>
        <w:ind w:firstLine="482" w:firstLineChars="200"/>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4、备份响应文件的密封与标志</w:t>
      </w:r>
    </w:p>
    <w:p w14:paraId="22D7C148">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4.1备份响应文件须密封包装。没有密封包装的响应文件，将被拒收。</w:t>
      </w:r>
    </w:p>
    <w:p w14:paraId="55B3A014">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4.2备份响应文件包装封面物应写明项目名称、供应商名称。</w:t>
      </w:r>
    </w:p>
    <w:p w14:paraId="3791AAEC">
      <w:pPr>
        <w:shd w:val="clear"/>
        <w:spacing w:line="360" w:lineRule="auto"/>
        <w:ind w:firstLine="482" w:firstLineChars="200"/>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5、磋商响应文件的上传和递交</w:t>
      </w:r>
    </w:p>
    <w:p w14:paraId="704210A4">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5.1“磋商响应文件”的上传、递交：见</w:t>
      </w:r>
      <w:r>
        <w:rPr>
          <w:rFonts w:hint="eastAsia" w:ascii="宋体" w:hAnsi="宋体" w:cs="宋体"/>
          <w:color w:val="000000" w:themeColor="text1"/>
          <w:sz w:val="24"/>
          <w:szCs w:val="32"/>
          <w:highlight w:val="none"/>
          <w:lang w:val="zh-CN"/>
          <w14:textFill>
            <w14:solidFill>
              <w14:schemeClr w14:val="tx1"/>
            </w14:solidFill>
          </w14:textFill>
        </w:rPr>
        <w:t>竞争性磋商公告及</w:t>
      </w:r>
      <w:r>
        <w:rPr>
          <w:rFonts w:hint="eastAsia" w:ascii="宋体" w:hAnsi="宋体" w:cs="宋体"/>
          <w:color w:val="000000" w:themeColor="text1"/>
          <w:sz w:val="24"/>
          <w:szCs w:val="32"/>
          <w:highlight w:val="none"/>
          <w14:textFill>
            <w14:solidFill>
              <w14:schemeClr w14:val="tx1"/>
            </w14:solidFill>
          </w14:textFill>
        </w:rPr>
        <w:t>《前附表》。▲未传输递交电子响应文件的，投标无效。</w:t>
      </w:r>
    </w:p>
    <w:p w14:paraId="33DD842C">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供应商应当在投标截止时间将以介质存储的数据电文形式的备份磋商响应文件送交到</w:t>
      </w:r>
      <w:r>
        <w:rPr>
          <w:rFonts w:hint="eastAsia" w:ascii="宋体" w:hAnsi="宋体" w:cs="宋体"/>
          <w:color w:val="000000" w:themeColor="text1"/>
          <w:sz w:val="24"/>
          <w:szCs w:val="32"/>
          <w:highlight w:val="none"/>
          <w:lang w:val="en-US"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规定的地点。未按规定提供相应的备份磋商响应文件，造成项目开评标活动无法进行下去的，投标无效。采购机构将拒绝接受逾期送达的磋商响应文件。</w:t>
      </w:r>
    </w:p>
    <w:p w14:paraId="1B0AD30A">
      <w:pPr>
        <w:shd w:val="clear"/>
        <w:spacing w:line="360" w:lineRule="auto"/>
        <w:ind w:firstLine="482" w:firstLineChars="200"/>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6、响应文件的补充、修改、撤回</w:t>
      </w:r>
    </w:p>
    <w:p w14:paraId="21C1592C">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6.1供应商应当在投标截止时间前完成电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w:t>
      </w:r>
    </w:p>
    <w:p w14:paraId="6AFCC8C7">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投标截止时间后，磋商供应商不得撤回、修改响应文件。</w:t>
      </w:r>
    </w:p>
    <w:p w14:paraId="70ED326D">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6.3</w:t>
      </w:r>
      <w:r>
        <w:rPr>
          <w:rFonts w:hint="eastAsia" w:ascii="宋体" w:hAnsi="宋体" w:cs="宋体"/>
          <w:color w:val="000000" w:themeColor="text1"/>
          <w:sz w:val="24"/>
          <w:szCs w:val="32"/>
          <w:highlight w:val="none"/>
          <w14:textFill>
            <w14:solidFill>
              <w14:schemeClr w14:val="tx1"/>
            </w14:solidFill>
          </w14:textFill>
        </w:rPr>
        <w:t>在开标后规定的投标有效期内，供应商不能撤销响应文件。</w:t>
      </w:r>
    </w:p>
    <w:p w14:paraId="061CEDA5">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（三）磋商响应文件的有效期</w:t>
      </w:r>
    </w:p>
    <w:p w14:paraId="40AB38CB">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自磋商响应截止日起90天磋商响应文件应保持有效。有效期不足的磋商响应文件将被拒绝。</w:t>
      </w:r>
    </w:p>
    <w:p w14:paraId="2B32440B">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2、在特殊情况下，采购人可与磋商供应商协商延长磋商响应文件的有效期，这种要求和答复均以书面形式进行。</w:t>
      </w:r>
    </w:p>
    <w:p w14:paraId="6CE39FAE">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3、成交供应商的磋商响应文件自磋商之日起至合同履行完毕均应保持有效。</w:t>
      </w:r>
    </w:p>
    <w:p w14:paraId="725F3767">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三、磋商</w:t>
      </w:r>
    </w:p>
    <w:p w14:paraId="4378171D">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（一）磋商程序</w:t>
      </w:r>
    </w:p>
    <w:p w14:paraId="79BE7C1B">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1、采购组织机构将在“磋商公告”规定的时间和地点进行磋商，磋商采购会议由采购组织机构工作人员主持。</w:t>
      </w:r>
    </w:p>
    <w:p w14:paraId="1998C7C5">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主持人宣布磋商采购会议开始，介绍磋商现场的人员情况，宣读提交磋商响应文件的供应商名单、磋商纪律、应当回避的情形等注意事项，组织供应商签署不存在影响公平竞争的《政府采购活动现场确认声明书》。</w:t>
      </w:r>
    </w:p>
    <w:p w14:paraId="52FCD3C2">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3、向各供应商发出电子加密响应文件【开始解密】通知，由供应商按磋商文件规定的时间内自行进行响应文件解密。磋商响应文件的制作和解密应使用同一个数字证书，否则将可能解密失败。</w:t>
      </w:r>
    </w:p>
    <w:p w14:paraId="229E421F">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4、采购组织机构点击【开启标书信息】，开启标书成功后进入开标流程。</w:t>
      </w:r>
    </w:p>
    <w:p w14:paraId="385EBC84">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5、本项目原则上采用电子评审方法，若因政采云平台原因无法读取或电子开评标无法正常进行，采购代理机构将开启所有供应商递交的纸质备份响应文件，以完成开、评标，电子响应文件及以介质存储的数据电文形式的备份响应文件自动失效。</w:t>
      </w:r>
    </w:p>
    <w:p w14:paraId="0AAA6BED">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6、磋商小组必须按照客观、公正、审慎的原则，根据磋商文件规定的评审程序、评审方法和评审标准进行独立评审。未实质性响应磋商文件的响应文件按无效响应处理，磋商小组应当告知提交响应文件的供应商。</w:t>
      </w:r>
    </w:p>
    <w:p w14:paraId="41239C21">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7、磋商小组所有成员集中与单一供应商分别进行磋商，并给予所有参加磋商的供应商平等的磋商机会。</w:t>
      </w:r>
    </w:p>
    <w:p w14:paraId="1189D22B">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8、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供应商应当按照磋商文件的变动情况和磋商小组的要求重新提交响应文件，并由其法定代表人（单位负责人）或授权委托代理人签字或者加盖公章。</w:t>
      </w:r>
    </w:p>
    <w:p w14:paraId="4A43120F">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 xml:space="preserve">9、磋商文件能够详细列明采购标的技术、服务要求的，磋商结束后，磋商小组将要求所有实质性响应的供应商在规定时间内提交最后报价，最后报价是供应商响应文件的有效组成部分。 </w:t>
      </w:r>
    </w:p>
    <w:p w14:paraId="612DD893">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10、经磋商确定最终采购需求和提交最后报价的供应商后，由磋商小组采用综合评分法对提交最后报价的供应商的响应文件和最后报价进行综合评分。</w:t>
      </w:r>
    </w:p>
    <w:p w14:paraId="2991BA53">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11、磋商小组根据综合评分情况，按照评审得分由高到低顺序确定预成交供应商，编写评审报告。</w:t>
      </w:r>
    </w:p>
    <w:p w14:paraId="00C27DCD">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12、采购组织机构对磋商小组专家成员进行评价；</w:t>
      </w:r>
    </w:p>
    <w:p w14:paraId="34A1D46F">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13、主持人到磋商采购会现场宣布磋商结果（含技术得分、最后报价、报价得分及总得分），磋商采购会议结束。</w:t>
      </w:r>
    </w:p>
    <w:p w14:paraId="100C9330">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（二）澄清问题的形式</w:t>
      </w:r>
    </w:p>
    <w:p w14:paraId="420AAA5A">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14:paraId="027B78FF">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（三）错误修正</w:t>
      </w:r>
    </w:p>
    <w:p w14:paraId="3B10131D">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磋商响应文件报价出现前后不一致的，除磋商采购文件另有规定外，按照下列规定修正：</w:t>
      </w:r>
    </w:p>
    <w:p w14:paraId="4FFADCEC">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1、磋商响应文件中首次报价一览表内容与磋商响应文件中相应内容不一致的，以首次报价一览表为准；</w:t>
      </w:r>
    </w:p>
    <w:p w14:paraId="23C2605A">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2、大写金额和小写金额不一致的，以大写金额为准；</w:t>
      </w:r>
    </w:p>
    <w:p w14:paraId="4872EC9D">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3、单价金额小数点或者百分比有明显错位的，以首次报价一览表的总价为准，并修改单价；</w:t>
      </w:r>
    </w:p>
    <w:p w14:paraId="253DFF53">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4、总价金额与按单价汇总金额不一致的，以单价金额计算结果为准。</w:t>
      </w:r>
    </w:p>
    <w:p w14:paraId="41DD9EE4">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14:paraId="4E7D50AE">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（四）磋商供应商存在下列情况之一的，响应无效，终止磋商</w:t>
      </w:r>
    </w:p>
    <w:p w14:paraId="3D92FE5A">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1、磋商响应文件中的商务与技术内容中的服务出现重大偏差的；</w:t>
      </w:r>
    </w:p>
    <w:p w14:paraId="1882CCB8">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2、不具备磋商采购文件中规定的资格要求的。</w:t>
      </w:r>
    </w:p>
    <w:p w14:paraId="6EEFD4FA">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3、磋商响应文件含有采购人不能接受的附加条件的。</w:t>
      </w:r>
    </w:p>
    <w:p w14:paraId="576529B4">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4、供应商代表人未能出具身份证明或与法定代表人（单位负责人）授权委托</w:t>
      </w:r>
      <w:r>
        <w:rPr>
          <w:rFonts w:hint="eastAsia" w:ascii="宋体" w:hAnsi="宋体" w:cs="宋体"/>
          <w:color w:val="000000" w:themeColor="text1"/>
          <w:sz w:val="24"/>
          <w:szCs w:val="32"/>
          <w:highlight w:val="none"/>
          <w:lang w:val="en-US" w:eastAsia="zh-CN"/>
          <w14:textFill>
            <w14:solidFill>
              <w14:schemeClr w14:val="tx1"/>
            </w14:solidFill>
          </w14:textFill>
        </w:rPr>
        <w:t>代理</w:t>
      </w:r>
      <w:r>
        <w:rPr>
          <w:rFonts w:hint="eastAsia" w:ascii="宋体" w:hAnsi="宋体" w:cs="宋体"/>
          <w:color w:val="000000" w:themeColor="text1"/>
          <w:sz w:val="24"/>
          <w:szCs w:val="32"/>
          <w:highlight w:val="none"/>
          <w:lang w:val="zh-CN"/>
          <w14:textFill>
            <w14:solidFill>
              <w14:schemeClr w14:val="tx1"/>
            </w14:solidFill>
          </w14:textFill>
        </w:rPr>
        <w:t>人身份不符的；</w:t>
      </w:r>
    </w:p>
    <w:p w14:paraId="4BF9DB6A">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5、磋商小组认为供应商的报价明显低于其他通过符合性审查供应商的报价，有可能影响诚信履约的，应当要求其在评审现场合理的时间内提供书面说明，必要时提交相关证明材料；供应商不能证明其报价合理性的，磋商小组应当与其终止磋商。</w:t>
      </w:r>
    </w:p>
    <w:p w14:paraId="2F1EE47C">
      <w:pPr>
        <w:shd w:val="clea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6、报价超过磋商采购文件中规定的预算金额/最高限价。</w:t>
      </w:r>
    </w:p>
    <w:p w14:paraId="4679C203">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cs="宋体"/>
          <w:color w:val="000000" w:themeColor="text1"/>
          <w:sz w:val="24"/>
          <w:szCs w:val="32"/>
          <w:highlight w:val="none"/>
          <w:lang w:val="zh-CN"/>
          <w14:textFill>
            <w14:solidFill>
              <w14:schemeClr w14:val="tx1"/>
            </w14:solidFill>
          </w14:textFill>
        </w:rPr>
        <w:t>、磋商响应文件提供虚假材料的。</w:t>
      </w:r>
    </w:p>
    <w:p w14:paraId="05809318">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lang w:val="zh-CN"/>
          <w14:textFill>
            <w14:solidFill>
              <w14:schemeClr w14:val="tx1"/>
            </w14:solidFill>
          </w14:textFill>
        </w:rPr>
        <w:t>、不同供应商的磋商响应文件由同一单位或者个人编制；</w:t>
      </w:r>
    </w:p>
    <w:p w14:paraId="31401DF5">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9</w:t>
      </w:r>
      <w:r>
        <w:rPr>
          <w:rFonts w:hint="eastAsia" w:ascii="宋体" w:hAnsi="宋体" w:cs="宋体"/>
          <w:color w:val="000000" w:themeColor="text1"/>
          <w:sz w:val="24"/>
          <w:szCs w:val="32"/>
          <w:highlight w:val="none"/>
          <w:lang w:val="zh-CN"/>
          <w14:textFill>
            <w14:solidFill>
              <w14:schemeClr w14:val="tx1"/>
            </w14:solidFill>
          </w14:textFill>
        </w:rPr>
        <w:t>、不同供应商委托同一单位或者个人办理磋商事宜；</w:t>
      </w:r>
    </w:p>
    <w:p w14:paraId="29AD4CBA">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lang w:val="zh-CN"/>
          <w14:textFill>
            <w14:solidFill>
              <w14:schemeClr w14:val="tx1"/>
            </w14:solidFill>
          </w14:textFill>
        </w:rPr>
        <w:t>、不同供应商的磋商响应文件载明的项目管理成员或者联系人员为同一人；</w:t>
      </w:r>
    </w:p>
    <w:p w14:paraId="190792D5">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、不同供应商的磋商响应文件异常一致或者报价呈规律性差异；</w:t>
      </w:r>
    </w:p>
    <w:p w14:paraId="323CD8E7">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、不同供应商的磋商响应文件相互混装；</w:t>
      </w:r>
    </w:p>
    <w:p w14:paraId="0BFB0952">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、不同供应商的磋商保证金从同一单位或者个人的账户转出；</w:t>
      </w:r>
    </w:p>
    <w:p w14:paraId="6D5CE148">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、不符合法律、法规和磋商采购文件中规定的其他实质性要求的（磋商采购文件中打“▲”内容及被拒绝的条款）。</w:t>
      </w:r>
    </w:p>
    <w:p w14:paraId="6285F2DE">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、未传输递交电子响应文件的或者未按规定提供相应的备份响应文件，造成项目开评标活动无法进行下去的。</w:t>
      </w:r>
    </w:p>
    <w:p w14:paraId="2D8A78B4">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（五）有下列情况之一的，本次磋商终止。</w:t>
      </w:r>
    </w:p>
    <w:p w14:paraId="10E73DDC">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1、出现影响采购公正的违法、违规行为的；</w:t>
      </w:r>
    </w:p>
    <w:p w14:paraId="47C6F022">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 xml:space="preserve">2、磋商小组发现磋商文件存在歧义、重大缺陷导致评审工作无法进行，或者磋商文件内容违反国家有关强制性规定的； </w:t>
      </w:r>
    </w:p>
    <w:p w14:paraId="4CCB575F">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3、因重大变故，采购任务取消的；</w:t>
      </w:r>
    </w:p>
    <w:p w14:paraId="4A53A978">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4、法律、法规和磋商文件规定的其他导致评审结果无效的。</w:t>
      </w:r>
    </w:p>
    <w:p w14:paraId="535FC3A2">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（六）磋商原则和方法</w:t>
      </w:r>
    </w:p>
    <w:p w14:paraId="18579BEC">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7583421">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2、磋商办法。具体磋商内容及评分标准等详见《评审办法及评审标准》。</w:t>
      </w:r>
    </w:p>
    <w:p w14:paraId="69F2B365">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（七）评审过程的监控</w:t>
      </w:r>
    </w:p>
    <w:p w14:paraId="57643592">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36BC8AC0">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四、磋商结果确定</w:t>
      </w:r>
    </w:p>
    <w:p w14:paraId="3C3CCB3E">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3C1341C">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0AC36853">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3、发出成交通知书。采购组织机构在发布成交结果同时，向成交供应商发出成交通知书。</w:t>
      </w:r>
    </w:p>
    <w:p w14:paraId="30C9C1F9">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3BE962B4">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eastAsia="宋体" w:cs="宋体"/>
          <w:color w:val="000000" w:themeColor="text1"/>
          <w:sz w:val="24"/>
          <w:szCs w:val="32"/>
          <w:highlight w:val="none"/>
          <w:lang w:val="en-US" w:eastAsia="zh-CN"/>
          <w14:textFill>
            <w14:solidFill>
              <w14:schemeClr w14:val="tx1"/>
            </w14:solidFill>
          </w14:textFill>
        </w:rPr>
        <w:t>招标代理费</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招标代理服务费</w:t>
      </w:r>
      <w:r>
        <w:rPr>
          <w:rFonts w:hint="eastAsia" w:ascii="宋体" w:hAnsi="宋体" w:cs="宋体"/>
          <w:color w:val="000000" w:themeColor="text1"/>
          <w:sz w:val="24"/>
          <w:szCs w:val="32"/>
          <w:highlight w:val="none"/>
          <w:lang w:val="en-US" w:eastAsia="zh-CN"/>
          <w14:textFill>
            <w14:solidFill>
              <w14:schemeClr w14:val="tx1"/>
            </w14:solidFill>
          </w14:textFill>
        </w:rPr>
        <w:t>按定额壹万元整</w:t>
      </w:r>
      <w:r>
        <w:rPr>
          <w:rFonts w:hint="eastAsia" w:ascii="宋体" w:hAnsi="宋体" w:eastAsia="宋体" w:cs="宋体"/>
          <w:color w:val="000000" w:themeColor="text1"/>
          <w:sz w:val="24"/>
          <w:szCs w:val="32"/>
          <w:highlight w:val="none"/>
          <w14:textFill>
            <w14:solidFill>
              <w14:schemeClr w14:val="tx1"/>
            </w14:solidFill>
          </w14:textFill>
        </w:rPr>
        <w:t>向中标单位收取招标代理费，该费用中标人须在中标公告发出5日内一次性付清。（户名：浙江五石中正工程咨询有限公司；账号：1202003209900014176；开户银行：中国工商银行杭州潮王路支行）,财务联系电话：0571-88271625。</w:t>
      </w:r>
    </w:p>
    <w:p w14:paraId="0B58CFD9">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五、合同签订及公告</w:t>
      </w:r>
    </w:p>
    <w:p w14:paraId="794F5615">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（一）签订合同</w:t>
      </w:r>
    </w:p>
    <w:p w14:paraId="6320C94B">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采购人应当自中标通知书发出之日起</w:t>
      </w:r>
      <w:r>
        <w:rPr>
          <w:rFonts w:hint="eastAsia" w:ascii="宋体" w:hAnsi="宋体" w:eastAsia="宋体" w:cs="宋体"/>
          <w:color w:val="000000" w:themeColor="text1"/>
          <w:sz w:val="24"/>
          <w:szCs w:val="32"/>
          <w:highlight w:val="none"/>
          <w:lang w:val="en-US" w:eastAsia="zh-CN"/>
          <w14:textFill>
            <w14:solidFill>
              <w14:schemeClr w14:val="tx1"/>
            </w14:solidFill>
          </w14:textFill>
        </w:rPr>
        <w:t>30天</w:t>
      </w:r>
      <w:r>
        <w:rPr>
          <w:rFonts w:hint="eastAsia" w:ascii="宋体" w:hAnsi="宋体" w:eastAsia="宋体" w:cs="宋体"/>
          <w:color w:val="000000" w:themeColor="text1"/>
          <w:sz w:val="24"/>
          <w:szCs w:val="32"/>
          <w:highlight w:val="none"/>
          <w14:textFill>
            <w14:solidFill>
              <w14:schemeClr w14:val="tx1"/>
            </w14:solidFill>
          </w14:textFill>
        </w:rPr>
        <w:t>内，按照招标文件和中标人投标文件的规定，与中标人签订书面合同。所签订的合同不得对招标文件确定的事项和中标人投标文件作实质性修改。</w:t>
      </w:r>
    </w:p>
    <w:p w14:paraId="0FF5C603">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2、采购人不得向成交供应商提出超出磋商文件以外的任何要求作为签订合同的条件，不得与成交供应商订立背离磋商文件确定的合同文本以及采购标的、采购金额、采购数量和服务要求等实质性内容的协议。</w:t>
      </w:r>
    </w:p>
    <w:p w14:paraId="7F5429D9">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3、成交供应商无故拖延、拒签合同的，磋商保证金将不予退还并取消成交资格。</w:t>
      </w:r>
    </w:p>
    <w:p w14:paraId="02F8D89F">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做出处理。</w:t>
      </w:r>
    </w:p>
    <w:p w14:paraId="105373E1">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39C5FA2D">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（二）合同公告及备案</w:t>
      </w:r>
    </w:p>
    <w:p w14:paraId="01E4B897">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1、采购人应当自政府采购合同签订之日起2个工作日内，在省级以上财政部门指定的政府采购信息发布媒体及相关网站上公告。</w:t>
      </w:r>
    </w:p>
    <w:p w14:paraId="4D264577">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2、采购人应当自政府采购合同签订之日起7个工作日内，将政府采购合同副本报同级人民政府财政部门备案以及采购组织机构存档。</w:t>
      </w:r>
    </w:p>
    <w:p w14:paraId="341FFD08">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p>
    <w:p w14:paraId="353DD7EF">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p>
    <w:p w14:paraId="245A64A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501BBFA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34BF213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6FA0293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6A19175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6EFCBE6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05175BF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8B34E5C">
      <w:pPr>
        <w:pStyle w:val="10"/>
        <w:shd w:val="clear"/>
        <w:rPr>
          <w:rFonts w:ascii="宋体" w:hAnsi="宋体" w:cs="宋体"/>
          <w:color w:val="000000" w:themeColor="text1"/>
          <w:szCs w:val="32"/>
          <w:highlight w:val="none"/>
          <w14:textFill>
            <w14:solidFill>
              <w14:schemeClr w14:val="tx1"/>
            </w14:solidFill>
          </w14:textFill>
        </w:rPr>
      </w:pPr>
    </w:p>
    <w:p w14:paraId="207AFCA7">
      <w:pPr>
        <w:pStyle w:val="11"/>
        <w:shd w:val="clear"/>
        <w:rPr>
          <w:rFonts w:ascii="宋体" w:hAnsi="宋体" w:cs="宋体"/>
          <w:color w:val="000000" w:themeColor="text1"/>
          <w:szCs w:val="32"/>
          <w:highlight w:val="none"/>
          <w14:textFill>
            <w14:solidFill>
              <w14:schemeClr w14:val="tx1"/>
            </w14:solidFill>
          </w14:textFill>
        </w:rPr>
      </w:pPr>
    </w:p>
    <w:p w14:paraId="483B0F5D">
      <w:pPr>
        <w:shd w:val="clear"/>
        <w:rPr>
          <w:rFonts w:ascii="宋体" w:hAnsi="宋体" w:cs="宋体"/>
          <w:color w:val="000000" w:themeColor="text1"/>
          <w:szCs w:val="32"/>
          <w:highlight w:val="none"/>
          <w14:textFill>
            <w14:solidFill>
              <w14:schemeClr w14:val="tx1"/>
            </w14:solidFill>
          </w14:textFill>
        </w:rPr>
      </w:pPr>
    </w:p>
    <w:p w14:paraId="2BD137A4">
      <w:pPr>
        <w:pStyle w:val="10"/>
        <w:shd w:val="clear"/>
        <w:rPr>
          <w:rFonts w:ascii="宋体" w:hAnsi="宋体" w:cs="宋体"/>
          <w:color w:val="000000" w:themeColor="text1"/>
          <w:szCs w:val="32"/>
          <w:highlight w:val="none"/>
          <w14:textFill>
            <w14:solidFill>
              <w14:schemeClr w14:val="tx1"/>
            </w14:solidFill>
          </w14:textFill>
        </w:rPr>
      </w:pPr>
    </w:p>
    <w:p w14:paraId="27C8B398">
      <w:pPr>
        <w:pStyle w:val="11"/>
        <w:shd w:val="clear"/>
        <w:rPr>
          <w:rFonts w:ascii="宋体" w:hAnsi="宋体" w:cs="宋体"/>
          <w:color w:val="000000" w:themeColor="text1"/>
          <w:szCs w:val="32"/>
          <w:highlight w:val="none"/>
          <w14:textFill>
            <w14:solidFill>
              <w14:schemeClr w14:val="tx1"/>
            </w14:solidFill>
          </w14:textFill>
        </w:rPr>
      </w:pPr>
    </w:p>
    <w:p w14:paraId="7766A91E">
      <w:pPr>
        <w:shd w:val="clear"/>
        <w:rPr>
          <w:color w:val="000000" w:themeColor="text1"/>
          <w:highlight w:val="none"/>
          <w14:textFill>
            <w14:solidFill>
              <w14:schemeClr w14:val="tx1"/>
            </w14:solidFill>
          </w14:textFill>
        </w:rPr>
      </w:pPr>
    </w:p>
    <w:p w14:paraId="6C644E5F">
      <w:pPr>
        <w:pStyle w:val="10"/>
        <w:shd w:val="clear"/>
        <w:rPr>
          <w:rFonts w:ascii="宋体" w:hAnsi="宋体" w:cs="宋体"/>
          <w:color w:val="000000" w:themeColor="text1"/>
          <w:szCs w:val="32"/>
          <w:highlight w:val="none"/>
          <w14:textFill>
            <w14:solidFill>
              <w14:schemeClr w14:val="tx1"/>
            </w14:solidFill>
          </w14:textFill>
        </w:rPr>
      </w:pPr>
    </w:p>
    <w:p w14:paraId="0CFE3B60">
      <w:pPr>
        <w:pStyle w:val="11"/>
        <w:shd w:val="clear"/>
        <w:rPr>
          <w:rFonts w:ascii="宋体" w:hAnsi="宋体" w:cs="宋体"/>
          <w:color w:val="000000" w:themeColor="text1"/>
          <w:sz w:val="24"/>
          <w:szCs w:val="32"/>
          <w:highlight w:val="none"/>
          <w14:textFill>
            <w14:solidFill>
              <w14:schemeClr w14:val="tx1"/>
            </w14:solidFill>
          </w14:textFill>
        </w:rPr>
      </w:pPr>
    </w:p>
    <w:p w14:paraId="40057735">
      <w:pPr>
        <w:shd w:val="clear"/>
        <w:spacing w:line="360" w:lineRule="auto"/>
        <w:ind w:firstLine="1446" w:firstLineChars="400"/>
        <w:jc w:val="both"/>
        <w:rPr>
          <w:rFonts w:hint="eastAsia" w:ascii="宋体" w:hAnsi="宋体" w:cs="宋体"/>
          <w:b/>
          <w:bCs/>
          <w:color w:val="000000" w:themeColor="text1"/>
          <w:sz w:val="36"/>
          <w:szCs w:val="44"/>
          <w:highlight w:val="none"/>
          <w14:textFill>
            <w14:solidFill>
              <w14:schemeClr w14:val="tx1"/>
            </w14:solidFill>
          </w14:textFill>
        </w:rPr>
      </w:pPr>
    </w:p>
    <w:p w14:paraId="27524AA9">
      <w:pPr>
        <w:shd w:val="clear"/>
        <w:spacing w:line="360" w:lineRule="auto"/>
        <w:ind w:firstLine="1446" w:firstLineChars="400"/>
        <w:jc w:val="both"/>
        <w:rPr>
          <w:rFonts w:hint="eastAsia" w:ascii="宋体" w:hAnsi="宋体" w:cs="宋体"/>
          <w:b/>
          <w:bCs/>
          <w:color w:val="000000" w:themeColor="text1"/>
          <w:sz w:val="36"/>
          <w:szCs w:val="44"/>
          <w:highlight w:val="none"/>
          <w14:textFill>
            <w14:solidFill>
              <w14:schemeClr w14:val="tx1"/>
            </w14:solidFill>
          </w14:textFill>
        </w:rPr>
      </w:pPr>
    </w:p>
    <w:p w14:paraId="265FFEAE">
      <w:pPr>
        <w:shd w:val="clear"/>
        <w:spacing w:line="360" w:lineRule="auto"/>
        <w:ind w:firstLine="1446" w:firstLineChars="400"/>
        <w:jc w:val="both"/>
        <w:rPr>
          <w:rFonts w:hint="eastAsia" w:ascii="宋体" w:hAnsi="宋体" w:cs="宋体"/>
          <w:b/>
          <w:bCs/>
          <w:color w:val="000000" w:themeColor="text1"/>
          <w:sz w:val="36"/>
          <w:szCs w:val="44"/>
          <w:highlight w:val="none"/>
          <w14:textFill>
            <w14:solidFill>
              <w14:schemeClr w14:val="tx1"/>
            </w14:solidFill>
          </w14:textFill>
        </w:rPr>
      </w:pPr>
    </w:p>
    <w:p w14:paraId="2FE282EA">
      <w:pPr>
        <w:shd w:val="clear"/>
        <w:spacing w:line="360" w:lineRule="auto"/>
        <w:ind w:firstLine="1446" w:firstLineChars="400"/>
        <w:jc w:val="both"/>
        <w:rPr>
          <w:rFonts w:hint="eastAsia" w:ascii="宋体" w:hAnsi="宋体" w:cs="宋体"/>
          <w:b/>
          <w:bCs/>
          <w:color w:val="000000" w:themeColor="text1"/>
          <w:sz w:val="36"/>
          <w:szCs w:val="44"/>
          <w:highlight w:val="none"/>
          <w14:textFill>
            <w14:solidFill>
              <w14:schemeClr w14:val="tx1"/>
            </w14:solidFill>
          </w14:textFill>
        </w:rPr>
      </w:pPr>
    </w:p>
    <w:p w14:paraId="405DDF4D">
      <w:pPr>
        <w:shd w:val="clear"/>
        <w:spacing w:line="360" w:lineRule="auto"/>
        <w:ind w:firstLine="1446" w:firstLineChars="400"/>
        <w:jc w:val="both"/>
        <w:rPr>
          <w:rFonts w:hint="eastAsia" w:ascii="宋体" w:hAnsi="宋体" w:cs="宋体"/>
          <w:b/>
          <w:bCs/>
          <w:color w:val="000000" w:themeColor="text1"/>
          <w:sz w:val="36"/>
          <w:szCs w:val="44"/>
          <w:highlight w:val="none"/>
          <w14:textFill>
            <w14:solidFill>
              <w14:schemeClr w14:val="tx1"/>
            </w14:solidFill>
          </w14:textFill>
        </w:rPr>
      </w:pPr>
    </w:p>
    <w:p w14:paraId="0C07B3C8">
      <w:pPr>
        <w:shd w:val="clear"/>
        <w:spacing w:line="360" w:lineRule="auto"/>
        <w:ind w:firstLine="1446" w:firstLineChars="400"/>
        <w:jc w:val="both"/>
        <w:rPr>
          <w:rFonts w:hint="eastAsia" w:ascii="宋体" w:hAnsi="宋体" w:cs="宋体"/>
          <w:b/>
          <w:bCs/>
          <w:color w:val="000000" w:themeColor="text1"/>
          <w:sz w:val="36"/>
          <w:szCs w:val="44"/>
          <w:highlight w:val="none"/>
          <w14:textFill>
            <w14:solidFill>
              <w14:schemeClr w14:val="tx1"/>
            </w14:solidFill>
          </w14:textFill>
        </w:rPr>
      </w:pPr>
    </w:p>
    <w:p w14:paraId="5650BA15">
      <w:pPr>
        <w:shd w:val="clear"/>
        <w:spacing w:line="360" w:lineRule="auto"/>
        <w:ind w:firstLine="1446" w:firstLineChars="400"/>
        <w:jc w:val="both"/>
        <w:rPr>
          <w:rFonts w:hint="eastAsia" w:ascii="宋体" w:hAnsi="宋体" w:cs="宋体"/>
          <w:b/>
          <w:bCs/>
          <w:color w:val="000000" w:themeColor="text1"/>
          <w:sz w:val="36"/>
          <w:szCs w:val="44"/>
          <w:highlight w:val="none"/>
          <w14:textFill>
            <w14:solidFill>
              <w14:schemeClr w14:val="tx1"/>
            </w14:solidFill>
          </w14:textFill>
        </w:rPr>
      </w:pPr>
    </w:p>
    <w:p w14:paraId="7CF12DEE">
      <w:pPr>
        <w:shd w:val="clear"/>
        <w:spacing w:line="360" w:lineRule="auto"/>
        <w:ind w:firstLine="1446" w:firstLineChars="400"/>
        <w:jc w:val="both"/>
        <w:rPr>
          <w:rFonts w:hint="eastAsia" w:ascii="宋体" w:hAnsi="宋体" w:cs="宋体"/>
          <w:b/>
          <w:bCs/>
          <w:color w:val="000000" w:themeColor="text1"/>
          <w:sz w:val="36"/>
          <w:szCs w:val="44"/>
          <w:highlight w:val="none"/>
          <w14:textFill>
            <w14:solidFill>
              <w14:schemeClr w14:val="tx1"/>
            </w14:solidFill>
          </w14:textFill>
        </w:rPr>
      </w:pPr>
    </w:p>
    <w:p w14:paraId="7CA161C0">
      <w:pPr>
        <w:shd w:val="clear"/>
        <w:spacing w:line="360" w:lineRule="auto"/>
        <w:ind w:firstLine="1446" w:firstLineChars="400"/>
        <w:jc w:val="both"/>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第三部分 评审办法及评审标准</w:t>
      </w:r>
    </w:p>
    <w:p w14:paraId="043A9B7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一、采购组织机构将组织磋商小组，磋商小组由3人以上单数组成，对供应商提供的磋商响应文件进行综合评审。   </w:t>
      </w:r>
    </w:p>
    <w:p w14:paraId="72E56ED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二、本次磋商项目的评审方法为</w:t>
      </w:r>
      <w:r>
        <w:rPr>
          <w:rFonts w:hint="eastAsia" w:ascii="宋体" w:hAnsi="宋体" w:cs="宋体"/>
          <w:b/>
          <w:bCs/>
          <w:color w:val="000000" w:themeColor="text1"/>
          <w:sz w:val="24"/>
          <w:szCs w:val="32"/>
          <w:highlight w:val="none"/>
          <w14:textFill>
            <w14:solidFill>
              <w14:schemeClr w14:val="tx1"/>
            </w14:solidFill>
          </w14:textFill>
        </w:rPr>
        <w:t>综合评分法</w:t>
      </w:r>
      <w:r>
        <w:rPr>
          <w:rFonts w:hint="eastAsia" w:ascii="宋体" w:hAnsi="宋体" w:cs="宋体"/>
          <w:color w:val="000000" w:themeColor="text1"/>
          <w:sz w:val="24"/>
          <w:szCs w:val="32"/>
          <w:highlight w:val="none"/>
          <w14:textFill>
            <w14:solidFill>
              <w14:schemeClr w14:val="tx1"/>
            </w14:solidFill>
          </w14:textFill>
        </w:rPr>
        <w:t>，总计100分。</w:t>
      </w:r>
    </w:p>
    <w:p w14:paraId="6BD6F8D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（一）商务与技术文件中的客观分由磋商小组讨论后统一打分；其余在规定的分值内单独评定打分。</w:t>
      </w:r>
    </w:p>
    <w:p w14:paraId="0F9A914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（二）各磋商供应商商务与技术文件得分按照磋商小组成员的独立评分结果汇总后的算术平均分计算，计算公式为：</w:t>
      </w:r>
    </w:p>
    <w:p w14:paraId="52B8BAA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商务与技术文件得分=磋商小组所有成员评分合计数/磋商小组组成人员数。</w:t>
      </w:r>
    </w:p>
    <w:p w14:paraId="31342F5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（三）综合评分法中的价格分统一采用低价优先法计算，即满足磋商文件要求通过一轮磋商且最后报价最低的供应商的价格作为磋商基准价，其报价得满分。其他供应商的价格分统一按照下列公式计算：</w:t>
      </w:r>
    </w:p>
    <w:p w14:paraId="2DBACE46">
      <w:pPr>
        <w:shd w:val="clear"/>
        <w:spacing w:line="360" w:lineRule="auto"/>
        <w:ind w:firstLine="482" w:firstLineChars="200"/>
        <w:rPr>
          <w:rFonts w:hint="default" w:ascii="宋体" w:hAnsi="宋体" w:eastAsia="宋体" w:cs="宋体"/>
          <w:b/>
          <w:bCs/>
          <w:color w:val="000000" w:themeColor="text1"/>
          <w:sz w:val="24"/>
          <w:szCs w:val="32"/>
          <w:highlight w:val="none"/>
          <w:u w:val="single"/>
          <w:lang w:val="en-US" w:eastAsia="zh-CN"/>
          <w14:textFill>
            <w14:solidFill>
              <w14:schemeClr w14:val="tx1"/>
            </w14:solidFill>
          </w14:textFill>
        </w:rPr>
      </w:pPr>
      <w:r>
        <w:rPr>
          <w:rFonts w:hint="eastAsia" w:ascii="宋体" w:hAnsi="宋体" w:cs="宋体"/>
          <w:b/>
          <w:bCs/>
          <w:color w:val="000000" w:themeColor="text1"/>
          <w:sz w:val="24"/>
          <w:szCs w:val="32"/>
          <w:highlight w:val="none"/>
          <w:u w:val="single"/>
          <w14:textFill>
            <w14:solidFill>
              <w14:schemeClr w14:val="tx1"/>
            </w14:solidFill>
          </w14:textFill>
        </w:rPr>
        <w:t>投标报价得分＝（评标基准价</w:t>
      </w:r>
      <w:r>
        <w:rPr>
          <w:rFonts w:ascii="宋体" w:hAnsi="宋体" w:cs="宋体"/>
          <w:b/>
          <w:bCs/>
          <w:color w:val="000000" w:themeColor="text1"/>
          <w:sz w:val="24"/>
          <w:szCs w:val="32"/>
          <w:highlight w:val="none"/>
          <w:u w:val="single"/>
          <w14:textFill>
            <w14:solidFill>
              <w14:schemeClr w14:val="tx1"/>
            </w14:solidFill>
          </w14:textFill>
        </w:rPr>
        <w:t>/投标报价）×</w:t>
      </w:r>
      <w:r>
        <w:rPr>
          <w:rFonts w:hint="eastAsia" w:ascii="宋体" w:hAnsi="宋体" w:cs="宋体"/>
          <w:b/>
          <w:bCs/>
          <w:color w:val="000000" w:themeColor="text1"/>
          <w:sz w:val="24"/>
          <w:szCs w:val="32"/>
          <w:highlight w:val="none"/>
          <w:u w:val="single"/>
          <w:lang w:val="en-US" w:eastAsia="zh-CN"/>
          <w14:textFill>
            <w14:solidFill>
              <w14:schemeClr w14:val="tx1"/>
            </w14:solidFill>
          </w14:textFill>
        </w:rPr>
        <w:t>20</w:t>
      </w:r>
      <w:r>
        <w:rPr>
          <w:rFonts w:ascii="宋体" w:hAnsi="宋体" w:cs="宋体"/>
          <w:b/>
          <w:bCs/>
          <w:color w:val="000000" w:themeColor="text1"/>
          <w:sz w:val="24"/>
          <w:szCs w:val="32"/>
          <w:highlight w:val="none"/>
          <w:u w:val="single"/>
          <w14:textFill>
            <w14:solidFill>
              <w14:schemeClr w14:val="tx1"/>
            </w14:solidFill>
          </w14:textFill>
        </w:rPr>
        <w:t>%×100。（小数点后保留2位小数）</w:t>
      </w:r>
      <w:r>
        <w:rPr>
          <w:rFonts w:hint="eastAsia" w:ascii="宋体" w:hAnsi="宋体" w:cs="宋体"/>
          <w:b/>
          <w:bCs/>
          <w:color w:val="000000" w:themeColor="text1"/>
          <w:sz w:val="24"/>
          <w:szCs w:val="32"/>
          <w:highlight w:val="none"/>
          <w:u w:val="single"/>
          <w:lang w:val="en-US" w:eastAsia="zh-CN"/>
          <w14:textFill>
            <w14:solidFill>
              <w14:schemeClr w14:val="tx1"/>
            </w14:solidFill>
          </w14:textFill>
        </w:rPr>
        <w:t xml:space="preserve">  </w:t>
      </w:r>
    </w:p>
    <w:p w14:paraId="3D36D72F">
      <w:pPr>
        <w:numPr>
          <w:ilvl w:val="0"/>
          <w:numId w:val="3"/>
        </w:num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政府采购政策及优惠：</w:t>
      </w:r>
    </w:p>
    <w:p w14:paraId="70956EE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本项目专门面向中小企业采购，价格评审时，</w:t>
      </w:r>
      <w:r>
        <w:rPr>
          <w:rFonts w:hint="eastAsia" w:ascii="宋体" w:hAnsi="宋体" w:cs="宋体"/>
          <w:color w:val="000000" w:themeColor="text1"/>
          <w:kern w:val="0"/>
          <w:sz w:val="24"/>
          <w:highlight w:val="none"/>
          <w:lang w:val="en-US" w:eastAsia="zh-CN"/>
          <w14:textFill>
            <w14:solidFill>
              <w14:schemeClr w14:val="tx1"/>
            </w14:solidFill>
          </w14:textFill>
        </w:rPr>
        <w:t>中</w:t>
      </w:r>
      <w:r>
        <w:rPr>
          <w:rFonts w:hint="eastAsia" w:ascii="宋体" w:hAnsi="宋体" w:cs="宋体"/>
          <w:color w:val="000000" w:themeColor="text1"/>
          <w:kern w:val="0"/>
          <w:sz w:val="24"/>
          <w:highlight w:val="none"/>
          <w14:textFill>
            <w14:solidFill>
              <w14:schemeClr w14:val="tx1"/>
            </w14:solidFill>
          </w14:textFill>
        </w:rPr>
        <w:t>小微企业的投标价格不</w:t>
      </w:r>
      <w:r>
        <w:rPr>
          <w:rFonts w:hint="eastAsia" w:ascii="宋体" w:hAnsi="宋体" w:cs="宋体"/>
          <w:color w:val="000000" w:themeColor="text1"/>
          <w:kern w:val="0"/>
          <w:sz w:val="24"/>
          <w:highlight w:val="none"/>
          <w:lang w:val="en-US" w:eastAsia="zh-CN"/>
          <w14:textFill>
            <w14:solidFill>
              <w14:schemeClr w14:val="tx1"/>
            </w14:solidFill>
          </w14:textFill>
        </w:rPr>
        <w:t>作</w:t>
      </w:r>
      <w:r>
        <w:rPr>
          <w:rFonts w:hint="eastAsia" w:ascii="宋体" w:hAnsi="宋体" w:cs="宋体"/>
          <w:color w:val="000000" w:themeColor="text1"/>
          <w:kern w:val="0"/>
          <w:sz w:val="24"/>
          <w:highlight w:val="none"/>
          <w14:textFill>
            <w14:solidFill>
              <w14:schemeClr w14:val="tx1"/>
            </w14:solidFill>
          </w14:textFill>
        </w:rPr>
        <w:t>扣除。</w:t>
      </w:r>
      <w:r>
        <w:rPr>
          <w:rFonts w:hint="eastAsia" w:ascii="宋体" w:hAnsi="宋体" w:cs="宋体"/>
          <w:color w:val="000000" w:themeColor="text1"/>
          <w:sz w:val="24"/>
          <w:szCs w:val="32"/>
          <w:highlight w:val="none"/>
          <w14:textFill>
            <w14:solidFill>
              <w14:schemeClr w14:val="tx1"/>
            </w14:solidFill>
          </w14:textFill>
        </w:rPr>
        <w:t>注：得分以系统计算为准，保留2位小数。</w:t>
      </w:r>
    </w:p>
    <w:p w14:paraId="2C48D50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三、</w:t>
      </w:r>
      <w:r>
        <w:rPr>
          <w:rFonts w:hint="eastAsia" w:ascii="宋体" w:hAnsi="宋体" w:eastAsia="宋体" w:cs="宋体"/>
          <w:color w:val="000000" w:themeColor="text1"/>
          <w:sz w:val="24"/>
          <w:highlight w:val="none"/>
          <w:lang w:val="zh-CN"/>
          <w14:textFill>
            <w14:solidFill>
              <w14:schemeClr w14:val="tx1"/>
            </w14:solidFill>
          </w14:textFill>
        </w:rPr>
        <w:t>在最大限度地满足磋商文件实质性要求前提下，</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按照磋商文件中规定的各项因素进行综合评审后，以评审总得分最高的供应商为第一成交候选供应商，总得分次高的为第二成交候选供应商，总得分第三高的为第三成交候选供应商</w:t>
      </w:r>
      <w:r>
        <w:rPr>
          <w:rFonts w:hint="eastAsia" w:ascii="宋体" w:hAnsi="宋体" w:cs="宋体"/>
          <w:color w:val="000000" w:themeColor="text1"/>
          <w:sz w:val="24"/>
          <w:szCs w:val="32"/>
          <w:highlight w:val="none"/>
          <w14:textFill>
            <w14:solidFill>
              <w14:schemeClr w14:val="tx1"/>
            </w14:solidFill>
          </w14:textFill>
        </w:rPr>
        <w:t>。</w:t>
      </w:r>
    </w:p>
    <w:p w14:paraId="07CDADA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四、如综合得分相同，最后报价低者为先；如综合得分且最后报价相同的，服务类采购项目以实力信誉及业绩得分较高者为先。</w:t>
      </w:r>
    </w:p>
    <w:p w14:paraId="24651788">
      <w:pPr>
        <w:shd w:val="clear"/>
        <w:spacing w:line="360" w:lineRule="auto"/>
        <w:ind w:firstLine="480" w:firstLineChars="2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五、本次评分具体分值细化条款如下表</w:t>
      </w:r>
      <w:r>
        <w:rPr>
          <w:rFonts w:hint="eastAsia" w:ascii="宋体" w:hAnsi="宋体" w:cs="宋体"/>
          <w:color w:val="000000" w:themeColor="text1"/>
          <w:sz w:val="24"/>
          <w:szCs w:val="32"/>
          <w:highlight w:val="none"/>
          <w:lang w:val="zh-CN"/>
          <w14:textFill>
            <w14:solidFill>
              <w14:schemeClr w14:val="tx1"/>
            </w14:solidFill>
          </w14:textFill>
        </w:rPr>
        <w:t>：</w:t>
      </w:r>
    </w:p>
    <w:tbl>
      <w:tblPr>
        <w:tblStyle w:val="28"/>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283"/>
        <w:gridCol w:w="7118"/>
        <w:gridCol w:w="708"/>
      </w:tblGrid>
      <w:tr w14:paraId="007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73" w:type="dxa"/>
            <w:gridSpan w:val="2"/>
            <w:noWrap w:val="0"/>
            <w:vAlign w:val="center"/>
          </w:tcPr>
          <w:p w14:paraId="7DF37657">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评标因素</w:t>
            </w:r>
          </w:p>
        </w:tc>
        <w:tc>
          <w:tcPr>
            <w:tcW w:w="7118" w:type="dxa"/>
            <w:noWrap w:val="0"/>
            <w:vAlign w:val="center"/>
          </w:tcPr>
          <w:p w14:paraId="018786D8">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评分标准</w:t>
            </w:r>
          </w:p>
        </w:tc>
        <w:tc>
          <w:tcPr>
            <w:tcW w:w="708" w:type="dxa"/>
            <w:noWrap w:val="0"/>
            <w:vAlign w:val="center"/>
          </w:tcPr>
          <w:p w14:paraId="633F7D13">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r>
      <w:tr w14:paraId="551E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90" w:type="dxa"/>
            <w:vMerge w:val="restart"/>
            <w:noWrap w:val="0"/>
            <w:vAlign w:val="center"/>
          </w:tcPr>
          <w:p w14:paraId="6AD58F55">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283" w:type="dxa"/>
            <w:vMerge w:val="restart"/>
            <w:noWrap w:val="0"/>
            <w:vAlign w:val="center"/>
          </w:tcPr>
          <w:p w14:paraId="12F9DA1F">
            <w:pPr>
              <w:keepLines w:val="0"/>
              <w:pageBreakBefore w:val="0"/>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Style w:val="34"/>
                <w:rFonts w:hint="eastAsia" w:ascii="宋体" w:hAnsi="宋体" w:eastAsia="宋体" w:cs="宋体"/>
                <w:color w:val="000000" w:themeColor="text1"/>
                <w:sz w:val="24"/>
                <w:szCs w:val="24"/>
                <w:highlight w:val="none"/>
                <w:lang w:val="en-US" w:eastAsia="zh-CN"/>
                <w14:textFill>
                  <w14:solidFill>
                    <w14:schemeClr w14:val="tx1"/>
                  </w14:solidFill>
                </w14:textFill>
              </w:rPr>
              <w:t>承接经验</w:t>
            </w:r>
          </w:p>
        </w:tc>
        <w:tc>
          <w:tcPr>
            <w:tcW w:w="7118" w:type="dxa"/>
            <w:noWrap w:val="0"/>
            <w:vAlign w:val="center"/>
          </w:tcPr>
          <w:p w14:paraId="56166308">
            <w:pPr>
              <w:keepNext w:val="0"/>
              <w:keepLines w:val="0"/>
              <w:pageBreakBefore w:val="0"/>
              <w:shd w:val="clea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自2021年1月1日以来</w:t>
            </w:r>
            <w:r>
              <w:rPr>
                <w:rFonts w:hint="eastAsia" w:ascii="宋体" w:hAnsi="宋体" w:eastAsia="宋体" w:cs="宋体"/>
                <w:b w:val="0"/>
                <w:bCs w:val="0"/>
                <w:color w:val="000000" w:themeColor="text1"/>
                <w:kern w:val="0"/>
                <w:sz w:val="24"/>
                <w:szCs w:val="24"/>
                <w:highlight w:val="none"/>
                <w:u w:val="none"/>
                <w:lang w:val="zh-CN"/>
                <w14:textFill>
                  <w14:solidFill>
                    <w14:schemeClr w14:val="tx1"/>
                  </w14:solidFill>
                </w14:textFill>
              </w:rPr>
              <w:t>（以合同签订时间为准），</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承接过类似项目的，每提供1个合同得</w:t>
            </w:r>
            <w:r>
              <w:rPr>
                <w:rFonts w:hint="eastAsia" w:ascii="宋体" w:hAnsi="宋体" w:cs="宋体"/>
                <w:b w:val="0"/>
                <w:bCs w:val="0"/>
                <w:color w:val="000000" w:themeColor="text1"/>
                <w:kern w:val="0"/>
                <w:sz w:val="24"/>
                <w:szCs w:val="24"/>
                <w:highlight w:val="none"/>
                <w:u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分，最高得2分。</w:t>
            </w:r>
          </w:p>
          <w:p w14:paraId="17CE4A94">
            <w:pPr>
              <w:keepNext w:val="0"/>
              <w:keepLines w:val="0"/>
              <w:pageBreakBefore w:val="0"/>
              <w:shd w:val="clear"/>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须</w:t>
            </w:r>
            <w:r>
              <w:rPr>
                <w:rFonts w:hint="eastAsia" w:ascii="宋体" w:hAnsi="宋体" w:eastAsia="宋体" w:cs="宋体"/>
                <w:b/>
                <w:bCs/>
                <w:color w:val="000000" w:themeColor="text1"/>
                <w:kern w:val="2"/>
                <w:sz w:val="24"/>
                <w:szCs w:val="24"/>
                <w:highlight w:val="none"/>
                <w14:textFill>
                  <w14:solidFill>
                    <w14:schemeClr w14:val="tx1"/>
                  </w14:solidFill>
                </w14:textFill>
              </w:rPr>
              <w:t>提供有效的合同扫描件</w:t>
            </w:r>
            <w:r>
              <w:rPr>
                <w:rFonts w:hint="eastAsia" w:ascii="宋体" w:hAnsi="宋体" w:eastAsia="宋体" w:cs="宋体"/>
                <w:b/>
                <w:bCs/>
                <w:color w:val="000000" w:themeColor="text1"/>
                <w:sz w:val="24"/>
                <w:szCs w:val="24"/>
                <w:highlight w:val="none"/>
                <w14:textFill>
                  <w14:solidFill>
                    <w14:schemeClr w14:val="tx1"/>
                  </w14:solidFill>
                </w14:textFill>
              </w:rPr>
              <w:t>加盖</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公章编入投标文件中，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未提供的不得分</w:t>
            </w:r>
            <w:r>
              <w:rPr>
                <w:rFonts w:hint="eastAsia" w:ascii="宋体" w:hAnsi="宋体" w:eastAsia="宋体" w:cs="宋体"/>
                <w:b/>
                <w:bCs/>
                <w:color w:val="000000" w:themeColor="text1"/>
                <w:sz w:val="24"/>
                <w:szCs w:val="24"/>
                <w:highlight w:val="none"/>
                <w14:textFill>
                  <w14:solidFill>
                    <w14:schemeClr w14:val="tx1"/>
                  </w14:solidFill>
                </w14:textFill>
              </w:rPr>
              <w:t>）</w:t>
            </w:r>
          </w:p>
        </w:tc>
        <w:tc>
          <w:tcPr>
            <w:tcW w:w="708" w:type="dxa"/>
            <w:noWrap w:val="0"/>
            <w:vAlign w:val="center"/>
          </w:tcPr>
          <w:p w14:paraId="75FF8A7B">
            <w:pPr>
              <w:pStyle w:val="13"/>
              <w:keepLines w:val="0"/>
              <w:pageBreakBefore w:val="0"/>
              <w:shd w:val="clear"/>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r>
      <w:tr w14:paraId="1098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1A0EF49A">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vMerge w:val="restart"/>
            <w:noWrap w:val="0"/>
            <w:vAlign w:val="center"/>
          </w:tcPr>
          <w:p w14:paraId="332E0F5F">
            <w:pPr>
              <w:keepLines w:val="0"/>
              <w:pageBreakBefore w:val="0"/>
              <w:shd w:val="clear"/>
              <w:kinsoku/>
              <w:wordWrap/>
              <w:overflowPunct/>
              <w:topLinePunct w:val="0"/>
              <w:bidi w:val="0"/>
              <w:spacing w:beforeAutospacing="0" w:afterAutospacing="0" w:line="240" w:lineRule="auto"/>
              <w:ind w:left="0" w:leftChars="0"/>
              <w:jc w:val="center"/>
              <w:textAlignment w:val="auto"/>
              <w:rPr>
                <w:rStyle w:val="34"/>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项目组成员</w:t>
            </w:r>
          </w:p>
        </w:tc>
        <w:tc>
          <w:tcPr>
            <w:tcW w:w="7118" w:type="dxa"/>
            <w:noWrap w:val="0"/>
            <w:vAlign w:val="top"/>
          </w:tcPr>
          <w:p w14:paraId="38D33263">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投标人拟投入本项目的项目负责人：</w:t>
            </w:r>
          </w:p>
          <w:p w14:paraId="5C7A3C73">
            <w:pPr>
              <w:keepNext w:val="0"/>
              <w:keepLines w:val="0"/>
              <w:pageBreakBefore w:val="0"/>
              <w:widowControl w:val="0"/>
              <w:numPr>
                <w:ilvl w:val="0"/>
                <w:numId w:val="4"/>
              </w:numPr>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sz w:val="24"/>
                <w:szCs w:val="24"/>
                <w:highlight w:val="none"/>
                <w:lang w:eastAsia="zh-CN"/>
                <w14:textFill>
                  <w14:solidFill>
                    <w14:schemeClr w14:val="tx1"/>
                  </w14:solidFill>
                </w14:textFill>
              </w:rPr>
              <w:t>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饪、餐饮、酒店等管理专业毕业的中专中技及以上的，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6D2BF77B">
            <w:pPr>
              <w:keepNext w:val="0"/>
              <w:keepLines w:val="0"/>
              <w:pageBreakBefore w:val="0"/>
              <w:widowControl w:val="0"/>
              <w:numPr>
                <w:ilvl w:val="0"/>
                <w:numId w:val="4"/>
              </w:numPr>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具有公共营养师证书得2分</w:t>
            </w:r>
          </w:p>
          <w:p w14:paraId="037F1B67">
            <w:pPr>
              <w:keepNext w:val="0"/>
              <w:keepLines w:val="0"/>
              <w:pageBreakBefore w:val="0"/>
              <w:widowControl w:val="0"/>
              <w:numPr>
                <w:ilvl w:val="0"/>
                <w:numId w:val="4"/>
              </w:numPr>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高级餐厅服务员证书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p>
          <w:p w14:paraId="6A1376F7">
            <w:pPr>
              <w:keepNext w:val="0"/>
              <w:keepLines w:val="0"/>
              <w:pageBreakBefore w:val="0"/>
              <w:widowControl w:val="0"/>
              <w:shd w:val="clear"/>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须提供相关证书扫描件、职业证书须提供人社国网或人社省网查询截图，</w:t>
            </w:r>
            <w:r>
              <w:rPr>
                <w:rFonts w:hint="eastAsia" w:ascii="宋体" w:hAnsi="宋体" w:eastAsia="宋体" w:cs="宋体"/>
                <w:b/>
                <w:bCs/>
                <w:color w:val="000000" w:themeColor="text1"/>
                <w:sz w:val="24"/>
                <w:szCs w:val="24"/>
                <w:highlight w:val="none"/>
                <w:lang w:eastAsia="zh-CN"/>
                <w14:textFill>
                  <w14:solidFill>
                    <w14:schemeClr w14:val="tx1"/>
                  </w14:solidFill>
                </w14:textFill>
              </w:rPr>
              <w:t>未提供或提供不全的不得分</w:t>
            </w:r>
            <w:r>
              <w:rPr>
                <w:rFonts w:hint="eastAsia" w:ascii="宋体" w:hAnsi="宋体" w:eastAsia="宋体" w:cs="宋体"/>
                <w:b/>
                <w:bCs/>
                <w:color w:val="000000" w:themeColor="text1"/>
                <w:sz w:val="24"/>
                <w:szCs w:val="24"/>
                <w:highlight w:val="none"/>
                <w14:textFill>
                  <w14:solidFill>
                    <w14:schemeClr w14:val="tx1"/>
                  </w14:solidFill>
                </w14:textFill>
              </w:rPr>
              <w:t>）</w:t>
            </w:r>
          </w:p>
        </w:tc>
        <w:tc>
          <w:tcPr>
            <w:tcW w:w="708" w:type="dxa"/>
            <w:noWrap w:val="0"/>
            <w:vAlign w:val="center"/>
          </w:tcPr>
          <w:p w14:paraId="3D1E6B13">
            <w:pPr>
              <w:keepLines w:val="0"/>
              <w:pageBreakBefore w:val="0"/>
              <w:shd w:val="clear"/>
              <w:kinsoku/>
              <w:wordWrap/>
              <w:overflowPunct/>
              <w:topLinePunct w:val="0"/>
              <w:bidi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14:paraId="4588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7662D4E1">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vMerge w:val="continue"/>
            <w:noWrap w:val="0"/>
            <w:vAlign w:val="center"/>
          </w:tcPr>
          <w:p w14:paraId="54B206D2">
            <w:pPr>
              <w:keepLines w:val="0"/>
              <w:pageBreakBefore w:val="0"/>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118" w:type="dxa"/>
            <w:noWrap w:val="0"/>
            <w:vAlign w:val="top"/>
          </w:tcPr>
          <w:p w14:paraId="3EA211C5">
            <w:pPr>
              <w:pStyle w:val="10"/>
              <w:keepNext w:val="0"/>
              <w:keepLines w:val="0"/>
              <w:pageBreakBefore w:val="0"/>
              <w:widowControl w:val="0"/>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厨师长</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18CAB189">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具有中式烹调高级技师（一级）得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14:paraId="7FFD1051">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2、具有</w:t>
            </w:r>
            <w:r>
              <w:rPr>
                <w:rFonts w:hint="eastAsia" w:ascii="宋体" w:hAnsi="宋体" w:eastAsia="宋体" w:cs="宋体"/>
                <w:color w:val="000000" w:themeColor="text1"/>
                <w:sz w:val="24"/>
                <w:szCs w:val="24"/>
                <w:highlight w:val="none"/>
                <w14:textFill>
                  <w14:solidFill>
                    <w14:schemeClr w14:val="tx1"/>
                  </w14:solidFill>
                </w14:textFill>
              </w:rPr>
              <w:t>高级健康管理师（</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级）得2分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A8A0030">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b w:val="0"/>
                <w:bCs w:val="0"/>
                <w:color w:val="000000" w:themeColor="text1"/>
                <w:sz w:val="24"/>
                <w:szCs w:val="24"/>
                <w:highlight w:val="none"/>
                <w14:textFill>
                  <w14:solidFill>
                    <w14:schemeClr w14:val="tx1"/>
                  </w14:solidFill>
                </w14:textFill>
              </w:rPr>
              <w:t>食品安全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知识培训合格证明或食品安全管理人员培训合格证明的，得1分。</w:t>
            </w:r>
          </w:p>
          <w:p w14:paraId="644FBE0C">
            <w:pPr>
              <w:keepNext w:val="0"/>
              <w:keepLines w:val="0"/>
              <w:pageBreakBefore w:val="0"/>
              <w:widowControl w:val="0"/>
              <w:shd w:val="clear"/>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须</w:t>
            </w:r>
            <w:r>
              <w:rPr>
                <w:rFonts w:hint="eastAsia" w:ascii="宋体" w:hAnsi="宋体" w:eastAsia="宋体" w:cs="宋体"/>
                <w:b/>
                <w:bCs/>
                <w:color w:val="000000" w:themeColor="text1"/>
                <w:sz w:val="24"/>
                <w:szCs w:val="24"/>
                <w:highlight w:val="none"/>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bCs/>
                <w:color w:val="000000" w:themeColor="text1"/>
                <w:sz w:val="24"/>
                <w:szCs w:val="24"/>
                <w:highlight w:val="none"/>
                <w14:textFill>
                  <w14:solidFill>
                    <w14:schemeClr w14:val="tx1"/>
                  </w14:solidFill>
                </w14:textFill>
              </w:rPr>
              <w:t>证书扫描件</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人社</w:t>
            </w:r>
            <w:r>
              <w:rPr>
                <w:rFonts w:hint="eastAsia" w:ascii="宋体" w:hAnsi="宋体" w:eastAsia="宋体" w:cs="宋体"/>
                <w:b/>
                <w:color w:val="000000" w:themeColor="text1"/>
                <w:sz w:val="24"/>
                <w:szCs w:val="24"/>
                <w:highlight w:val="none"/>
                <w:lang w:eastAsia="zh-CN"/>
                <w14:textFill>
                  <w14:solidFill>
                    <w14:schemeClr w14:val="tx1"/>
                  </w14:solidFill>
                </w14:textFill>
              </w:rPr>
              <w:t>国</w:t>
            </w:r>
            <w:r>
              <w:rPr>
                <w:rFonts w:hint="eastAsia" w:ascii="宋体" w:hAnsi="宋体" w:eastAsia="宋体" w:cs="宋体"/>
                <w:b/>
                <w:color w:val="000000" w:themeColor="text1"/>
                <w:sz w:val="24"/>
                <w:szCs w:val="24"/>
                <w:highlight w:val="none"/>
                <w14:textFill>
                  <w14:solidFill>
                    <w14:schemeClr w14:val="tx1"/>
                  </w14:solidFill>
                </w14:textFill>
              </w:rPr>
              <w:t>网</w:t>
            </w:r>
            <w:r>
              <w:rPr>
                <w:rFonts w:hint="eastAsia" w:ascii="宋体" w:hAnsi="宋体" w:eastAsia="宋体" w:cs="宋体"/>
                <w:b/>
                <w:color w:val="000000" w:themeColor="text1"/>
                <w:sz w:val="24"/>
                <w:szCs w:val="24"/>
                <w:highlight w:val="none"/>
                <w:lang w:eastAsia="zh-CN"/>
                <w14:textFill>
                  <w14:solidFill>
                    <w14:schemeClr w14:val="tx1"/>
                  </w14:solidFill>
                </w14:textFill>
              </w:rPr>
              <w:t>或人</w:t>
            </w:r>
            <w:r>
              <w:rPr>
                <w:rFonts w:hint="eastAsia" w:ascii="宋体" w:hAnsi="宋体" w:eastAsia="宋体" w:cs="宋体"/>
                <w:b/>
                <w:color w:val="000000" w:themeColor="text1"/>
                <w:sz w:val="24"/>
                <w:szCs w:val="24"/>
                <w:highlight w:val="none"/>
                <w14:textFill>
                  <w14:solidFill>
                    <w14:schemeClr w14:val="tx1"/>
                  </w14:solidFill>
                </w14:textFill>
              </w:rPr>
              <w:t>社</w:t>
            </w:r>
            <w:r>
              <w:rPr>
                <w:rFonts w:hint="eastAsia" w:ascii="宋体" w:hAnsi="宋体" w:eastAsia="宋体" w:cs="宋体"/>
                <w:b/>
                <w:color w:val="000000" w:themeColor="text1"/>
                <w:sz w:val="24"/>
                <w:szCs w:val="24"/>
                <w:highlight w:val="none"/>
                <w:lang w:eastAsia="zh-CN"/>
                <w14:textFill>
                  <w14:solidFill>
                    <w14:schemeClr w14:val="tx1"/>
                  </w14:solidFill>
                </w14:textFill>
              </w:rPr>
              <w:t>省</w:t>
            </w:r>
            <w:r>
              <w:rPr>
                <w:rFonts w:hint="eastAsia" w:ascii="宋体" w:hAnsi="宋体" w:eastAsia="宋体" w:cs="宋体"/>
                <w:b/>
                <w:color w:val="000000" w:themeColor="text1"/>
                <w:sz w:val="24"/>
                <w:szCs w:val="24"/>
                <w:highlight w:val="none"/>
                <w14:textFill>
                  <w14:solidFill>
                    <w14:schemeClr w14:val="tx1"/>
                  </w14:solidFill>
                </w14:textFill>
              </w:rPr>
              <w:t>网</w:t>
            </w:r>
            <w:r>
              <w:rPr>
                <w:rFonts w:hint="eastAsia" w:ascii="宋体" w:hAnsi="宋体" w:eastAsia="宋体" w:cs="宋体"/>
                <w:b/>
                <w:bCs/>
                <w:color w:val="000000" w:themeColor="text1"/>
                <w:sz w:val="24"/>
                <w:szCs w:val="24"/>
                <w:highlight w:val="none"/>
                <w14:textFill>
                  <w14:solidFill>
                    <w14:schemeClr w14:val="tx1"/>
                  </w14:solidFill>
                </w14:textFill>
              </w:rPr>
              <w:t>查询截图</w:t>
            </w:r>
            <w:r>
              <w:rPr>
                <w:rFonts w:hint="eastAsia" w:ascii="宋体" w:hAnsi="宋体" w:cs="宋体"/>
                <w:b/>
                <w:bCs/>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未提供或提供不全的不得分</w:t>
            </w:r>
            <w:r>
              <w:rPr>
                <w:rFonts w:hint="eastAsia" w:ascii="宋体" w:hAnsi="宋体" w:eastAsia="宋体" w:cs="宋体"/>
                <w:b/>
                <w:bCs/>
                <w:color w:val="000000" w:themeColor="text1"/>
                <w:sz w:val="24"/>
                <w:szCs w:val="24"/>
                <w:highlight w:val="none"/>
                <w14:textFill>
                  <w14:solidFill>
                    <w14:schemeClr w14:val="tx1"/>
                  </w14:solidFill>
                </w14:textFill>
              </w:rPr>
              <w:t>）</w:t>
            </w:r>
          </w:p>
        </w:tc>
        <w:tc>
          <w:tcPr>
            <w:tcW w:w="708" w:type="dxa"/>
            <w:noWrap w:val="0"/>
            <w:vAlign w:val="center"/>
          </w:tcPr>
          <w:p w14:paraId="3E4C8B96">
            <w:pPr>
              <w:keepLines w:val="0"/>
              <w:pageBreakBefore w:val="0"/>
              <w:shd w:val="clear"/>
              <w:kinsoku/>
              <w:wordWrap/>
              <w:overflowPunct/>
              <w:topLinePunct w:val="0"/>
              <w:bidi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14:paraId="6FEE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316539B6">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vMerge w:val="continue"/>
            <w:noWrap w:val="0"/>
            <w:vAlign w:val="center"/>
          </w:tcPr>
          <w:p w14:paraId="13EA0440">
            <w:pPr>
              <w:keepLines w:val="0"/>
              <w:pageBreakBefore w:val="0"/>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118" w:type="dxa"/>
            <w:noWrap w:val="0"/>
            <w:vAlign w:val="top"/>
          </w:tcPr>
          <w:p w14:paraId="3EF878E4">
            <w:pPr>
              <w:keepNext w:val="0"/>
              <w:keepLines w:val="0"/>
              <w:pageBreakBefore w:val="0"/>
              <w:widowControl w:val="0"/>
              <w:shd w:val="clear"/>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厨师：</w:t>
            </w:r>
          </w:p>
          <w:p w14:paraId="5279EC36">
            <w:pPr>
              <w:keepNext w:val="0"/>
              <w:keepLines w:val="0"/>
              <w:pageBreakBefore w:val="0"/>
              <w:widowControl w:val="0"/>
              <w:shd w:val="clear"/>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w:t>
            </w:r>
            <w:r>
              <w:rPr>
                <w:rFonts w:hint="eastAsia" w:ascii="宋体" w:hAnsi="宋体" w:eastAsia="宋体" w:cs="宋体"/>
                <w:color w:val="000000" w:themeColor="text1"/>
                <w:sz w:val="24"/>
                <w:szCs w:val="24"/>
                <w:highlight w:val="none"/>
                <w:lang w:eastAsia="zh-CN"/>
                <w14:textFill>
                  <w14:solidFill>
                    <w14:schemeClr w14:val="tx1"/>
                  </w14:solidFill>
                </w14:textFill>
              </w:rPr>
              <w:t>技师</w:t>
            </w:r>
            <w:r>
              <w:rPr>
                <w:rFonts w:hint="eastAsia" w:ascii="宋体" w:hAnsi="宋体" w:eastAsia="宋体" w:cs="宋体"/>
                <w:color w:val="000000" w:themeColor="text1"/>
                <w:sz w:val="24"/>
                <w:szCs w:val="24"/>
                <w:highlight w:val="none"/>
                <w14:textFill>
                  <w14:solidFill>
                    <w14:schemeClr w14:val="tx1"/>
                  </w14:solidFill>
                </w14:textFill>
              </w:rPr>
              <w:t>及以上中式烹调师证</w:t>
            </w:r>
            <w:r>
              <w:rPr>
                <w:rFonts w:hint="eastAsia" w:ascii="宋体" w:hAnsi="宋体" w:eastAsia="宋体" w:cs="宋体"/>
                <w:color w:val="000000" w:themeColor="text1"/>
                <w:sz w:val="24"/>
                <w:szCs w:val="24"/>
                <w:highlight w:val="none"/>
                <w:lang w:eastAsia="zh-CN"/>
                <w14:textFill>
                  <w14:solidFill>
                    <w14:schemeClr w14:val="tx1"/>
                  </w14:solidFill>
                </w14:textFill>
              </w:rPr>
              <w:t>（二级）</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得2分</w:t>
            </w:r>
          </w:p>
          <w:p w14:paraId="69283FE5">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b w:val="0"/>
                <w:bCs w:val="0"/>
                <w:color w:val="000000" w:themeColor="text1"/>
                <w:sz w:val="24"/>
                <w:szCs w:val="24"/>
                <w:highlight w:val="none"/>
                <w14:textFill>
                  <w14:solidFill>
                    <w14:schemeClr w14:val="tx1"/>
                  </w14:solidFill>
                </w14:textFill>
              </w:rPr>
              <w:t>食品安全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知识培训合格证明或食品安全管理人员培训合格证明的，得1分。</w:t>
            </w:r>
          </w:p>
          <w:p w14:paraId="18B63E95">
            <w:pPr>
              <w:keepNext w:val="0"/>
              <w:keepLines w:val="0"/>
              <w:pageBreakBefore w:val="0"/>
              <w:widowControl w:val="0"/>
              <w:shd w:val="clear"/>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须</w:t>
            </w:r>
            <w:r>
              <w:rPr>
                <w:rFonts w:hint="eastAsia" w:ascii="宋体" w:hAnsi="宋体" w:eastAsia="宋体" w:cs="宋体"/>
                <w:b/>
                <w:bCs/>
                <w:color w:val="000000" w:themeColor="text1"/>
                <w:sz w:val="24"/>
                <w:szCs w:val="24"/>
                <w:highlight w:val="none"/>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bCs/>
                <w:color w:val="000000" w:themeColor="text1"/>
                <w:sz w:val="24"/>
                <w:szCs w:val="24"/>
                <w:highlight w:val="none"/>
                <w14:textFill>
                  <w14:solidFill>
                    <w14:schemeClr w14:val="tx1"/>
                  </w14:solidFill>
                </w14:textFill>
              </w:rPr>
              <w:t>证书扫描件</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人社</w:t>
            </w:r>
            <w:r>
              <w:rPr>
                <w:rFonts w:hint="eastAsia" w:ascii="宋体" w:hAnsi="宋体" w:eastAsia="宋体" w:cs="宋体"/>
                <w:b/>
                <w:color w:val="000000" w:themeColor="text1"/>
                <w:sz w:val="24"/>
                <w:szCs w:val="24"/>
                <w:highlight w:val="none"/>
                <w:lang w:eastAsia="zh-CN"/>
                <w14:textFill>
                  <w14:solidFill>
                    <w14:schemeClr w14:val="tx1"/>
                  </w14:solidFill>
                </w14:textFill>
              </w:rPr>
              <w:t>国</w:t>
            </w:r>
            <w:r>
              <w:rPr>
                <w:rFonts w:hint="eastAsia" w:ascii="宋体" w:hAnsi="宋体" w:eastAsia="宋体" w:cs="宋体"/>
                <w:b/>
                <w:color w:val="000000" w:themeColor="text1"/>
                <w:sz w:val="24"/>
                <w:szCs w:val="24"/>
                <w:highlight w:val="none"/>
                <w14:textFill>
                  <w14:solidFill>
                    <w14:schemeClr w14:val="tx1"/>
                  </w14:solidFill>
                </w14:textFill>
              </w:rPr>
              <w:t>网</w:t>
            </w:r>
            <w:r>
              <w:rPr>
                <w:rFonts w:hint="eastAsia" w:ascii="宋体" w:hAnsi="宋体" w:eastAsia="宋体" w:cs="宋体"/>
                <w:b/>
                <w:color w:val="000000" w:themeColor="text1"/>
                <w:sz w:val="24"/>
                <w:szCs w:val="24"/>
                <w:highlight w:val="none"/>
                <w:lang w:eastAsia="zh-CN"/>
                <w14:textFill>
                  <w14:solidFill>
                    <w14:schemeClr w14:val="tx1"/>
                  </w14:solidFill>
                </w14:textFill>
              </w:rPr>
              <w:t>或人</w:t>
            </w:r>
            <w:r>
              <w:rPr>
                <w:rFonts w:hint="eastAsia" w:ascii="宋体" w:hAnsi="宋体" w:eastAsia="宋体" w:cs="宋体"/>
                <w:b/>
                <w:color w:val="000000" w:themeColor="text1"/>
                <w:sz w:val="24"/>
                <w:szCs w:val="24"/>
                <w:highlight w:val="none"/>
                <w14:textFill>
                  <w14:solidFill>
                    <w14:schemeClr w14:val="tx1"/>
                  </w14:solidFill>
                </w14:textFill>
              </w:rPr>
              <w:t>社</w:t>
            </w:r>
            <w:r>
              <w:rPr>
                <w:rFonts w:hint="eastAsia" w:ascii="宋体" w:hAnsi="宋体" w:eastAsia="宋体" w:cs="宋体"/>
                <w:b/>
                <w:color w:val="000000" w:themeColor="text1"/>
                <w:sz w:val="24"/>
                <w:szCs w:val="24"/>
                <w:highlight w:val="none"/>
                <w:lang w:eastAsia="zh-CN"/>
                <w14:textFill>
                  <w14:solidFill>
                    <w14:schemeClr w14:val="tx1"/>
                  </w14:solidFill>
                </w14:textFill>
              </w:rPr>
              <w:t>省</w:t>
            </w:r>
            <w:r>
              <w:rPr>
                <w:rFonts w:hint="eastAsia" w:ascii="宋体" w:hAnsi="宋体" w:eastAsia="宋体" w:cs="宋体"/>
                <w:b/>
                <w:color w:val="000000" w:themeColor="text1"/>
                <w:sz w:val="24"/>
                <w:szCs w:val="24"/>
                <w:highlight w:val="none"/>
                <w14:textFill>
                  <w14:solidFill>
                    <w14:schemeClr w14:val="tx1"/>
                  </w14:solidFill>
                </w14:textFill>
              </w:rPr>
              <w:t>网</w:t>
            </w:r>
            <w:r>
              <w:rPr>
                <w:rFonts w:hint="eastAsia" w:ascii="宋体" w:hAnsi="宋体" w:eastAsia="宋体" w:cs="宋体"/>
                <w:b/>
                <w:bCs/>
                <w:color w:val="000000" w:themeColor="text1"/>
                <w:sz w:val="24"/>
                <w:szCs w:val="24"/>
                <w:highlight w:val="none"/>
                <w14:textFill>
                  <w14:solidFill>
                    <w14:schemeClr w14:val="tx1"/>
                  </w14:solidFill>
                </w14:textFill>
              </w:rPr>
              <w:t>查询截图</w:t>
            </w:r>
            <w:r>
              <w:rPr>
                <w:rFonts w:hint="eastAsia" w:ascii="宋体" w:hAnsi="宋体" w:cs="宋体"/>
                <w:b/>
                <w:bCs/>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未提供或提供不全的不得分</w:t>
            </w:r>
            <w:r>
              <w:rPr>
                <w:rFonts w:hint="eastAsia" w:ascii="宋体" w:hAnsi="宋体" w:eastAsia="宋体" w:cs="宋体"/>
                <w:b/>
                <w:bCs/>
                <w:color w:val="000000" w:themeColor="text1"/>
                <w:sz w:val="24"/>
                <w:szCs w:val="24"/>
                <w:highlight w:val="none"/>
                <w14:textFill>
                  <w14:solidFill>
                    <w14:schemeClr w14:val="tx1"/>
                  </w14:solidFill>
                </w14:textFill>
              </w:rPr>
              <w:t>）</w:t>
            </w:r>
          </w:p>
        </w:tc>
        <w:tc>
          <w:tcPr>
            <w:tcW w:w="708" w:type="dxa"/>
            <w:noWrap w:val="0"/>
            <w:vAlign w:val="center"/>
          </w:tcPr>
          <w:p w14:paraId="05D42859">
            <w:pPr>
              <w:keepLines w:val="0"/>
              <w:pageBreakBefore w:val="0"/>
              <w:shd w:val="clear"/>
              <w:kinsoku/>
              <w:wordWrap/>
              <w:overflowPunct/>
              <w:topLinePunct w:val="0"/>
              <w:bidi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14:paraId="1DA0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7011E3B9">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vMerge w:val="continue"/>
            <w:noWrap w:val="0"/>
            <w:vAlign w:val="center"/>
          </w:tcPr>
          <w:p w14:paraId="2C0DF989">
            <w:pPr>
              <w:keepLines w:val="0"/>
              <w:pageBreakBefore w:val="0"/>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118" w:type="dxa"/>
            <w:noWrap w:val="0"/>
            <w:vAlign w:val="top"/>
          </w:tcPr>
          <w:p w14:paraId="26DA6B04">
            <w:pPr>
              <w:keepNext w:val="0"/>
              <w:keepLines w:val="0"/>
              <w:pageBreakBefore w:val="0"/>
              <w:widowControl w:val="0"/>
              <w:shd w:val="clear"/>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面点师：</w:t>
            </w:r>
          </w:p>
          <w:p w14:paraId="455F8384">
            <w:pPr>
              <w:keepNext w:val="0"/>
              <w:keepLines w:val="0"/>
              <w:pageBreakBefore w:val="0"/>
              <w:widowControl w:val="0"/>
              <w:shd w:val="clear"/>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同时</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lang w:eastAsia="zh-CN"/>
                <w14:textFill>
                  <w14:solidFill>
                    <w14:schemeClr w14:val="tx1"/>
                  </w14:solidFill>
                </w14:textFill>
              </w:rPr>
              <w:t>中式</w:t>
            </w:r>
            <w:r>
              <w:rPr>
                <w:rFonts w:hint="eastAsia" w:ascii="宋体" w:hAnsi="宋体" w:eastAsia="宋体" w:cs="宋体"/>
                <w:color w:val="000000" w:themeColor="text1"/>
                <w:sz w:val="24"/>
                <w:szCs w:val="24"/>
                <w:highlight w:val="none"/>
                <w14:textFill>
                  <w14:solidFill>
                    <w14:schemeClr w14:val="tx1"/>
                  </w14:solidFill>
                </w14:textFill>
              </w:rPr>
              <w:t>面点师</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lang w:eastAsia="zh-CN"/>
                <w14:textFill>
                  <w14:solidFill>
                    <w14:schemeClr w14:val="tx1"/>
                  </w14:solidFill>
                </w14:textFill>
              </w:rPr>
              <w:t>西式面点师</w:t>
            </w:r>
            <w:r>
              <w:rPr>
                <w:rFonts w:hint="eastAsia" w:ascii="宋体" w:hAnsi="宋体" w:eastAsia="宋体" w:cs="宋体"/>
                <w:color w:val="000000" w:themeColor="text1"/>
                <w:sz w:val="24"/>
                <w:szCs w:val="24"/>
                <w:highlight w:val="none"/>
                <w14:textFill>
                  <w14:solidFill>
                    <w14:schemeClr w14:val="tx1"/>
                  </w14:solidFill>
                </w14:textFill>
              </w:rPr>
              <w:t>证的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14:paraId="008EA9A9">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b w:val="0"/>
                <w:bCs w:val="0"/>
                <w:color w:val="000000" w:themeColor="text1"/>
                <w:sz w:val="24"/>
                <w:szCs w:val="24"/>
                <w:highlight w:val="none"/>
                <w14:textFill>
                  <w14:solidFill>
                    <w14:schemeClr w14:val="tx1"/>
                  </w14:solidFill>
                </w14:textFill>
              </w:rPr>
              <w:t>食品安全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知识培训合格证明或食品安全管理人员培训合格证明的，得1分。</w:t>
            </w:r>
          </w:p>
          <w:p w14:paraId="30A7CCA6">
            <w:pPr>
              <w:keepNext w:val="0"/>
              <w:keepLines w:val="0"/>
              <w:pageBreakBefore w:val="0"/>
              <w:widowControl w:val="0"/>
              <w:shd w:val="clear"/>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须</w:t>
            </w:r>
            <w:r>
              <w:rPr>
                <w:rFonts w:hint="eastAsia" w:ascii="宋体" w:hAnsi="宋体" w:eastAsia="宋体" w:cs="宋体"/>
                <w:b/>
                <w:bCs/>
                <w:color w:val="000000" w:themeColor="text1"/>
                <w:sz w:val="24"/>
                <w:szCs w:val="24"/>
                <w:highlight w:val="none"/>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bCs/>
                <w:color w:val="000000" w:themeColor="text1"/>
                <w:sz w:val="24"/>
                <w:szCs w:val="24"/>
                <w:highlight w:val="none"/>
                <w14:textFill>
                  <w14:solidFill>
                    <w14:schemeClr w14:val="tx1"/>
                  </w14:solidFill>
                </w14:textFill>
              </w:rPr>
              <w:t>证书扫描件</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人社</w:t>
            </w:r>
            <w:r>
              <w:rPr>
                <w:rFonts w:hint="eastAsia" w:ascii="宋体" w:hAnsi="宋体" w:eastAsia="宋体" w:cs="宋体"/>
                <w:b/>
                <w:color w:val="000000" w:themeColor="text1"/>
                <w:sz w:val="24"/>
                <w:szCs w:val="24"/>
                <w:highlight w:val="none"/>
                <w:lang w:eastAsia="zh-CN"/>
                <w14:textFill>
                  <w14:solidFill>
                    <w14:schemeClr w14:val="tx1"/>
                  </w14:solidFill>
                </w14:textFill>
              </w:rPr>
              <w:t>国</w:t>
            </w:r>
            <w:r>
              <w:rPr>
                <w:rFonts w:hint="eastAsia" w:ascii="宋体" w:hAnsi="宋体" w:eastAsia="宋体" w:cs="宋体"/>
                <w:b/>
                <w:color w:val="000000" w:themeColor="text1"/>
                <w:sz w:val="24"/>
                <w:szCs w:val="24"/>
                <w:highlight w:val="none"/>
                <w14:textFill>
                  <w14:solidFill>
                    <w14:schemeClr w14:val="tx1"/>
                  </w14:solidFill>
                </w14:textFill>
              </w:rPr>
              <w:t>网</w:t>
            </w:r>
            <w:r>
              <w:rPr>
                <w:rFonts w:hint="eastAsia" w:ascii="宋体" w:hAnsi="宋体" w:eastAsia="宋体" w:cs="宋体"/>
                <w:b/>
                <w:color w:val="000000" w:themeColor="text1"/>
                <w:sz w:val="24"/>
                <w:szCs w:val="24"/>
                <w:highlight w:val="none"/>
                <w:lang w:eastAsia="zh-CN"/>
                <w14:textFill>
                  <w14:solidFill>
                    <w14:schemeClr w14:val="tx1"/>
                  </w14:solidFill>
                </w14:textFill>
              </w:rPr>
              <w:t>或人</w:t>
            </w:r>
            <w:r>
              <w:rPr>
                <w:rFonts w:hint="eastAsia" w:ascii="宋体" w:hAnsi="宋体" w:eastAsia="宋体" w:cs="宋体"/>
                <w:b/>
                <w:color w:val="000000" w:themeColor="text1"/>
                <w:sz w:val="24"/>
                <w:szCs w:val="24"/>
                <w:highlight w:val="none"/>
                <w14:textFill>
                  <w14:solidFill>
                    <w14:schemeClr w14:val="tx1"/>
                  </w14:solidFill>
                </w14:textFill>
              </w:rPr>
              <w:t>社</w:t>
            </w:r>
            <w:r>
              <w:rPr>
                <w:rFonts w:hint="eastAsia" w:ascii="宋体" w:hAnsi="宋体" w:eastAsia="宋体" w:cs="宋体"/>
                <w:b/>
                <w:color w:val="000000" w:themeColor="text1"/>
                <w:sz w:val="24"/>
                <w:szCs w:val="24"/>
                <w:highlight w:val="none"/>
                <w:lang w:eastAsia="zh-CN"/>
                <w14:textFill>
                  <w14:solidFill>
                    <w14:schemeClr w14:val="tx1"/>
                  </w14:solidFill>
                </w14:textFill>
              </w:rPr>
              <w:t>省</w:t>
            </w:r>
            <w:r>
              <w:rPr>
                <w:rFonts w:hint="eastAsia" w:ascii="宋体" w:hAnsi="宋体" w:eastAsia="宋体" w:cs="宋体"/>
                <w:b/>
                <w:color w:val="000000" w:themeColor="text1"/>
                <w:sz w:val="24"/>
                <w:szCs w:val="24"/>
                <w:highlight w:val="none"/>
                <w14:textFill>
                  <w14:solidFill>
                    <w14:schemeClr w14:val="tx1"/>
                  </w14:solidFill>
                </w14:textFill>
              </w:rPr>
              <w:t>网</w:t>
            </w:r>
            <w:r>
              <w:rPr>
                <w:rFonts w:hint="eastAsia" w:ascii="宋体" w:hAnsi="宋体" w:eastAsia="宋体" w:cs="宋体"/>
                <w:b/>
                <w:bCs/>
                <w:color w:val="000000" w:themeColor="text1"/>
                <w:sz w:val="24"/>
                <w:szCs w:val="24"/>
                <w:highlight w:val="none"/>
                <w14:textFill>
                  <w14:solidFill>
                    <w14:schemeClr w14:val="tx1"/>
                  </w14:solidFill>
                </w14:textFill>
              </w:rPr>
              <w:t>查询截图</w:t>
            </w:r>
            <w:r>
              <w:rPr>
                <w:rFonts w:hint="eastAsia" w:ascii="宋体" w:hAnsi="宋体" w:cs="宋体"/>
                <w:b/>
                <w:bCs/>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未提供或提供不全的不得分</w:t>
            </w:r>
            <w:r>
              <w:rPr>
                <w:rFonts w:hint="eastAsia" w:ascii="宋体" w:hAnsi="宋体" w:eastAsia="宋体" w:cs="宋体"/>
                <w:b/>
                <w:bCs/>
                <w:color w:val="000000" w:themeColor="text1"/>
                <w:sz w:val="24"/>
                <w:szCs w:val="24"/>
                <w:highlight w:val="none"/>
                <w14:textFill>
                  <w14:solidFill>
                    <w14:schemeClr w14:val="tx1"/>
                  </w14:solidFill>
                </w14:textFill>
              </w:rPr>
              <w:t>）</w:t>
            </w:r>
          </w:p>
        </w:tc>
        <w:tc>
          <w:tcPr>
            <w:tcW w:w="708" w:type="dxa"/>
            <w:noWrap w:val="0"/>
            <w:vAlign w:val="center"/>
          </w:tcPr>
          <w:p w14:paraId="037EDD90">
            <w:pPr>
              <w:keepLines w:val="0"/>
              <w:pageBreakBefore w:val="0"/>
              <w:shd w:val="clear"/>
              <w:kinsoku/>
              <w:wordWrap/>
              <w:overflowPunct/>
              <w:topLinePunct w:val="0"/>
              <w:bidi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14:paraId="6C4B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restart"/>
            <w:noWrap w:val="0"/>
            <w:vAlign w:val="center"/>
          </w:tcPr>
          <w:p w14:paraId="7066DF3F">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41FBEAA">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7156F1B">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3A17187">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DD392EB">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6AB8BA5">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D4A5FC1">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C67FDA6">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F1ED131">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3FBA243">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D1B1451">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8E16E20">
            <w:pPr>
              <w:pStyle w:val="10"/>
              <w:keepLines w:val="0"/>
              <w:pageBreakBefore w:val="0"/>
              <w:shd w:val="clear"/>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283" w:type="dxa"/>
            <w:vMerge w:val="restart"/>
            <w:noWrap w:val="0"/>
            <w:vAlign w:val="center"/>
          </w:tcPr>
          <w:p w14:paraId="2D27899B">
            <w:pPr>
              <w:keepNext w:val="0"/>
              <w:keepLines w:val="0"/>
              <w:pageBreakBefore w:val="0"/>
              <w:widowControl/>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对本项目食品安全、环境卫生、综合治理、人事管理等方面制度完善情况</w:t>
            </w:r>
          </w:p>
        </w:tc>
        <w:tc>
          <w:tcPr>
            <w:tcW w:w="7118" w:type="dxa"/>
            <w:noWrap w:val="0"/>
            <w:vAlign w:val="center"/>
          </w:tcPr>
          <w:p w14:paraId="5FD2438B">
            <w:pPr>
              <w:keepLines w:val="0"/>
              <w:pageBreakBefore w:val="0"/>
              <w:shd w:val="clear"/>
              <w:kinsoku/>
              <w:wordWrap/>
              <w:overflowPunct/>
              <w:topLinePunct w:val="0"/>
              <w:bidi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根据投标人是</w:t>
            </w:r>
            <w:r>
              <w:rPr>
                <w:rFonts w:hint="eastAsia" w:ascii="宋体" w:hAnsi="宋体" w:eastAsia="宋体" w:cs="宋体"/>
                <w:color w:val="000000" w:themeColor="text1"/>
                <w:sz w:val="24"/>
                <w:szCs w:val="24"/>
                <w:highlight w:val="none"/>
                <w14:textFill>
                  <w14:solidFill>
                    <w14:schemeClr w14:val="tx1"/>
                  </w14:solidFill>
                </w14:textFill>
              </w:rPr>
              <w:t>否具备完整的各项管理制度，包括卫生管理制度、食品安全管理制度、综合治理管理制度、突发性事件处置制度、公众服务制度、内部岗位责任制度、管理运作制度、员工考核制度、成本核算方案及应急保障方案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内容进行打分。</w:t>
            </w:r>
          </w:p>
          <w:p w14:paraId="4FF9892E">
            <w:pPr>
              <w:keepLines w:val="0"/>
              <w:pageBreakBefore w:val="0"/>
              <w:shd w:val="clear"/>
              <w:kinsoku/>
              <w:wordWrap/>
              <w:overflowPunct/>
              <w:topLinePunct w:val="0"/>
              <w:bidi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各项管理制度</w:t>
            </w:r>
            <w:r>
              <w:rPr>
                <w:rFonts w:hint="eastAsia" w:ascii="宋体" w:hAnsi="宋体" w:eastAsia="宋体" w:cs="宋体"/>
                <w:color w:val="000000" w:themeColor="text1"/>
                <w:sz w:val="24"/>
                <w:szCs w:val="24"/>
                <w:highlight w:val="none"/>
                <w14:textFill>
                  <w14:solidFill>
                    <w14:schemeClr w14:val="tx1"/>
                  </w14:solidFill>
                </w14:textFill>
              </w:rPr>
              <w:t>内容完整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且有详细介绍，合理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且</w:t>
            </w:r>
            <w:r>
              <w:rPr>
                <w:rFonts w:hint="eastAsia" w:ascii="宋体" w:hAnsi="宋体" w:eastAsia="宋体" w:cs="宋体"/>
                <w:color w:val="000000" w:themeColor="text1"/>
                <w:sz w:val="24"/>
                <w:szCs w:val="24"/>
                <w:highlight w:val="none"/>
                <w14:textFill>
                  <w14:solidFill>
                    <w14:schemeClr w14:val="tx1"/>
                  </w14:solidFill>
                </w14:textFill>
              </w:rPr>
              <w:t>能很好地满足招标需求、措施详尽且具有操作性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强的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3.0-5.0</w:t>
            </w:r>
            <w:r>
              <w:rPr>
                <w:rFonts w:hint="eastAsia" w:ascii="宋体" w:hAnsi="宋体" w:eastAsia="宋体" w:cs="宋体"/>
                <w:color w:val="000000" w:themeColor="text1"/>
                <w:sz w:val="24"/>
                <w:szCs w:val="24"/>
                <w:highlight w:val="none"/>
                <w14:textFill>
                  <w14:solidFill>
                    <w14:schemeClr w14:val="tx1"/>
                  </w14:solidFill>
                </w14:textFill>
              </w:rPr>
              <w:t>分；</w:t>
            </w:r>
          </w:p>
          <w:p w14:paraId="73FB1C56">
            <w:pPr>
              <w:keepNext w:val="0"/>
              <w:keepLines w:val="0"/>
              <w:pageBreakBefore w:val="0"/>
              <w:shd w:val="clear"/>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各项管理制度</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均有提及，但较为简单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方案可行性一般</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0.1-2.9</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w:t>
            </w:r>
          </w:p>
          <w:p w14:paraId="4BBC223D">
            <w:pPr>
              <w:keepLines w:val="0"/>
              <w:pageBreakBefore w:val="0"/>
              <w:shd w:val="clear"/>
              <w:kinsoku/>
              <w:wordWrap/>
              <w:overflowPunct/>
              <w:topLinePunct w:val="0"/>
              <w:bidi w:val="0"/>
              <w:spacing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未提及此项不得分。</w:t>
            </w:r>
          </w:p>
        </w:tc>
        <w:tc>
          <w:tcPr>
            <w:tcW w:w="708" w:type="dxa"/>
            <w:noWrap w:val="0"/>
            <w:vAlign w:val="center"/>
          </w:tcPr>
          <w:p w14:paraId="0DB9BDA8">
            <w:pPr>
              <w:keepLines w:val="0"/>
              <w:pageBreakBefore w:val="0"/>
              <w:shd w:val="clear"/>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14:paraId="479A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5D4CFC71">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vMerge w:val="continue"/>
            <w:noWrap w:val="0"/>
            <w:vAlign w:val="center"/>
          </w:tcPr>
          <w:p w14:paraId="3EBDD785">
            <w:pPr>
              <w:keepNext w:val="0"/>
              <w:keepLines w:val="0"/>
              <w:pageBreakBefore w:val="0"/>
              <w:widowControl/>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118" w:type="dxa"/>
            <w:noWrap w:val="0"/>
            <w:vAlign w:val="center"/>
          </w:tcPr>
          <w:p w14:paraId="2A018B68">
            <w:pPr>
              <w:keepLines w:val="0"/>
              <w:pageBreakBefore w:val="0"/>
              <w:shd w:val="clear"/>
              <w:kinsoku/>
              <w:wordWrap/>
              <w:overflowPunct/>
              <w:topLinePunct w:val="0"/>
              <w:bidi w:val="0"/>
              <w:spacing w:line="24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根据各种卫生检查记录、员工考勤记录、食品留样记录和除四害记录等管理台账的建立与管理全面性、科学性和可行性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等内容进行打分。</w:t>
            </w:r>
          </w:p>
          <w:p w14:paraId="1C57B3C9">
            <w:pPr>
              <w:keepLines w:val="0"/>
              <w:pageBreakBefore w:val="0"/>
              <w:shd w:val="clear"/>
              <w:kinsoku/>
              <w:wordWrap/>
              <w:overflowPunct/>
              <w:topLinePunct w:val="0"/>
              <w:bidi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内容完整</w:t>
            </w:r>
            <w:r>
              <w:rPr>
                <w:rFonts w:hint="eastAsia" w:ascii="宋体" w:hAnsi="宋体" w:eastAsia="宋体" w:cs="宋体"/>
                <w:color w:val="000000" w:themeColor="text1"/>
                <w:sz w:val="24"/>
                <w:szCs w:val="24"/>
                <w:highlight w:val="none"/>
                <w:lang w:val="en-US" w:eastAsia="zh-CN"/>
                <w14:textFill>
                  <w14:solidFill>
                    <w14:schemeClr w14:val="tx1"/>
                  </w14:solidFill>
                </w14:textFill>
              </w:rPr>
              <w:t>详细</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且</w:t>
            </w:r>
            <w:r>
              <w:rPr>
                <w:rFonts w:hint="eastAsia" w:ascii="宋体" w:hAnsi="宋体" w:eastAsia="宋体" w:cs="宋体"/>
                <w:color w:val="000000" w:themeColor="text1"/>
                <w:sz w:val="24"/>
                <w:szCs w:val="24"/>
                <w:highlight w:val="none"/>
                <w14:textFill>
                  <w14:solidFill>
                    <w14:schemeClr w14:val="tx1"/>
                  </w14:solidFill>
                </w14:textFill>
              </w:rPr>
              <w:t>能很好地满足招标需求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措施详尽且具有操作性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3.0-5.0</w:t>
            </w:r>
            <w:r>
              <w:rPr>
                <w:rFonts w:hint="eastAsia" w:ascii="宋体" w:hAnsi="宋体" w:eastAsia="宋体" w:cs="宋体"/>
                <w:color w:val="000000" w:themeColor="text1"/>
                <w:sz w:val="24"/>
                <w:szCs w:val="24"/>
                <w:highlight w:val="none"/>
                <w14:textFill>
                  <w14:solidFill>
                    <w14:schemeClr w14:val="tx1"/>
                  </w14:solidFill>
                </w14:textFill>
              </w:rPr>
              <w:t>分；</w:t>
            </w:r>
          </w:p>
          <w:p w14:paraId="38A7729B">
            <w:pPr>
              <w:keepLines w:val="0"/>
              <w:pageBreakBefore w:val="0"/>
              <w:shd w:val="clear"/>
              <w:kinsoku/>
              <w:wordWrap/>
              <w:overflowPunct/>
              <w:topLinePunct w:val="0"/>
              <w:bidi w:val="0"/>
              <w:spacing w:line="24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方案合理，但内容有欠缺，无法保障项目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质量的得0.1-2.9分；</w:t>
            </w:r>
          </w:p>
          <w:p w14:paraId="7EC91F32">
            <w:pPr>
              <w:keepLines w:val="0"/>
              <w:pageBreakBefore w:val="0"/>
              <w:shd w:val="clear"/>
              <w:kinsoku/>
              <w:wordWrap/>
              <w:overflowPunct/>
              <w:topLinePunct w:val="0"/>
              <w:bidi w:val="0"/>
              <w:spacing w:line="240" w:lineRule="auto"/>
              <w:jc w:val="left"/>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未提及此项不得分</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w:t>
            </w:r>
          </w:p>
        </w:tc>
        <w:tc>
          <w:tcPr>
            <w:tcW w:w="708" w:type="dxa"/>
            <w:noWrap w:val="0"/>
            <w:vAlign w:val="center"/>
          </w:tcPr>
          <w:p w14:paraId="2028E708">
            <w:pPr>
              <w:keepLines w:val="0"/>
              <w:pageBreakBefore w:val="0"/>
              <w:shd w:val="clear"/>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14:paraId="18E8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0BA63B09">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6E01F641">
            <w:pPr>
              <w:keepNext w:val="0"/>
              <w:keepLines w:val="0"/>
              <w:pageBreakBefore w:val="0"/>
              <w:widowControl/>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菜谱及营养配比</w:t>
            </w:r>
          </w:p>
        </w:tc>
        <w:tc>
          <w:tcPr>
            <w:tcW w:w="7118" w:type="dxa"/>
            <w:noWrap w:val="0"/>
            <w:vAlign w:val="center"/>
          </w:tcPr>
          <w:p w14:paraId="31ACD492">
            <w:pPr>
              <w:keepLines w:val="0"/>
              <w:pageBreakBefore w:val="0"/>
              <w:numPr>
                <w:ilvl w:val="0"/>
                <w:numId w:val="0"/>
              </w:numPr>
              <w:shd w:val="clear"/>
              <w:kinsoku/>
              <w:wordWrap/>
              <w:overflowPunct/>
              <w:topLinePunct w:val="0"/>
              <w:bidi w:val="0"/>
              <w:spacing w:line="240" w:lineRule="auto"/>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按招标文件要求和标准，提供一份四季食谱，列出早中晚菜肴品种及价格，并作营养配比说明。根据菜肴营养合理、品种多样、荤素搭配情况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进行打分。</w:t>
            </w:r>
          </w:p>
          <w:p w14:paraId="413F7817">
            <w:pPr>
              <w:keepLines w:val="0"/>
              <w:pageBreakBefore w:val="0"/>
              <w:numPr>
                <w:ilvl w:val="0"/>
                <w:numId w:val="0"/>
              </w:numPr>
              <w:shd w:val="clear"/>
              <w:kinsoku/>
              <w:wordWrap/>
              <w:overflowPunct/>
              <w:topLinePunct w:val="0"/>
              <w:bidi w:val="0"/>
              <w:spacing w:line="240" w:lineRule="auto"/>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菜肴营养合理、品种多样、口味、荤素搭配合理的得</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3.0-5.0</w:t>
            </w:r>
            <w:r>
              <w:rPr>
                <w:rFonts w:hint="eastAsia" w:ascii="宋体" w:hAnsi="宋体" w:eastAsia="宋体" w:cs="宋体"/>
                <w:bCs/>
                <w:color w:val="000000" w:themeColor="text1"/>
                <w:kern w:val="0"/>
                <w:sz w:val="24"/>
                <w:szCs w:val="24"/>
                <w:highlight w:val="none"/>
                <w14:textFill>
                  <w14:solidFill>
                    <w14:schemeClr w14:val="tx1"/>
                  </w14:solidFill>
                </w14:textFill>
              </w:rPr>
              <w:t>分；</w:t>
            </w:r>
          </w:p>
          <w:p w14:paraId="2CC4664C">
            <w:pPr>
              <w:keepNext w:val="0"/>
              <w:keepLines w:val="0"/>
              <w:pageBreakBefore w:val="0"/>
              <w:shd w:val="clear"/>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所列菜谱菜肴营养较合理、品种较多样、口味、荤素搭配较一般的</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得0.1-2.9分；</w:t>
            </w:r>
          </w:p>
          <w:p w14:paraId="594F164A">
            <w:pPr>
              <w:keepLines w:val="0"/>
              <w:pageBreakBefore w:val="0"/>
              <w:numPr>
                <w:ilvl w:val="0"/>
                <w:numId w:val="0"/>
              </w:numPr>
              <w:shd w:val="clear"/>
              <w:kinsoku/>
              <w:wordWrap/>
              <w:overflowPunct/>
              <w:topLinePunct w:val="0"/>
              <w:bidi w:val="0"/>
              <w:spacing w:line="240" w:lineRule="auto"/>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未提及此项不得分。</w:t>
            </w:r>
          </w:p>
        </w:tc>
        <w:tc>
          <w:tcPr>
            <w:tcW w:w="708" w:type="dxa"/>
            <w:noWrap w:val="0"/>
            <w:vAlign w:val="center"/>
          </w:tcPr>
          <w:p w14:paraId="382EEA84">
            <w:pPr>
              <w:pStyle w:val="3"/>
              <w:keepLines w:val="0"/>
              <w:pageBreakBefore w:val="0"/>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r>
      <w:tr w14:paraId="5E8A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5F2F9198">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3F6EA1E4">
            <w:pPr>
              <w:keepNext w:val="0"/>
              <w:keepLines w:val="0"/>
              <w:pageBreakBefore w:val="0"/>
              <w:widowControl/>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服务方案</w:t>
            </w:r>
          </w:p>
        </w:tc>
        <w:tc>
          <w:tcPr>
            <w:tcW w:w="7118" w:type="dxa"/>
            <w:noWrap w:val="0"/>
            <w:vAlign w:val="center"/>
          </w:tcPr>
          <w:p w14:paraId="64AA352B">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根据投标</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针对本</w:t>
            </w:r>
            <w:r>
              <w:rPr>
                <w:rFonts w:hint="eastAsia" w:ascii="宋体" w:hAnsi="宋体" w:eastAsia="宋体" w:cs="宋体"/>
                <w:snapToGrid w:val="0"/>
                <w:color w:val="000000" w:themeColor="text1"/>
                <w:kern w:val="0"/>
                <w:sz w:val="24"/>
                <w:szCs w:val="24"/>
                <w:highlight w:val="none"/>
                <w14:textFill>
                  <w14:solidFill>
                    <w14:schemeClr w14:val="tx1"/>
                  </w14:solidFill>
                </w14:textFill>
              </w:rPr>
              <w:t>项目</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提供的</w:t>
            </w:r>
            <w:r>
              <w:rPr>
                <w:rFonts w:hint="eastAsia" w:ascii="宋体" w:hAnsi="宋体" w:eastAsia="宋体" w:cs="宋体"/>
                <w:snapToGrid w:val="0"/>
                <w:color w:val="000000" w:themeColor="text1"/>
                <w:kern w:val="0"/>
                <w:sz w:val="24"/>
                <w:szCs w:val="24"/>
                <w:highlight w:val="none"/>
                <w14:textFill>
                  <w14:solidFill>
                    <w14:schemeClr w14:val="tx1"/>
                  </w14:solidFill>
                </w14:textFill>
              </w:rPr>
              <w:t>主要</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服务</w:t>
            </w:r>
            <w:r>
              <w:rPr>
                <w:rFonts w:hint="eastAsia" w:ascii="宋体" w:hAnsi="宋体" w:eastAsia="宋体" w:cs="宋体"/>
                <w:snapToGrid w:val="0"/>
                <w:color w:val="000000" w:themeColor="text1"/>
                <w:kern w:val="0"/>
                <w:sz w:val="24"/>
                <w:szCs w:val="24"/>
                <w:highlight w:val="none"/>
                <w14:textFill>
                  <w14:solidFill>
                    <w14:schemeClr w14:val="tx1"/>
                  </w14:solidFill>
                </w14:textFill>
              </w:rPr>
              <w:t>思路是否明确、有针对性，方法的科学性、可操作性</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及</w:t>
            </w:r>
            <w:r>
              <w:rPr>
                <w:rFonts w:hint="eastAsia" w:ascii="宋体" w:hAnsi="宋体" w:eastAsia="宋体" w:cs="宋体"/>
                <w:bCs/>
                <w:color w:val="000000" w:themeColor="text1"/>
                <w:sz w:val="24"/>
                <w:szCs w:val="24"/>
                <w:highlight w:val="none"/>
                <w14:textFill>
                  <w14:solidFill>
                    <w14:schemeClr w14:val="tx1"/>
                  </w14:solidFill>
                </w14:textFill>
              </w:rPr>
              <w:t>服务方案内容是否齐全、结构完整，表述准确、条理清晰程度</w:t>
            </w:r>
            <w:r>
              <w:rPr>
                <w:rFonts w:hint="eastAsia" w:ascii="宋体" w:hAnsi="宋体" w:eastAsia="宋体" w:cs="宋体"/>
                <w:snapToGrid w:val="0"/>
                <w:color w:val="000000" w:themeColor="text1"/>
                <w:kern w:val="0"/>
                <w:sz w:val="24"/>
                <w:szCs w:val="24"/>
                <w:highlight w:val="none"/>
                <w14:textFill>
                  <w14:solidFill>
                    <w14:schemeClr w14:val="tx1"/>
                  </w14:solidFill>
                </w14:textFill>
              </w:rPr>
              <w:t>等方面</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进行打分。</w:t>
            </w:r>
          </w:p>
          <w:p w14:paraId="2025A5AF">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方案内容全面，思路明确，方法合理可行能有效保障并有针对性的得</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3.0-5.0</w:t>
            </w:r>
            <w:r>
              <w:rPr>
                <w:rFonts w:hint="eastAsia" w:ascii="宋体" w:hAnsi="宋体" w:eastAsia="宋体" w:cs="宋体"/>
                <w:bCs/>
                <w:color w:val="000000" w:themeColor="text1"/>
                <w:kern w:val="0"/>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28B0AA61">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方案内容简单，内容不完整但基本能保障的得</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0.1-2.9分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61395B99">
            <w:pPr>
              <w:keepLines w:val="0"/>
              <w:pageBreakBefore w:val="0"/>
              <w:numPr>
                <w:ilvl w:val="0"/>
                <w:numId w:val="0"/>
              </w:numPr>
              <w:shd w:val="clear"/>
              <w:kinsoku/>
              <w:wordWrap/>
              <w:overflowPunct/>
              <w:topLinePunct w:val="0"/>
              <w:bidi w:val="0"/>
              <w:spacing w:line="240" w:lineRule="auto"/>
              <w:ind w:left="0" w:leftChars="0" w:firstLine="0" w:firstLineChars="0"/>
              <w:jc w:val="left"/>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未提及此项不得分。</w:t>
            </w:r>
          </w:p>
        </w:tc>
        <w:tc>
          <w:tcPr>
            <w:tcW w:w="708" w:type="dxa"/>
            <w:noWrap w:val="0"/>
            <w:vAlign w:val="center"/>
          </w:tcPr>
          <w:p w14:paraId="11BC9BC8">
            <w:pPr>
              <w:pStyle w:val="3"/>
              <w:keepLines w:val="0"/>
              <w:pageBreakBefore w:val="0"/>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r>
      <w:tr w14:paraId="0BEC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09A481EE">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5A00B091">
            <w:pPr>
              <w:keepNext w:val="0"/>
              <w:keepLines w:val="0"/>
              <w:pageBreakBefore w:val="0"/>
              <w:widowControl/>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后勤管理方案</w:t>
            </w:r>
          </w:p>
        </w:tc>
        <w:tc>
          <w:tcPr>
            <w:tcW w:w="7118" w:type="dxa"/>
            <w:noWrap w:val="0"/>
            <w:vAlign w:val="center"/>
          </w:tcPr>
          <w:p w14:paraId="3362F44B">
            <w:pPr>
              <w:shd w:val="clear"/>
              <w:bidi w:val="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根据投标人</w:t>
            </w:r>
            <w:r>
              <w:rPr>
                <w:rFonts w:hint="eastAsia" w:ascii="宋体" w:hAnsi="宋体" w:eastAsia="宋体" w:cs="宋体"/>
                <w:b w:val="0"/>
                <w:bCs w:val="0"/>
                <w:color w:val="000000" w:themeColor="text1"/>
                <w:sz w:val="24"/>
                <w:szCs w:val="24"/>
                <w:highlight w:val="none"/>
                <w14:textFill>
                  <w14:solidFill>
                    <w14:schemeClr w14:val="tx1"/>
                  </w14:solidFill>
                </w14:textFill>
              </w:rPr>
              <w:t>对食堂的后勤、卫生、保洁工作的描述及承诺进行打分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42BF1364">
            <w:pPr>
              <w:shd w:val="clear"/>
              <w:bidi w:val="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后勤保洁方案详细、有效保证卫生整洁的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得3.0-5.0</w:t>
            </w:r>
            <w:r>
              <w:rPr>
                <w:rFonts w:hint="eastAsia" w:ascii="宋体" w:hAnsi="宋体" w:eastAsia="宋体" w:cs="宋体"/>
                <w:b w:val="0"/>
                <w:bCs w:val="0"/>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0F73217A">
            <w:pPr>
              <w:shd w:val="clear"/>
              <w:bidi w:val="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缺乏具体的后勤保洁方案，无法保证卫生整洁的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得0.1-2.9</w:t>
            </w:r>
            <w:r>
              <w:rPr>
                <w:rFonts w:hint="eastAsia" w:ascii="宋体" w:hAnsi="宋体" w:eastAsia="宋体" w:cs="宋体"/>
                <w:b w:val="0"/>
                <w:bCs w:val="0"/>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32E7180B">
            <w:pPr>
              <w:shd w:val="clear"/>
              <w:bidi w:val="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未提及此项不得分。</w:t>
            </w:r>
          </w:p>
        </w:tc>
        <w:tc>
          <w:tcPr>
            <w:tcW w:w="708" w:type="dxa"/>
            <w:noWrap w:val="0"/>
            <w:vAlign w:val="center"/>
          </w:tcPr>
          <w:p w14:paraId="0E34E3F7">
            <w:pPr>
              <w:shd w:val="clear"/>
              <w:bidi w:val="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w:t>
            </w:r>
          </w:p>
        </w:tc>
      </w:tr>
      <w:tr w14:paraId="7C6B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17F2E144">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5E988D4E">
            <w:pPr>
              <w:shd w:val="clear"/>
              <w:bidi w:val="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物品管理方案</w:t>
            </w:r>
          </w:p>
        </w:tc>
        <w:tc>
          <w:tcPr>
            <w:tcW w:w="7118" w:type="dxa"/>
            <w:noWrap w:val="0"/>
            <w:vAlign w:val="center"/>
          </w:tcPr>
          <w:p w14:paraId="363A448E">
            <w:pPr>
              <w:shd w:val="clea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w:t>
            </w:r>
            <w:r>
              <w:rPr>
                <w:rFonts w:hint="eastAsia" w:ascii="宋体" w:hAnsi="宋体" w:eastAsia="宋体" w:cs="宋体"/>
                <w:color w:val="000000" w:themeColor="text1"/>
                <w:sz w:val="24"/>
                <w:szCs w:val="24"/>
                <w:highlight w:val="none"/>
                <w14:textFill>
                  <w14:solidFill>
                    <w14:schemeClr w14:val="tx1"/>
                  </w14:solidFill>
                </w14:textFill>
              </w:rPr>
              <w:t>针对食堂内所提供的物品维护、保存、管理方案进行打分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D09FF47">
            <w:pPr>
              <w:shd w:val="clea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管理方案先进、专业，能对物品完好保存的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得3.0-5.0</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D6EE890">
            <w:pPr>
              <w:shd w:val="clea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管理方案简单、片面，容易造成物品丢失，缺乏严谨性的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得0.1-2.9</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7D88142">
            <w:pPr>
              <w:shd w:val="clear"/>
              <w:bidi w:val="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未提及此项不得分。</w:t>
            </w:r>
          </w:p>
        </w:tc>
        <w:tc>
          <w:tcPr>
            <w:tcW w:w="708" w:type="dxa"/>
            <w:noWrap w:val="0"/>
            <w:vAlign w:val="center"/>
          </w:tcPr>
          <w:p w14:paraId="381F2EBD">
            <w:pPr>
              <w:shd w:val="clear"/>
              <w:bidi w:val="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559B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57249551">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11CAC0B9">
            <w:pPr>
              <w:shd w:val="clear"/>
              <w:spacing w:line="24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服务承诺</w:t>
            </w:r>
          </w:p>
        </w:tc>
        <w:tc>
          <w:tcPr>
            <w:tcW w:w="7118" w:type="dxa"/>
            <w:noWrap w:val="0"/>
            <w:vAlign w:val="center"/>
          </w:tcPr>
          <w:p w14:paraId="21BBEDE7">
            <w:pPr>
              <w:keepNext w:val="0"/>
              <w:keepLines w:val="0"/>
              <w:pageBreakBefore w:val="0"/>
              <w:widowControl/>
              <w:shd w:val="clear"/>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针对本项目服务质量、要求等相关承诺和支持力度</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等情况进行打分。</w:t>
            </w:r>
          </w:p>
          <w:p w14:paraId="7DACF0E6">
            <w:pPr>
              <w:keepNext w:val="0"/>
              <w:keepLines w:val="0"/>
              <w:pageBreakBefore w:val="0"/>
              <w:widowControl/>
              <w:shd w:val="clear"/>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b w:val="0"/>
                <w:i w:val="0"/>
                <w:caps w:val="0"/>
                <w:color w:val="000000" w:themeColor="text1"/>
                <w:spacing w:val="0"/>
                <w:w w:val="100"/>
                <w:sz w:val="24"/>
                <w:szCs w:val="24"/>
                <w:highlight w:val="none"/>
                <w:lang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服务</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承诺</w:t>
            </w: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全面、后续保障措施合理有效的得</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3.0-</w:t>
            </w:r>
            <w:r>
              <w:rPr>
                <w:rFonts w:hint="eastAsia" w:ascii="宋体" w:hAnsi="宋体" w:cs="宋体"/>
                <w:b w:val="0"/>
                <w:i w:val="0"/>
                <w:caps w:val="0"/>
                <w:color w:val="000000" w:themeColor="text1"/>
                <w:spacing w:val="0"/>
                <w:w w:val="100"/>
                <w:sz w:val="24"/>
                <w:szCs w:val="24"/>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.0</w:t>
            </w: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分</w:t>
            </w:r>
            <w:r>
              <w:rPr>
                <w:rFonts w:hint="eastAsia" w:ascii="宋体" w:hAnsi="宋体" w:eastAsia="宋体" w:cs="宋体"/>
                <w:b w:val="0"/>
                <w:i w:val="0"/>
                <w:caps w:val="0"/>
                <w:color w:val="000000" w:themeColor="text1"/>
                <w:spacing w:val="0"/>
                <w:w w:val="100"/>
                <w:sz w:val="24"/>
                <w:szCs w:val="24"/>
                <w:highlight w:val="none"/>
                <w:lang w:eastAsia="zh-CN"/>
                <w14:textFill>
                  <w14:solidFill>
                    <w14:schemeClr w14:val="tx1"/>
                  </w14:solidFill>
                </w14:textFill>
              </w:rPr>
              <w:t>；</w:t>
            </w:r>
          </w:p>
          <w:p w14:paraId="6066F1BD">
            <w:pPr>
              <w:keepNext w:val="0"/>
              <w:keepLines w:val="0"/>
              <w:pageBreakBefore w:val="0"/>
              <w:widowControl/>
              <w:shd w:val="clear"/>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b w:val="0"/>
                <w:i w:val="0"/>
                <w:caps w:val="0"/>
                <w:color w:val="000000" w:themeColor="text1"/>
                <w:spacing w:val="0"/>
                <w:w w:val="100"/>
                <w:sz w:val="24"/>
                <w:szCs w:val="24"/>
                <w:highlight w:val="none"/>
                <w:lang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服务</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承诺</w:t>
            </w: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阐述较详尽，后续保障措施有欠缺的得0.1-</w:t>
            </w:r>
            <w:r>
              <w:rPr>
                <w:rFonts w:hint="eastAsia" w:ascii="宋体" w:hAnsi="宋体" w:eastAsia="宋体" w:cs="宋体"/>
                <w:b w:val="0"/>
                <w:i w:val="0"/>
                <w:caps w:val="0"/>
                <w:color w:val="000000" w:themeColor="text1"/>
                <w:spacing w:val="0"/>
                <w:w w:val="100"/>
                <w:sz w:val="24"/>
                <w:szCs w:val="24"/>
                <w:highlight w:val="none"/>
                <w:lang w:val="en-US" w:eastAsia="zh-CN"/>
                <w14:textFill>
                  <w14:solidFill>
                    <w14:schemeClr w14:val="tx1"/>
                  </w14:solidFill>
                </w14:textFill>
              </w:rPr>
              <w:t>2.9</w:t>
            </w: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分</w:t>
            </w:r>
            <w:r>
              <w:rPr>
                <w:rFonts w:hint="eastAsia" w:ascii="宋体" w:hAnsi="宋体" w:eastAsia="宋体" w:cs="宋体"/>
                <w:b w:val="0"/>
                <w:i w:val="0"/>
                <w:caps w:val="0"/>
                <w:color w:val="000000" w:themeColor="text1"/>
                <w:spacing w:val="0"/>
                <w:w w:val="100"/>
                <w:sz w:val="24"/>
                <w:szCs w:val="24"/>
                <w:highlight w:val="none"/>
                <w:lang w:eastAsia="zh-CN"/>
                <w14:textFill>
                  <w14:solidFill>
                    <w14:schemeClr w14:val="tx1"/>
                  </w14:solidFill>
                </w14:textFill>
              </w:rPr>
              <w:t>；</w:t>
            </w:r>
          </w:p>
          <w:p w14:paraId="1F9035B8">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4"/>
                <w:szCs w:val="24"/>
                <w:highlight w:val="none"/>
                <w14:textFill>
                  <w14:solidFill>
                    <w14:schemeClr w14:val="tx1"/>
                  </w14:solidFill>
                </w14:textFill>
              </w:rPr>
              <w:t>未提及此项不得分。</w:t>
            </w:r>
          </w:p>
        </w:tc>
        <w:tc>
          <w:tcPr>
            <w:tcW w:w="708" w:type="dxa"/>
            <w:noWrap w:val="0"/>
            <w:vAlign w:val="center"/>
          </w:tcPr>
          <w:p w14:paraId="5CF40AB6">
            <w:pPr>
              <w:shd w:val="clear"/>
              <w:spacing w:line="24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14:paraId="3593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27AB45B8">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1D25C4B9">
            <w:pPr>
              <w:keepNext w:val="0"/>
              <w:keepLines w:val="0"/>
              <w:pageBreakBefore w:val="0"/>
              <w:shd w:val="clear"/>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质量管控</w:t>
            </w:r>
          </w:p>
        </w:tc>
        <w:tc>
          <w:tcPr>
            <w:tcW w:w="7118" w:type="dxa"/>
            <w:noWrap w:val="0"/>
            <w:vAlign w:val="center"/>
          </w:tcPr>
          <w:p w14:paraId="375FBCA8">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根据投标人提供的质量保证措施，包括菜谱的品种，菜谱的质量保证，食材料的使用量控制等内容进行打分。</w:t>
            </w:r>
          </w:p>
          <w:p w14:paraId="08863043">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质控措施全面，合理可行，能有效保障并有针对性的得</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w:t>
            </w:r>
            <w:r>
              <w:rPr>
                <w:rFonts w:hint="eastAsia" w:ascii="宋体" w:hAnsi="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27822926">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措施简单，内容不完整但基本能保障的得</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0.1-2.9分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08D9D3B9">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未提及此项不得分。</w:t>
            </w:r>
          </w:p>
        </w:tc>
        <w:tc>
          <w:tcPr>
            <w:tcW w:w="708" w:type="dxa"/>
            <w:noWrap w:val="0"/>
            <w:vAlign w:val="center"/>
          </w:tcPr>
          <w:p w14:paraId="4063392D">
            <w:pPr>
              <w:keepNext w:val="0"/>
              <w:keepLines w:val="0"/>
              <w:pageBreakBefore w:val="0"/>
              <w:shd w:val="clear"/>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5</w:t>
            </w:r>
          </w:p>
        </w:tc>
      </w:tr>
      <w:tr w14:paraId="54F9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24F9217A">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45742A36">
            <w:pPr>
              <w:keepLines w:val="0"/>
              <w:pageBreakBefore w:val="0"/>
              <w:shd w:val="clear"/>
              <w:kinsoku/>
              <w:wordWrap/>
              <w:overflowPunct/>
              <w:topLinePunct w:val="0"/>
              <w:bidi w:val="0"/>
              <w:spacing w:beforeAutospacing="0" w:afterAutospacing="0" w:line="240" w:lineRule="auto"/>
              <w:ind w:left="0"/>
              <w:jc w:val="center"/>
              <w:textAlignment w:val="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应急预案</w:t>
            </w:r>
          </w:p>
        </w:tc>
        <w:tc>
          <w:tcPr>
            <w:tcW w:w="7118" w:type="dxa"/>
            <w:noWrap w:val="0"/>
            <w:vAlign w:val="center"/>
          </w:tcPr>
          <w:p w14:paraId="22893DD2">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针对后续实际项目服务过程中可能遇到的紧急事件、异常处理等应急预案和对应的解决措施情况进行打分。</w:t>
            </w:r>
          </w:p>
          <w:p w14:paraId="0C29DD8A">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提出的应急措施科学可行的得</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3.0-5.0</w:t>
            </w:r>
            <w:r>
              <w:rPr>
                <w:rFonts w:hint="eastAsia" w:ascii="宋体" w:hAnsi="宋体" w:eastAsia="宋体" w:cs="宋体"/>
                <w:bCs/>
                <w:color w:val="000000" w:themeColor="text1"/>
                <w:kern w:val="0"/>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0200BD2F">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提出的应急措施缺乏针对性和有效性的得</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0.1-2.9分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6C629D70">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未提及此项不得分。</w:t>
            </w:r>
          </w:p>
        </w:tc>
        <w:tc>
          <w:tcPr>
            <w:tcW w:w="708" w:type="dxa"/>
            <w:noWrap w:val="0"/>
            <w:vAlign w:val="center"/>
          </w:tcPr>
          <w:p w14:paraId="259B3F89">
            <w:pPr>
              <w:keepLines w:val="0"/>
              <w:pageBreakBefore w:val="0"/>
              <w:shd w:val="clear"/>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5</w:t>
            </w:r>
          </w:p>
        </w:tc>
      </w:tr>
      <w:tr w14:paraId="5D9E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538CE747">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18736C3C">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培训方案</w:t>
            </w:r>
          </w:p>
        </w:tc>
        <w:tc>
          <w:tcPr>
            <w:tcW w:w="7118" w:type="dxa"/>
            <w:noWrap w:val="0"/>
            <w:vAlign w:val="center"/>
          </w:tcPr>
          <w:p w14:paraId="0EAD903A">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投标人对投入本项目的工作人员，制定专业的</w:t>
            </w:r>
            <w:r>
              <w:rPr>
                <w:rFonts w:hint="eastAsia" w:ascii="宋体" w:hAnsi="宋体" w:eastAsia="宋体" w:cs="宋体"/>
                <w:color w:val="000000" w:themeColor="text1"/>
                <w:sz w:val="24"/>
                <w:szCs w:val="24"/>
                <w:highlight w:val="none"/>
                <w14:textFill>
                  <w14:solidFill>
                    <w14:schemeClr w14:val="tx1"/>
                  </w14:solidFill>
                </w14:textFill>
              </w:rPr>
              <w:t>技术培训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根据提供的培训方案是否专业全面、培训计划是否切实可行进行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打分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028A52D">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培训方案全面，</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安排合理</w:t>
            </w:r>
            <w:r>
              <w:rPr>
                <w:rFonts w:hint="eastAsia" w:ascii="宋体" w:hAnsi="宋体" w:eastAsia="宋体" w:cs="宋体"/>
                <w:bCs/>
                <w:color w:val="000000" w:themeColor="text1"/>
                <w:sz w:val="24"/>
                <w:szCs w:val="24"/>
                <w:highlight w:val="none"/>
                <w14:textFill>
                  <w14:solidFill>
                    <w14:schemeClr w14:val="tx1"/>
                  </w14:solidFill>
                </w14:textFill>
              </w:rPr>
              <w:t>的得</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3.0-5.0</w:t>
            </w:r>
            <w:r>
              <w:rPr>
                <w:rFonts w:hint="eastAsia" w:ascii="宋体" w:hAnsi="宋体" w:eastAsia="宋体" w:cs="宋体"/>
                <w:bCs/>
                <w:color w:val="000000" w:themeColor="text1"/>
                <w:kern w:val="0"/>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w:t>
            </w:r>
          </w:p>
          <w:p w14:paraId="66B63667">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培训方案简单片面</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缺乏合理性</w:t>
            </w:r>
            <w:r>
              <w:rPr>
                <w:rFonts w:hint="eastAsia" w:ascii="宋体" w:hAnsi="宋体" w:eastAsia="宋体" w:cs="宋体"/>
                <w:bCs/>
                <w:color w:val="000000" w:themeColor="text1"/>
                <w:sz w:val="24"/>
                <w:szCs w:val="24"/>
                <w:highlight w:val="none"/>
                <w14:textFill>
                  <w14:solidFill>
                    <w14:schemeClr w14:val="tx1"/>
                  </w14:solidFill>
                </w14:textFill>
              </w:rPr>
              <w:t>的得</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0.1-2.9分</w:t>
            </w:r>
            <w:r>
              <w:rPr>
                <w:rFonts w:hint="eastAsia" w:ascii="宋体" w:hAnsi="宋体" w:eastAsia="宋体" w:cs="宋体"/>
                <w:bCs/>
                <w:color w:val="000000" w:themeColor="text1"/>
                <w:sz w:val="24"/>
                <w:szCs w:val="24"/>
                <w:highlight w:val="none"/>
                <w14:textFill>
                  <w14:solidFill>
                    <w14:schemeClr w14:val="tx1"/>
                  </w14:solidFill>
                </w14:textFill>
              </w:rPr>
              <w:t>；</w:t>
            </w:r>
          </w:p>
          <w:p w14:paraId="6CB8D2D3">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未提及此项不得分。</w:t>
            </w:r>
          </w:p>
        </w:tc>
        <w:tc>
          <w:tcPr>
            <w:tcW w:w="708" w:type="dxa"/>
            <w:noWrap w:val="0"/>
            <w:vAlign w:val="center"/>
          </w:tcPr>
          <w:p w14:paraId="64EEDE3E">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14:paraId="3D8E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580E6370">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7A028B37">
            <w:pPr>
              <w:shd w:val="clea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节能措施</w:t>
            </w:r>
          </w:p>
        </w:tc>
        <w:tc>
          <w:tcPr>
            <w:tcW w:w="7118" w:type="dxa"/>
            <w:noWrap w:val="0"/>
            <w:vAlign w:val="center"/>
          </w:tcPr>
          <w:p w14:paraId="3E51A9DE">
            <w:pPr>
              <w:shd w:val="clea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针对投标人提供的节能管理措施进行打分。</w:t>
            </w:r>
          </w:p>
          <w:p w14:paraId="0E9ED689">
            <w:pPr>
              <w:shd w:val="clea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节能措施全面，能有效保证食堂整体节能的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得3.0-5.0</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A31C399">
            <w:pPr>
              <w:shd w:val="clea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方案描述片面，缺乏针对性的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得0.1-2.9</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2A22294">
            <w:pPr>
              <w:shd w:val="clea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未提及此项不得分。</w:t>
            </w:r>
          </w:p>
        </w:tc>
        <w:tc>
          <w:tcPr>
            <w:tcW w:w="708" w:type="dxa"/>
            <w:noWrap w:val="0"/>
            <w:vAlign w:val="center"/>
          </w:tcPr>
          <w:p w14:paraId="0FC82EA1">
            <w:pPr>
              <w:shd w:val="clear"/>
              <w:bidi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14:paraId="2EDA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14:paraId="2C46B276">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4D164CEF">
            <w:pPr>
              <w:shd w:val="clea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就餐投诉</w:t>
            </w:r>
          </w:p>
          <w:p w14:paraId="5E3C9631">
            <w:pPr>
              <w:shd w:val="clea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处理方案</w:t>
            </w:r>
          </w:p>
          <w:p w14:paraId="1DBC9C3A">
            <w:pPr>
              <w:shd w:val="clear"/>
              <w:bidi w:val="0"/>
              <w:rPr>
                <w:rFonts w:hint="eastAsia" w:ascii="宋体" w:hAnsi="宋体" w:eastAsia="宋体" w:cs="宋体"/>
                <w:color w:val="000000" w:themeColor="text1"/>
                <w:sz w:val="24"/>
                <w:szCs w:val="24"/>
                <w:highlight w:val="none"/>
                <w14:textFill>
                  <w14:solidFill>
                    <w14:schemeClr w14:val="tx1"/>
                  </w14:solidFill>
                </w14:textFill>
              </w:rPr>
            </w:pPr>
          </w:p>
        </w:tc>
        <w:tc>
          <w:tcPr>
            <w:tcW w:w="7118" w:type="dxa"/>
            <w:noWrap w:val="0"/>
            <w:vAlign w:val="center"/>
          </w:tcPr>
          <w:p w14:paraId="684A1F8B">
            <w:pPr>
              <w:shd w:val="clea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针对本项目的就餐投诉处理的方案综合评分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1B96D3">
            <w:pPr>
              <w:shd w:val="clea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方案完善、合理、针对性强的得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2DA30797">
            <w:pPr>
              <w:shd w:val="clea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相关方案不全，操作性、针对性较差的得0.1-</w:t>
            </w:r>
            <w:r>
              <w:rPr>
                <w:rFonts w:hint="eastAsia" w:ascii="宋体" w:hAnsi="宋体" w:eastAsia="宋体"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14:textFill>
                  <w14:solidFill>
                    <w14:schemeClr w14:val="tx1"/>
                  </w14:solidFill>
                </w14:textFill>
              </w:rPr>
              <w:t>分；</w:t>
            </w:r>
          </w:p>
          <w:p w14:paraId="1650C448">
            <w:pPr>
              <w:shd w:val="clea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未提供不得分。</w:t>
            </w:r>
          </w:p>
        </w:tc>
        <w:tc>
          <w:tcPr>
            <w:tcW w:w="708" w:type="dxa"/>
            <w:noWrap w:val="0"/>
            <w:vAlign w:val="center"/>
          </w:tcPr>
          <w:p w14:paraId="42303C4B">
            <w:pPr>
              <w:shd w:val="clear"/>
              <w:bidi w:val="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14:paraId="6376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0" w:type="dxa"/>
            <w:vMerge w:val="continue"/>
            <w:noWrap w:val="0"/>
            <w:vAlign w:val="center"/>
          </w:tcPr>
          <w:p w14:paraId="29AA2155">
            <w:pPr>
              <w:pStyle w:val="11"/>
              <w:keepLines w:val="0"/>
              <w:pageBreakBefore w:val="0"/>
              <w:shd w:val="clear"/>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noWrap w:val="0"/>
            <w:vAlign w:val="center"/>
          </w:tcPr>
          <w:p w14:paraId="0149B73B">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亮点及特色</w:t>
            </w:r>
          </w:p>
        </w:tc>
        <w:tc>
          <w:tcPr>
            <w:tcW w:w="7118" w:type="dxa"/>
            <w:noWrap w:val="0"/>
            <w:vAlign w:val="center"/>
          </w:tcPr>
          <w:p w14:paraId="018B521E">
            <w:pPr>
              <w:keepNext w:val="0"/>
              <w:keepLines w:val="0"/>
              <w:pageBreakBefore w:val="0"/>
              <w:widowControl/>
              <w:shd w:val="clear"/>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根据投标人针对本项目实施中具有的亮点及特色的阐述情况进行打分。</w:t>
            </w:r>
          </w:p>
          <w:p w14:paraId="1836F93E">
            <w:pPr>
              <w:keepNext w:val="0"/>
              <w:keepLines w:val="0"/>
              <w:pageBreakBefore w:val="0"/>
              <w:widowControl/>
              <w:shd w:val="clear"/>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针对本项目阐述的亮点及特色</w:t>
            </w:r>
            <w:r>
              <w:rPr>
                <w:rFonts w:hint="eastAsia" w:ascii="宋体" w:hAnsi="宋体" w:eastAsia="宋体" w:cs="宋体"/>
                <w:bCs/>
                <w:color w:val="000000" w:themeColor="text1"/>
                <w:sz w:val="24"/>
                <w:szCs w:val="24"/>
                <w:highlight w:val="none"/>
                <w14:textFill>
                  <w14:solidFill>
                    <w14:schemeClr w14:val="tx1"/>
                  </w14:solidFill>
                </w14:textFill>
              </w:rPr>
              <w:t>内容全面，</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满足项目要求</w:t>
            </w:r>
            <w:r>
              <w:rPr>
                <w:rFonts w:hint="eastAsia" w:ascii="宋体" w:hAnsi="宋体" w:eastAsia="宋体" w:cs="宋体"/>
                <w:color w:val="000000" w:themeColor="text1"/>
                <w:spacing w:val="-4"/>
                <w:sz w:val="24"/>
                <w:szCs w:val="24"/>
                <w:highlight w:val="none"/>
                <w14:textFill>
                  <w14:solidFill>
                    <w14:schemeClr w14:val="tx1"/>
                  </w14:solidFill>
                </w14:textFill>
              </w:rPr>
              <w:t>的得</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1.0-2.0</w:t>
            </w:r>
            <w:r>
              <w:rPr>
                <w:rFonts w:hint="eastAsia" w:ascii="宋体" w:hAnsi="宋体" w:eastAsia="宋体" w:cs="宋体"/>
                <w:color w:val="000000" w:themeColor="text1"/>
                <w:spacing w:val="-4"/>
                <w:sz w:val="24"/>
                <w:szCs w:val="24"/>
                <w:highlight w:val="none"/>
                <w14:textFill>
                  <w14:solidFill>
                    <w14:schemeClr w14:val="tx1"/>
                  </w14:solidFill>
                </w14:textFill>
              </w:rPr>
              <w:t>分；</w:t>
            </w:r>
          </w:p>
          <w:p w14:paraId="55F11818">
            <w:pPr>
              <w:pStyle w:val="92"/>
              <w:keepNext w:val="0"/>
              <w:keepLines w:val="0"/>
              <w:pageBreakBefore w:val="0"/>
              <w:shd w:val="clear"/>
              <w:kinsoku/>
              <w:wordWrap/>
              <w:overflowPunct/>
              <w:topLinePunct w:val="0"/>
              <w:autoSpaceDE/>
              <w:autoSpaceDN/>
              <w:bidi w:val="0"/>
              <w:spacing w:line="240" w:lineRule="auto"/>
              <w:ind w:left="0" w:firstLine="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阐述简单，内容有提及但不完整的</w:t>
            </w:r>
            <w:r>
              <w:rPr>
                <w:rFonts w:hint="eastAsia" w:ascii="宋体" w:hAnsi="宋体" w:eastAsia="宋体" w:cs="宋体"/>
                <w:color w:val="000000" w:themeColor="text1"/>
                <w:spacing w:val="-4"/>
                <w:sz w:val="24"/>
                <w:szCs w:val="24"/>
                <w:highlight w:val="none"/>
                <w14:textFill>
                  <w14:solidFill>
                    <w14:schemeClr w14:val="tx1"/>
                  </w14:solidFill>
                </w14:textFill>
              </w:rPr>
              <w:t>得0.1-</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4"/>
                <w:sz w:val="24"/>
                <w:szCs w:val="24"/>
                <w:highlight w:val="none"/>
                <w14:textFill>
                  <w14:solidFill>
                    <w14:schemeClr w14:val="tx1"/>
                  </w14:solidFill>
                </w14:textFill>
              </w:rPr>
              <w:t>.9分；</w:t>
            </w:r>
          </w:p>
          <w:p w14:paraId="7AED450A">
            <w:pPr>
              <w:shd w:val="clea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未提及此项不得分。</w:t>
            </w:r>
          </w:p>
        </w:tc>
        <w:tc>
          <w:tcPr>
            <w:tcW w:w="708" w:type="dxa"/>
            <w:noWrap w:val="0"/>
            <w:vAlign w:val="center"/>
          </w:tcPr>
          <w:p w14:paraId="4ACDEE71">
            <w:pPr>
              <w:keepLines w:val="0"/>
              <w:pageBreakBefore w:val="0"/>
              <w:shd w:val="clear"/>
              <w:kinsoku/>
              <w:wordWrap/>
              <w:overflowPunct/>
              <w:topLinePunct w:val="0"/>
              <w:bidi w:val="0"/>
              <w:spacing w:beforeAutospacing="0" w:afterAutospacing="0" w:line="240" w:lineRule="auto"/>
              <w:ind w:left="0"/>
              <w:jc w:val="center"/>
              <w:textAlignment w:val="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2</w:t>
            </w:r>
          </w:p>
        </w:tc>
      </w:tr>
      <w:tr w14:paraId="357B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3" w:type="dxa"/>
            <w:gridSpan w:val="2"/>
            <w:noWrap w:val="0"/>
            <w:vAlign w:val="center"/>
          </w:tcPr>
          <w:p w14:paraId="3F84F5D7">
            <w:pPr>
              <w:keepLines w:val="0"/>
              <w:pageBreakBefore w:val="0"/>
              <w:shd w:val="clear"/>
              <w:kinsoku/>
              <w:wordWrap/>
              <w:overflowPunct/>
              <w:topLinePunct w:val="0"/>
              <w:bidi w:val="0"/>
              <w:spacing w:beforeAutospacing="0" w:afterAutospacing="0" w:line="240" w:lineRule="auto"/>
              <w:ind w:left="0"/>
              <w:jc w:val="left"/>
              <w:textAlignment w:val="auto"/>
              <w:rPr>
                <w:rStyle w:val="34"/>
                <w:rFonts w:hint="eastAsia" w:ascii="宋体" w:hAnsi="宋体" w:eastAsia="宋体" w:cs="宋体"/>
                <w:color w:val="000000" w:themeColor="text1"/>
                <w:kern w:val="0"/>
                <w:sz w:val="24"/>
                <w:szCs w:val="24"/>
                <w:highlight w:val="none"/>
                <w14:textFill>
                  <w14:solidFill>
                    <w14:schemeClr w14:val="tx1"/>
                  </w14:solidFill>
                </w14:textFill>
              </w:rPr>
            </w:pPr>
            <w:r>
              <w:rPr>
                <w:rStyle w:val="34"/>
                <w:rFonts w:hint="eastAsia" w:ascii="宋体" w:hAnsi="宋体" w:eastAsia="宋体" w:cs="宋体"/>
                <w:color w:val="000000" w:themeColor="text1"/>
                <w:kern w:val="0"/>
                <w:sz w:val="24"/>
                <w:szCs w:val="24"/>
                <w:highlight w:val="none"/>
                <w14:textFill>
                  <w14:solidFill>
                    <w14:schemeClr w14:val="tx1"/>
                  </w14:solidFill>
                </w14:textFill>
              </w:rPr>
              <w:t>价格</w:t>
            </w:r>
          </w:p>
          <w:p w14:paraId="0E229B0D">
            <w:pPr>
              <w:keepLines w:val="0"/>
              <w:pageBreakBefore w:val="0"/>
              <w:shd w:val="clear"/>
              <w:kinsoku/>
              <w:wordWrap/>
              <w:overflowPunct/>
              <w:topLinePunct w:val="0"/>
              <w:bidi w:val="0"/>
              <w:spacing w:beforeAutospacing="0" w:afterAutospacing="0" w:line="240" w:lineRule="auto"/>
              <w:ind w:left="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Style w:val="34"/>
                <w:rFonts w:hint="eastAsia" w:ascii="宋体" w:hAnsi="宋体" w:eastAsia="宋体" w:cs="宋体"/>
                <w:color w:val="000000" w:themeColor="text1"/>
                <w:kern w:val="0"/>
                <w:sz w:val="24"/>
                <w:szCs w:val="24"/>
                <w:highlight w:val="none"/>
                <w14:textFill>
                  <w14:solidFill>
                    <w14:schemeClr w14:val="tx1"/>
                  </w14:solidFill>
                </w14:textFill>
              </w:rPr>
              <w:t>（</w:t>
            </w:r>
            <w:r>
              <w:rPr>
                <w:rStyle w:val="34"/>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Style w:val="34"/>
                <w:rFonts w:hint="eastAsia" w:ascii="宋体" w:hAnsi="宋体" w:eastAsia="宋体" w:cs="宋体"/>
                <w:color w:val="000000" w:themeColor="text1"/>
                <w:kern w:val="0"/>
                <w:sz w:val="24"/>
                <w:szCs w:val="24"/>
                <w:highlight w:val="none"/>
                <w14:textFill>
                  <w14:solidFill>
                    <w14:schemeClr w14:val="tx1"/>
                  </w14:solidFill>
                </w14:textFill>
              </w:rPr>
              <w:t>分）</w:t>
            </w:r>
          </w:p>
        </w:tc>
        <w:tc>
          <w:tcPr>
            <w:tcW w:w="7118" w:type="dxa"/>
            <w:noWrap w:val="0"/>
            <w:vAlign w:val="center"/>
          </w:tcPr>
          <w:p w14:paraId="46032E2A">
            <w:pPr>
              <w:keepLines w:val="0"/>
              <w:pageBreakBefore w:val="0"/>
              <w:shd w:val="clear"/>
              <w:kinsoku/>
              <w:wordWrap/>
              <w:overflowPunct/>
              <w:topLinePunct w:val="0"/>
              <w:bidi w:val="0"/>
              <w:spacing w:beforeAutospacing="0" w:afterAutospacing="0" w:line="240" w:lineRule="auto"/>
              <w:ind w:left="0"/>
              <w:jc w:val="left"/>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取投标合格供应商的投标最终报价最低价</w:t>
            </w:r>
            <w:r>
              <w:rPr>
                <w:rFonts w:hint="eastAsia" w:ascii="宋体" w:hAnsi="宋体" w:eastAsia="宋体" w:cs="宋体"/>
                <w:color w:val="000000" w:themeColor="text1"/>
                <w:sz w:val="24"/>
                <w:szCs w:val="24"/>
                <w:highlight w:val="none"/>
                <w:lang w:val="zh-CN"/>
                <w14:textFill>
                  <w14:solidFill>
                    <w14:schemeClr w14:val="tx1"/>
                  </w14:solidFill>
                </w14:textFill>
              </w:rPr>
              <w:t>为评标基准价，</w:t>
            </w:r>
            <w:r>
              <w:rPr>
                <w:rFonts w:hint="eastAsia" w:ascii="宋体" w:hAnsi="宋体" w:eastAsia="宋体" w:cs="宋体"/>
                <w:color w:val="000000" w:themeColor="text1"/>
                <w:sz w:val="24"/>
                <w:szCs w:val="24"/>
                <w:highlight w:val="none"/>
                <w14:textFill>
                  <w14:solidFill>
                    <w14:schemeClr w14:val="tx1"/>
                  </w14:solidFill>
                </w14:textFill>
              </w:rPr>
              <w:t>基准价为2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。投标报价得分=(评标基准价／投标报价)×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zh-CN"/>
                <w14:textFill>
                  <w14:solidFill>
                    <w14:schemeClr w14:val="tx1"/>
                  </w14:solidFill>
                </w14:textFill>
              </w:rPr>
              <w:t>%×100 。（</w:t>
            </w:r>
            <w:r>
              <w:rPr>
                <w:rFonts w:hint="eastAsia" w:ascii="宋体" w:hAnsi="宋体" w:eastAsia="宋体" w:cs="宋体"/>
                <w:color w:val="000000" w:themeColor="text1"/>
                <w:sz w:val="24"/>
                <w:szCs w:val="24"/>
                <w:highlight w:val="none"/>
                <w14:textFill>
                  <w14:solidFill>
                    <w14:schemeClr w14:val="tx1"/>
                  </w14:solidFill>
                </w14:textFill>
              </w:rPr>
              <w:t>小数点后保留2位小数</w:t>
            </w:r>
            <w:r>
              <w:rPr>
                <w:rFonts w:hint="eastAsia" w:ascii="宋体" w:hAnsi="宋体" w:eastAsia="宋体" w:cs="宋体"/>
                <w:color w:val="000000" w:themeColor="text1"/>
                <w:sz w:val="24"/>
                <w:szCs w:val="24"/>
                <w:highlight w:val="none"/>
                <w:lang w:val="zh-CN"/>
                <w14:textFill>
                  <w14:solidFill>
                    <w14:schemeClr w14:val="tx1"/>
                  </w14:solidFill>
                </w14:textFill>
              </w:rPr>
              <w:t>）。</w:t>
            </w:r>
          </w:p>
        </w:tc>
        <w:tc>
          <w:tcPr>
            <w:tcW w:w="708" w:type="dxa"/>
            <w:noWrap w:val="0"/>
            <w:vAlign w:val="center"/>
          </w:tcPr>
          <w:p w14:paraId="4B5F1790">
            <w:pPr>
              <w:keepLines w:val="0"/>
              <w:pageBreakBefore w:val="0"/>
              <w:shd w:val="clear"/>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0</w:t>
            </w:r>
          </w:p>
        </w:tc>
      </w:tr>
    </w:tbl>
    <w:p w14:paraId="6F25AB21">
      <w:pPr>
        <w:pStyle w:val="10"/>
        <w:shd w:val="clear"/>
        <w:rPr>
          <w:rFonts w:hint="eastAsia" w:ascii="宋体" w:hAnsi="宋体" w:cs="宋体"/>
          <w:color w:val="000000" w:themeColor="text1"/>
          <w:sz w:val="24"/>
          <w:szCs w:val="32"/>
          <w:highlight w:val="none"/>
          <w:lang w:val="zh-CN"/>
          <w14:textFill>
            <w14:solidFill>
              <w14:schemeClr w14:val="tx1"/>
            </w14:solidFill>
          </w14:textFill>
        </w:rPr>
      </w:pPr>
    </w:p>
    <w:p w14:paraId="206A526D">
      <w:pPr>
        <w:pStyle w:val="10"/>
        <w:shd w:val="clear"/>
        <w:rPr>
          <w:rFonts w:hint="eastAsia" w:ascii="宋体" w:hAnsi="宋体" w:cs="宋体"/>
          <w:color w:val="000000" w:themeColor="text1"/>
          <w:sz w:val="24"/>
          <w:szCs w:val="32"/>
          <w:highlight w:val="none"/>
          <w:lang w:val="zh-CN"/>
          <w14:textFill>
            <w14:solidFill>
              <w14:schemeClr w14:val="tx1"/>
            </w14:solidFill>
          </w14:textFill>
        </w:rPr>
      </w:pPr>
    </w:p>
    <w:p w14:paraId="58C6CC1C">
      <w:pPr>
        <w:pStyle w:val="10"/>
        <w:shd w:val="clear"/>
        <w:rPr>
          <w:rFonts w:hint="eastAsia" w:ascii="宋体" w:hAnsi="宋体" w:cs="宋体"/>
          <w:color w:val="000000" w:themeColor="text1"/>
          <w:sz w:val="24"/>
          <w:szCs w:val="32"/>
          <w:highlight w:val="none"/>
          <w:lang w:val="zh-CN"/>
          <w14:textFill>
            <w14:solidFill>
              <w14:schemeClr w14:val="tx1"/>
            </w14:solidFill>
          </w14:textFill>
        </w:rPr>
      </w:pPr>
    </w:p>
    <w:p w14:paraId="7FA295AE">
      <w:pPr>
        <w:pStyle w:val="10"/>
        <w:shd w:val="clear"/>
        <w:rPr>
          <w:rFonts w:hint="eastAsia" w:ascii="宋体" w:hAnsi="宋体" w:cs="宋体"/>
          <w:color w:val="000000" w:themeColor="text1"/>
          <w:sz w:val="24"/>
          <w:szCs w:val="32"/>
          <w:highlight w:val="none"/>
          <w:lang w:val="zh-CN"/>
          <w14:textFill>
            <w14:solidFill>
              <w14:schemeClr w14:val="tx1"/>
            </w14:solidFill>
          </w14:textFill>
        </w:rPr>
      </w:pPr>
    </w:p>
    <w:p w14:paraId="182695E2">
      <w:pPr>
        <w:pStyle w:val="11"/>
        <w:shd w:val="clear"/>
        <w:rPr>
          <w:rFonts w:hint="eastAsia" w:ascii="宋体" w:hAnsi="宋体" w:cs="宋体"/>
          <w:color w:val="000000" w:themeColor="text1"/>
          <w:sz w:val="24"/>
          <w:szCs w:val="32"/>
          <w:highlight w:val="none"/>
          <w:lang w:val="zh-CN"/>
          <w14:textFill>
            <w14:solidFill>
              <w14:schemeClr w14:val="tx1"/>
            </w14:solidFill>
          </w14:textFill>
        </w:rPr>
      </w:pPr>
    </w:p>
    <w:p w14:paraId="5C1F8251">
      <w:pPr>
        <w:shd w:val="clear"/>
        <w:rPr>
          <w:rFonts w:hint="eastAsia" w:ascii="宋体" w:hAnsi="宋体" w:cs="宋体"/>
          <w:color w:val="000000" w:themeColor="text1"/>
          <w:sz w:val="24"/>
          <w:szCs w:val="32"/>
          <w:highlight w:val="none"/>
          <w:lang w:val="zh-CN"/>
          <w14:textFill>
            <w14:solidFill>
              <w14:schemeClr w14:val="tx1"/>
            </w14:solidFill>
          </w14:textFill>
        </w:rPr>
      </w:pPr>
    </w:p>
    <w:p w14:paraId="1CAFFB9B">
      <w:pPr>
        <w:pStyle w:val="10"/>
        <w:shd w:val="clear"/>
        <w:rPr>
          <w:rFonts w:hint="eastAsia" w:ascii="宋体" w:hAnsi="宋体" w:cs="宋体"/>
          <w:color w:val="000000" w:themeColor="text1"/>
          <w:sz w:val="24"/>
          <w:szCs w:val="32"/>
          <w:highlight w:val="none"/>
          <w:lang w:val="zh-CN"/>
          <w14:textFill>
            <w14:solidFill>
              <w14:schemeClr w14:val="tx1"/>
            </w14:solidFill>
          </w14:textFill>
        </w:rPr>
      </w:pPr>
    </w:p>
    <w:p w14:paraId="57ADED20">
      <w:pPr>
        <w:pStyle w:val="11"/>
        <w:shd w:val="clear"/>
        <w:rPr>
          <w:rFonts w:hint="eastAsia" w:ascii="宋体" w:hAnsi="宋体" w:cs="宋体"/>
          <w:color w:val="000000" w:themeColor="text1"/>
          <w:sz w:val="24"/>
          <w:szCs w:val="32"/>
          <w:highlight w:val="none"/>
          <w:lang w:val="zh-CN"/>
          <w14:textFill>
            <w14:solidFill>
              <w14:schemeClr w14:val="tx1"/>
            </w14:solidFill>
          </w14:textFill>
        </w:rPr>
      </w:pPr>
    </w:p>
    <w:p w14:paraId="05D84BA7">
      <w:pPr>
        <w:shd w:val="clear"/>
        <w:rPr>
          <w:rFonts w:hint="eastAsia" w:ascii="宋体" w:hAnsi="宋体" w:cs="宋体"/>
          <w:color w:val="000000" w:themeColor="text1"/>
          <w:sz w:val="24"/>
          <w:szCs w:val="32"/>
          <w:highlight w:val="none"/>
          <w:lang w:val="zh-CN"/>
          <w14:textFill>
            <w14:solidFill>
              <w14:schemeClr w14:val="tx1"/>
            </w14:solidFill>
          </w14:textFill>
        </w:rPr>
      </w:pPr>
    </w:p>
    <w:p w14:paraId="15625143">
      <w:pPr>
        <w:pStyle w:val="10"/>
        <w:shd w:val="clear"/>
        <w:rPr>
          <w:rFonts w:hint="eastAsia" w:ascii="宋体" w:hAnsi="宋体" w:cs="宋体"/>
          <w:color w:val="000000" w:themeColor="text1"/>
          <w:sz w:val="24"/>
          <w:szCs w:val="32"/>
          <w:highlight w:val="none"/>
          <w:lang w:val="zh-CN"/>
          <w14:textFill>
            <w14:solidFill>
              <w14:schemeClr w14:val="tx1"/>
            </w14:solidFill>
          </w14:textFill>
        </w:rPr>
      </w:pPr>
    </w:p>
    <w:p w14:paraId="1E28D748">
      <w:pPr>
        <w:pStyle w:val="11"/>
        <w:shd w:val="clear"/>
        <w:rPr>
          <w:rFonts w:hint="eastAsia" w:ascii="宋体" w:hAnsi="宋体" w:cs="宋体"/>
          <w:color w:val="000000" w:themeColor="text1"/>
          <w:sz w:val="24"/>
          <w:szCs w:val="32"/>
          <w:highlight w:val="none"/>
          <w:lang w:val="zh-CN"/>
          <w14:textFill>
            <w14:solidFill>
              <w14:schemeClr w14:val="tx1"/>
            </w14:solidFill>
          </w14:textFill>
        </w:rPr>
      </w:pPr>
    </w:p>
    <w:p w14:paraId="4CCF4DA8">
      <w:pPr>
        <w:shd w:val="clear"/>
        <w:rPr>
          <w:rFonts w:hint="eastAsia" w:ascii="宋体" w:hAnsi="宋体" w:cs="宋体"/>
          <w:color w:val="000000" w:themeColor="text1"/>
          <w:sz w:val="24"/>
          <w:szCs w:val="32"/>
          <w:highlight w:val="none"/>
          <w:lang w:val="zh-CN"/>
          <w14:textFill>
            <w14:solidFill>
              <w14:schemeClr w14:val="tx1"/>
            </w14:solidFill>
          </w14:textFill>
        </w:rPr>
      </w:pPr>
    </w:p>
    <w:p w14:paraId="1441AAE5">
      <w:pPr>
        <w:pStyle w:val="10"/>
        <w:shd w:val="clear"/>
        <w:rPr>
          <w:rFonts w:hint="eastAsia" w:ascii="宋体" w:hAnsi="宋体" w:cs="宋体"/>
          <w:color w:val="000000" w:themeColor="text1"/>
          <w:sz w:val="24"/>
          <w:szCs w:val="32"/>
          <w:highlight w:val="none"/>
          <w:lang w:val="zh-CN"/>
          <w14:textFill>
            <w14:solidFill>
              <w14:schemeClr w14:val="tx1"/>
            </w14:solidFill>
          </w14:textFill>
        </w:rPr>
      </w:pPr>
    </w:p>
    <w:p w14:paraId="13D28056">
      <w:pPr>
        <w:pStyle w:val="11"/>
        <w:shd w:val="clear"/>
        <w:rPr>
          <w:rFonts w:hint="eastAsia" w:ascii="宋体" w:hAnsi="宋体" w:cs="宋体"/>
          <w:color w:val="000000" w:themeColor="text1"/>
          <w:sz w:val="24"/>
          <w:szCs w:val="32"/>
          <w:highlight w:val="none"/>
          <w:lang w:val="zh-CN"/>
          <w14:textFill>
            <w14:solidFill>
              <w14:schemeClr w14:val="tx1"/>
            </w14:solidFill>
          </w14:textFill>
        </w:rPr>
      </w:pPr>
    </w:p>
    <w:p w14:paraId="7EB00A0B">
      <w:pPr>
        <w:shd w:val="clear"/>
        <w:rPr>
          <w:rFonts w:hint="eastAsia" w:ascii="宋体" w:hAnsi="宋体" w:cs="宋体"/>
          <w:color w:val="000000" w:themeColor="text1"/>
          <w:sz w:val="24"/>
          <w:szCs w:val="32"/>
          <w:highlight w:val="none"/>
          <w:lang w:val="zh-CN"/>
          <w14:textFill>
            <w14:solidFill>
              <w14:schemeClr w14:val="tx1"/>
            </w14:solidFill>
          </w14:textFill>
        </w:rPr>
      </w:pPr>
    </w:p>
    <w:p w14:paraId="2694D0A0">
      <w:pPr>
        <w:pStyle w:val="10"/>
        <w:shd w:val="clear"/>
        <w:rPr>
          <w:rFonts w:hint="eastAsia" w:ascii="宋体" w:hAnsi="宋体" w:cs="宋体"/>
          <w:color w:val="000000" w:themeColor="text1"/>
          <w:sz w:val="24"/>
          <w:szCs w:val="32"/>
          <w:highlight w:val="none"/>
          <w:lang w:val="zh-CN"/>
          <w14:textFill>
            <w14:solidFill>
              <w14:schemeClr w14:val="tx1"/>
            </w14:solidFill>
          </w14:textFill>
        </w:rPr>
      </w:pPr>
    </w:p>
    <w:p w14:paraId="0AD6CB1B">
      <w:pPr>
        <w:pStyle w:val="11"/>
        <w:shd w:val="clear"/>
        <w:rPr>
          <w:rFonts w:hint="eastAsia" w:ascii="宋体" w:hAnsi="宋体" w:cs="宋体"/>
          <w:color w:val="000000" w:themeColor="text1"/>
          <w:sz w:val="24"/>
          <w:szCs w:val="32"/>
          <w:highlight w:val="none"/>
          <w:lang w:val="zh-CN"/>
          <w14:textFill>
            <w14:solidFill>
              <w14:schemeClr w14:val="tx1"/>
            </w14:solidFill>
          </w14:textFill>
        </w:rPr>
      </w:pPr>
    </w:p>
    <w:p w14:paraId="21D1507E">
      <w:pPr>
        <w:shd w:val="clear"/>
        <w:rPr>
          <w:rFonts w:hint="eastAsia" w:ascii="宋体" w:hAnsi="宋体" w:cs="宋体"/>
          <w:color w:val="000000" w:themeColor="text1"/>
          <w:sz w:val="24"/>
          <w:szCs w:val="32"/>
          <w:highlight w:val="none"/>
          <w:lang w:val="zh-CN"/>
          <w14:textFill>
            <w14:solidFill>
              <w14:schemeClr w14:val="tx1"/>
            </w14:solidFill>
          </w14:textFill>
        </w:rPr>
      </w:pPr>
      <w:bookmarkStart w:id="3" w:name="_GoBack"/>
      <w:bookmarkEnd w:id="3"/>
    </w:p>
    <w:p w14:paraId="1BEF257D">
      <w:pPr>
        <w:pStyle w:val="10"/>
        <w:shd w:val="clear"/>
        <w:rPr>
          <w:rFonts w:hint="eastAsia" w:ascii="宋体" w:hAnsi="宋体" w:cs="宋体"/>
          <w:color w:val="000000" w:themeColor="text1"/>
          <w:sz w:val="24"/>
          <w:szCs w:val="32"/>
          <w:highlight w:val="none"/>
          <w:lang w:val="zh-CN"/>
          <w14:textFill>
            <w14:solidFill>
              <w14:schemeClr w14:val="tx1"/>
            </w14:solidFill>
          </w14:textFill>
        </w:rPr>
      </w:pPr>
    </w:p>
    <w:p w14:paraId="6A0DACBA">
      <w:pPr>
        <w:pStyle w:val="11"/>
        <w:shd w:val="clear"/>
        <w:rPr>
          <w:rFonts w:hint="eastAsia" w:ascii="宋体" w:hAnsi="宋体" w:cs="宋体"/>
          <w:color w:val="000000" w:themeColor="text1"/>
          <w:sz w:val="24"/>
          <w:szCs w:val="32"/>
          <w:highlight w:val="none"/>
          <w:lang w:val="zh-CN"/>
          <w14:textFill>
            <w14:solidFill>
              <w14:schemeClr w14:val="tx1"/>
            </w14:solidFill>
          </w14:textFill>
        </w:rPr>
      </w:pPr>
    </w:p>
    <w:p w14:paraId="3D94507F">
      <w:pPr>
        <w:shd w:val="clear"/>
        <w:rPr>
          <w:rFonts w:hint="eastAsia"/>
          <w:color w:val="000000" w:themeColor="text1"/>
          <w:highlight w:val="none"/>
          <w:lang w:val="zh-CN"/>
          <w14:textFill>
            <w14:solidFill>
              <w14:schemeClr w14:val="tx1"/>
            </w14:solidFill>
          </w14:textFill>
        </w:rPr>
      </w:pPr>
    </w:p>
    <w:p w14:paraId="1C8ADD1E">
      <w:pPr>
        <w:pStyle w:val="2"/>
        <w:shd w:val="clear"/>
        <w:rPr>
          <w:rFonts w:hint="eastAsia"/>
          <w:color w:val="000000" w:themeColor="text1"/>
          <w:highlight w:val="none"/>
          <w:lang w:val="zh-CN"/>
          <w14:textFill>
            <w14:solidFill>
              <w14:schemeClr w14:val="tx1"/>
            </w14:solidFill>
          </w14:textFill>
        </w:rPr>
      </w:pPr>
    </w:p>
    <w:p w14:paraId="2C2D30DB">
      <w:pPr>
        <w:shd w:val="clear"/>
        <w:rPr>
          <w:rFonts w:hint="eastAsia"/>
          <w:color w:val="000000" w:themeColor="text1"/>
          <w:highlight w:val="none"/>
          <w:lang w:val="zh-CN"/>
          <w14:textFill>
            <w14:solidFill>
              <w14:schemeClr w14:val="tx1"/>
            </w14:solidFill>
          </w14:textFill>
        </w:rPr>
      </w:pPr>
    </w:p>
    <w:p w14:paraId="484FF64A">
      <w:pPr>
        <w:pStyle w:val="2"/>
        <w:shd w:val="clear"/>
        <w:rPr>
          <w:rFonts w:hint="eastAsia"/>
          <w:color w:val="000000" w:themeColor="text1"/>
          <w:highlight w:val="none"/>
          <w:lang w:val="zh-CN"/>
          <w14:textFill>
            <w14:solidFill>
              <w14:schemeClr w14:val="tx1"/>
            </w14:solidFill>
          </w14:textFill>
        </w:rPr>
      </w:pPr>
    </w:p>
    <w:p w14:paraId="536E5C0F">
      <w:pPr>
        <w:shd w:val="clear"/>
        <w:rPr>
          <w:rFonts w:hint="eastAsia"/>
          <w:color w:val="000000" w:themeColor="text1"/>
          <w:highlight w:val="none"/>
          <w:lang w:val="zh-CN"/>
          <w14:textFill>
            <w14:solidFill>
              <w14:schemeClr w14:val="tx1"/>
            </w14:solidFill>
          </w14:textFill>
        </w:rPr>
      </w:pPr>
    </w:p>
    <w:p w14:paraId="6494F719">
      <w:pPr>
        <w:numPr>
          <w:ilvl w:val="0"/>
          <w:numId w:val="5"/>
        </w:num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项目需求</w:t>
      </w:r>
    </w:p>
    <w:p w14:paraId="175B13F8">
      <w:pPr>
        <w:pStyle w:val="13"/>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一、项目概况</w:t>
      </w:r>
    </w:p>
    <w:tbl>
      <w:tblPr>
        <w:tblStyle w:val="28"/>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105"/>
        <w:gridCol w:w="441"/>
        <w:gridCol w:w="420"/>
        <w:gridCol w:w="1020"/>
        <w:gridCol w:w="3642"/>
      </w:tblGrid>
      <w:tr w14:paraId="60FC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54343A02">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序</w:t>
            </w:r>
            <w:r>
              <w:rPr>
                <w:rFonts w:hint="eastAsia" w:ascii="宋体" w:hAnsi="宋体"/>
                <w:b/>
                <w:color w:val="000000" w:themeColor="text1"/>
                <w:sz w:val="24"/>
                <w:szCs w:val="24"/>
                <w:highlight w:val="none"/>
                <w14:textFill>
                  <w14:solidFill>
                    <w14:schemeClr w14:val="tx1"/>
                  </w14:solidFill>
                </w14:textFill>
              </w:rPr>
              <w:t>号</w:t>
            </w:r>
          </w:p>
        </w:tc>
        <w:tc>
          <w:tcPr>
            <w:tcW w:w="2141" w:type="dxa"/>
            <w:noWrap w:val="0"/>
            <w:vAlign w:val="center"/>
          </w:tcPr>
          <w:p w14:paraId="0476A1A1">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项目名称</w:t>
            </w:r>
          </w:p>
        </w:tc>
        <w:tc>
          <w:tcPr>
            <w:tcW w:w="1105" w:type="dxa"/>
            <w:noWrap w:val="0"/>
            <w:vAlign w:val="center"/>
          </w:tcPr>
          <w:p w14:paraId="58B32BDB">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简要技术要求</w:t>
            </w:r>
          </w:p>
        </w:tc>
        <w:tc>
          <w:tcPr>
            <w:tcW w:w="441" w:type="dxa"/>
            <w:noWrap w:val="0"/>
            <w:vAlign w:val="center"/>
          </w:tcPr>
          <w:p w14:paraId="68673BFF">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数量</w:t>
            </w:r>
          </w:p>
        </w:tc>
        <w:tc>
          <w:tcPr>
            <w:tcW w:w="420" w:type="dxa"/>
            <w:noWrap w:val="0"/>
            <w:vAlign w:val="center"/>
          </w:tcPr>
          <w:p w14:paraId="44542F4C">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单位</w:t>
            </w:r>
          </w:p>
        </w:tc>
        <w:tc>
          <w:tcPr>
            <w:tcW w:w="1020" w:type="dxa"/>
            <w:noWrap w:val="0"/>
            <w:vAlign w:val="center"/>
          </w:tcPr>
          <w:p w14:paraId="12B2DF44">
            <w:pPr>
              <w:shd w:val="clear"/>
              <w:tabs>
                <w:tab w:val="left" w:pos="8280"/>
              </w:tabs>
              <w:autoSpaceDE w:val="0"/>
              <w:autoSpaceDN w:val="0"/>
              <w:adjustRightInd w:val="0"/>
              <w:ind w:right="25"/>
              <w:jc w:val="center"/>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预算</w:t>
            </w:r>
          </w:p>
          <w:p w14:paraId="2FF495C0">
            <w:pPr>
              <w:shd w:val="clear"/>
              <w:tabs>
                <w:tab w:val="left" w:pos="8280"/>
              </w:tabs>
              <w:autoSpaceDE w:val="0"/>
              <w:autoSpaceDN w:val="0"/>
              <w:adjustRightInd w:val="0"/>
              <w:ind w:right="25"/>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（万元）</w:t>
            </w:r>
          </w:p>
        </w:tc>
        <w:tc>
          <w:tcPr>
            <w:tcW w:w="3642" w:type="dxa"/>
            <w:noWrap w:val="0"/>
            <w:vAlign w:val="center"/>
          </w:tcPr>
          <w:p w14:paraId="7C142AF5">
            <w:pPr>
              <w:shd w:val="clear"/>
              <w:tabs>
                <w:tab w:val="left" w:pos="8280"/>
              </w:tabs>
              <w:autoSpaceDE w:val="0"/>
              <w:autoSpaceDN w:val="0"/>
              <w:adjustRightInd w:val="0"/>
              <w:ind w:right="25" w:firstLine="240"/>
              <w:jc w:val="center"/>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服务期限</w:t>
            </w:r>
          </w:p>
        </w:tc>
      </w:tr>
      <w:tr w14:paraId="43E0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089EBB17">
            <w:pPr>
              <w:shd w:val="clear"/>
              <w:tabs>
                <w:tab w:val="left" w:pos="8280"/>
              </w:tabs>
              <w:autoSpaceDE w:val="0"/>
              <w:autoSpaceDN w:val="0"/>
              <w:adjustRightInd w:val="0"/>
              <w:ind w:right="25"/>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2141" w:type="dxa"/>
            <w:noWrap w:val="0"/>
            <w:vAlign w:val="center"/>
          </w:tcPr>
          <w:p w14:paraId="2AB397B1">
            <w:pPr>
              <w:shd w:val="clear"/>
              <w:tabs>
                <w:tab w:val="left" w:pos="8280"/>
              </w:tabs>
              <w:autoSpaceDE w:val="0"/>
              <w:autoSpaceDN w:val="0"/>
              <w:adjustRightInd w:val="0"/>
              <w:ind w:right="25"/>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食堂劳务外包服务项目（二次）</w:t>
            </w:r>
          </w:p>
        </w:tc>
        <w:tc>
          <w:tcPr>
            <w:tcW w:w="1105" w:type="dxa"/>
            <w:noWrap w:val="0"/>
            <w:vAlign w:val="center"/>
          </w:tcPr>
          <w:p w14:paraId="1AE2CD9D">
            <w:pPr>
              <w:shd w:val="clear"/>
              <w:tabs>
                <w:tab w:val="left" w:pos="8280"/>
              </w:tabs>
              <w:autoSpaceDE w:val="0"/>
              <w:autoSpaceDN w:val="0"/>
              <w:adjustRightInd w:val="0"/>
              <w:ind w:right="25"/>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详见项目需求</w:t>
            </w:r>
          </w:p>
        </w:tc>
        <w:tc>
          <w:tcPr>
            <w:tcW w:w="441" w:type="dxa"/>
            <w:noWrap w:val="0"/>
            <w:vAlign w:val="center"/>
          </w:tcPr>
          <w:p w14:paraId="4144EF7F">
            <w:pPr>
              <w:shd w:val="clear"/>
              <w:tabs>
                <w:tab w:val="left" w:pos="8280"/>
              </w:tabs>
              <w:autoSpaceDE w:val="0"/>
              <w:autoSpaceDN w:val="0"/>
              <w:adjustRightInd w:val="0"/>
              <w:ind w:right="25"/>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420" w:type="dxa"/>
            <w:noWrap w:val="0"/>
            <w:vAlign w:val="center"/>
          </w:tcPr>
          <w:p w14:paraId="76A6BD20">
            <w:pPr>
              <w:widowControl/>
              <w:shd w:val="clea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项</w:t>
            </w:r>
          </w:p>
        </w:tc>
        <w:tc>
          <w:tcPr>
            <w:tcW w:w="1020" w:type="dxa"/>
            <w:noWrap w:val="0"/>
            <w:vAlign w:val="center"/>
          </w:tcPr>
          <w:p w14:paraId="54DDF23A">
            <w:pPr>
              <w:shd w:val="clear"/>
              <w:tabs>
                <w:tab w:val="left" w:pos="8280"/>
              </w:tabs>
              <w:autoSpaceDE w:val="0"/>
              <w:autoSpaceDN w:val="0"/>
              <w:adjustRightInd w:val="0"/>
              <w:ind w:right="25"/>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134.2/两年</w:t>
            </w:r>
          </w:p>
        </w:tc>
        <w:tc>
          <w:tcPr>
            <w:tcW w:w="3642" w:type="dxa"/>
            <w:noWrap w:val="0"/>
            <w:vAlign w:val="center"/>
          </w:tcPr>
          <w:p w14:paraId="7927B9D9">
            <w:pPr>
              <w:shd w:val="clear"/>
              <w:tabs>
                <w:tab w:val="left" w:pos="8280"/>
              </w:tabs>
              <w:autoSpaceDE w:val="0"/>
              <w:autoSpaceDN w:val="0"/>
              <w:adjustRightInd w:val="0"/>
              <w:ind w:right="25"/>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服务期限：两年。</w:t>
            </w:r>
            <w:r>
              <w:rPr>
                <w:rFonts w:hint="eastAsia" w:ascii="宋体" w:hAnsi="宋体" w:cs="宋体"/>
                <w:b/>
                <w:bCs/>
                <w:color w:val="000000" w:themeColor="text1"/>
                <w:sz w:val="24"/>
                <w:szCs w:val="24"/>
                <w:highlight w:val="none"/>
                <w:lang w:val="en-US" w:eastAsia="zh-CN"/>
                <w14:textFill>
                  <w14:solidFill>
                    <w14:schemeClr w14:val="tx1"/>
                  </w14:solidFill>
                </w14:textFill>
              </w:rPr>
              <w:t>合同一年一签</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default" w:cs="Times New Roman"/>
                <w:b w:val="0"/>
                <w:bCs w:val="0"/>
                <w:color w:val="000000" w:themeColor="text1"/>
                <w:sz w:val="24"/>
                <w:szCs w:val="24"/>
                <w:highlight w:val="none"/>
                <w:lang w:val="en-US" w:eastAsia="zh-CN"/>
                <w14:textFill>
                  <w14:solidFill>
                    <w14:schemeClr w14:val="tx1"/>
                  </w14:solidFill>
                </w14:textFill>
              </w:rPr>
              <w:t>续签年份财政预算金额未达到原合同金额且中标供应商不同意按新的预算金额续签合同的或者续签年份财政预算未通过的，续签合同的约定自动失效，新合同中供应商利益不得高于原合同，新合同签订之前必须报监督部门审批并备案</w:t>
            </w:r>
            <w:r>
              <w:rPr>
                <w:rFonts w:hint="eastAsia" w:cs="Times New Roman"/>
                <w:b w:val="0"/>
                <w:bCs w:val="0"/>
                <w:color w:val="000000" w:themeColor="text1"/>
                <w:sz w:val="24"/>
                <w:szCs w:val="24"/>
                <w:highlight w:val="none"/>
                <w:lang w:val="en-US" w:eastAsia="zh-CN"/>
                <w14:textFill>
                  <w14:solidFill>
                    <w14:schemeClr w14:val="tx1"/>
                  </w14:solidFill>
                </w14:textFill>
              </w:rPr>
              <w:t>）</w:t>
            </w:r>
          </w:p>
        </w:tc>
      </w:tr>
    </w:tbl>
    <w:p w14:paraId="546BFDAA">
      <w:pPr>
        <w:pStyle w:val="13"/>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二、项目内容</w:t>
      </w:r>
    </w:p>
    <w:p w14:paraId="0656FAC6">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（一）承包内容</w:t>
      </w:r>
    </w:p>
    <w:p w14:paraId="7A2CE460">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承包经营</w:t>
      </w:r>
      <w:r>
        <w:rPr>
          <w:rFonts w:hint="eastAsia" w:ascii="宋体" w:hAnsi="宋体" w:eastAsia="宋体" w:cs="宋体"/>
          <w:color w:val="000000" w:themeColor="text1"/>
          <w:sz w:val="24"/>
          <w:szCs w:val="24"/>
          <w:highlight w:val="none"/>
          <w:lang w:eastAsia="zh-CN"/>
          <w14:textFill>
            <w14:solidFill>
              <w14:schemeClr w14:val="tx1"/>
            </w14:solidFill>
          </w14:textFill>
        </w:rPr>
        <w:t>路桥法院</w:t>
      </w:r>
      <w:r>
        <w:rPr>
          <w:rFonts w:hint="eastAsia" w:ascii="宋体" w:hAnsi="宋体" w:eastAsia="宋体" w:cs="宋体"/>
          <w:color w:val="000000" w:themeColor="text1"/>
          <w:sz w:val="24"/>
          <w:szCs w:val="24"/>
          <w:highlight w:val="none"/>
          <w14:textFill>
            <w14:solidFill>
              <w14:schemeClr w14:val="tx1"/>
            </w14:solidFill>
          </w14:textFill>
        </w:rPr>
        <w:t>食堂，提供食堂炊事、保洁等劳务服务，负责供应职工早、中、晚餐，并根据实际需要提供会议（培训）和公务接待用餐服务。在确保上述就餐正常供应情况下，可根据职工需要，兼营小炒餐饮业务。食堂经营实行每周双休制</w:t>
      </w:r>
      <w:r>
        <w:rPr>
          <w:rFonts w:hint="eastAsia" w:ascii="宋体" w:hAnsi="宋体" w:eastAsia="宋体" w:cs="宋体"/>
          <w:color w:val="000000" w:themeColor="text1"/>
          <w:sz w:val="24"/>
          <w:szCs w:val="24"/>
          <w:highlight w:val="none"/>
          <w:lang w:eastAsia="zh-CN"/>
          <w14:textFill>
            <w14:solidFill>
              <w14:schemeClr w14:val="tx1"/>
            </w14:solidFill>
          </w14:textFill>
        </w:rPr>
        <w:t>（特殊情况除外）</w:t>
      </w:r>
      <w:r>
        <w:rPr>
          <w:rFonts w:hint="eastAsia" w:ascii="宋体" w:hAnsi="宋体" w:eastAsia="宋体" w:cs="宋体"/>
          <w:color w:val="000000" w:themeColor="text1"/>
          <w:sz w:val="24"/>
          <w:szCs w:val="24"/>
          <w:highlight w:val="none"/>
          <w14:textFill>
            <w14:solidFill>
              <w14:schemeClr w14:val="tx1"/>
            </w14:solidFill>
          </w14:textFill>
        </w:rPr>
        <w:t>，日常用餐规模人数约400人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早餐</w:t>
      </w:r>
      <w:r>
        <w:rPr>
          <w:rFonts w:hint="eastAsia" w:ascii="宋体" w:hAnsi="宋体" w:eastAsia="宋体" w:cs="宋体"/>
          <w:color w:val="000000" w:themeColor="text1"/>
          <w:sz w:val="24"/>
          <w:szCs w:val="24"/>
          <w:highlight w:val="none"/>
          <w:lang w:eastAsia="zh-CN"/>
          <w14:textFill>
            <w14:solidFill>
              <w14:schemeClr w14:val="tx1"/>
            </w14:solidFill>
          </w14:textFill>
        </w:rPr>
        <w:t>约</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0人，中餐约</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lang w:val="en-US" w:eastAsia="zh-CN"/>
          <w14:textFill>
            <w14:solidFill>
              <w14:schemeClr w14:val="tx1"/>
            </w14:solidFill>
          </w14:textFill>
        </w:rPr>
        <w:t>0人，晚餐视情况而定）</w:t>
      </w:r>
      <w:r>
        <w:rPr>
          <w:rFonts w:hint="eastAsia" w:ascii="宋体" w:hAnsi="宋体" w:eastAsia="宋体" w:cs="宋体"/>
          <w:color w:val="000000" w:themeColor="text1"/>
          <w:sz w:val="24"/>
          <w:szCs w:val="24"/>
          <w:highlight w:val="none"/>
          <w14:textFill>
            <w14:solidFill>
              <w14:schemeClr w14:val="tx1"/>
            </w14:solidFill>
          </w14:textFill>
        </w:rPr>
        <w:t>，其他用餐按实际情况提前告知予以保障。</w:t>
      </w:r>
    </w:p>
    <w:p w14:paraId="3B0AAE1C">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（二）具体要求</w:t>
      </w:r>
    </w:p>
    <w:p w14:paraId="56F2D4AC">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1.中标人应根据采购人的要求，于每周四下班前制订好下一周食谱，报采购人审定后实施。食谱的制订应按照应时、应地、应人的原则，倡导少油、少糖、少盐的健康理念，做到周周有创新，具体要求如下：</w:t>
      </w:r>
    </w:p>
    <w:p w14:paraId="0C78ED6F">
      <w:pPr>
        <w:keepNext w:val="0"/>
        <w:keepLines w:val="0"/>
        <w:pageBreakBefore w:val="0"/>
        <w:widowControl w:val="0"/>
        <w:shd w:val="clear"/>
        <w:kinsoku/>
        <w:wordWrap/>
        <w:overflowPunct/>
        <w:topLinePunct w:val="0"/>
        <w:bidi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①早餐主要为肉包、馒头、菜包、汤面、水饺、炒面</w:t>
      </w:r>
      <w:r>
        <w:rPr>
          <w:rFonts w:hint="eastAsia" w:ascii="宋体" w:hAnsi="宋体" w:eastAsia="宋体" w:cs="宋体"/>
          <w:color w:val="000000" w:themeColor="text1"/>
          <w:sz w:val="24"/>
          <w:szCs w:val="24"/>
          <w:highlight w:val="none"/>
          <w:lang w:eastAsia="zh-CN"/>
          <w14:textFill>
            <w14:solidFill>
              <w14:schemeClr w14:val="tx1"/>
            </w14:solidFill>
          </w14:textFill>
        </w:rPr>
        <w:t>、粥、西式点心</w:t>
      </w:r>
      <w:r>
        <w:rPr>
          <w:rFonts w:hint="eastAsia" w:ascii="宋体" w:hAnsi="宋体" w:eastAsia="宋体" w:cs="宋体"/>
          <w:color w:val="000000" w:themeColor="text1"/>
          <w:sz w:val="24"/>
          <w:szCs w:val="24"/>
          <w:highlight w:val="none"/>
          <w14:textFill>
            <w14:solidFill>
              <w14:schemeClr w14:val="tx1"/>
            </w14:solidFill>
          </w14:textFill>
        </w:rPr>
        <w:t>等不少于8</w:t>
      </w:r>
      <w:r>
        <w:rPr>
          <w:rFonts w:hint="eastAsia" w:ascii="宋体" w:hAnsi="宋体" w:eastAsia="宋体" w:cs="宋体"/>
          <w:color w:val="000000" w:themeColor="text1"/>
          <w:sz w:val="24"/>
          <w:szCs w:val="24"/>
          <w:highlight w:val="none"/>
          <w:lang w:eastAsia="zh-CN"/>
          <w14:textFill>
            <w14:solidFill>
              <w14:schemeClr w14:val="tx1"/>
            </w14:solidFill>
          </w14:textFill>
        </w:rPr>
        <w:t>种，小菜</w:t>
      </w:r>
      <w:r>
        <w:rPr>
          <w:rFonts w:hint="eastAsia" w:ascii="宋体" w:hAnsi="宋体" w:eastAsia="宋体" w:cs="宋体"/>
          <w:color w:val="000000" w:themeColor="text1"/>
          <w:sz w:val="24"/>
          <w:szCs w:val="24"/>
          <w:highlight w:val="none"/>
          <w:lang w:val="en-US" w:eastAsia="zh-CN"/>
          <w14:textFill>
            <w14:solidFill>
              <w14:schemeClr w14:val="tx1"/>
            </w14:solidFill>
          </w14:textFill>
        </w:rPr>
        <w:t>3种以上，为保证菜品新鲜当天提供的食品当天制作（特殊小菜除外）</w:t>
      </w:r>
      <w:r>
        <w:rPr>
          <w:rFonts w:hint="eastAsia" w:ascii="宋体" w:hAnsi="宋体" w:eastAsia="宋体" w:cs="宋体"/>
          <w:color w:val="000000" w:themeColor="text1"/>
          <w:sz w:val="24"/>
          <w:szCs w:val="24"/>
          <w:highlight w:val="none"/>
          <w14:textFill>
            <w14:solidFill>
              <w14:schemeClr w14:val="tx1"/>
            </w14:solidFill>
          </w14:textFill>
        </w:rPr>
        <w:t>，中餐至少保障</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0个品种以上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晚餐至少保障</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个品种以</w:t>
      </w:r>
      <w:r>
        <w:rPr>
          <w:rFonts w:hint="eastAsia" w:ascii="宋体" w:hAnsi="宋体" w:eastAsia="宋体" w:cs="宋体"/>
          <w:color w:val="000000" w:themeColor="text1"/>
          <w:sz w:val="24"/>
          <w:szCs w:val="24"/>
          <w:highlight w:val="none"/>
          <w:lang w:eastAsia="zh-CN"/>
          <w14:textFill>
            <w14:solidFill>
              <w14:schemeClr w14:val="tx1"/>
            </w14:solidFill>
          </w14:textFill>
        </w:rPr>
        <w:t>上，经采购人同意，适当穿插安排有特色的主食或营养健康餐等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品种要</w:t>
      </w:r>
      <w:r>
        <w:rPr>
          <w:rFonts w:hint="eastAsia" w:ascii="宋体" w:hAnsi="宋体" w:eastAsia="宋体" w:cs="宋体"/>
          <w:color w:val="000000" w:themeColor="text1"/>
          <w:sz w:val="24"/>
          <w:szCs w:val="24"/>
          <w:highlight w:val="none"/>
          <w14:textFill>
            <w14:solidFill>
              <w14:schemeClr w14:val="tx1"/>
            </w14:solidFill>
          </w14:textFill>
        </w:rPr>
        <w:t>荤素搭配，</w:t>
      </w:r>
      <w:r>
        <w:rPr>
          <w:rFonts w:hint="eastAsia" w:ascii="宋体" w:hAnsi="宋体" w:eastAsia="宋体" w:cs="宋体"/>
          <w:color w:val="000000" w:themeColor="text1"/>
          <w:sz w:val="24"/>
          <w:szCs w:val="24"/>
          <w:highlight w:val="none"/>
          <w:lang w:eastAsia="zh-CN"/>
          <w14:textFill>
            <w14:solidFill>
              <w14:schemeClr w14:val="tx1"/>
            </w14:solidFill>
          </w14:textFill>
        </w:rPr>
        <w:t>定期推出特色</w:t>
      </w:r>
      <w:r>
        <w:rPr>
          <w:rFonts w:hint="eastAsia" w:ascii="宋体" w:hAnsi="宋体" w:eastAsia="宋体" w:cs="宋体"/>
          <w:color w:val="000000" w:themeColor="text1"/>
          <w:sz w:val="24"/>
          <w:szCs w:val="24"/>
          <w:highlight w:val="none"/>
          <w14:textFill>
            <w14:solidFill>
              <w14:schemeClr w14:val="tx1"/>
            </w14:solidFill>
          </w14:textFill>
        </w:rPr>
        <w:t>卤</w:t>
      </w:r>
      <w:r>
        <w:rPr>
          <w:rFonts w:hint="eastAsia" w:ascii="宋体" w:hAnsi="宋体" w:eastAsia="宋体" w:cs="宋体"/>
          <w:color w:val="000000" w:themeColor="text1"/>
          <w:sz w:val="24"/>
          <w:szCs w:val="24"/>
          <w:highlight w:val="none"/>
          <w:lang w:eastAsia="zh-CN"/>
          <w14:textFill>
            <w14:solidFill>
              <w14:schemeClr w14:val="tx1"/>
            </w14:solidFill>
          </w14:textFill>
        </w:rPr>
        <w:t>品</w:t>
      </w:r>
      <w:r>
        <w:rPr>
          <w:rFonts w:hint="eastAsia" w:ascii="宋体" w:hAnsi="宋体" w:eastAsia="宋体" w:cs="宋体"/>
          <w:color w:val="000000" w:themeColor="text1"/>
          <w:sz w:val="24"/>
          <w:szCs w:val="24"/>
          <w:highlight w:val="none"/>
          <w14:textFill>
            <w14:solidFill>
              <w14:schemeClr w14:val="tx1"/>
            </w14:solidFill>
          </w14:textFill>
        </w:rPr>
        <w:t>，具体花色、品种调整核定由采购人负责审定。</w:t>
      </w:r>
      <w:r>
        <w:rPr>
          <w:rFonts w:hint="eastAsia" w:ascii="宋体" w:hAnsi="宋体" w:eastAsia="宋体" w:cs="宋体"/>
          <w:color w:val="000000" w:themeColor="text1"/>
          <w:sz w:val="24"/>
          <w:szCs w:val="24"/>
          <w:highlight w:val="none"/>
          <w:lang w:eastAsia="zh-CN"/>
          <w14:textFill>
            <w14:solidFill>
              <w14:schemeClr w14:val="tx1"/>
            </w14:solidFill>
          </w14:textFill>
        </w:rPr>
        <w:t>公务接待用餐中，需研究提供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2-3个具有特色辨识度的菜品。</w:t>
      </w:r>
    </w:p>
    <w:p w14:paraId="6D52B151">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中标人根据就餐人数和食材成本及有关损耗，按照“保本经营”原则确定每个菜品的价格，并报采购人审定，价格一经审定后，中标人不得擅自改动。价格的制定既要让就餐机关干部职工吃得实惠，又要保证采购人每月不发生亏损的原则。</w:t>
      </w:r>
    </w:p>
    <w:p w14:paraId="7FC47770">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2.原材料的采购由采购人负责，油、米、调料及低值易耗品也由采购人提供并计入成本。</w:t>
      </w:r>
    </w:p>
    <w:p w14:paraId="331ED620">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（三）承包费用和期限</w:t>
      </w:r>
    </w:p>
    <w:p w14:paraId="7F2C4931">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年承包费用。其中包括人工费、管理费、税费、服装费、</w:t>
      </w:r>
      <w:r>
        <w:rPr>
          <w:rFonts w:hint="eastAsia" w:ascii="宋体" w:hAnsi="宋体" w:eastAsia="宋体" w:cs="宋体"/>
          <w:color w:val="000000" w:themeColor="text1"/>
          <w:sz w:val="24"/>
          <w:szCs w:val="24"/>
          <w:highlight w:val="none"/>
          <w:lang w:eastAsia="zh-CN"/>
          <w14:textFill>
            <w14:solidFill>
              <w14:schemeClr w14:val="tx1"/>
            </w14:solidFill>
          </w14:textFill>
        </w:rPr>
        <w:t>公务或会议培训等接待服务费</w:t>
      </w:r>
      <w:r>
        <w:rPr>
          <w:rFonts w:hint="eastAsia" w:ascii="宋体" w:hAnsi="宋体" w:eastAsia="宋体" w:cs="宋体"/>
          <w:color w:val="000000" w:themeColor="text1"/>
          <w:sz w:val="24"/>
          <w:szCs w:val="24"/>
          <w:highlight w:val="none"/>
          <w14:textFill>
            <w14:solidFill>
              <w14:schemeClr w14:val="tx1"/>
            </w14:solidFill>
          </w14:textFill>
        </w:rPr>
        <w:t>及用工人员的一切费用。（不包括场租、煤气费、水电费）。</w:t>
      </w:r>
    </w:p>
    <w:p w14:paraId="6B14DF3E">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承包方式：</w:t>
      </w:r>
      <w:r>
        <w:rPr>
          <w:rFonts w:hint="eastAsia" w:ascii="宋体" w:hAnsi="宋体" w:eastAsia="宋体" w:cs="宋体"/>
          <w:color w:val="000000" w:themeColor="text1"/>
          <w:sz w:val="24"/>
          <w:szCs w:val="24"/>
          <w:highlight w:val="none"/>
          <w:lang w:eastAsia="zh-CN"/>
          <w14:textFill>
            <w14:solidFill>
              <w14:schemeClr w14:val="tx1"/>
            </w14:solidFill>
          </w14:textFill>
        </w:rPr>
        <w:t>在承包期内，如采购人同意续签，</w:t>
      </w:r>
      <w:r>
        <w:rPr>
          <w:rFonts w:hint="eastAsia" w:ascii="宋体" w:hAnsi="宋体" w:eastAsia="宋体" w:cs="宋体"/>
          <w:color w:val="000000" w:themeColor="text1"/>
          <w:sz w:val="24"/>
          <w:szCs w:val="24"/>
          <w:highlight w:val="none"/>
          <w14:textFill>
            <w14:solidFill>
              <w14:schemeClr w14:val="tx1"/>
            </w14:solidFill>
          </w14:textFill>
        </w:rPr>
        <w:t>中标人必须无条件</w:t>
      </w:r>
      <w:r>
        <w:rPr>
          <w:rFonts w:hint="eastAsia" w:ascii="宋体" w:hAnsi="宋体" w:eastAsia="宋体" w:cs="宋体"/>
          <w:color w:val="000000" w:themeColor="text1"/>
          <w:sz w:val="24"/>
          <w:szCs w:val="24"/>
          <w:highlight w:val="none"/>
          <w:lang w:eastAsia="zh-CN"/>
          <w14:textFill>
            <w14:solidFill>
              <w14:schemeClr w14:val="tx1"/>
            </w14:solidFill>
          </w14:textFill>
        </w:rPr>
        <w:t>续签</w:t>
      </w:r>
      <w:r>
        <w:rPr>
          <w:rFonts w:hint="eastAsia" w:ascii="宋体" w:hAnsi="宋体" w:eastAsia="宋体" w:cs="宋体"/>
          <w:color w:val="000000" w:themeColor="text1"/>
          <w:sz w:val="24"/>
          <w:szCs w:val="24"/>
          <w:highlight w:val="none"/>
          <w14:textFill>
            <w14:solidFill>
              <w14:schemeClr w14:val="tx1"/>
            </w14:solidFill>
          </w14:textFill>
        </w:rPr>
        <w:t>并履行合同义务，否则合同履约保证金没收。</w:t>
      </w:r>
    </w:p>
    <w:p w14:paraId="73F97ABA">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3.承包服务起止时间：202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年</w:t>
      </w:r>
      <w:r>
        <w:rPr>
          <w:rFonts w:hint="eastAsia" w:ascii="宋体" w:hAnsi="宋体" w:eastAsia="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日至202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年</w:t>
      </w:r>
      <w:r>
        <w:rPr>
          <w:rFonts w:hint="eastAsia" w:ascii="宋体" w:hAnsi="宋体" w:eastAsia="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日。</w:t>
      </w:r>
    </w:p>
    <w:p w14:paraId="3413EB3F">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食堂服务外包一年一考核，如果</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通过采购人考评的，经甲方集体讨论后</w:t>
      </w:r>
      <w:r>
        <w:rPr>
          <w:rFonts w:hint="eastAsia" w:ascii="宋体" w:hAnsi="宋体" w:eastAsia="宋体" w:cs="宋体"/>
          <w:b w:val="0"/>
          <w:bCs/>
          <w:color w:val="000000" w:themeColor="text1"/>
          <w:sz w:val="24"/>
          <w:szCs w:val="24"/>
          <w:highlight w:val="none"/>
          <w14:textFill>
            <w14:solidFill>
              <w14:schemeClr w14:val="tx1"/>
            </w14:solidFill>
          </w14:textFill>
        </w:rPr>
        <w:t>，可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继续由中标方承</w:t>
      </w:r>
      <w:r>
        <w:rPr>
          <w:rFonts w:hint="eastAsia" w:ascii="宋体" w:hAnsi="宋体" w:eastAsia="宋体" w:cs="宋体"/>
          <w:b w:val="0"/>
          <w:bCs/>
          <w:color w:val="000000" w:themeColor="text1"/>
          <w:sz w:val="24"/>
          <w:szCs w:val="24"/>
          <w:highlight w:val="none"/>
          <w14:textFill>
            <w14:solidFill>
              <w14:schemeClr w14:val="tx1"/>
            </w14:solidFill>
          </w14:textFill>
        </w:rPr>
        <w:t>包。如果由于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b w:val="0"/>
          <w:bCs/>
          <w:color w:val="000000" w:themeColor="text1"/>
          <w:sz w:val="24"/>
          <w:szCs w:val="24"/>
          <w:highlight w:val="none"/>
          <w14:textFill>
            <w14:solidFill>
              <w14:schemeClr w14:val="tx1"/>
            </w14:solidFill>
          </w14:textFill>
        </w:rPr>
        <w:t>方的原因食堂出现重大事件或</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b w:val="0"/>
          <w:bCs/>
          <w:color w:val="000000" w:themeColor="text1"/>
          <w:sz w:val="24"/>
          <w:szCs w:val="24"/>
          <w:highlight w:val="none"/>
          <w14:textFill>
            <w14:solidFill>
              <w14:schemeClr w14:val="tx1"/>
            </w14:solidFill>
          </w14:textFill>
        </w:rPr>
        <w:t>方不听从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 w:val="0"/>
          <w:bCs/>
          <w:color w:val="000000" w:themeColor="text1"/>
          <w:sz w:val="24"/>
          <w:szCs w:val="24"/>
          <w:highlight w:val="none"/>
          <w14:textFill>
            <w14:solidFill>
              <w14:schemeClr w14:val="tx1"/>
            </w14:solidFill>
          </w14:textFill>
        </w:rPr>
        <w:t>方有理的建议、不协助</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 w:val="0"/>
          <w:bCs/>
          <w:color w:val="000000" w:themeColor="text1"/>
          <w:sz w:val="24"/>
          <w:szCs w:val="24"/>
          <w:highlight w:val="none"/>
          <w14:textFill>
            <w14:solidFill>
              <w14:schemeClr w14:val="tx1"/>
            </w14:solidFill>
          </w14:textFill>
        </w:rPr>
        <w:t>方工作或因上级有关政策变更等，</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 w:val="0"/>
          <w:bCs/>
          <w:color w:val="000000" w:themeColor="text1"/>
          <w:sz w:val="24"/>
          <w:szCs w:val="24"/>
          <w:highlight w:val="none"/>
          <w14:textFill>
            <w14:solidFill>
              <w14:schemeClr w14:val="tx1"/>
            </w14:solidFill>
          </w14:textFill>
        </w:rPr>
        <w:t>方有权中途终止合同。</w:t>
      </w:r>
    </w:p>
    <w:p w14:paraId="20811016">
      <w:pPr>
        <w:pStyle w:val="13"/>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三、人员配置要求</w:t>
      </w:r>
    </w:p>
    <w:p w14:paraId="05B2D964">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1.派遣服务人员不少于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人。其中包括项目经理1名、厨师长1人、</w:t>
      </w:r>
      <w:r>
        <w:rPr>
          <w:rFonts w:hint="eastAsia" w:ascii="宋体" w:hAnsi="宋体" w:eastAsia="宋体" w:cs="宋体"/>
          <w:color w:val="000000" w:themeColor="text1"/>
          <w:sz w:val="24"/>
          <w:szCs w:val="24"/>
          <w:highlight w:val="none"/>
          <w:lang w:eastAsia="zh-CN"/>
          <w14:textFill>
            <w14:solidFill>
              <w14:schemeClr w14:val="tx1"/>
            </w14:solidFill>
          </w14:textFill>
        </w:rPr>
        <w:t>副</w:t>
      </w:r>
      <w:r>
        <w:rPr>
          <w:rFonts w:hint="eastAsia" w:ascii="宋体" w:hAnsi="宋体" w:eastAsia="宋体" w:cs="宋体"/>
          <w:color w:val="000000" w:themeColor="text1"/>
          <w:sz w:val="24"/>
          <w:szCs w:val="24"/>
          <w:highlight w:val="none"/>
          <w14:textFill>
            <w14:solidFill>
              <w14:schemeClr w14:val="tx1"/>
            </w14:solidFill>
          </w14:textFill>
        </w:rPr>
        <w:t>厨</w:t>
      </w:r>
      <w:r>
        <w:rPr>
          <w:rFonts w:hint="eastAsia" w:ascii="宋体" w:hAnsi="宋体" w:eastAsia="宋体" w:cs="宋体"/>
          <w:color w:val="000000" w:themeColor="text1"/>
          <w:sz w:val="24"/>
          <w:szCs w:val="24"/>
          <w:highlight w:val="none"/>
          <w:lang w:eastAsia="zh-CN"/>
          <w14:textFill>
            <w14:solidFill>
              <w14:schemeClr w14:val="tx1"/>
            </w14:solidFill>
          </w14:textFill>
        </w:rPr>
        <w:t>兼切配</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人、面点师</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勤杂工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，食堂工作人员（兼采购）</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，金清法庭厨师兼勤杂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1人</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素质要求符合相应服务岗位工作要求。</w:t>
      </w:r>
    </w:p>
    <w:p w14:paraId="67EFA119">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2.所有人员都要有相应餐饮行业工作经验，新晋人员要有不少于一周时间的岗前培训。男性年龄需在</w:t>
      </w:r>
      <w:r>
        <w:rPr>
          <w:rFonts w:hint="eastAsia" w:ascii="宋体" w:hAnsi="宋体" w:eastAsia="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14:textFill>
            <w14:solidFill>
              <w14:schemeClr w14:val="tx1"/>
            </w14:solidFill>
          </w14:textFill>
        </w:rPr>
        <w:t>周岁以下，女性年龄在5</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周岁以下。</w:t>
      </w:r>
    </w:p>
    <w:p w14:paraId="6D955034">
      <w:pPr>
        <w:pStyle w:val="10"/>
        <w:keepNext w:val="0"/>
        <w:keepLines w:val="0"/>
        <w:pageBreakBefore w:val="0"/>
        <w:widowControl w:val="0"/>
        <w:shd w:val="clear"/>
        <w:kinsoku/>
        <w:wordWrap/>
        <w:overflowPunct/>
        <w:topLinePunct w:val="0"/>
        <w:bidi w:val="0"/>
        <w:spacing w:after="0" w:line="360" w:lineRule="auto"/>
        <w:ind w:firstLine="480" w:firstLineChars="200"/>
        <w:textAlignment w:val="auto"/>
        <w:outlineLvl w:val="9"/>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经理要求具有中餐中级服务证书，并有三年以上知名酒店从业经验的服务师。厨师长要求具有中餐高级职业资格证书，并有五年以上知名酒店从业经验的专业厨师。面点师要求具有中式点心高级职业资格证书，并有五年以上知名酒店从业经验的专业点心师。</w:t>
      </w:r>
      <w:r>
        <w:rPr>
          <w:rFonts w:hint="eastAsia" w:ascii="宋体" w:hAnsi="宋体" w:cs="宋体"/>
          <w:color w:val="000000" w:themeColor="text1"/>
          <w:sz w:val="24"/>
          <w:szCs w:val="24"/>
          <w:highlight w:val="none"/>
          <w:u w:val="single"/>
          <w:lang w:eastAsia="zh-CN"/>
          <w14:textFill>
            <w14:solidFill>
              <w14:schemeClr w14:val="tx1"/>
            </w14:solidFill>
          </w14:textFill>
        </w:rPr>
        <w:t>以上人员业务能力派驻前需经采购方认可。</w:t>
      </w:r>
    </w:p>
    <w:p w14:paraId="0F321E22">
      <w:pPr>
        <w:pStyle w:val="10"/>
        <w:keepNext w:val="0"/>
        <w:keepLines w:val="0"/>
        <w:pageBreakBefore w:val="0"/>
        <w:widowControl w:val="0"/>
        <w:shd w:val="clear"/>
        <w:kinsoku/>
        <w:wordWrap/>
        <w:overflowPunct/>
        <w:topLinePunct w:val="0"/>
        <w:bidi w:val="0"/>
        <w:spacing w:after="0"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厨师长月工资不低于7500元（含社保），面点师月工资不低于7200元（含社保），食堂工作人员月工资不低于4900元，金清法庭厨师月工资不低于</w:t>
      </w:r>
      <w:r>
        <w:rPr>
          <w:rFonts w:hint="eastAsia" w:ascii="宋体" w:hAnsi="宋体" w:cs="宋体"/>
          <w:color w:val="000000" w:themeColor="text1"/>
          <w:sz w:val="24"/>
          <w:szCs w:val="24"/>
          <w:highlight w:val="none"/>
          <w:lang w:val="en-US" w:eastAsia="zh-CN"/>
          <w14:textFill>
            <w14:solidFill>
              <w14:schemeClr w14:val="tx1"/>
            </w14:solidFill>
          </w14:textFill>
        </w:rPr>
        <w:t>4000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p w14:paraId="242DF637">
      <w:pPr>
        <w:pStyle w:val="11"/>
        <w:shd w:val="clear"/>
        <w:spacing w:line="360" w:lineRule="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▲投标供应商投标时须承诺的人员中标后不得更换。</w:t>
      </w:r>
    </w:p>
    <w:p w14:paraId="6D6BD2CE">
      <w:pPr>
        <w:pStyle w:val="11"/>
        <w:numPr>
          <w:ilvl w:val="0"/>
          <w:numId w:val="0"/>
        </w:numPr>
        <w:shd w:val="clear"/>
        <w:spacing w:line="360" w:lineRule="auto"/>
        <w:ind w:firstLine="482" w:firstLineChars="200"/>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5.所有人员上岗前均须提供效健康合格证明给采购方备案。</w:t>
      </w:r>
    </w:p>
    <w:p w14:paraId="0A0CB124">
      <w:pPr>
        <w:numPr>
          <w:ilvl w:val="0"/>
          <w:numId w:val="0"/>
        </w:numPr>
        <w:shd w:val="clear"/>
        <w:spacing w:line="360" w:lineRule="auto"/>
        <w:ind w:firstLine="482" w:firstLineChars="200"/>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u w:val="none"/>
          <w:lang w:val="en-US" w:eastAsia="zh-CN" w:bidi="ar-SA"/>
          <w14:textFill>
            <w14:solidFill>
              <w14:schemeClr w14:val="tx1"/>
            </w14:solidFill>
          </w14:textFill>
        </w:rPr>
        <w:t>6.为便于开展工作，中标方工作人员统一在</w:t>
      </w:r>
      <w:r>
        <w:rPr>
          <w:rFonts w:hint="eastAsia" w:ascii="宋体" w:hAnsi="宋体" w:cs="宋体"/>
          <w:b/>
          <w:bCs/>
          <w:color w:val="000000" w:themeColor="text1"/>
          <w:kern w:val="2"/>
          <w:sz w:val="24"/>
          <w:szCs w:val="24"/>
          <w:highlight w:val="none"/>
          <w:u w:val="none"/>
          <w:lang w:val="en-US" w:eastAsia="zh-CN" w:bidi="ar-SA"/>
          <w14:textFill>
            <w14:solidFill>
              <w14:schemeClr w14:val="tx1"/>
            </w14:solidFill>
          </w14:textFill>
        </w:rPr>
        <w:t>采购方</w:t>
      </w:r>
      <w:r>
        <w:rPr>
          <w:rFonts w:hint="eastAsia" w:ascii="宋体" w:hAnsi="宋体" w:eastAsia="宋体" w:cs="宋体"/>
          <w:b/>
          <w:bCs/>
          <w:color w:val="000000" w:themeColor="text1"/>
          <w:kern w:val="2"/>
          <w:sz w:val="24"/>
          <w:szCs w:val="24"/>
          <w:highlight w:val="none"/>
          <w:u w:val="none"/>
          <w:lang w:val="en-US" w:eastAsia="zh-CN" w:bidi="ar-SA"/>
          <w14:textFill>
            <w14:solidFill>
              <w14:schemeClr w14:val="tx1"/>
            </w14:solidFill>
          </w14:textFill>
        </w:rPr>
        <w:t>食堂用餐，并按12元/人/天向</w:t>
      </w:r>
      <w:r>
        <w:rPr>
          <w:rFonts w:hint="eastAsia" w:ascii="宋体" w:hAnsi="宋体" w:cs="宋体"/>
          <w:b/>
          <w:bCs/>
          <w:color w:val="000000" w:themeColor="text1"/>
          <w:kern w:val="2"/>
          <w:sz w:val="24"/>
          <w:szCs w:val="24"/>
          <w:highlight w:val="none"/>
          <w:u w:val="none"/>
          <w:lang w:val="en-US" w:eastAsia="zh-CN" w:bidi="ar-SA"/>
          <w14:textFill>
            <w14:solidFill>
              <w14:schemeClr w14:val="tx1"/>
            </w14:solidFill>
          </w14:textFill>
        </w:rPr>
        <w:t>采购方</w:t>
      </w:r>
      <w:r>
        <w:rPr>
          <w:rFonts w:hint="eastAsia" w:ascii="宋体" w:hAnsi="宋体" w:eastAsia="宋体" w:cs="宋体"/>
          <w:b/>
          <w:bCs/>
          <w:color w:val="000000" w:themeColor="text1"/>
          <w:kern w:val="2"/>
          <w:sz w:val="24"/>
          <w:szCs w:val="24"/>
          <w:highlight w:val="none"/>
          <w:u w:val="none"/>
          <w:lang w:val="en-US" w:eastAsia="zh-CN" w:bidi="ar-SA"/>
          <w14:textFill>
            <w14:solidFill>
              <w14:schemeClr w14:val="tx1"/>
            </w14:solidFill>
          </w14:textFill>
        </w:rPr>
        <w:t>交纳伙食费。</w:t>
      </w:r>
    </w:p>
    <w:p w14:paraId="6C2FEED3">
      <w:pPr>
        <w:pStyle w:val="13"/>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四、采购人权利及义务</w:t>
      </w:r>
    </w:p>
    <w:p w14:paraId="34621CD0">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1.按规定监督中标人依法经营、履行合同，做好协调工作。</w:t>
      </w:r>
    </w:p>
    <w:p w14:paraId="7BD72399">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2.提供厨房、餐厅、全套厨房设备和结算系统等。</w:t>
      </w:r>
    </w:p>
    <w:p w14:paraId="72A8FB63">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3.负责水电气费用支出和场地提供。</w:t>
      </w:r>
    </w:p>
    <w:p w14:paraId="1D1B70EF">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4.对中标人配菜、营养搭配、服务水平及卫生状况进行监督、检查、考核，并有权要求中标人限期整改。</w:t>
      </w:r>
    </w:p>
    <w:p w14:paraId="2CFDCF52">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5.协助中标人维持食堂治安秩序。</w:t>
      </w:r>
    </w:p>
    <w:p w14:paraId="7846F9C2">
      <w:pPr>
        <w:pStyle w:val="13"/>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五、中标人的权利义务</w:t>
      </w:r>
    </w:p>
    <w:p w14:paraId="41E8DCF8">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1.中标人</w:t>
      </w:r>
      <w:r>
        <w:rPr>
          <w:rFonts w:hint="eastAsia" w:ascii="宋体" w:hAnsi="宋体" w:eastAsia="宋体" w:cs="宋体"/>
          <w:color w:val="000000" w:themeColor="text1"/>
          <w:sz w:val="24"/>
          <w:szCs w:val="24"/>
          <w:highlight w:val="none"/>
          <w:lang w:eastAsia="zh-CN"/>
          <w14:textFill>
            <w14:solidFill>
              <w14:schemeClr w14:val="tx1"/>
            </w14:solidFill>
          </w14:textFill>
        </w:rPr>
        <w:t>严格按照餐饮服务食品安全监督量化分级管理要求，</w:t>
      </w:r>
      <w:r>
        <w:rPr>
          <w:rFonts w:hint="eastAsia" w:ascii="宋体" w:hAnsi="宋体" w:eastAsia="宋体" w:cs="宋体"/>
          <w:color w:val="000000" w:themeColor="text1"/>
          <w:sz w:val="24"/>
          <w:szCs w:val="24"/>
          <w:highlight w:val="none"/>
          <w14:textFill>
            <w14:solidFill>
              <w14:schemeClr w14:val="tx1"/>
            </w14:solidFill>
          </w14:textFill>
        </w:rPr>
        <w:t>负责好食堂的食</w:t>
      </w:r>
      <w:r>
        <w:rPr>
          <w:rFonts w:hint="eastAsia" w:ascii="宋体" w:hAnsi="宋体" w:eastAsia="宋体" w:cs="宋体"/>
          <w:color w:val="000000" w:themeColor="text1"/>
          <w:sz w:val="24"/>
          <w:szCs w:val="24"/>
          <w:highlight w:val="none"/>
          <w:lang w:eastAsia="zh-CN"/>
          <w14:textFill>
            <w14:solidFill>
              <w14:schemeClr w14:val="tx1"/>
            </w14:solidFill>
          </w14:textFill>
        </w:rPr>
        <w:t>品</w:t>
      </w:r>
      <w:r>
        <w:rPr>
          <w:rFonts w:hint="eastAsia" w:ascii="宋体" w:hAnsi="宋体" w:eastAsia="宋体" w:cs="宋体"/>
          <w:color w:val="000000" w:themeColor="text1"/>
          <w:sz w:val="24"/>
          <w:szCs w:val="24"/>
          <w:highlight w:val="none"/>
          <w14:textFill>
            <w14:solidFill>
              <w14:schemeClr w14:val="tx1"/>
            </w14:solidFill>
          </w14:textFill>
        </w:rPr>
        <w:t>安全卫生，签约时还需与采购人签订《餐饮服务食品安全责任书》、《社会治安综合治理目标管理责任书》和《消防安全管理责任书》。中标人要落实好病媒生物防</w:t>
      </w:r>
      <w:r>
        <w:rPr>
          <w:rFonts w:hint="eastAsia" w:ascii="宋体" w:hAnsi="宋体" w:eastAsia="宋体" w:cs="宋体"/>
          <w:color w:val="000000" w:themeColor="text1"/>
          <w:sz w:val="24"/>
          <w:szCs w:val="24"/>
          <w:highlight w:val="none"/>
          <w:lang w:eastAsia="zh-CN"/>
          <w14:textFill>
            <w14:solidFill>
              <w14:schemeClr w14:val="tx1"/>
            </w14:solidFill>
          </w14:textFill>
        </w:rPr>
        <w:t>治</w:t>
      </w:r>
      <w:r>
        <w:rPr>
          <w:rFonts w:hint="eastAsia" w:ascii="宋体" w:hAnsi="宋体" w:eastAsia="宋体" w:cs="宋体"/>
          <w:color w:val="000000" w:themeColor="text1"/>
          <w:sz w:val="24"/>
          <w:szCs w:val="24"/>
          <w:highlight w:val="none"/>
          <w14:textFill>
            <w14:solidFill>
              <w14:schemeClr w14:val="tx1"/>
            </w14:solidFill>
          </w14:textFill>
        </w:rPr>
        <w:t>工作，定期组织除四害，保持四害密度少于食品卫生部门规定的要求。</w:t>
      </w:r>
    </w:p>
    <w:p w14:paraId="3A137F2E">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2.负责食堂的经营管理，具体包括食堂人事、菜肴的搭配与制作、就餐环境卫生、服务等。</w:t>
      </w:r>
    </w:p>
    <w:p w14:paraId="16871051">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3.保持菜肴的新鲜和卫生。按时供应采购人工作日各餐，做到菜量适当、新鲜可口、花样翻新、营养搭配合理。</w:t>
      </w:r>
    </w:p>
    <w:p w14:paraId="5B1D0808">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4.负责厨房设施的维护，若财产发生人为损坏，需照价赔偿。承包期内必须添置或更换厨房设备，由中标人提出，经采购人审核同意后由采购人负责购置。</w:t>
      </w:r>
    </w:p>
    <w:p w14:paraId="5762C59E">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5.按照采购人用餐核定标准，自行加工，确保收支平衡。负责做好食堂食材、日报表报送工作。</w:t>
      </w:r>
    </w:p>
    <w:p w14:paraId="3461A3A3">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中标人应每年组织所属员工进行办理上岗证所需的健康检查，确保所属人员持有有效健康证；中标人应定期开展职业道德、安全教育、卫生教育和技能培训等，不断提高员工素质；中标人员工应统一着装上岗，上岗时穿戴好工作服、工作帽和口罩等。</w:t>
      </w:r>
    </w:p>
    <w:p w14:paraId="43B4E970">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7.中标人按时发放所属工作人员的工资、福利和奖金等，并负责对工作人员进行遵纪守法和安全卫生教育，必须与所聘用的从业人员签订劳动合同，并按规定缴纳五险一金。</w:t>
      </w:r>
    </w:p>
    <w:p w14:paraId="2E372CCA">
      <w:pPr>
        <w:pStyle w:val="13"/>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六、会议（培训）和公务接待用餐服务要求：</w:t>
      </w:r>
    </w:p>
    <w:p w14:paraId="050A11F2">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1.地点</w:t>
      </w:r>
      <w:r>
        <w:rPr>
          <w:rFonts w:hint="eastAsia" w:ascii="宋体" w:hAnsi="宋体" w:eastAsia="宋体" w:cs="宋体"/>
          <w:color w:val="000000" w:themeColor="text1"/>
          <w:sz w:val="24"/>
          <w:szCs w:val="24"/>
          <w:highlight w:val="none"/>
          <w:lang w:eastAsia="zh-CN"/>
          <w14:textFill>
            <w14:solidFill>
              <w14:schemeClr w14:val="tx1"/>
            </w14:solidFill>
          </w14:textFill>
        </w:rPr>
        <w:t>：区法院大楼</w:t>
      </w:r>
    </w:p>
    <w:p w14:paraId="3A364162">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2.服务时间：中、晚餐，具体时间根据实际需要。</w:t>
      </w:r>
    </w:p>
    <w:p w14:paraId="61A6DF74">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3.服务费：</w:t>
      </w:r>
      <w:r>
        <w:rPr>
          <w:rFonts w:hint="eastAsia" w:ascii="宋体" w:hAnsi="宋体" w:eastAsia="宋体" w:cs="宋体"/>
          <w:color w:val="000000" w:themeColor="text1"/>
          <w:sz w:val="24"/>
          <w:szCs w:val="24"/>
          <w:highlight w:val="none"/>
          <w:lang w:eastAsia="zh-CN"/>
          <w14:textFill>
            <w14:solidFill>
              <w14:schemeClr w14:val="tx1"/>
            </w14:solidFill>
          </w14:textFill>
        </w:rPr>
        <w:t>含在总承包价内，不再另行结算。</w:t>
      </w:r>
    </w:p>
    <w:p w14:paraId="032749A5">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4.服务人员要求：公务接待根据用餐人数，即时提供相应的厨师与</w:t>
      </w:r>
      <w:r>
        <w:rPr>
          <w:rFonts w:hint="eastAsia" w:ascii="宋体" w:hAnsi="宋体" w:eastAsia="宋体" w:cs="宋体"/>
          <w:color w:val="000000" w:themeColor="text1"/>
          <w:sz w:val="24"/>
          <w:szCs w:val="24"/>
          <w:highlight w:val="none"/>
          <w:lang w:eastAsia="zh-CN"/>
          <w14:textFill>
            <w14:solidFill>
              <w14:schemeClr w14:val="tx1"/>
            </w14:solidFill>
          </w14:textFill>
        </w:rPr>
        <w:t>工作</w:t>
      </w:r>
      <w:r>
        <w:rPr>
          <w:rFonts w:hint="eastAsia" w:ascii="宋体" w:hAnsi="宋体" w:eastAsia="宋体" w:cs="宋体"/>
          <w:color w:val="000000" w:themeColor="text1"/>
          <w:sz w:val="24"/>
          <w:szCs w:val="24"/>
          <w:highlight w:val="none"/>
          <w14:textFill>
            <w14:solidFill>
              <w14:schemeClr w14:val="tx1"/>
            </w14:solidFill>
          </w14:textFill>
        </w:rPr>
        <w:t>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9EBF3FC">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①具有中式烹调高级职业资格证书，并有五年以上知名酒店从业经验的专业厨师</w:t>
      </w:r>
    </w:p>
    <w:p w14:paraId="1D93B93F">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②具有中式点心高级职业资格证书，并有五年以上知名酒店从业经验的专业点心师。</w:t>
      </w:r>
    </w:p>
    <w:p w14:paraId="4E9C8B30">
      <w:pPr>
        <w:pStyle w:val="13"/>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七、其它有关说明</w:t>
      </w:r>
    </w:p>
    <w:p w14:paraId="49240167">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b/>
          <w:color w:val="000000" w:themeColor="text1"/>
          <w:sz w:val="24"/>
          <w:szCs w:val="24"/>
          <w:highlight w:val="none"/>
          <w:u w:val="single"/>
          <w:shd w:val="pct10"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本招标预算价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134.2</w:t>
      </w:r>
      <w:r>
        <w:rPr>
          <w:rFonts w:hint="eastAsia" w:ascii="宋体" w:hAnsi="宋体" w:eastAsia="宋体" w:cs="宋体"/>
          <w:color w:val="000000" w:themeColor="text1"/>
          <w:sz w:val="24"/>
          <w:szCs w:val="24"/>
          <w:highlight w:val="none"/>
          <w14:textFill>
            <w14:solidFill>
              <w14:schemeClr w14:val="tx1"/>
            </w14:solidFill>
          </w14:textFill>
        </w:rPr>
        <w:t>万元即为最高限价，包含招标代理费，由中标人支付。</w:t>
      </w:r>
    </w:p>
    <w:p w14:paraId="67A3B6E7">
      <w:pPr>
        <w:keepNext w:val="0"/>
        <w:keepLines w:val="0"/>
        <w:pageBreakBefore w:val="0"/>
        <w:widowControl w:val="0"/>
        <w:shd w:val="clear"/>
        <w:kinsoku/>
        <w:wordWrap/>
        <w:overflowPunct/>
        <w:topLinePunct w:val="0"/>
        <w:bidi w:val="0"/>
        <w:adjustRightInd w:val="0"/>
        <w:spacing w:line="360" w:lineRule="auto"/>
        <w:ind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1.承包服务费应包含费用：</w:t>
      </w:r>
    </w:p>
    <w:p w14:paraId="2A508137">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①人工工资费用</w:t>
      </w:r>
    </w:p>
    <w:p w14:paraId="6A63A59D">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②五险一金</w:t>
      </w:r>
    </w:p>
    <w:p w14:paraId="31D1F1B7">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③福利</w:t>
      </w:r>
    </w:p>
    <w:p w14:paraId="5EBA160C">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④管理费用</w:t>
      </w:r>
    </w:p>
    <w:p w14:paraId="4A4E7066">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⑤法定税费</w:t>
      </w:r>
    </w:p>
    <w:p w14:paraId="6BD2E20E">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⑥员工培训费用</w:t>
      </w:r>
    </w:p>
    <w:p w14:paraId="4CDCEC83">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⑦服装费、房租</w:t>
      </w:r>
      <w:r>
        <w:rPr>
          <w:rFonts w:hint="eastAsia" w:ascii="宋体" w:hAnsi="宋体" w:eastAsia="宋体" w:cs="宋体"/>
          <w:color w:val="000000" w:themeColor="text1"/>
          <w:sz w:val="24"/>
          <w:szCs w:val="24"/>
          <w:highlight w:val="none"/>
          <w:lang w:eastAsia="zh-CN"/>
          <w14:textFill>
            <w14:solidFill>
              <w14:schemeClr w14:val="tx1"/>
            </w14:solidFill>
          </w14:textFill>
        </w:rPr>
        <w:t>、办理健康证</w:t>
      </w:r>
      <w:r>
        <w:rPr>
          <w:rFonts w:hint="eastAsia" w:ascii="宋体" w:hAnsi="宋体" w:eastAsia="宋体" w:cs="宋体"/>
          <w:color w:val="000000" w:themeColor="text1"/>
          <w:sz w:val="24"/>
          <w:szCs w:val="24"/>
          <w:highlight w:val="none"/>
          <w14:textFill>
            <w14:solidFill>
              <w14:schemeClr w14:val="tx1"/>
            </w14:solidFill>
          </w14:textFill>
        </w:rPr>
        <w:t>等用工人员的费用</w:t>
      </w:r>
    </w:p>
    <w:p w14:paraId="7348BB36">
      <w:pPr>
        <w:keepNext w:val="0"/>
        <w:keepLines w:val="0"/>
        <w:pageBreakBefore w:val="0"/>
        <w:shd w:val="clear"/>
        <w:kinsoku/>
        <w:wordWrap/>
        <w:overflowPunct/>
        <w:topLinePunct w:val="0"/>
        <w:bidi w:val="0"/>
        <w:spacing w:line="360" w:lineRule="auto"/>
        <w:ind w:firstLine="480" w:firstLineChars="200"/>
        <w:outlineLvl w:val="9"/>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中标方人员的固定加班费、岗位补助、住宿费等其他一切费用不再另行计算，全部纳入招标总额内。</w:t>
      </w:r>
      <w:r>
        <w:rPr>
          <w:rFonts w:hint="eastAsia" w:ascii="宋体" w:hAnsi="宋体" w:eastAsia="宋体" w:cs="宋体"/>
          <w:b/>
          <w:color w:val="000000" w:themeColor="text1"/>
          <w:sz w:val="24"/>
          <w:szCs w:val="24"/>
          <w:highlight w:val="none"/>
          <w:u w:val="none"/>
          <w14:textFill>
            <w14:solidFill>
              <w14:schemeClr w14:val="tx1"/>
            </w14:solidFill>
          </w14:textFill>
        </w:rPr>
        <w:t>（投标人在进行投标报价时要充分考虑</w:t>
      </w:r>
      <w:r>
        <w:rPr>
          <w:rFonts w:hint="eastAsia" w:ascii="宋体" w:hAnsi="宋体" w:eastAsia="宋体" w:cs="宋体"/>
          <w:b/>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u w:val="none"/>
          <w14:textFill>
            <w14:solidFill>
              <w14:schemeClr w14:val="tx1"/>
            </w14:solidFill>
          </w14:textFill>
        </w:rPr>
        <w:t>年内全部产生费用的因素）</w:t>
      </w:r>
    </w:p>
    <w:p w14:paraId="6F191DCA">
      <w:pPr>
        <w:keepNext w:val="0"/>
        <w:keepLines w:val="0"/>
        <w:pageBreakBefore w:val="0"/>
        <w:shd w:val="clear"/>
        <w:kinsoku/>
        <w:wordWrap/>
        <w:overflowPunct/>
        <w:topLinePunct w:val="0"/>
        <w:bidi w:val="0"/>
        <w:adjustRightInd w:val="0"/>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2.所需的岗位用品具体项目及数量由中标人负责人报采购人负责人同意后采购，费用由采购人负责。</w:t>
      </w:r>
    </w:p>
    <w:p w14:paraId="6D88685A">
      <w:pPr>
        <w:keepNext w:val="0"/>
        <w:keepLines w:val="0"/>
        <w:pageBreakBefore w:val="0"/>
        <w:shd w:val="clear"/>
        <w:kinsoku/>
        <w:wordWrap/>
        <w:overflowPunct/>
        <w:topLinePunct w:val="0"/>
        <w:bidi w:val="0"/>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3.中标方需在本项目中指定一名负责人负责本项目的协调管理，按本项目管理的要求配备相应的工作人员。</w:t>
      </w:r>
    </w:p>
    <w:p w14:paraId="15C672CD">
      <w:pPr>
        <w:keepNext w:val="0"/>
        <w:keepLines w:val="0"/>
        <w:pageBreakBefore w:val="0"/>
        <w:shd w:val="clear"/>
        <w:kinsoku/>
        <w:wordWrap/>
        <w:overflowPunct/>
        <w:topLinePunct w:val="0"/>
        <w:bidi w:val="0"/>
        <w:spacing w:line="360" w:lineRule="auto"/>
        <w:ind w:firstLine="482" w:firstLineChars="200"/>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4.中标方需服从业主单位管理，工作人员聘任、离职和请假，需向业主单位报人员进出表和请销假单，工作人员聘用需经过业主单位确定，未经过培训和无相关工作经验人员不得上岗使用。</w:t>
      </w:r>
    </w:p>
    <w:p w14:paraId="1053D64B">
      <w:pPr>
        <w:shd w:val="clear"/>
        <w:snapToGrid w:val="0"/>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中标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方</w:t>
      </w:r>
      <w:r>
        <w:rPr>
          <w:rFonts w:hint="eastAsia" w:ascii="宋体" w:hAnsi="宋体" w:eastAsia="宋体" w:cs="宋体"/>
          <w:b/>
          <w:bCs/>
          <w:color w:val="000000" w:themeColor="text1"/>
          <w:sz w:val="24"/>
          <w:szCs w:val="24"/>
          <w:highlight w:val="none"/>
          <w14:textFill>
            <w14:solidFill>
              <w14:schemeClr w14:val="tx1"/>
            </w14:solidFill>
          </w14:textFill>
        </w:rPr>
        <w:t>与采购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方</w:t>
      </w:r>
      <w:r>
        <w:rPr>
          <w:rFonts w:hint="eastAsia" w:ascii="宋体" w:hAnsi="宋体" w:eastAsia="宋体" w:cs="宋体"/>
          <w:b/>
          <w:bCs/>
          <w:color w:val="000000" w:themeColor="text1"/>
          <w:sz w:val="24"/>
          <w:szCs w:val="24"/>
          <w:highlight w:val="none"/>
          <w14:textFill>
            <w14:solidFill>
              <w14:schemeClr w14:val="tx1"/>
            </w14:solidFill>
          </w14:textFill>
        </w:rPr>
        <w:t>签订食堂劳务服务承包合同时需向采购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方</w:t>
      </w:r>
      <w:r>
        <w:rPr>
          <w:rFonts w:hint="eastAsia" w:ascii="宋体" w:hAnsi="宋体" w:eastAsia="宋体" w:cs="宋体"/>
          <w:b/>
          <w:bCs/>
          <w:color w:val="000000" w:themeColor="text1"/>
          <w:sz w:val="24"/>
          <w:szCs w:val="24"/>
          <w:highlight w:val="none"/>
          <w14:textFill>
            <w14:solidFill>
              <w14:schemeClr w14:val="tx1"/>
            </w14:solidFill>
          </w14:textFill>
        </w:rPr>
        <w:t>缴纳</w:t>
      </w:r>
      <w:r>
        <w:rPr>
          <w:rFonts w:hint="eastAsia" w:ascii="宋体" w:hAnsi="宋体" w:eastAsia="宋体" w:cs="宋体"/>
          <w:b/>
          <w:bCs/>
          <w:color w:val="000000" w:themeColor="text1"/>
          <w:sz w:val="24"/>
          <w:szCs w:val="24"/>
          <w:highlight w:val="none"/>
          <w:lang w:eastAsia="zh-CN"/>
          <w14:textFill>
            <w14:solidFill>
              <w14:schemeClr w14:val="tx1"/>
            </w14:solidFill>
          </w14:textFill>
        </w:rPr>
        <w:t>合同金额的1%</w:t>
      </w:r>
      <w:r>
        <w:rPr>
          <w:rFonts w:hint="eastAsia" w:ascii="宋体" w:hAnsi="宋体" w:eastAsia="宋体" w:cs="宋体"/>
          <w:b/>
          <w:bCs/>
          <w:color w:val="000000" w:themeColor="text1"/>
          <w:sz w:val="24"/>
          <w:szCs w:val="24"/>
          <w:highlight w:val="none"/>
          <w14:textFill>
            <w14:solidFill>
              <w14:schemeClr w14:val="tx1"/>
            </w14:solidFill>
          </w14:textFill>
        </w:rPr>
        <w:t>人民币作为履约保证金，</w:t>
      </w:r>
      <w:r>
        <w:rPr>
          <w:rFonts w:hint="eastAsia" w:ascii="宋体" w:hAnsi="宋体" w:eastAsia="宋体" w:cs="宋体"/>
          <w:b/>
          <w:color w:val="000000" w:themeColor="text1"/>
          <w:sz w:val="24"/>
          <w:szCs w:val="24"/>
          <w:highlight w:val="none"/>
          <w14:textFill>
            <w14:solidFill>
              <w14:schemeClr w14:val="tx1"/>
            </w14:solidFill>
          </w14:textFill>
        </w:rPr>
        <w:t>以保证中标方遵守本合同，包括担保、保函、保险等形式。</w:t>
      </w:r>
    </w:p>
    <w:p w14:paraId="482FCF96">
      <w:pPr>
        <w:keepNext w:val="0"/>
        <w:keepLines w:val="0"/>
        <w:pageBreakBefore w:val="0"/>
        <w:shd w:val="clear"/>
        <w:kinsoku/>
        <w:wordWrap/>
        <w:overflowPunct/>
        <w:topLinePunct w:val="0"/>
        <w:bidi w:val="0"/>
        <w:spacing w:line="360" w:lineRule="auto"/>
        <w:ind w:firstLine="480" w:firstLineChars="200"/>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.中标方提供餐饮服务时，因自身原因发生的一切安全事故责任均自行承担，事故责任和损失由中标方承担。</w:t>
      </w:r>
    </w:p>
    <w:p w14:paraId="75E9442B">
      <w:pPr>
        <w:shd w:val="clear"/>
        <w:snapToGrid w:val="0"/>
        <w:spacing w:line="360" w:lineRule="auto"/>
        <w:ind w:firstLine="361" w:firstLineChars="15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八、考核评分细则</w:t>
      </w:r>
    </w:p>
    <w:p w14:paraId="5D27F143">
      <w:pPr>
        <w:shd w:val="clear"/>
        <w:snapToGrid w:val="0"/>
        <w:spacing w:line="360" w:lineRule="auto"/>
        <w:ind w:firstLine="360" w:firstLineChars="15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为规范餐饮服务供应商工作，提升服务质量和满意度，完善对餐饮服务供应商的监督机制，根据餐饮服务标准及相关制度，制订以下考核细则：</w:t>
      </w:r>
    </w:p>
    <w:p w14:paraId="382E9368">
      <w:pPr>
        <w:shd w:val="clear"/>
        <w:snapToGrid w:val="0"/>
        <w:spacing w:line="360" w:lineRule="auto"/>
        <w:ind w:firstLine="360" w:firstLineChars="15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乙方每月不固定时间进行检查监督，并进行打分考核，满分100分，若当月考核得分低于80分，扣除当月考核押金的50%；考核得分低于70分，扣除当月的考核押金。若连续2个月考核低于70分，甲方有权终止合同。如发生一票否决事项，甲方有权终止合同。</w:t>
      </w:r>
    </w:p>
    <w:p w14:paraId="4D0F3726">
      <w:pPr>
        <w:shd w:val="clear"/>
        <w:snapToGrid w:val="0"/>
        <w:spacing w:line="360" w:lineRule="auto"/>
        <w:ind w:firstLine="361" w:firstLineChars="15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bl>
      <w:tblPr>
        <w:tblStyle w:val="28"/>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7"/>
        <w:gridCol w:w="771"/>
        <w:gridCol w:w="5190"/>
        <w:gridCol w:w="622"/>
        <w:gridCol w:w="1769"/>
        <w:gridCol w:w="552"/>
      </w:tblGrid>
      <w:tr w14:paraId="4825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noWrap/>
            <w:vAlign w:val="center"/>
          </w:tcPr>
          <w:p w14:paraId="69F66CE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序号</w:t>
            </w:r>
          </w:p>
        </w:tc>
        <w:tc>
          <w:tcPr>
            <w:tcW w:w="771" w:type="dxa"/>
            <w:noWrap/>
            <w:vAlign w:val="center"/>
          </w:tcPr>
          <w:p w14:paraId="700310C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考核</w:t>
            </w:r>
          </w:p>
          <w:p w14:paraId="2AE5B3A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项目</w:t>
            </w:r>
          </w:p>
        </w:tc>
        <w:tc>
          <w:tcPr>
            <w:tcW w:w="5190" w:type="dxa"/>
            <w:noWrap/>
            <w:vAlign w:val="center"/>
          </w:tcPr>
          <w:p w14:paraId="16A5154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考核标准</w:t>
            </w:r>
          </w:p>
        </w:tc>
        <w:tc>
          <w:tcPr>
            <w:tcW w:w="622" w:type="dxa"/>
            <w:noWrap/>
            <w:vAlign w:val="center"/>
          </w:tcPr>
          <w:p w14:paraId="153F299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标准分</w:t>
            </w:r>
          </w:p>
        </w:tc>
        <w:tc>
          <w:tcPr>
            <w:tcW w:w="1769" w:type="dxa"/>
            <w:noWrap/>
            <w:vAlign w:val="center"/>
          </w:tcPr>
          <w:p w14:paraId="340912A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评分标准</w:t>
            </w:r>
          </w:p>
        </w:tc>
        <w:tc>
          <w:tcPr>
            <w:tcW w:w="552" w:type="dxa"/>
            <w:noWrap/>
            <w:vAlign w:val="center"/>
          </w:tcPr>
          <w:p w14:paraId="030CD52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扣分情况</w:t>
            </w:r>
          </w:p>
        </w:tc>
      </w:tr>
      <w:tr w14:paraId="6F37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14:paraId="0A78994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771" w:type="dxa"/>
            <w:vMerge w:val="restart"/>
            <w:noWrap/>
            <w:vAlign w:val="center"/>
          </w:tcPr>
          <w:p w14:paraId="0D52317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响应程度</w:t>
            </w:r>
          </w:p>
        </w:tc>
        <w:tc>
          <w:tcPr>
            <w:tcW w:w="5190" w:type="dxa"/>
            <w:noWrap/>
            <w:vAlign w:val="center"/>
          </w:tcPr>
          <w:p w14:paraId="2B255AEE">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提供每两周一次的外带菜品（有特殊情况可提前向甲方单位予以说明）。</w:t>
            </w:r>
          </w:p>
        </w:tc>
        <w:tc>
          <w:tcPr>
            <w:tcW w:w="622" w:type="dxa"/>
            <w:noWrap/>
            <w:vAlign w:val="center"/>
          </w:tcPr>
          <w:p w14:paraId="07924C4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1769" w:type="dxa"/>
            <w:noWrap/>
            <w:vAlign w:val="center"/>
          </w:tcPr>
          <w:p w14:paraId="0D5AE07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不提供一次扣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552" w:type="dxa"/>
            <w:noWrap/>
            <w:vAlign w:val="center"/>
          </w:tcPr>
          <w:p w14:paraId="44AD20B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149A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27" w:type="dxa"/>
            <w:vMerge w:val="continue"/>
            <w:noWrap/>
            <w:vAlign w:val="center"/>
          </w:tcPr>
          <w:p w14:paraId="78D9CA61">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3B0980C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3BDFF57A">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每周晚餐提供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1-2次的小炒服务（根据现场用餐人数提供小锅当即现炒服务）</w:t>
            </w:r>
          </w:p>
        </w:tc>
        <w:tc>
          <w:tcPr>
            <w:tcW w:w="622" w:type="dxa"/>
            <w:noWrap/>
            <w:vAlign w:val="center"/>
          </w:tcPr>
          <w:p w14:paraId="48E85C8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769" w:type="dxa"/>
            <w:noWrap/>
            <w:vAlign w:val="center"/>
          </w:tcPr>
          <w:p w14:paraId="0B669AB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积极配合得分，不配合不得分</w:t>
            </w:r>
          </w:p>
        </w:tc>
        <w:tc>
          <w:tcPr>
            <w:tcW w:w="552" w:type="dxa"/>
            <w:noWrap/>
            <w:vAlign w:val="center"/>
          </w:tcPr>
          <w:p w14:paraId="6FAFCB1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5BB9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216F0261">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0A3702B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3C98F0F4">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桌菜服务按甲方标准用心排菜，菜单征求甲方同意后，按菜单备餐。</w:t>
            </w:r>
          </w:p>
        </w:tc>
        <w:tc>
          <w:tcPr>
            <w:tcW w:w="622" w:type="dxa"/>
            <w:noWrap/>
            <w:vAlign w:val="center"/>
          </w:tcPr>
          <w:p w14:paraId="05520D1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769" w:type="dxa"/>
            <w:noWrap/>
            <w:vAlign w:val="center"/>
          </w:tcPr>
          <w:p w14:paraId="33F3A62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积极配合得分，不配合不得分</w:t>
            </w:r>
          </w:p>
        </w:tc>
        <w:tc>
          <w:tcPr>
            <w:tcW w:w="552" w:type="dxa"/>
            <w:noWrap/>
            <w:vAlign w:val="center"/>
          </w:tcPr>
          <w:p w14:paraId="0007E1B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530E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327" w:type="dxa"/>
            <w:vMerge w:val="restart"/>
            <w:noWrap/>
            <w:vAlign w:val="center"/>
          </w:tcPr>
          <w:p w14:paraId="77675B5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771" w:type="dxa"/>
            <w:vMerge w:val="restart"/>
            <w:noWrap/>
            <w:vAlign w:val="center"/>
          </w:tcPr>
          <w:p w14:paraId="06A183F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服务满意度</w:t>
            </w:r>
          </w:p>
        </w:tc>
        <w:tc>
          <w:tcPr>
            <w:tcW w:w="5190" w:type="dxa"/>
            <w:noWrap/>
            <w:vAlign w:val="center"/>
          </w:tcPr>
          <w:p w14:paraId="4E363D8F">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受到就餐机关干部来电、来信批评的</w:t>
            </w:r>
          </w:p>
        </w:tc>
        <w:tc>
          <w:tcPr>
            <w:tcW w:w="622" w:type="dxa"/>
            <w:noWrap/>
            <w:vAlign w:val="center"/>
          </w:tcPr>
          <w:p w14:paraId="7422E92D">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1769" w:type="dxa"/>
            <w:noWrap/>
            <w:vAlign w:val="center"/>
          </w:tcPr>
          <w:p w14:paraId="0F5199C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每次扣一分</w:t>
            </w:r>
          </w:p>
        </w:tc>
        <w:tc>
          <w:tcPr>
            <w:tcW w:w="552" w:type="dxa"/>
            <w:noWrap/>
            <w:vAlign w:val="center"/>
          </w:tcPr>
          <w:p w14:paraId="4605F82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E22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3F3FFA0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7FB9383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4CC3D8D0">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经常性开展意见征求活动，经常性听取就餐单位主要领导的意见和建议,努力实现零投诉</w:t>
            </w:r>
          </w:p>
        </w:tc>
        <w:tc>
          <w:tcPr>
            <w:tcW w:w="622" w:type="dxa"/>
            <w:noWrap/>
            <w:vAlign w:val="center"/>
          </w:tcPr>
          <w:p w14:paraId="115C5E8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769" w:type="dxa"/>
            <w:noWrap/>
            <w:vAlign w:val="center"/>
          </w:tcPr>
          <w:p w14:paraId="0C7E8DE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未完成的扣4分</w:t>
            </w:r>
          </w:p>
        </w:tc>
        <w:tc>
          <w:tcPr>
            <w:tcW w:w="552" w:type="dxa"/>
            <w:noWrap/>
            <w:vAlign w:val="center"/>
          </w:tcPr>
          <w:p w14:paraId="04292AF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57F1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14:paraId="7068462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771" w:type="dxa"/>
            <w:vMerge w:val="restart"/>
            <w:noWrap/>
            <w:vAlign w:val="center"/>
          </w:tcPr>
          <w:p w14:paraId="1651C2B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人员管理</w:t>
            </w:r>
          </w:p>
        </w:tc>
        <w:tc>
          <w:tcPr>
            <w:tcW w:w="5190" w:type="dxa"/>
            <w:noWrap/>
            <w:vAlign w:val="center"/>
          </w:tcPr>
          <w:p w14:paraId="5F6EBFEA">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出勤：按服务标准设定排班表，确保相关人员到岗，并定期向业主单位提供人员考勤表，缺岗的扣分(不按合同约定配备人员的)。人员进出必须填报《人员变动情况表》，新晋人员要报业主单位审核，未审核的扣分</w:t>
            </w:r>
          </w:p>
        </w:tc>
        <w:tc>
          <w:tcPr>
            <w:tcW w:w="622" w:type="dxa"/>
            <w:vMerge w:val="restart"/>
            <w:noWrap/>
            <w:vAlign w:val="center"/>
          </w:tcPr>
          <w:p w14:paraId="6D38C4D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w:t>
            </w:r>
          </w:p>
        </w:tc>
        <w:tc>
          <w:tcPr>
            <w:tcW w:w="1769" w:type="dxa"/>
            <w:noWrap/>
            <w:vAlign w:val="center"/>
          </w:tcPr>
          <w:p w14:paraId="3CC4C4B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未办理请销假手续，每发现一人次扣2分；未审核的一次扣2分</w:t>
            </w:r>
          </w:p>
        </w:tc>
        <w:tc>
          <w:tcPr>
            <w:tcW w:w="552" w:type="dxa"/>
            <w:noWrap/>
            <w:vAlign w:val="center"/>
          </w:tcPr>
          <w:p w14:paraId="7070025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257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327" w:type="dxa"/>
            <w:vMerge w:val="continue"/>
            <w:noWrap/>
            <w:vAlign w:val="center"/>
          </w:tcPr>
          <w:p w14:paraId="01274AA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07381D3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127E3918">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按不低于合同要求配备工作人员，人员不足的，本项不得分</w:t>
            </w:r>
          </w:p>
        </w:tc>
        <w:tc>
          <w:tcPr>
            <w:tcW w:w="622" w:type="dxa"/>
            <w:vMerge w:val="continue"/>
            <w:noWrap/>
            <w:vAlign w:val="center"/>
          </w:tcPr>
          <w:p w14:paraId="312F2DC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49AA0A1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未按合同配备人员的本大项不得分</w:t>
            </w:r>
          </w:p>
        </w:tc>
        <w:tc>
          <w:tcPr>
            <w:tcW w:w="552" w:type="dxa"/>
            <w:noWrap/>
            <w:vAlign w:val="center"/>
          </w:tcPr>
          <w:p w14:paraId="2CF6A2E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022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77EAEA2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6526132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414FD844">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着装规范：所有工作人员要按规定统一着装，必须做到服装整洁，无污渍，着工作帽、口罩及手套，未到位的扣分</w:t>
            </w:r>
          </w:p>
        </w:tc>
        <w:tc>
          <w:tcPr>
            <w:tcW w:w="622" w:type="dxa"/>
            <w:vMerge w:val="continue"/>
            <w:noWrap/>
            <w:vAlign w:val="center"/>
          </w:tcPr>
          <w:p w14:paraId="3B118A1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32AD93E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每发现一次扣1分</w:t>
            </w:r>
          </w:p>
        </w:tc>
        <w:tc>
          <w:tcPr>
            <w:tcW w:w="552" w:type="dxa"/>
            <w:noWrap/>
            <w:vAlign w:val="center"/>
          </w:tcPr>
          <w:p w14:paraId="2AE09C0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9AB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04E8B0C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005E506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4FC3A775">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操作规范：服务人员仪态端庄，微笑热情，耐心细致，没达到要求的扣分</w:t>
            </w:r>
          </w:p>
        </w:tc>
        <w:tc>
          <w:tcPr>
            <w:tcW w:w="622" w:type="dxa"/>
            <w:vMerge w:val="continue"/>
            <w:noWrap/>
            <w:vAlign w:val="center"/>
          </w:tcPr>
          <w:p w14:paraId="00CD95B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23B6B75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每发现一次扣1分</w:t>
            </w:r>
          </w:p>
        </w:tc>
        <w:tc>
          <w:tcPr>
            <w:tcW w:w="552" w:type="dxa"/>
            <w:noWrap/>
            <w:vAlign w:val="center"/>
          </w:tcPr>
          <w:p w14:paraId="4E771E4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195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299D8F7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412E485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7F00ADDD">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不得与就餐人员发生争执，有上述情况的</w:t>
            </w:r>
          </w:p>
        </w:tc>
        <w:tc>
          <w:tcPr>
            <w:tcW w:w="622" w:type="dxa"/>
            <w:vMerge w:val="continue"/>
            <w:noWrap/>
            <w:vAlign w:val="center"/>
          </w:tcPr>
          <w:p w14:paraId="16FD762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689CD16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每发现一次扣5分</w:t>
            </w:r>
          </w:p>
        </w:tc>
        <w:tc>
          <w:tcPr>
            <w:tcW w:w="552" w:type="dxa"/>
            <w:noWrap/>
            <w:vAlign w:val="center"/>
          </w:tcPr>
          <w:p w14:paraId="53BB849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E52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0645BF5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5A315E0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34931F4C">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行为规范：有吸烟、吃东西、吐痰、玩手机、将私人物品带到工作场所的行为</w:t>
            </w:r>
          </w:p>
        </w:tc>
        <w:tc>
          <w:tcPr>
            <w:tcW w:w="622" w:type="dxa"/>
            <w:vMerge w:val="continue"/>
            <w:noWrap/>
            <w:vAlign w:val="center"/>
          </w:tcPr>
          <w:p w14:paraId="3DA19A9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730C2A0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每发现一次扣1分</w:t>
            </w:r>
          </w:p>
        </w:tc>
        <w:tc>
          <w:tcPr>
            <w:tcW w:w="552" w:type="dxa"/>
            <w:noWrap/>
            <w:vAlign w:val="center"/>
          </w:tcPr>
          <w:p w14:paraId="65BA446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6536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5ACB499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757B334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1BF361FE">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更衣室卫生管理，物品摆放整齐，入柜摆放</w:t>
            </w:r>
          </w:p>
        </w:tc>
        <w:tc>
          <w:tcPr>
            <w:tcW w:w="622" w:type="dxa"/>
            <w:vMerge w:val="continue"/>
            <w:noWrap/>
            <w:vAlign w:val="center"/>
          </w:tcPr>
          <w:p w14:paraId="09DAAC6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12DE3E3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每发现一次扣1分</w:t>
            </w:r>
          </w:p>
        </w:tc>
        <w:tc>
          <w:tcPr>
            <w:tcW w:w="552" w:type="dxa"/>
            <w:noWrap/>
            <w:vAlign w:val="center"/>
          </w:tcPr>
          <w:p w14:paraId="3EAEBA3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FBA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71409AD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4494836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73795EBB">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严格执行员工工作餐规定；不得擅自带家属、朋友到食堂用餐；不得将公用卡借给他人使用</w:t>
            </w:r>
          </w:p>
        </w:tc>
        <w:tc>
          <w:tcPr>
            <w:tcW w:w="622" w:type="dxa"/>
            <w:vMerge w:val="continue"/>
            <w:noWrap/>
            <w:vAlign w:val="center"/>
          </w:tcPr>
          <w:p w14:paraId="7F1DF6A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5FAAB1F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552" w:type="dxa"/>
            <w:noWrap/>
            <w:vAlign w:val="center"/>
          </w:tcPr>
          <w:p w14:paraId="0E044D9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105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337EA9C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1FFB560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34E595ED">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所有人员必须持有健康证上岗，如有员工有发热、腹泻、皮肤伤口感染、咽喉炎症等有碍食品卫生病症的应立即</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报备，做好人员调度</w:t>
            </w:r>
          </w:p>
        </w:tc>
        <w:tc>
          <w:tcPr>
            <w:tcW w:w="622" w:type="dxa"/>
            <w:vMerge w:val="continue"/>
            <w:noWrap/>
            <w:vAlign w:val="center"/>
          </w:tcPr>
          <w:p w14:paraId="2389F98D">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5DA4523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每发现一次扣2分</w:t>
            </w:r>
          </w:p>
        </w:tc>
        <w:tc>
          <w:tcPr>
            <w:tcW w:w="552" w:type="dxa"/>
            <w:noWrap/>
            <w:vAlign w:val="center"/>
          </w:tcPr>
          <w:p w14:paraId="1AE2A41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EAF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14:paraId="7495974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771" w:type="dxa"/>
            <w:vMerge w:val="restart"/>
            <w:noWrap/>
            <w:vAlign w:val="center"/>
          </w:tcPr>
          <w:p w14:paraId="0E0BCAC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服务质量管理</w:t>
            </w:r>
          </w:p>
        </w:tc>
        <w:tc>
          <w:tcPr>
            <w:tcW w:w="5190" w:type="dxa"/>
            <w:vMerge w:val="restart"/>
            <w:noWrap/>
            <w:vAlign w:val="center"/>
          </w:tcPr>
          <w:p w14:paraId="5DC665B7">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合理做好当日菜品的制作和销售安排，每餐剩余菜品在合理范围内，不得把留存菜品继续销售</w:t>
            </w:r>
          </w:p>
        </w:tc>
        <w:tc>
          <w:tcPr>
            <w:tcW w:w="622" w:type="dxa"/>
            <w:vMerge w:val="restart"/>
            <w:noWrap/>
            <w:vAlign w:val="center"/>
          </w:tcPr>
          <w:p w14:paraId="7183C37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p w14:paraId="6CE6B317">
            <w:pPr>
              <w:keepNext w:val="0"/>
              <w:keepLines w:val="0"/>
              <w:pageBreakBefore w:val="0"/>
              <w:widowControl/>
              <w:shd w:val="clear"/>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72D043DD">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未完成的一次扣2分</w:t>
            </w:r>
          </w:p>
        </w:tc>
        <w:tc>
          <w:tcPr>
            <w:tcW w:w="552" w:type="dxa"/>
            <w:noWrap/>
            <w:vAlign w:val="center"/>
          </w:tcPr>
          <w:p w14:paraId="6460FC1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7A7A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77D8A3F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58B68B8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vMerge w:val="continue"/>
            <w:noWrap/>
            <w:vAlign w:val="center"/>
          </w:tcPr>
          <w:p w14:paraId="11112CF1">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622" w:type="dxa"/>
            <w:vMerge w:val="continue"/>
            <w:noWrap/>
            <w:vAlign w:val="center"/>
          </w:tcPr>
          <w:p w14:paraId="1C4C9EE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292A790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每发现一次扣2分</w:t>
            </w:r>
          </w:p>
        </w:tc>
        <w:tc>
          <w:tcPr>
            <w:tcW w:w="552" w:type="dxa"/>
            <w:noWrap/>
            <w:vAlign w:val="center"/>
          </w:tcPr>
          <w:p w14:paraId="011F595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32F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7" w:type="dxa"/>
            <w:vMerge w:val="continue"/>
            <w:noWrap/>
            <w:vAlign w:val="center"/>
          </w:tcPr>
          <w:p w14:paraId="477DE3E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1081E28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02155B22">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开餐前做好准备工作，检查准备情况</w:t>
            </w:r>
          </w:p>
        </w:tc>
        <w:tc>
          <w:tcPr>
            <w:tcW w:w="622" w:type="dxa"/>
            <w:vMerge w:val="continue"/>
            <w:noWrap/>
            <w:vAlign w:val="center"/>
          </w:tcPr>
          <w:p w14:paraId="6D30726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197424A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每发现一次扣1分</w:t>
            </w:r>
          </w:p>
        </w:tc>
        <w:tc>
          <w:tcPr>
            <w:tcW w:w="552" w:type="dxa"/>
            <w:noWrap/>
            <w:vAlign w:val="center"/>
          </w:tcPr>
          <w:p w14:paraId="5F69EC6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22D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5D83C48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0569651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683B131B">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开餐时及时清理售餐台、餐桌上的菜汤和残食，清理地面水渍、汤渍等，保证台面、地面清洁</w:t>
            </w:r>
          </w:p>
        </w:tc>
        <w:tc>
          <w:tcPr>
            <w:tcW w:w="622" w:type="dxa"/>
            <w:vMerge w:val="continue"/>
            <w:noWrap/>
            <w:vAlign w:val="center"/>
          </w:tcPr>
          <w:p w14:paraId="5765B64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30B46FB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每发现一次扣1分</w:t>
            </w:r>
          </w:p>
        </w:tc>
        <w:tc>
          <w:tcPr>
            <w:tcW w:w="552" w:type="dxa"/>
            <w:noWrap/>
            <w:vAlign w:val="center"/>
          </w:tcPr>
          <w:p w14:paraId="6F825F0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3F2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4D3E045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3EF7828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760ED0D1">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正常开餐时间内保证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点餐者的</w:t>
            </w:r>
            <w:r>
              <w:rPr>
                <w:rFonts w:hint="eastAsia" w:ascii="宋体" w:hAnsi="宋体" w:eastAsia="宋体" w:cs="宋体"/>
                <w:color w:val="000000" w:themeColor="text1"/>
                <w:kern w:val="0"/>
                <w:sz w:val="24"/>
                <w:szCs w:val="24"/>
                <w:highlight w:val="none"/>
                <w14:textFill>
                  <w14:solidFill>
                    <w14:schemeClr w14:val="tx1"/>
                  </w14:solidFill>
                </w14:textFill>
              </w:rPr>
              <w:t>饭菜供应</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充足</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未点餐者适当</w:t>
            </w:r>
            <w:r>
              <w:rPr>
                <w:rFonts w:hint="eastAsia" w:ascii="宋体" w:hAnsi="宋体" w:eastAsia="宋体" w:cs="宋体"/>
                <w:color w:val="000000" w:themeColor="text1"/>
                <w:kern w:val="0"/>
                <w:sz w:val="24"/>
                <w:szCs w:val="24"/>
                <w:highlight w:val="none"/>
                <w14:textFill>
                  <w14:solidFill>
                    <w14:schemeClr w14:val="tx1"/>
                  </w14:solidFill>
                </w14:textFill>
              </w:rPr>
              <w:t>有备菜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，或提供炒面、炒菜等</w:t>
            </w:r>
            <w:r>
              <w:rPr>
                <w:rFonts w:hint="eastAsia" w:ascii="宋体" w:hAnsi="宋体" w:cs="宋体"/>
                <w:color w:val="000000" w:themeColor="text1"/>
                <w:kern w:val="0"/>
                <w:sz w:val="24"/>
                <w:szCs w:val="24"/>
                <w:highlight w:val="none"/>
                <w:lang w:eastAsia="zh-CN"/>
                <w14:textFill>
                  <w14:solidFill>
                    <w14:schemeClr w14:val="tx1"/>
                  </w14:solidFill>
                </w14:textFill>
              </w:rPr>
              <w:t>应急菜品。</w:t>
            </w:r>
          </w:p>
        </w:tc>
        <w:tc>
          <w:tcPr>
            <w:tcW w:w="622" w:type="dxa"/>
            <w:vMerge w:val="continue"/>
            <w:noWrap/>
            <w:vAlign w:val="center"/>
          </w:tcPr>
          <w:p w14:paraId="2C9F701D">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62799C3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未达到要求的一次扣1分</w:t>
            </w:r>
          </w:p>
        </w:tc>
        <w:tc>
          <w:tcPr>
            <w:tcW w:w="552" w:type="dxa"/>
            <w:noWrap/>
            <w:vAlign w:val="center"/>
          </w:tcPr>
          <w:p w14:paraId="57015D3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75C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2259C50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6311B95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46C62CCF">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开餐后做好整理工作，没完成的扣分</w:t>
            </w:r>
          </w:p>
        </w:tc>
        <w:tc>
          <w:tcPr>
            <w:tcW w:w="622" w:type="dxa"/>
            <w:vMerge w:val="continue"/>
            <w:noWrap/>
            <w:vAlign w:val="center"/>
          </w:tcPr>
          <w:p w14:paraId="0A2160C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0BB0149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每发现一次扣1分</w:t>
            </w:r>
          </w:p>
        </w:tc>
        <w:tc>
          <w:tcPr>
            <w:tcW w:w="552" w:type="dxa"/>
            <w:noWrap/>
            <w:vAlign w:val="center"/>
          </w:tcPr>
          <w:p w14:paraId="0852980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E0C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14:paraId="7E0C377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w:t>
            </w:r>
          </w:p>
        </w:tc>
        <w:tc>
          <w:tcPr>
            <w:tcW w:w="771" w:type="dxa"/>
            <w:vMerge w:val="restart"/>
            <w:noWrap/>
            <w:vAlign w:val="center"/>
          </w:tcPr>
          <w:p w14:paraId="7FD6998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菜肴品质管理</w:t>
            </w:r>
          </w:p>
        </w:tc>
        <w:tc>
          <w:tcPr>
            <w:tcW w:w="5190" w:type="dxa"/>
            <w:noWrap/>
            <w:vAlign w:val="center"/>
          </w:tcPr>
          <w:p w14:paraId="381836CA">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根据每周菜谱确定排菜是否合理，菜品品种是否多样，荤素搭配是否合理。每周四下午5点前餐饮服务单位必须把下周食谱报</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综合办负责人</w:t>
            </w:r>
            <w:r>
              <w:rPr>
                <w:rFonts w:hint="eastAsia" w:ascii="宋体" w:hAnsi="宋体" w:eastAsia="宋体" w:cs="宋体"/>
                <w:color w:val="000000" w:themeColor="text1"/>
                <w:kern w:val="0"/>
                <w:sz w:val="24"/>
                <w:szCs w:val="24"/>
                <w:highlight w:val="none"/>
                <w14:textFill>
                  <w14:solidFill>
                    <w14:schemeClr w14:val="tx1"/>
                  </w14:solidFill>
                </w14:textFill>
              </w:rPr>
              <w:t>处。如有调整的，应先征得业主单位同意，再进行调整，不得擅自变更</w:t>
            </w:r>
          </w:p>
        </w:tc>
        <w:tc>
          <w:tcPr>
            <w:tcW w:w="622" w:type="dxa"/>
            <w:vMerge w:val="restart"/>
            <w:noWrap/>
            <w:vAlign w:val="center"/>
          </w:tcPr>
          <w:p w14:paraId="010002D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1769" w:type="dxa"/>
            <w:noWrap/>
            <w:vAlign w:val="center"/>
          </w:tcPr>
          <w:p w14:paraId="35D705E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未达到要求的一次扣1分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；擅自变更菜单的，一次扣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1分</w:t>
            </w:r>
          </w:p>
        </w:tc>
        <w:tc>
          <w:tcPr>
            <w:tcW w:w="552" w:type="dxa"/>
            <w:noWrap/>
            <w:vAlign w:val="center"/>
          </w:tcPr>
          <w:p w14:paraId="2572719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6564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3948540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42CF4E91">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564B5813">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严把采购验收关，对不符合质量要求，或缺斤少两的原辅料和调味品等，及时采取退货等措施</w:t>
            </w:r>
          </w:p>
        </w:tc>
        <w:tc>
          <w:tcPr>
            <w:tcW w:w="622" w:type="dxa"/>
            <w:vMerge w:val="continue"/>
            <w:noWrap/>
            <w:vAlign w:val="center"/>
          </w:tcPr>
          <w:p w14:paraId="0B8600B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2DCB474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未完成的一次扣1分</w:t>
            </w:r>
          </w:p>
        </w:tc>
        <w:tc>
          <w:tcPr>
            <w:tcW w:w="552" w:type="dxa"/>
            <w:noWrap/>
            <w:vAlign w:val="center"/>
          </w:tcPr>
          <w:p w14:paraId="3F4CC1D1">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47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31C228E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7B01F04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4D0EB5B1">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不定期抽查菜品是否咸淡适中，有无过油和过老等现象</w:t>
            </w:r>
          </w:p>
        </w:tc>
        <w:tc>
          <w:tcPr>
            <w:tcW w:w="622" w:type="dxa"/>
            <w:vMerge w:val="continue"/>
            <w:noWrap/>
            <w:vAlign w:val="center"/>
          </w:tcPr>
          <w:p w14:paraId="1B42C6D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4DFE7B6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未达到要求的一次扣1分</w:t>
            </w:r>
          </w:p>
        </w:tc>
        <w:tc>
          <w:tcPr>
            <w:tcW w:w="552" w:type="dxa"/>
            <w:noWrap/>
            <w:vAlign w:val="center"/>
          </w:tcPr>
          <w:p w14:paraId="2A00B12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574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4C143DF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12B7BE9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4E9B57EA">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检查菜品质量，出品的菜肴里有杂物的扣分</w:t>
            </w:r>
          </w:p>
        </w:tc>
        <w:tc>
          <w:tcPr>
            <w:tcW w:w="622" w:type="dxa"/>
            <w:vMerge w:val="continue"/>
            <w:noWrap/>
            <w:vAlign w:val="center"/>
          </w:tcPr>
          <w:p w14:paraId="0885C69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40C2123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每发现一次扣1分</w:t>
            </w:r>
          </w:p>
        </w:tc>
        <w:tc>
          <w:tcPr>
            <w:tcW w:w="552" w:type="dxa"/>
            <w:noWrap/>
            <w:vAlign w:val="center"/>
          </w:tcPr>
          <w:p w14:paraId="302FA5D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797B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3E82040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6BFD02A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075F0F70">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经常性地调整花色品种，每周要有二至三个新品种</w:t>
            </w:r>
          </w:p>
        </w:tc>
        <w:tc>
          <w:tcPr>
            <w:tcW w:w="622" w:type="dxa"/>
            <w:vMerge w:val="continue"/>
            <w:noWrap/>
            <w:vAlign w:val="center"/>
          </w:tcPr>
          <w:p w14:paraId="77F660F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1360ECB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未完成的一次扣1分</w:t>
            </w:r>
          </w:p>
        </w:tc>
        <w:tc>
          <w:tcPr>
            <w:tcW w:w="552" w:type="dxa"/>
            <w:noWrap/>
            <w:vAlign w:val="center"/>
          </w:tcPr>
          <w:p w14:paraId="236C1E8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6BC4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7A86AAD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3438429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2A32B2BE">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减少剩菜数量，不得出售隔夜的蔬菜类菜肴，其它适合保存的菜肴，必须在保质期内使用，但原则上不超过两天</w:t>
            </w:r>
          </w:p>
        </w:tc>
        <w:tc>
          <w:tcPr>
            <w:tcW w:w="622" w:type="dxa"/>
            <w:vMerge w:val="continue"/>
            <w:noWrap/>
            <w:vAlign w:val="center"/>
          </w:tcPr>
          <w:p w14:paraId="2DB0DD6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160CF18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未按要求的一次扣1分</w:t>
            </w:r>
          </w:p>
        </w:tc>
        <w:tc>
          <w:tcPr>
            <w:tcW w:w="552" w:type="dxa"/>
            <w:noWrap/>
            <w:vAlign w:val="center"/>
          </w:tcPr>
          <w:p w14:paraId="2DE1372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09F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2341F3A1">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62C0105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7E0135FE">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有无应急预案，在菜量不够情况下，厨房有无备菜</w:t>
            </w:r>
          </w:p>
        </w:tc>
        <w:tc>
          <w:tcPr>
            <w:tcW w:w="622" w:type="dxa"/>
            <w:vMerge w:val="continue"/>
            <w:noWrap/>
            <w:vAlign w:val="center"/>
          </w:tcPr>
          <w:p w14:paraId="1DAC74C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6A0930D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未达到要求的一次扣1分</w:t>
            </w:r>
          </w:p>
        </w:tc>
        <w:tc>
          <w:tcPr>
            <w:tcW w:w="552" w:type="dxa"/>
            <w:noWrap/>
            <w:vAlign w:val="center"/>
          </w:tcPr>
          <w:p w14:paraId="593D905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9A2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14:paraId="01B793D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771" w:type="dxa"/>
            <w:vMerge w:val="restart"/>
            <w:noWrap/>
            <w:vAlign w:val="center"/>
          </w:tcPr>
          <w:p w14:paraId="1F3D72E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食品安全和环境卫生</w:t>
            </w:r>
          </w:p>
        </w:tc>
        <w:tc>
          <w:tcPr>
            <w:tcW w:w="5190" w:type="dxa"/>
            <w:noWrap/>
            <w:vAlign w:val="center"/>
          </w:tcPr>
          <w:p w14:paraId="7752EF30">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厨房操作区域、打菜区域严禁非工作人员进入</w:t>
            </w:r>
          </w:p>
        </w:tc>
        <w:tc>
          <w:tcPr>
            <w:tcW w:w="622" w:type="dxa"/>
            <w:vMerge w:val="restart"/>
            <w:noWrap/>
            <w:vAlign w:val="center"/>
          </w:tcPr>
          <w:p w14:paraId="2846C40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p w14:paraId="277489D9">
            <w:pPr>
              <w:keepNext w:val="0"/>
              <w:keepLines w:val="0"/>
              <w:pageBreakBefore w:val="0"/>
              <w:widowControl/>
              <w:shd w:val="clear"/>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71B2677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552" w:type="dxa"/>
            <w:noWrap/>
            <w:vAlign w:val="center"/>
          </w:tcPr>
          <w:p w14:paraId="2628B06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1DF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5302F561">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6ADF75C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0FCA147C">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餐用具清洗消毒，有消毒记录，已消毒餐具需存放在保洁设施内</w:t>
            </w:r>
          </w:p>
        </w:tc>
        <w:tc>
          <w:tcPr>
            <w:tcW w:w="622" w:type="dxa"/>
            <w:vMerge w:val="continue"/>
            <w:noWrap/>
            <w:vAlign w:val="center"/>
          </w:tcPr>
          <w:p w14:paraId="1B63FDB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7F5B3E6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552" w:type="dxa"/>
            <w:noWrap/>
            <w:vAlign w:val="center"/>
          </w:tcPr>
          <w:p w14:paraId="51B6025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926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02ED070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5972885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03ED5CEC">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食品添加剂领用和使用记录完整，不超范围、超量使用</w:t>
            </w:r>
          </w:p>
        </w:tc>
        <w:tc>
          <w:tcPr>
            <w:tcW w:w="622" w:type="dxa"/>
            <w:vMerge w:val="continue"/>
            <w:noWrap/>
            <w:vAlign w:val="center"/>
          </w:tcPr>
          <w:p w14:paraId="4E9EE68D">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67F10BB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552" w:type="dxa"/>
            <w:noWrap/>
            <w:vAlign w:val="center"/>
          </w:tcPr>
          <w:p w14:paraId="46D6660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484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248A468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3AC4B27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48FD4FF7">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清洗用具是否按规定存放，拖把扫帚等是否存放规范</w:t>
            </w:r>
          </w:p>
        </w:tc>
        <w:tc>
          <w:tcPr>
            <w:tcW w:w="622" w:type="dxa"/>
            <w:vMerge w:val="continue"/>
            <w:noWrap/>
            <w:vAlign w:val="center"/>
          </w:tcPr>
          <w:p w14:paraId="0B20AED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38BD9AF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每发现一次扣1分</w:t>
            </w:r>
          </w:p>
        </w:tc>
        <w:tc>
          <w:tcPr>
            <w:tcW w:w="552" w:type="dxa"/>
            <w:noWrap/>
            <w:vAlign w:val="center"/>
          </w:tcPr>
          <w:p w14:paraId="6CBE5F6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7EB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44131CD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7573FAF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00B0F1FC">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用具存放规范，生熟分开存放、分开使用，原材料和成品，待加工食品和直接入口食品分开放置，离地隔墙</w:t>
            </w:r>
          </w:p>
        </w:tc>
        <w:tc>
          <w:tcPr>
            <w:tcW w:w="622" w:type="dxa"/>
            <w:vMerge w:val="continue"/>
            <w:noWrap/>
            <w:vAlign w:val="center"/>
          </w:tcPr>
          <w:p w14:paraId="32960DC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26F8287D">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每发现一次扣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552" w:type="dxa"/>
            <w:noWrap/>
            <w:vAlign w:val="center"/>
          </w:tcPr>
          <w:p w14:paraId="061FF5D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986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27FE0CED">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1A16CB3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7E6D2F79">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食品加工安全，留样齐全，记录完整，无发生食物中毒，无三无产品和过期食品，如发生食堂中毒事件本</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大</w:t>
            </w:r>
            <w:r>
              <w:rPr>
                <w:rFonts w:hint="eastAsia" w:ascii="宋体" w:hAnsi="宋体" w:eastAsia="宋体" w:cs="宋体"/>
                <w:color w:val="000000" w:themeColor="text1"/>
                <w:kern w:val="0"/>
                <w:sz w:val="24"/>
                <w:szCs w:val="24"/>
                <w:highlight w:val="none"/>
                <w14:textFill>
                  <w14:solidFill>
                    <w14:schemeClr w14:val="tx1"/>
                  </w14:solidFill>
                </w14:textFill>
              </w:rPr>
              <w:t>项扣完</w:t>
            </w:r>
          </w:p>
        </w:tc>
        <w:tc>
          <w:tcPr>
            <w:tcW w:w="622" w:type="dxa"/>
            <w:vMerge w:val="continue"/>
            <w:noWrap/>
            <w:vAlign w:val="center"/>
          </w:tcPr>
          <w:p w14:paraId="10DF218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7A6F1BF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未达到要求的一次扣2分</w:t>
            </w:r>
          </w:p>
        </w:tc>
        <w:tc>
          <w:tcPr>
            <w:tcW w:w="552" w:type="dxa"/>
            <w:noWrap/>
            <w:vAlign w:val="center"/>
          </w:tcPr>
          <w:p w14:paraId="4AB2900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3F5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00E0F2B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1661107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37487332">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食堂区域干净整洁，仓库、冷库等储存场所卫生整洁，做到每日一小扫，每周一大扫。</w:t>
            </w:r>
          </w:p>
        </w:tc>
        <w:tc>
          <w:tcPr>
            <w:tcW w:w="622" w:type="dxa"/>
            <w:vMerge w:val="continue"/>
            <w:noWrap/>
            <w:vAlign w:val="center"/>
          </w:tcPr>
          <w:p w14:paraId="0623DAF5">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7CD36BB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未达到要求的扣2分</w:t>
            </w:r>
          </w:p>
        </w:tc>
        <w:tc>
          <w:tcPr>
            <w:tcW w:w="552" w:type="dxa"/>
            <w:noWrap/>
            <w:vAlign w:val="center"/>
          </w:tcPr>
          <w:p w14:paraId="342C0AD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221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3847F8B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71" w:type="dxa"/>
            <w:vMerge w:val="continue"/>
            <w:noWrap/>
            <w:vAlign w:val="center"/>
          </w:tcPr>
          <w:p w14:paraId="0424D43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72207F7D">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有无卫生检查、除四害、餐厨垃圾处理台账，无的和台账不规范的扣分</w:t>
            </w:r>
          </w:p>
        </w:tc>
        <w:tc>
          <w:tcPr>
            <w:tcW w:w="622" w:type="dxa"/>
            <w:noWrap/>
            <w:vAlign w:val="center"/>
          </w:tcPr>
          <w:p w14:paraId="6ED4FB7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7706C5F2">
            <w:pPr>
              <w:keepNext w:val="0"/>
              <w:keepLines w:val="0"/>
              <w:pageBreakBefore w:val="0"/>
              <w:widowControl/>
              <w:shd w:val="clear"/>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无相关台帐扣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1分</w:t>
            </w:r>
          </w:p>
        </w:tc>
        <w:tc>
          <w:tcPr>
            <w:tcW w:w="552" w:type="dxa"/>
            <w:noWrap/>
            <w:vAlign w:val="center"/>
          </w:tcPr>
          <w:p w14:paraId="2DA6588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B12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14:paraId="3828A18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w:t>
            </w:r>
          </w:p>
        </w:tc>
        <w:tc>
          <w:tcPr>
            <w:tcW w:w="771" w:type="dxa"/>
            <w:vMerge w:val="restart"/>
            <w:noWrap/>
            <w:vAlign w:val="center"/>
          </w:tcPr>
          <w:p w14:paraId="48E7FC61">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成本核算</w:t>
            </w:r>
          </w:p>
        </w:tc>
        <w:tc>
          <w:tcPr>
            <w:tcW w:w="5190" w:type="dxa"/>
            <w:noWrap/>
            <w:vAlign w:val="center"/>
          </w:tcPr>
          <w:p w14:paraId="5D4C5E91">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每月利润需保持在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%之间，超过和未达到的扣分</w:t>
            </w:r>
          </w:p>
        </w:tc>
        <w:tc>
          <w:tcPr>
            <w:tcW w:w="622" w:type="dxa"/>
            <w:vMerge w:val="restart"/>
            <w:noWrap/>
            <w:vAlign w:val="center"/>
          </w:tcPr>
          <w:p w14:paraId="3E0D521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1769" w:type="dxa"/>
            <w:noWrap/>
            <w:vAlign w:val="center"/>
          </w:tcPr>
          <w:p w14:paraId="18C4B8C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利润率没有达到规定范围内的每次扣2分</w:t>
            </w:r>
          </w:p>
        </w:tc>
        <w:tc>
          <w:tcPr>
            <w:tcW w:w="552" w:type="dxa"/>
            <w:noWrap/>
            <w:vAlign w:val="center"/>
          </w:tcPr>
          <w:p w14:paraId="02BA6C0D">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9A0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2CF567C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0E66A6B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3563E878">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如当月发生亏损的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-10%及以上，</w:t>
            </w:r>
            <w:r>
              <w:rPr>
                <w:rFonts w:hint="eastAsia" w:ascii="宋体" w:hAnsi="宋体" w:eastAsia="宋体" w:cs="宋体"/>
                <w:color w:val="000000" w:themeColor="text1"/>
                <w:kern w:val="0"/>
                <w:sz w:val="24"/>
                <w:szCs w:val="24"/>
                <w:highlight w:val="none"/>
                <w14:textFill>
                  <w14:solidFill>
                    <w14:schemeClr w14:val="tx1"/>
                  </w14:solidFill>
                </w14:textFill>
              </w:rPr>
              <w:t>本项扣完</w:t>
            </w:r>
          </w:p>
        </w:tc>
        <w:tc>
          <w:tcPr>
            <w:tcW w:w="622" w:type="dxa"/>
            <w:vMerge w:val="continue"/>
            <w:noWrap/>
            <w:vAlign w:val="center"/>
          </w:tcPr>
          <w:p w14:paraId="6390F44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373AFAD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当月亏损的扣10分</w:t>
            </w:r>
          </w:p>
        </w:tc>
        <w:tc>
          <w:tcPr>
            <w:tcW w:w="552" w:type="dxa"/>
            <w:noWrap/>
            <w:vAlign w:val="center"/>
          </w:tcPr>
          <w:p w14:paraId="464F546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7EF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14:paraId="5CD60CA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8</w:t>
            </w:r>
          </w:p>
        </w:tc>
        <w:tc>
          <w:tcPr>
            <w:tcW w:w="771" w:type="dxa"/>
            <w:vMerge w:val="restart"/>
            <w:noWrap/>
            <w:vAlign w:val="center"/>
          </w:tcPr>
          <w:p w14:paraId="5FC21B3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设备、设施、节能管理</w:t>
            </w:r>
          </w:p>
        </w:tc>
        <w:tc>
          <w:tcPr>
            <w:tcW w:w="5190" w:type="dxa"/>
            <w:noWrap/>
            <w:vAlign w:val="center"/>
          </w:tcPr>
          <w:p w14:paraId="5F1581F2">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各种设备、设施责任人是否严格按规定进行操作，责任人需进行日常检查，有故障和安全隐患及时处理和上报</w:t>
            </w:r>
          </w:p>
        </w:tc>
        <w:tc>
          <w:tcPr>
            <w:tcW w:w="622" w:type="dxa"/>
            <w:vMerge w:val="restart"/>
            <w:noWrap/>
            <w:vAlign w:val="center"/>
          </w:tcPr>
          <w:p w14:paraId="36EBAB4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p>
        </w:tc>
        <w:tc>
          <w:tcPr>
            <w:tcW w:w="1769" w:type="dxa"/>
            <w:noWrap/>
            <w:vAlign w:val="center"/>
          </w:tcPr>
          <w:p w14:paraId="0C3C2C9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未达到要求的扣1分</w:t>
            </w:r>
          </w:p>
        </w:tc>
        <w:tc>
          <w:tcPr>
            <w:tcW w:w="552" w:type="dxa"/>
            <w:noWrap/>
            <w:vAlign w:val="center"/>
          </w:tcPr>
          <w:p w14:paraId="6C9B09E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242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424B994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7F2C356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562A11C5">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设备每次使用后未清洗的、未关闭电源的扣分</w:t>
            </w:r>
          </w:p>
        </w:tc>
        <w:tc>
          <w:tcPr>
            <w:tcW w:w="622" w:type="dxa"/>
            <w:vMerge w:val="continue"/>
            <w:noWrap/>
            <w:vAlign w:val="center"/>
          </w:tcPr>
          <w:p w14:paraId="71FEEC6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69B9AF66">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未达到要求的每次扣1分</w:t>
            </w:r>
          </w:p>
        </w:tc>
        <w:tc>
          <w:tcPr>
            <w:tcW w:w="552" w:type="dxa"/>
            <w:noWrap/>
            <w:vAlign w:val="center"/>
          </w:tcPr>
          <w:p w14:paraId="719F00F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738E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0F4E5A6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771" w:type="dxa"/>
            <w:vMerge w:val="continue"/>
            <w:noWrap/>
            <w:vAlign w:val="center"/>
          </w:tcPr>
          <w:p w14:paraId="072B797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5190" w:type="dxa"/>
            <w:noWrap/>
            <w:vAlign w:val="center"/>
          </w:tcPr>
          <w:p w14:paraId="73293F1D">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水、电、气、空调在使用后未及时关闭的</w:t>
            </w:r>
          </w:p>
        </w:tc>
        <w:tc>
          <w:tcPr>
            <w:tcW w:w="622" w:type="dxa"/>
            <w:vMerge w:val="continue"/>
            <w:noWrap/>
            <w:vAlign w:val="center"/>
          </w:tcPr>
          <w:p w14:paraId="346F103E">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69" w:type="dxa"/>
            <w:noWrap/>
            <w:vAlign w:val="center"/>
          </w:tcPr>
          <w:p w14:paraId="7E57DFDC">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未做到每次的扣2分</w:t>
            </w:r>
          </w:p>
        </w:tc>
        <w:tc>
          <w:tcPr>
            <w:tcW w:w="552" w:type="dxa"/>
            <w:noWrap/>
            <w:vAlign w:val="center"/>
          </w:tcPr>
          <w:p w14:paraId="6A654D1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6311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noWrap/>
            <w:vAlign w:val="center"/>
          </w:tcPr>
          <w:p w14:paraId="6538CC8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9</w:t>
            </w:r>
          </w:p>
        </w:tc>
        <w:tc>
          <w:tcPr>
            <w:tcW w:w="771" w:type="dxa"/>
            <w:noWrap/>
            <w:vAlign w:val="center"/>
          </w:tcPr>
          <w:p w14:paraId="0E897AD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反食堂浪费</w:t>
            </w:r>
          </w:p>
        </w:tc>
        <w:tc>
          <w:tcPr>
            <w:tcW w:w="5190" w:type="dxa"/>
            <w:noWrap/>
            <w:vAlign w:val="center"/>
          </w:tcPr>
          <w:p w14:paraId="05AC2D1E">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配合开展反食品浪费活动，每月浪费系数控制在标准范围内；取餐时提醒节约食品；回收时监督、劝阻食品浪费行为；优化切配流，做好边角料再利用。</w:t>
            </w:r>
          </w:p>
        </w:tc>
        <w:tc>
          <w:tcPr>
            <w:tcW w:w="622" w:type="dxa"/>
            <w:noWrap/>
            <w:vAlign w:val="center"/>
          </w:tcPr>
          <w:p w14:paraId="7AA7C9E2">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p>
        </w:tc>
        <w:tc>
          <w:tcPr>
            <w:tcW w:w="1769" w:type="dxa"/>
            <w:noWrap/>
            <w:vAlign w:val="center"/>
          </w:tcPr>
          <w:p w14:paraId="7EA31ED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未做到每项扣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1分。</w:t>
            </w:r>
          </w:p>
        </w:tc>
        <w:tc>
          <w:tcPr>
            <w:tcW w:w="552" w:type="dxa"/>
            <w:noWrap/>
            <w:vAlign w:val="center"/>
          </w:tcPr>
          <w:p w14:paraId="2DCCB5E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4FC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327" w:type="dxa"/>
            <w:noWrap/>
            <w:vAlign w:val="center"/>
          </w:tcPr>
          <w:p w14:paraId="69627C37">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10</w:t>
            </w:r>
          </w:p>
        </w:tc>
        <w:tc>
          <w:tcPr>
            <w:tcW w:w="771" w:type="dxa"/>
            <w:noWrap/>
            <w:vAlign w:val="center"/>
          </w:tcPr>
          <w:p w14:paraId="7CFF2AC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其他工作</w:t>
            </w:r>
          </w:p>
        </w:tc>
        <w:tc>
          <w:tcPr>
            <w:tcW w:w="5190" w:type="dxa"/>
            <w:noWrap/>
            <w:vAlign w:val="center"/>
          </w:tcPr>
          <w:p w14:paraId="7317CD53">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提高烹饪人员厨艺水平，</w:t>
            </w:r>
            <w:r>
              <w:rPr>
                <w:rFonts w:hint="eastAsia" w:ascii="宋体" w:hAnsi="宋体" w:cs="宋体"/>
                <w:color w:val="000000" w:themeColor="text1"/>
                <w:kern w:val="0"/>
                <w:sz w:val="24"/>
                <w:szCs w:val="24"/>
                <w:highlight w:val="none"/>
                <w:lang w:eastAsia="zh-CN"/>
                <w14:textFill>
                  <w14:solidFill>
                    <w14:schemeClr w14:val="tx1"/>
                  </w14:solidFill>
                </w14:textFill>
              </w:rPr>
              <w:t>定期组织开展菜品的创新研究，每月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制定</w:t>
            </w:r>
            <w:r>
              <w:rPr>
                <w:rFonts w:hint="eastAsia" w:ascii="宋体" w:hAnsi="宋体" w:cs="宋体"/>
                <w:color w:val="000000" w:themeColor="text1"/>
                <w:kern w:val="0"/>
                <w:sz w:val="24"/>
                <w:szCs w:val="24"/>
                <w:highlight w:val="none"/>
                <w:lang w:val="en-US" w:eastAsia="zh-CN"/>
                <w14:textFill>
                  <w14:solidFill>
                    <w14:schemeClr w14:val="tx1"/>
                  </w14:solidFill>
                </w14:textFill>
              </w:rPr>
              <w:t>研究培训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计划。</w:t>
            </w:r>
          </w:p>
        </w:tc>
        <w:tc>
          <w:tcPr>
            <w:tcW w:w="622" w:type="dxa"/>
            <w:noWrap/>
            <w:vAlign w:val="center"/>
          </w:tcPr>
          <w:p w14:paraId="693D10D1">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c>
          <w:tcPr>
            <w:tcW w:w="1769" w:type="dxa"/>
            <w:noWrap/>
            <w:vAlign w:val="center"/>
          </w:tcPr>
          <w:p w14:paraId="1A37A54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未做到的本项不得分</w:t>
            </w:r>
          </w:p>
        </w:tc>
        <w:tc>
          <w:tcPr>
            <w:tcW w:w="552" w:type="dxa"/>
            <w:noWrap/>
            <w:vAlign w:val="center"/>
          </w:tcPr>
          <w:p w14:paraId="5914DE0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6C25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noWrap/>
            <w:vAlign w:val="center"/>
          </w:tcPr>
          <w:p w14:paraId="372FDC7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5961" w:type="dxa"/>
            <w:gridSpan w:val="2"/>
            <w:noWrap/>
            <w:vAlign w:val="center"/>
          </w:tcPr>
          <w:p w14:paraId="28E1CE3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p>
        </w:tc>
        <w:tc>
          <w:tcPr>
            <w:tcW w:w="622" w:type="dxa"/>
            <w:noWrap/>
            <w:vAlign w:val="center"/>
          </w:tcPr>
          <w:p w14:paraId="3AF2246F">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100</w:t>
            </w:r>
          </w:p>
        </w:tc>
        <w:tc>
          <w:tcPr>
            <w:tcW w:w="1769" w:type="dxa"/>
            <w:noWrap/>
            <w:vAlign w:val="center"/>
          </w:tcPr>
          <w:p w14:paraId="2FE73C18">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扣分合计</w:t>
            </w:r>
          </w:p>
        </w:tc>
        <w:tc>
          <w:tcPr>
            <w:tcW w:w="552" w:type="dxa"/>
            <w:noWrap/>
            <w:vAlign w:val="center"/>
          </w:tcPr>
          <w:p w14:paraId="4683FE4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98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1" w:type="dxa"/>
            <w:gridSpan w:val="6"/>
            <w:noWrap/>
            <w:vAlign w:val="center"/>
          </w:tcPr>
          <w:p w14:paraId="1EC405A0">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12D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14:paraId="4C37EBAB">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加分</w:t>
            </w:r>
          </w:p>
          <w:p w14:paraId="799CEBFD">
            <w:pPr>
              <w:pStyle w:val="10"/>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项</w:t>
            </w:r>
          </w:p>
        </w:tc>
        <w:tc>
          <w:tcPr>
            <w:tcW w:w="5961" w:type="dxa"/>
            <w:gridSpan w:val="2"/>
            <w:noWrap/>
            <w:vAlign w:val="center"/>
          </w:tcPr>
          <w:p w14:paraId="3FE4D64F">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甲方服务团队人员获得市级及以上烹饪技能比武个人或团体前3名</w:t>
            </w:r>
          </w:p>
        </w:tc>
        <w:tc>
          <w:tcPr>
            <w:tcW w:w="622" w:type="dxa"/>
            <w:noWrap/>
            <w:vAlign w:val="center"/>
          </w:tcPr>
          <w:p w14:paraId="65E29553">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1769" w:type="dxa"/>
            <w:noWrap/>
            <w:vAlign w:val="center"/>
          </w:tcPr>
          <w:p w14:paraId="1B5876A4">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分别在当月得分中加</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552" w:type="dxa"/>
            <w:noWrap/>
            <w:vAlign w:val="center"/>
          </w:tcPr>
          <w:p w14:paraId="74413D44">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F2D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265C68E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5961" w:type="dxa"/>
            <w:gridSpan w:val="2"/>
            <w:noWrap/>
            <w:vAlign w:val="center"/>
          </w:tcPr>
          <w:p w14:paraId="000A745C">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当月推出的创新菜品</w:t>
            </w:r>
            <w:r>
              <w:rPr>
                <w:rFonts w:hint="eastAsia" w:ascii="宋体" w:hAnsi="宋体" w:cs="宋体"/>
                <w:color w:val="000000" w:themeColor="text1"/>
                <w:kern w:val="0"/>
                <w:sz w:val="24"/>
                <w:szCs w:val="24"/>
                <w:highlight w:val="none"/>
                <w:lang w:eastAsia="zh-CN"/>
                <w14:textFill>
                  <w14:solidFill>
                    <w14:schemeClr w14:val="tx1"/>
                  </w14:solidFill>
                </w14:textFill>
              </w:rPr>
              <w:t>受到大家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普遍</w:t>
            </w:r>
            <w:r>
              <w:rPr>
                <w:rFonts w:hint="eastAsia" w:ascii="宋体" w:hAnsi="宋体" w:cs="宋体"/>
                <w:color w:val="000000" w:themeColor="text1"/>
                <w:kern w:val="0"/>
                <w:sz w:val="24"/>
                <w:szCs w:val="24"/>
                <w:highlight w:val="none"/>
                <w:lang w:eastAsia="zh-CN"/>
                <w14:textFill>
                  <w14:solidFill>
                    <w14:schemeClr w14:val="tx1"/>
                  </w14:solidFill>
                </w14:textFill>
              </w:rPr>
              <w:t>好评</w:t>
            </w:r>
          </w:p>
        </w:tc>
        <w:tc>
          <w:tcPr>
            <w:tcW w:w="622" w:type="dxa"/>
            <w:noWrap/>
            <w:vAlign w:val="center"/>
          </w:tcPr>
          <w:p w14:paraId="2066ECD9">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1769" w:type="dxa"/>
            <w:noWrap/>
            <w:vAlign w:val="center"/>
          </w:tcPr>
          <w:p w14:paraId="7D362842">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在当月得分中加</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552" w:type="dxa"/>
            <w:noWrap/>
            <w:vAlign w:val="center"/>
          </w:tcPr>
          <w:p w14:paraId="0B45DAC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014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3E9C1719">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5961" w:type="dxa"/>
            <w:gridSpan w:val="2"/>
            <w:noWrap/>
            <w:vAlign w:val="center"/>
          </w:tcPr>
          <w:p w14:paraId="0C58D2D0">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领导、就餐部门提出</w:t>
            </w:r>
            <w:r>
              <w:rPr>
                <w:rFonts w:hint="eastAsia" w:ascii="宋体" w:hAnsi="宋体" w:cs="宋体"/>
                <w:color w:val="000000" w:themeColor="text1"/>
                <w:kern w:val="0"/>
                <w:sz w:val="24"/>
                <w:szCs w:val="24"/>
                <w:highlight w:val="none"/>
                <w:lang w:eastAsia="zh-CN"/>
                <w14:textFill>
                  <w14:solidFill>
                    <w14:schemeClr w14:val="tx1"/>
                  </w14:solidFill>
                </w14:textFill>
              </w:rPr>
              <w:t>正式</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表扬的</w:t>
            </w:r>
          </w:p>
        </w:tc>
        <w:tc>
          <w:tcPr>
            <w:tcW w:w="622" w:type="dxa"/>
            <w:noWrap/>
            <w:vAlign w:val="center"/>
          </w:tcPr>
          <w:p w14:paraId="7FF5865F">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769" w:type="dxa"/>
            <w:noWrap/>
            <w:vAlign w:val="center"/>
          </w:tcPr>
          <w:p w14:paraId="098F3CF8">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在当月总得分中加</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w:t>
            </w:r>
          </w:p>
        </w:tc>
        <w:tc>
          <w:tcPr>
            <w:tcW w:w="552" w:type="dxa"/>
            <w:noWrap/>
            <w:vAlign w:val="center"/>
          </w:tcPr>
          <w:p w14:paraId="22A0E7CD">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52B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14:paraId="2765126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5961" w:type="dxa"/>
            <w:gridSpan w:val="2"/>
            <w:noWrap/>
            <w:vAlign w:val="center"/>
          </w:tcPr>
          <w:p w14:paraId="6DC1255E">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提出的创新性服务举措，采纳实施后，取得明显成效的</w:t>
            </w:r>
          </w:p>
        </w:tc>
        <w:tc>
          <w:tcPr>
            <w:tcW w:w="622" w:type="dxa"/>
            <w:noWrap/>
            <w:vAlign w:val="center"/>
          </w:tcPr>
          <w:p w14:paraId="6751332A">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1769" w:type="dxa"/>
            <w:noWrap/>
            <w:vAlign w:val="center"/>
          </w:tcPr>
          <w:p w14:paraId="2E0432EB">
            <w:pPr>
              <w:keepNext w:val="0"/>
              <w:keepLines w:val="0"/>
              <w:pageBreakBefore w:val="0"/>
              <w:widowControl/>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在当月得分中加</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552" w:type="dxa"/>
            <w:noWrap/>
            <w:vAlign w:val="center"/>
          </w:tcPr>
          <w:p w14:paraId="0923543A">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87B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9231" w:type="dxa"/>
            <w:gridSpan w:val="6"/>
            <w:vMerge w:val="restart"/>
            <w:noWrap/>
            <w:vAlign w:val="center"/>
          </w:tcPr>
          <w:p w14:paraId="3B89CA64">
            <w:pPr>
              <w:keepNext w:val="0"/>
              <w:keepLines w:val="0"/>
              <w:pageBreakBefore w:val="0"/>
              <w:widowControl/>
              <w:shd w:val="clea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注：1、本评分表由业主单位实行定期监管时进行打分，可以在一个评分周期内发现问题重复扣分。     2、此评分表作为对外包服务单位月度考核的主要依据。</w:t>
            </w:r>
          </w:p>
        </w:tc>
      </w:tr>
      <w:tr w14:paraId="2905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9231" w:type="dxa"/>
            <w:gridSpan w:val="6"/>
            <w:vMerge w:val="continue"/>
            <w:noWrap/>
            <w:vAlign w:val="center"/>
          </w:tcPr>
          <w:p w14:paraId="23A302E7">
            <w:pPr>
              <w:widowControl/>
              <w:shd w:val="clea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519DC160">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DCB6D43">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一票否决事项</w:t>
      </w:r>
    </w:p>
    <w:p w14:paraId="49A407D7">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1、发生重大安全生产事故或食品安全事故，造成重大损失的；</w:t>
      </w:r>
    </w:p>
    <w:p w14:paraId="42BFBF19">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2、因管理不善，发生严重盗窃、人身伤害、火灾等责任事故的；</w:t>
      </w:r>
    </w:p>
    <w:p w14:paraId="6A005D20">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3、监管部门查出不合格事项或由媒体、舆论曝光，造成不良影响的；</w:t>
      </w:r>
    </w:p>
    <w:p w14:paraId="29178666">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4、不服从业主单位管理，和业主单位发生重大冲突或管理人员私自带人撒离的；</w:t>
      </w:r>
    </w:p>
    <w:p w14:paraId="669C4510">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5、和就餐机关干部发生冲突或斗殴，造成重大影响的；</w:t>
      </w:r>
    </w:p>
    <w:p w14:paraId="4283F6D2">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中标方有违反上述条款和相关规定，或因不服从招标方管理监督造成双方矛盾激化，被招标方解除合同的，具体解除合同时间由招标方确定，中标方不得私自带团队撤离，如私自带团队撤离，招标方有权没收合同履约保证金，并按合同价的百分之二十向招标方进行索赔，如中标方不履行的，招标方可向台州市仲裁委申请仲裁。</w:t>
      </w:r>
    </w:p>
    <w:p w14:paraId="55A8B6CB">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期满后，中标方应服从招标方安排，由招标方确定撤离时间，不得私自带团队撤离，如私自带团队撤离，影响食堂正常工作的，招标方有权没收合同履约保证金，并按合同价的百分之二十向招标方进行索赔，如中标方不履行的，招标方可向台州市仲裁委申请仲裁。</w:t>
      </w:r>
    </w:p>
    <w:p w14:paraId="718E910C">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其他</w:t>
      </w:r>
      <w:r>
        <w:rPr>
          <w:rFonts w:hint="eastAsia" w:ascii="宋体" w:hAnsi="宋体" w:eastAsia="宋体" w:cs="宋体"/>
          <w:b/>
          <w:bCs/>
          <w:color w:val="000000" w:themeColor="text1"/>
          <w:sz w:val="24"/>
          <w:szCs w:val="24"/>
          <w:highlight w:val="none"/>
          <w14:textFill>
            <w14:solidFill>
              <w14:schemeClr w14:val="tx1"/>
            </w14:solidFill>
          </w14:textFill>
        </w:rPr>
        <w:t>扣款处罚事项：</w:t>
      </w:r>
    </w:p>
    <w:p w14:paraId="19DABC8B">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1、中标人按投标承诺为本项目派驻的项目经理、厨师长、面点师和标书提供的人员不一致的，招标方有权进行处罚，每人次扣款</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000元，直至招标方无条件中止合同，并禁止中标方参加招标方今后组织的类似项目招标；</w:t>
      </w:r>
    </w:p>
    <w:p w14:paraId="6069B12E">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经招标方同意，中标方不得有下列行为：擅自安排人员到招标方食堂学习、考察和培训等；擅自调动本项目工作人员外出工作；擅自安排人员到本项目食堂免费用餐。上述行为一经发现，招标方有权视情节进行扣款处罚100-1000元；</w:t>
      </w:r>
    </w:p>
    <w:p w14:paraId="62C42FC0">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、如由于中标人管理不善，出现中标方工作人员与就餐干部职工吵架等不良现象，根据情节每次扣款500-1000元；</w:t>
      </w:r>
    </w:p>
    <w:p w14:paraId="42F4371E">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、如中标方工作人员不服从招标方日常管理，或不落实招标方的合理工作要求和安排的，根据情节每次扣款500-1000元；</w:t>
      </w:r>
    </w:p>
    <w:p w14:paraId="468AD839">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6、中标人管理及服务人员必须按投标承诺和进驻时间准时到位，如出现人员不到位的情况，每人次扣款</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000元，如无故私自推迟进驻时间，招标方按每推迟一天扣款</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00元进行处罚；</w:t>
      </w:r>
    </w:p>
    <w:p w14:paraId="1D0A9ACB">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7、中标方应保证全员在岗，如因员工辞职，请假等原因出现缺勤情况，中标方应及时调整、补充人员，否则招标方有权按缺勤天数和人数，扣除每人每天300元；</w:t>
      </w:r>
    </w:p>
    <w:p w14:paraId="2BF99256">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8、以上扣款事项由招标方出具书面文件，从合同履约金中直接扣除。</w:t>
      </w:r>
    </w:p>
    <w:p w14:paraId="4F34E79B">
      <w:pPr>
        <w:pStyle w:val="13"/>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outlineLvl w:val="1"/>
        <w:rPr>
          <w:color w:val="000000" w:themeColor="text1"/>
          <w:highlight w:val="none"/>
          <w14:textFill>
            <w14:solidFill>
              <w14:schemeClr w14:val="tx1"/>
            </w14:solidFill>
          </w14:textFill>
        </w:rPr>
      </w:pPr>
      <w:r>
        <w:rPr>
          <w:rFonts w:hint="eastAsia" w:hAnsi="宋体" w:cs="宋体"/>
          <w:b/>
          <w:color w:val="000000" w:themeColor="text1"/>
          <w:szCs w:val="21"/>
          <w:highlight w:val="none"/>
          <w:lang w:val="en-US" w:eastAsia="zh-CN"/>
          <w14:textFill>
            <w14:solidFill>
              <w14:schemeClr w14:val="tx1"/>
            </w14:solidFill>
          </w14:textFill>
        </w:rPr>
        <w:t>十</w:t>
      </w:r>
      <w:r>
        <w:rPr>
          <w:rFonts w:hint="eastAsia" w:hAnsi="宋体" w:cs="宋体"/>
          <w:b/>
          <w:color w:val="000000" w:themeColor="text1"/>
          <w:szCs w:val="21"/>
          <w:highlight w:val="none"/>
          <w14:textFill>
            <w14:solidFill>
              <w14:schemeClr w14:val="tx1"/>
            </w14:solidFill>
          </w14:textFill>
        </w:rPr>
        <w:t>、商务要求</w:t>
      </w:r>
    </w:p>
    <w:p w14:paraId="34B25B0A">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承包服务起止时间：202</w:t>
      </w: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年</w:t>
      </w:r>
      <w:r>
        <w:rPr>
          <w:rFonts w:hint="eastAsia" w:ascii="宋体" w:hAnsi="宋体" w:cs="宋体"/>
          <w:b/>
          <w:color w:val="000000" w:themeColor="text1"/>
          <w:szCs w:val="21"/>
          <w:highlight w:val="none"/>
          <w:lang w:val="en-US" w:eastAsia="zh-CN"/>
          <w14:textFill>
            <w14:solidFill>
              <w14:schemeClr w14:val="tx1"/>
            </w14:solidFill>
          </w14:textFill>
        </w:rPr>
        <w:t>9</w:t>
      </w:r>
      <w:r>
        <w:rPr>
          <w:rFonts w:hint="eastAsia" w:ascii="宋体" w:hAnsi="宋体" w:cs="宋体"/>
          <w:b/>
          <w:color w:val="000000" w:themeColor="text1"/>
          <w:szCs w:val="21"/>
          <w:highlight w:val="none"/>
          <w14:textFill>
            <w14:solidFill>
              <w14:schemeClr w14:val="tx1"/>
            </w14:solidFill>
          </w14:textFill>
        </w:rPr>
        <w:t>月</w:t>
      </w:r>
      <w:r>
        <w:rPr>
          <w:rFonts w:hint="eastAsia" w:ascii="宋体" w:hAnsi="宋体" w:cs="宋体"/>
          <w:b/>
          <w:color w:val="000000" w:themeColor="text1"/>
          <w:szCs w:val="21"/>
          <w:highlight w:val="none"/>
          <w:lang w:val="en-US" w:eastAsia="zh-CN"/>
          <w14:textFill>
            <w14:solidFill>
              <w14:schemeClr w14:val="tx1"/>
            </w14:solidFill>
          </w14:textFill>
        </w:rPr>
        <w:t>5</w:t>
      </w:r>
      <w:r>
        <w:rPr>
          <w:rFonts w:hint="eastAsia" w:ascii="宋体" w:hAnsi="宋体" w:cs="宋体"/>
          <w:b/>
          <w:color w:val="000000" w:themeColor="text1"/>
          <w:szCs w:val="21"/>
          <w:highlight w:val="none"/>
          <w14:textFill>
            <w14:solidFill>
              <w14:schemeClr w14:val="tx1"/>
            </w14:solidFill>
          </w14:textFill>
        </w:rPr>
        <w:t>日至202</w:t>
      </w: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年</w:t>
      </w:r>
      <w:r>
        <w:rPr>
          <w:rFonts w:hint="eastAsia" w:ascii="宋体" w:hAnsi="宋体" w:cs="宋体"/>
          <w:b/>
          <w:color w:val="000000" w:themeColor="text1"/>
          <w:szCs w:val="21"/>
          <w:highlight w:val="none"/>
          <w:lang w:val="en-US" w:eastAsia="zh-CN"/>
          <w14:textFill>
            <w14:solidFill>
              <w14:schemeClr w14:val="tx1"/>
            </w14:solidFill>
          </w14:textFill>
        </w:rPr>
        <w:t>9</w:t>
      </w:r>
      <w:r>
        <w:rPr>
          <w:rFonts w:hint="eastAsia" w:ascii="宋体" w:hAnsi="宋体" w:cs="宋体"/>
          <w:b/>
          <w:color w:val="000000" w:themeColor="text1"/>
          <w:szCs w:val="21"/>
          <w:highlight w:val="none"/>
          <w14:textFill>
            <w14:solidFill>
              <w14:schemeClr w14:val="tx1"/>
            </w14:solidFill>
          </w14:textFill>
        </w:rPr>
        <w:t>月</w:t>
      </w: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日。</w:t>
      </w:r>
    </w:p>
    <w:p w14:paraId="66B31B39">
      <w:pPr>
        <w:pStyle w:val="13"/>
        <w:keepLines w:val="0"/>
        <w:pageBreakBefore w:val="0"/>
        <w:shd w:val="clear"/>
        <w:tabs>
          <w:tab w:val="right" w:leader="dot" w:pos="8494"/>
        </w:tabs>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val="0"/>
          <w:bCs w:val="0"/>
          <w:color w:val="000000" w:themeColor="text1"/>
          <w:kern w:val="0"/>
          <w:sz w:val="24"/>
          <w:highlight w:val="none"/>
          <w:lang w:val="en-US" w:eastAsia="zh-CN"/>
          <w14:textFill>
            <w14:solidFill>
              <w14:schemeClr w14:val="tx1"/>
            </w14:solidFill>
          </w14:textFill>
        </w:rPr>
      </w:pPr>
      <w:r>
        <w:rPr>
          <w:rFonts w:hint="eastAsia" w:ascii="宋体" w:hAnsi="宋体" w:cs="Times New Roman"/>
          <w:b/>
          <w:bCs/>
          <w:color w:val="000000" w:themeColor="text1"/>
          <w:szCs w:val="21"/>
          <w:highlight w:val="none"/>
          <w:lang w:val="en-US" w:eastAsia="zh-CN"/>
          <w14:textFill>
            <w14:solidFill>
              <w14:schemeClr w14:val="tx1"/>
            </w14:solidFill>
          </w14:textFill>
        </w:rPr>
        <w:t>2、</w:t>
      </w:r>
      <w:r>
        <w:rPr>
          <w:rFonts w:hint="eastAsia" w:ascii="宋体" w:hAnsi="宋体" w:eastAsia="宋体" w:cs="Times New Roman"/>
          <w:b/>
          <w:bCs/>
          <w:color w:val="000000" w:themeColor="text1"/>
          <w:szCs w:val="21"/>
          <w:highlight w:val="none"/>
          <w14:textFill>
            <w14:solidFill>
              <w14:schemeClr w14:val="tx1"/>
            </w14:solidFill>
          </w14:textFill>
        </w:rPr>
        <w:t>付款方式：</w:t>
      </w:r>
      <w:r>
        <w:rPr>
          <w:rFonts w:hint="eastAsia" w:hAnsi="宋体" w:cs="宋体"/>
          <w:b w:val="0"/>
          <w:bCs w:val="0"/>
          <w:color w:val="000000" w:themeColor="text1"/>
          <w:kern w:val="0"/>
          <w:sz w:val="24"/>
          <w:highlight w:val="none"/>
          <w:lang w:val="en-US" w:eastAsia="zh-CN"/>
          <w14:textFill>
            <w14:solidFill>
              <w14:schemeClr w14:val="tx1"/>
            </w14:solidFill>
          </w14:textFill>
        </w:rPr>
        <w:t>按月结算</w:t>
      </w:r>
      <w:r>
        <w:rPr>
          <w:rFonts w:hint="eastAsia" w:ascii="宋体" w:hAnsi="宋体" w:cs="宋体"/>
          <w:b w:val="0"/>
          <w:bCs w:val="0"/>
          <w:color w:val="000000" w:themeColor="text1"/>
          <w:kern w:val="0"/>
          <w:sz w:val="24"/>
          <w:highlight w:val="none"/>
          <w:lang w:eastAsia="zh-CN"/>
          <w14:textFill>
            <w14:solidFill>
              <w14:schemeClr w14:val="tx1"/>
            </w14:solidFill>
          </w14:textFill>
        </w:rPr>
        <w:t>，</w:t>
      </w:r>
      <w:r>
        <w:rPr>
          <w:rFonts w:hint="eastAsia" w:hAnsi="宋体" w:cs="宋体"/>
          <w:b w:val="0"/>
          <w:bCs w:val="0"/>
          <w:color w:val="000000" w:themeColor="text1"/>
          <w:kern w:val="0"/>
          <w:sz w:val="24"/>
          <w:highlight w:val="none"/>
          <w:lang w:eastAsia="zh-CN"/>
          <w14:textFill>
            <w14:solidFill>
              <w14:schemeClr w14:val="tx1"/>
            </w14:solidFill>
          </w14:textFill>
        </w:rPr>
        <w:t>乙方</w:t>
      </w:r>
      <w:r>
        <w:rPr>
          <w:rFonts w:hint="eastAsia" w:ascii="宋体" w:hAnsi="宋体" w:cs="宋体"/>
          <w:b w:val="0"/>
          <w:bCs w:val="0"/>
          <w:color w:val="000000" w:themeColor="text1"/>
          <w:kern w:val="0"/>
          <w:sz w:val="24"/>
          <w:highlight w:val="none"/>
          <w:lang w:eastAsia="zh-CN"/>
          <w14:textFill>
            <w14:solidFill>
              <w14:schemeClr w14:val="tx1"/>
            </w14:solidFill>
          </w14:textFill>
        </w:rPr>
        <w:t>提供正式发票后</w:t>
      </w:r>
      <w:r>
        <w:rPr>
          <w:rFonts w:hint="eastAsia" w:ascii="宋体" w:hAnsi="宋体" w:cs="宋体"/>
          <w:b w:val="0"/>
          <w:bCs w:val="0"/>
          <w:color w:val="000000" w:themeColor="text1"/>
          <w:kern w:val="0"/>
          <w:sz w:val="24"/>
          <w:highlight w:val="none"/>
          <w:lang w:val="en-US" w:eastAsia="zh-CN"/>
          <w14:textFill>
            <w14:solidFill>
              <w14:schemeClr w14:val="tx1"/>
            </w14:solidFill>
          </w14:textFill>
        </w:rPr>
        <w:t>10个工作日内以转帐方式支付上月服务费的95%经费，其余</w:t>
      </w:r>
      <w:r>
        <w:rPr>
          <w:rFonts w:hint="eastAsia" w:hAnsi="宋体" w:cs="宋体"/>
          <w:b w:val="0"/>
          <w:bCs w:val="0"/>
          <w:color w:val="000000" w:themeColor="text1"/>
          <w:kern w:val="0"/>
          <w:sz w:val="24"/>
          <w:highlight w:val="none"/>
          <w:lang w:val="en-US" w:eastAsia="zh-CN"/>
          <w14:textFill>
            <w14:solidFill>
              <w14:schemeClr w14:val="tx1"/>
            </w14:solidFill>
          </w14:textFill>
        </w:rPr>
        <w:t>5%</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经费作为考核押金，按照管理业绩情况，在满一年</w:t>
      </w:r>
      <w:r>
        <w:rPr>
          <w:rFonts w:hint="eastAsia" w:ascii="宋体" w:hAnsi="宋体" w:cs="宋体"/>
          <w:b w:val="0"/>
          <w:bCs w:val="0"/>
          <w:color w:val="000000" w:themeColor="text1"/>
          <w:kern w:val="0"/>
          <w:sz w:val="24"/>
          <w:highlight w:val="none"/>
          <w:lang w:eastAsia="zh-CN"/>
          <w14:textFill>
            <w14:solidFill>
              <w14:schemeClr w14:val="tx1"/>
            </w14:solidFill>
          </w14:textFill>
        </w:rPr>
        <w:t>提供正式发票后</w:t>
      </w:r>
      <w:r>
        <w:rPr>
          <w:rFonts w:hint="eastAsia" w:ascii="宋体" w:hAnsi="宋体" w:cs="宋体"/>
          <w:b w:val="0"/>
          <w:bCs w:val="0"/>
          <w:color w:val="000000" w:themeColor="text1"/>
          <w:kern w:val="0"/>
          <w:sz w:val="24"/>
          <w:highlight w:val="none"/>
          <w:lang w:val="en-US" w:eastAsia="zh-CN"/>
          <w14:textFill>
            <w14:solidFill>
              <w14:schemeClr w14:val="tx1"/>
            </w14:solidFill>
          </w14:textFill>
        </w:rPr>
        <w:t>10个工作日一次性结清。</w:t>
      </w:r>
    </w:p>
    <w:p w14:paraId="4D90384E">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b/>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
          <w:bCs/>
          <w:color w:val="000000" w:themeColor="text1"/>
          <w:szCs w:val="21"/>
          <w:highlight w:val="none"/>
          <w14:textFill>
            <w14:solidFill>
              <w14:schemeClr w14:val="tx1"/>
            </w14:solidFill>
          </w14:textFill>
        </w:rPr>
        <w:t>、履约保证金：</w:t>
      </w:r>
      <w:r>
        <w:rPr>
          <w:rFonts w:hint="eastAsia" w:ascii="宋体" w:hAnsi="宋体" w:eastAsia="宋体" w:cs="Times New Roman"/>
          <w:color w:val="000000" w:themeColor="text1"/>
          <w:szCs w:val="21"/>
          <w:highlight w:val="none"/>
          <w14:textFill>
            <w14:solidFill>
              <w14:schemeClr w14:val="tx1"/>
            </w14:solidFill>
          </w14:textFill>
        </w:rPr>
        <w:t>中标</w:t>
      </w:r>
      <w:r>
        <w:rPr>
          <w:rFonts w:hint="eastAsia" w:ascii="宋体" w:hAnsi="宋体" w:eastAsia="宋体" w:cs="Times New Roman"/>
          <w:color w:val="000000" w:themeColor="text1"/>
          <w:szCs w:val="21"/>
          <w:highlight w:val="none"/>
          <w:lang w:val="en-US" w:eastAsia="zh-CN"/>
          <w14:textFill>
            <w14:solidFill>
              <w14:schemeClr w14:val="tx1"/>
            </w14:solidFill>
          </w14:textFill>
        </w:rPr>
        <w:t>方</w:t>
      </w:r>
      <w:r>
        <w:rPr>
          <w:rFonts w:hint="eastAsia" w:ascii="宋体" w:hAnsi="宋体" w:eastAsia="宋体" w:cs="Times New Roman"/>
          <w:color w:val="000000" w:themeColor="text1"/>
          <w:szCs w:val="21"/>
          <w:highlight w:val="none"/>
          <w14:textFill>
            <w14:solidFill>
              <w14:schemeClr w14:val="tx1"/>
            </w14:solidFill>
          </w14:textFill>
        </w:rPr>
        <w:t>与采购</w:t>
      </w:r>
      <w:r>
        <w:rPr>
          <w:rFonts w:hint="eastAsia" w:ascii="宋体" w:hAnsi="宋体" w:eastAsia="宋体" w:cs="Times New Roman"/>
          <w:color w:val="000000" w:themeColor="text1"/>
          <w:szCs w:val="21"/>
          <w:highlight w:val="none"/>
          <w:lang w:val="en-US" w:eastAsia="zh-CN"/>
          <w14:textFill>
            <w14:solidFill>
              <w14:schemeClr w14:val="tx1"/>
            </w14:solidFill>
          </w14:textFill>
        </w:rPr>
        <w:t>方</w:t>
      </w:r>
      <w:r>
        <w:rPr>
          <w:rFonts w:hint="eastAsia" w:ascii="宋体" w:hAnsi="宋体" w:eastAsia="宋体" w:cs="Times New Roman"/>
          <w:color w:val="000000" w:themeColor="text1"/>
          <w:szCs w:val="21"/>
          <w:highlight w:val="none"/>
          <w14:textFill>
            <w14:solidFill>
              <w14:schemeClr w14:val="tx1"/>
            </w14:solidFill>
          </w14:textFill>
        </w:rPr>
        <w:t>签订食堂劳务服务承包合同时需向采购</w:t>
      </w:r>
      <w:r>
        <w:rPr>
          <w:rFonts w:hint="eastAsia" w:ascii="宋体" w:hAnsi="宋体" w:eastAsia="宋体" w:cs="Times New Roman"/>
          <w:color w:val="000000" w:themeColor="text1"/>
          <w:szCs w:val="21"/>
          <w:highlight w:val="none"/>
          <w:lang w:val="en-US" w:eastAsia="zh-CN"/>
          <w14:textFill>
            <w14:solidFill>
              <w14:schemeClr w14:val="tx1"/>
            </w14:solidFill>
          </w14:textFill>
        </w:rPr>
        <w:t>方</w:t>
      </w:r>
      <w:r>
        <w:rPr>
          <w:rFonts w:hint="eastAsia" w:ascii="宋体" w:hAnsi="宋体" w:eastAsia="宋体" w:cs="Times New Roman"/>
          <w:color w:val="000000" w:themeColor="text1"/>
          <w:szCs w:val="21"/>
          <w:highlight w:val="none"/>
          <w14:textFill>
            <w14:solidFill>
              <w14:schemeClr w14:val="tx1"/>
            </w14:solidFill>
          </w14:textFill>
        </w:rPr>
        <w:t>缴纳</w:t>
      </w:r>
      <w:r>
        <w:rPr>
          <w:rFonts w:hint="eastAsia" w:ascii="宋体" w:hAnsi="宋体" w:eastAsia="宋体" w:cs="Times New Roman"/>
          <w:color w:val="000000" w:themeColor="text1"/>
          <w:szCs w:val="21"/>
          <w:highlight w:val="none"/>
          <w:lang w:eastAsia="zh-CN"/>
          <w14:textFill>
            <w14:solidFill>
              <w14:schemeClr w14:val="tx1"/>
            </w14:solidFill>
          </w14:textFill>
        </w:rPr>
        <w:t>合同金额的1%</w:t>
      </w:r>
      <w:r>
        <w:rPr>
          <w:rFonts w:hint="eastAsia" w:ascii="宋体" w:hAnsi="宋体" w:eastAsia="宋体" w:cs="Times New Roman"/>
          <w:color w:val="000000" w:themeColor="text1"/>
          <w:szCs w:val="21"/>
          <w:highlight w:val="none"/>
          <w14:textFill>
            <w14:solidFill>
              <w14:schemeClr w14:val="tx1"/>
            </w14:solidFill>
          </w14:textFill>
        </w:rPr>
        <w:t>人民币作为履约保证金，以保证中标方遵守本合同，包括担保、保函、保险等形式。</w:t>
      </w:r>
    </w:p>
    <w:p w14:paraId="03E073B8">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采购方认为中标方在承包期内没有涉及违约行为，采购方在服务期满后一个月内全额退还履约保证金（不计息），否则，采购方将在扣除中标方应付金额或违约金后退还保证金余额。</w:t>
      </w:r>
    </w:p>
    <w:p w14:paraId="6747BC0E">
      <w:pPr>
        <w:pStyle w:val="13"/>
        <w:shd w:val="clear"/>
        <w:spacing w:line="360" w:lineRule="auto"/>
        <w:ind w:firstLine="422" w:firstLineChars="200"/>
        <w:rPr>
          <w:rFonts w:hint="eastAsia" w:hAnsi="宋体" w:cs="宋体"/>
          <w:b/>
          <w:color w:val="000000" w:themeColor="text1"/>
          <w:szCs w:val="21"/>
          <w:highlight w:val="none"/>
          <w14:textFill>
            <w14:solidFill>
              <w14:schemeClr w14:val="tx1"/>
            </w14:solidFill>
          </w14:textFill>
        </w:rPr>
      </w:pPr>
    </w:p>
    <w:p w14:paraId="0A1BD4CC">
      <w:pPr>
        <w:pStyle w:val="14"/>
        <w:shd w:val="clear"/>
        <w:rPr>
          <w:rFonts w:hint="eastAsia" w:hAnsi="宋体" w:cs="宋体"/>
          <w:b/>
          <w:color w:val="000000" w:themeColor="text1"/>
          <w:szCs w:val="21"/>
          <w:highlight w:val="none"/>
          <w14:textFill>
            <w14:solidFill>
              <w14:schemeClr w14:val="tx1"/>
            </w14:solidFill>
          </w14:textFill>
        </w:rPr>
      </w:pPr>
    </w:p>
    <w:p w14:paraId="386ECA86">
      <w:pPr>
        <w:shd w:val="clear"/>
        <w:rPr>
          <w:rFonts w:hint="eastAsia" w:hAnsi="宋体" w:cs="宋体"/>
          <w:b/>
          <w:color w:val="000000" w:themeColor="text1"/>
          <w:szCs w:val="21"/>
          <w:highlight w:val="none"/>
          <w14:textFill>
            <w14:solidFill>
              <w14:schemeClr w14:val="tx1"/>
            </w14:solidFill>
          </w14:textFill>
        </w:rPr>
      </w:pPr>
    </w:p>
    <w:p w14:paraId="43B31EE6">
      <w:pPr>
        <w:pStyle w:val="10"/>
        <w:shd w:val="clear"/>
        <w:rPr>
          <w:rFonts w:hint="eastAsia" w:hAnsi="宋体" w:cs="宋体"/>
          <w:b/>
          <w:color w:val="000000" w:themeColor="text1"/>
          <w:szCs w:val="21"/>
          <w:highlight w:val="none"/>
          <w14:textFill>
            <w14:solidFill>
              <w14:schemeClr w14:val="tx1"/>
            </w14:solidFill>
          </w14:textFill>
        </w:rPr>
      </w:pPr>
    </w:p>
    <w:p w14:paraId="6E46482D">
      <w:pPr>
        <w:pStyle w:val="11"/>
        <w:shd w:val="clear"/>
        <w:rPr>
          <w:rFonts w:hint="eastAsia" w:hAnsi="宋体" w:cs="宋体"/>
          <w:b/>
          <w:color w:val="000000" w:themeColor="text1"/>
          <w:szCs w:val="21"/>
          <w:highlight w:val="none"/>
          <w14:textFill>
            <w14:solidFill>
              <w14:schemeClr w14:val="tx1"/>
            </w14:solidFill>
          </w14:textFill>
        </w:rPr>
      </w:pPr>
    </w:p>
    <w:p w14:paraId="1547E97E">
      <w:pPr>
        <w:pStyle w:val="10"/>
        <w:shd w:val="clear"/>
        <w:rPr>
          <w:rFonts w:hint="eastAsia"/>
          <w:color w:val="000000" w:themeColor="text1"/>
          <w:highlight w:val="none"/>
          <w14:textFill>
            <w14:solidFill>
              <w14:schemeClr w14:val="tx1"/>
            </w14:solidFill>
          </w14:textFill>
        </w:rPr>
      </w:pPr>
    </w:p>
    <w:p w14:paraId="2F343608">
      <w:pPr>
        <w:numPr>
          <w:ilvl w:val="0"/>
          <w:numId w:val="0"/>
        </w:numPr>
        <w:shd w:val="clear"/>
        <w:spacing w:line="360" w:lineRule="auto"/>
        <w:ind w:leftChars="0"/>
        <w:jc w:val="center"/>
        <w:rPr>
          <w:rFonts w:hint="eastAsia" w:ascii="宋体" w:hAnsi="宋体" w:cs="宋体"/>
          <w:b/>
          <w:bCs/>
          <w:color w:val="000000" w:themeColor="text1"/>
          <w:sz w:val="36"/>
          <w:szCs w:val="44"/>
          <w:highlight w:val="none"/>
          <w14:textFill>
            <w14:solidFill>
              <w14:schemeClr w14:val="tx1"/>
            </w14:solidFill>
          </w14:textFill>
        </w:rPr>
      </w:pPr>
    </w:p>
    <w:p w14:paraId="37B6E0E2">
      <w:pPr>
        <w:numPr>
          <w:ilvl w:val="0"/>
          <w:numId w:val="0"/>
        </w:numPr>
        <w:shd w:val="clear"/>
        <w:spacing w:line="360" w:lineRule="auto"/>
        <w:ind w:leftChars="0"/>
        <w:jc w:val="center"/>
        <w:rPr>
          <w:rFonts w:hint="eastAsia" w:ascii="宋体" w:hAnsi="宋体" w:cs="宋体"/>
          <w:b/>
          <w:bCs/>
          <w:color w:val="000000" w:themeColor="text1"/>
          <w:sz w:val="36"/>
          <w:szCs w:val="44"/>
          <w:highlight w:val="none"/>
          <w14:textFill>
            <w14:solidFill>
              <w14:schemeClr w14:val="tx1"/>
            </w14:solidFill>
          </w14:textFill>
        </w:rPr>
      </w:pPr>
    </w:p>
    <w:p w14:paraId="16CAA692">
      <w:pPr>
        <w:numPr>
          <w:ilvl w:val="0"/>
          <w:numId w:val="0"/>
        </w:numPr>
        <w:shd w:val="clear"/>
        <w:spacing w:line="360" w:lineRule="auto"/>
        <w:ind w:leftChars="0"/>
        <w:jc w:val="center"/>
        <w:rPr>
          <w:rFonts w:hint="eastAsia" w:ascii="宋体" w:hAnsi="宋体" w:cs="宋体"/>
          <w:b/>
          <w:bCs/>
          <w:color w:val="000000" w:themeColor="text1"/>
          <w:sz w:val="36"/>
          <w:szCs w:val="44"/>
          <w:highlight w:val="none"/>
          <w14:textFill>
            <w14:solidFill>
              <w14:schemeClr w14:val="tx1"/>
            </w14:solidFill>
          </w14:textFill>
        </w:rPr>
      </w:pPr>
    </w:p>
    <w:p w14:paraId="42CDEE65">
      <w:pPr>
        <w:numPr>
          <w:ilvl w:val="0"/>
          <w:numId w:val="0"/>
        </w:numPr>
        <w:shd w:val="clear"/>
        <w:spacing w:line="360" w:lineRule="auto"/>
        <w:ind w:leftChars="0"/>
        <w:jc w:val="center"/>
        <w:rPr>
          <w:rFonts w:hint="eastAsia" w:ascii="宋体" w:hAnsi="宋体" w:cs="宋体"/>
          <w:b/>
          <w:bCs/>
          <w:color w:val="000000" w:themeColor="text1"/>
          <w:sz w:val="36"/>
          <w:szCs w:val="44"/>
          <w:highlight w:val="none"/>
          <w14:textFill>
            <w14:solidFill>
              <w14:schemeClr w14:val="tx1"/>
            </w14:solidFill>
          </w14:textFill>
        </w:rPr>
      </w:pPr>
    </w:p>
    <w:p w14:paraId="08BA3D05">
      <w:pPr>
        <w:numPr>
          <w:ilvl w:val="0"/>
          <w:numId w:val="0"/>
        </w:numPr>
        <w:shd w:val="clear"/>
        <w:spacing w:line="360" w:lineRule="auto"/>
        <w:ind w:leftChars="0"/>
        <w:jc w:val="center"/>
        <w:rPr>
          <w:rFonts w:hint="eastAsia" w:ascii="宋体" w:hAnsi="宋体" w:cs="宋体"/>
          <w:b/>
          <w:bCs/>
          <w:color w:val="000000" w:themeColor="text1"/>
          <w:sz w:val="36"/>
          <w:szCs w:val="44"/>
          <w:highlight w:val="none"/>
          <w14:textFill>
            <w14:solidFill>
              <w14:schemeClr w14:val="tx1"/>
            </w14:solidFill>
          </w14:textFill>
        </w:rPr>
      </w:pPr>
    </w:p>
    <w:p w14:paraId="275BEE83">
      <w:pPr>
        <w:numPr>
          <w:ilvl w:val="0"/>
          <w:numId w:val="0"/>
        </w:numPr>
        <w:shd w:val="clear"/>
        <w:spacing w:line="360" w:lineRule="auto"/>
        <w:ind w:leftChars="0"/>
        <w:jc w:val="center"/>
        <w:rPr>
          <w:rFonts w:hint="eastAsia" w:ascii="宋体" w:hAnsi="宋体" w:cs="宋体"/>
          <w:b/>
          <w:bCs/>
          <w:color w:val="000000" w:themeColor="text1"/>
          <w:sz w:val="36"/>
          <w:szCs w:val="44"/>
          <w:highlight w:val="none"/>
          <w14:textFill>
            <w14:solidFill>
              <w14:schemeClr w14:val="tx1"/>
            </w14:solidFill>
          </w14:textFill>
        </w:rPr>
      </w:pPr>
    </w:p>
    <w:p w14:paraId="52FC8699">
      <w:pPr>
        <w:numPr>
          <w:ilvl w:val="0"/>
          <w:numId w:val="0"/>
        </w:numPr>
        <w:shd w:val="clear"/>
        <w:spacing w:line="360" w:lineRule="auto"/>
        <w:ind w:leftChars="0"/>
        <w:jc w:val="center"/>
        <w:rPr>
          <w:rFonts w:hint="eastAsia" w:ascii="宋体" w:hAnsi="宋体" w:cs="宋体"/>
          <w:b/>
          <w:bCs/>
          <w:color w:val="000000" w:themeColor="text1"/>
          <w:sz w:val="36"/>
          <w:szCs w:val="44"/>
          <w:highlight w:val="none"/>
          <w14:textFill>
            <w14:solidFill>
              <w14:schemeClr w14:val="tx1"/>
            </w14:solidFill>
          </w14:textFill>
        </w:rPr>
      </w:pPr>
    </w:p>
    <w:p w14:paraId="51C0FCBE">
      <w:pPr>
        <w:numPr>
          <w:ilvl w:val="0"/>
          <w:numId w:val="0"/>
        </w:numPr>
        <w:shd w:val="clear"/>
        <w:spacing w:line="360" w:lineRule="auto"/>
        <w:ind w:leftChars="0"/>
        <w:jc w:val="center"/>
        <w:rPr>
          <w:rFonts w:hint="eastAsia" w:ascii="宋体" w:hAnsi="宋体" w:cs="宋体"/>
          <w:b/>
          <w:bCs/>
          <w:color w:val="000000" w:themeColor="text1"/>
          <w:sz w:val="36"/>
          <w:szCs w:val="44"/>
          <w:highlight w:val="none"/>
          <w14:textFill>
            <w14:solidFill>
              <w14:schemeClr w14:val="tx1"/>
            </w14:solidFill>
          </w14:textFill>
        </w:rPr>
      </w:pPr>
    </w:p>
    <w:p w14:paraId="60C55E96">
      <w:pPr>
        <w:numPr>
          <w:ilvl w:val="0"/>
          <w:numId w:val="0"/>
        </w:numPr>
        <w:shd w:val="clear"/>
        <w:spacing w:line="360" w:lineRule="auto"/>
        <w:ind w:leftChars="0"/>
        <w:jc w:val="center"/>
        <w:rPr>
          <w:rFonts w:hint="eastAsia" w:ascii="宋体" w:hAnsi="宋体" w:cs="宋体"/>
          <w:b/>
          <w:bCs/>
          <w:color w:val="000000" w:themeColor="text1"/>
          <w:sz w:val="36"/>
          <w:szCs w:val="44"/>
          <w:highlight w:val="none"/>
          <w14:textFill>
            <w14:solidFill>
              <w14:schemeClr w14:val="tx1"/>
            </w14:solidFill>
          </w14:textFill>
        </w:rPr>
      </w:pPr>
    </w:p>
    <w:p w14:paraId="07F09A34">
      <w:pPr>
        <w:numPr>
          <w:ilvl w:val="0"/>
          <w:numId w:val="0"/>
        </w:numPr>
        <w:shd w:val="clear"/>
        <w:spacing w:line="360" w:lineRule="auto"/>
        <w:ind w:leftChars="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第五部分 政府采购合同主要条款指引</w:t>
      </w:r>
    </w:p>
    <w:p w14:paraId="07CC1853">
      <w:pPr>
        <w:pStyle w:val="10"/>
        <w:shd w:val="clear"/>
        <w:rPr>
          <w:rFonts w:hint="eastAsia" w:ascii="宋体" w:hAnsi="宋体"/>
          <w:b/>
          <w:color w:val="000000" w:themeColor="text1"/>
          <w:sz w:val="36"/>
          <w:szCs w:val="36"/>
          <w:highlight w:val="none"/>
          <w14:textFill>
            <w14:solidFill>
              <w14:schemeClr w14:val="tx1"/>
            </w14:solidFill>
          </w14:textFill>
        </w:rPr>
      </w:pPr>
    </w:p>
    <w:p w14:paraId="5421F114">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合同将由</w:t>
      </w:r>
      <w:r>
        <w:rPr>
          <w:rFonts w:hint="eastAsia" w:ascii="宋体" w:hAnsi="宋体" w:eastAsia="宋体" w:cs="宋体"/>
          <w:color w:val="000000" w:themeColor="text1"/>
          <w:sz w:val="24"/>
          <w:szCs w:val="24"/>
          <w:highlight w:val="none"/>
          <w:lang w:eastAsia="zh-CN"/>
          <w14:textFill>
            <w14:solidFill>
              <w14:schemeClr w14:val="tx1"/>
            </w14:solidFill>
          </w14:textFill>
        </w:rPr>
        <w:t>台州市路桥区人民法院</w:t>
      </w:r>
      <w:r>
        <w:rPr>
          <w:rFonts w:hint="eastAsia" w:ascii="宋体" w:hAnsi="宋体" w:eastAsia="宋体" w:cs="宋体"/>
          <w:color w:val="000000" w:themeColor="text1"/>
          <w:sz w:val="24"/>
          <w:szCs w:val="24"/>
          <w:highlight w:val="none"/>
          <w14:textFill>
            <w14:solidFill>
              <w14:schemeClr w14:val="tx1"/>
            </w14:solidFill>
          </w14:textFill>
        </w:rPr>
        <w:t>（以下简称甲方）与经评审最终确定的</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（以下简称乙方）结合本项目具体情况协商后签订。以下为</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提出涉及乙方的主要条款，投标人在</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szCs w:val="24"/>
          <w:highlight w:val="none"/>
          <w14:textFill>
            <w14:solidFill>
              <w14:schemeClr w14:val="tx1"/>
            </w14:solidFill>
          </w14:textFill>
        </w:rPr>
        <w:t>文件中应对其进行确认或拒绝。如投标人在其</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szCs w:val="24"/>
          <w:highlight w:val="none"/>
          <w14:textFill>
            <w14:solidFill>
              <w14:schemeClr w14:val="tx1"/>
            </w14:solidFill>
          </w14:textFill>
        </w:rPr>
        <w:t>文件中未做拒绝或提出调整完善要求的，</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将视作认同。具体如下：</w:t>
      </w:r>
    </w:p>
    <w:p w14:paraId="42B4EF7D">
      <w:pPr>
        <w:pStyle w:val="13"/>
        <w:keepNext w:val="0"/>
        <w:keepLines w:val="0"/>
        <w:pageBreakBefore w:val="0"/>
        <w:shd w:val="clear"/>
        <w:kinsoku/>
        <w:wordWrap/>
        <w:overflowPunct/>
        <w:topLinePunct w:val="0"/>
        <w:autoSpaceDE/>
        <w:autoSpaceDN/>
        <w:bidi w:val="0"/>
        <w:snapToGrid w:val="0"/>
        <w:spacing w:line="360"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招标编号：</w:t>
      </w:r>
    </w:p>
    <w:p w14:paraId="35FCB68F">
      <w:pPr>
        <w:pStyle w:val="13"/>
        <w:keepNext w:val="0"/>
        <w:keepLines w:val="0"/>
        <w:pageBreakBefore w:val="0"/>
        <w:shd w:val="clear"/>
        <w:kinsoku/>
        <w:wordWrap/>
        <w:overflowPunct/>
        <w:topLinePunct w:val="0"/>
        <w:autoSpaceDE/>
        <w:autoSpaceDN/>
        <w:bidi w:val="0"/>
        <w:snapToGrid w:val="0"/>
        <w:spacing w:line="360" w:lineRule="auto"/>
        <w:outlineLvl w:val="9"/>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（采购方）</w:t>
      </w:r>
      <w:r>
        <w:rPr>
          <w:rFonts w:hint="eastAsia" w:ascii="宋体" w:hAnsi="宋体" w:eastAsia="宋体" w:cs="宋体"/>
          <w:color w:val="000000" w:themeColor="text1"/>
          <w:sz w:val="24"/>
          <w:szCs w:val="24"/>
          <w:highlight w:val="none"/>
          <w:lang w:eastAsia="zh-CN"/>
          <w14:textFill>
            <w14:solidFill>
              <w14:schemeClr w14:val="tx1"/>
            </w14:solidFill>
          </w14:textFill>
        </w:rPr>
        <w:t>台州市路桥区人民法院</w:t>
      </w:r>
    </w:p>
    <w:p w14:paraId="101D4A37">
      <w:pPr>
        <w:pStyle w:val="13"/>
        <w:keepNext w:val="0"/>
        <w:keepLines w:val="0"/>
        <w:pageBreakBefore w:val="0"/>
        <w:shd w:val="clear"/>
        <w:kinsoku/>
        <w:wordWrap/>
        <w:overflowPunct/>
        <w:topLinePunct w:val="0"/>
        <w:autoSpaceDE/>
        <w:autoSpaceDN/>
        <w:bidi w:val="0"/>
        <w:adjustRightInd w:val="0"/>
        <w:snapToGrid w:val="0"/>
        <w:spacing w:line="360" w:lineRule="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 xml:space="preserve"> </w:t>
      </w:r>
    </w:p>
    <w:p w14:paraId="2C4F611E">
      <w:pPr>
        <w:pStyle w:val="13"/>
        <w:keepNext w:val="0"/>
        <w:keepLines w:val="0"/>
        <w:pageBreakBefore w:val="0"/>
        <w:shd w:val="clear"/>
        <w:kinsoku/>
        <w:wordWrap/>
        <w:overflowPunct/>
        <w:topLinePunct w:val="0"/>
        <w:autoSpaceDE/>
        <w:autoSpaceDN/>
        <w:bidi w:val="0"/>
        <w:adjustRightInd w:val="0"/>
        <w:snapToGrid w:val="0"/>
        <w:spacing w:line="360" w:lineRule="auto"/>
        <w:ind w:firstLine="480" w:firstLineChars="200"/>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hAnsi="宋体" w:cs="宋体"/>
          <w:color w:val="000000" w:themeColor="text1"/>
          <w:sz w:val="24"/>
          <w:szCs w:val="24"/>
          <w:highlight w:val="none"/>
          <w:u w:val="single"/>
          <w:lang w:eastAsia="zh-CN"/>
          <w14:textFill>
            <w14:solidFill>
              <w14:schemeClr w14:val="tx1"/>
            </w14:solidFill>
          </w14:textFill>
        </w:rPr>
        <w:t>食堂劳务外包服务项目（二次）</w:t>
      </w:r>
      <w:r>
        <w:rPr>
          <w:rFonts w:hint="eastAsia" w:ascii="宋体" w:hAnsi="宋体" w:eastAsia="宋体" w:cs="宋体"/>
          <w:color w:val="000000" w:themeColor="text1"/>
          <w:sz w:val="24"/>
          <w:szCs w:val="24"/>
          <w:highlight w:val="none"/>
          <w:u w:val="single"/>
          <w14:textFill>
            <w14:solidFill>
              <w14:schemeClr w14:val="tx1"/>
            </w14:solidFill>
          </w14:textFill>
        </w:rPr>
        <w:t>竞争性磋商</w:t>
      </w:r>
      <w:r>
        <w:rPr>
          <w:rFonts w:hint="eastAsia" w:ascii="宋体" w:hAnsi="宋体" w:eastAsia="宋体" w:cs="宋体"/>
          <w:color w:val="000000" w:themeColor="text1"/>
          <w:sz w:val="24"/>
          <w:szCs w:val="24"/>
          <w:highlight w:val="none"/>
          <w14:textFill>
            <w14:solidFill>
              <w14:schemeClr w14:val="tx1"/>
            </w14:solidFill>
          </w14:textFill>
        </w:rPr>
        <w:t>的结果，签署本合同。</w:t>
      </w:r>
    </w:p>
    <w:p w14:paraId="4D682100">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（一）承包内容</w:t>
      </w:r>
    </w:p>
    <w:p w14:paraId="6B878CC5">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承包经营</w:t>
      </w:r>
      <w:r>
        <w:rPr>
          <w:rFonts w:hint="eastAsia" w:ascii="宋体" w:hAnsi="宋体" w:eastAsia="宋体" w:cs="宋体"/>
          <w:color w:val="000000" w:themeColor="text1"/>
          <w:sz w:val="24"/>
          <w:szCs w:val="24"/>
          <w:highlight w:val="none"/>
          <w:lang w:eastAsia="zh-CN"/>
          <w14:textFill>
            <w14:solidFill>
              <w14:schemeClr w14:val="tx1"/>
            </w14:solidFill>
          </w14:textFill>
        </w:rPr>
        <w:t>路桥法院</w:t>
      </w:r>
      <w:r>
        <w:rPr>
          <w:rFonts w:hint="eastAsia" w:ascii="宋体" w:hAnsi="宋体" w:eastAsia="宋体" w:cs="宋体"/>
          <w:color w:val="000000" w:themeColor="text1"/>
          <w:sz w:val="24"/>
          <w:szCs w:val="24"/>
          <w:highlight w:val="none"/>
          <w14:textFill>
            <w14:solidFill>
              <w14:schemeClr w14:val="tx1"/>
            </w14:solidFill>
          </w14:textFill>
        </w:rPr>
        <w:t>食堂，提供食堂炊事、保洁等劳务服务，负责供应职工早、中、晚餐，并根据实际需要提供会议（培训）和公务接待用餐服务。在确保上述就餐正常供应情况下，可根据职工需要，兼营小炒餐饮业务。食堂经营实行每周双休制</w:t>
      </w:r>
      <w:r>
        <w:rPr>
          <w:rFonts w:hint="eastAsia" w:ascii="宋体" w:hAnsi="宋体" w:eastAsia="宋体" w:cs="宋体"/>
          <w:color w:val="000000" w:themeColor="text1"/>
          <w:sz w:val="24"/>
          <w:szCs w:val="24"/>
          <w:highlight w:val="none"/>
          <w:lang w:eastAsia="zh-CN"/>
          <w14:textFill>
            <w14:solidFill>
              <w14:schemeClr w14:val="tx1"/>
            </w14:solidFill>
          </w14:textFill>
        </w:rPr>
        <w:t>（特殊情况除外）</w:t>
      </w:r>
      <w:r>
        <w:rPr>
          <w:rFonts w:hint="eastAsia" w:ascii="宋体" w:hAnsi="宋体" w:eastAsia="宋体" w:cs="宋体"/>
          <w:color w:val="000000" w:themeColor="text1"/>
          <w:sz w:val="24"/>
          <w:szCs w:val="24"/>
          <w:highlight w:val="none"/>
          <w14:textFill>
            <w14:solidFill>
              <w14:schemeClr w14:val="tx1"/>
            </w14:solidFill>
          </w14:textFill>
        </w:rPr>
        <w:t>，日常用餐规模人数约400人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早餐</w:t>
      </w:r>
      <w:r>
        <w:rPr>
          <w:rFonts w:hint="eastAsia" w:ascii="宋体" w:hAnsi="宋体" w:eastAsia="宋体" w:cs="宋体"/>
          <w:color w:val="000000" w:themeColor="text1"/>
          <w:sz w:val="24"/>
          <w:szCs w:val="24"/>
          <w:highlight w:val="none"/>
          <w:lang w:eastAsia="zh-CN"/>
          <w14:textFill>
            <w14:solidFill>
              <w14:schemeClr w14:val="tx1"/>
            </w14:solidFill>
          </w14:textFill>
        </w:rPr>
        <w:t>约</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0人，中餐约1</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0人，晚餐视情况而定）</w:t>
      </w:r>
      <w:r>
        <w:rPr>
          <w:rFonts w:hint="eastAsia" w:ascii="宋体" w:hAnsi="宋体" w:eastAsia="宋体" w:cs="宋体"/>
          <w:color w:val="000000" w:themeColor="text1"/>
          <w:sz w:val="24"/>
          <w:szCs w:val="24"/>
          <w:highlight w:val="none"/>
          <w14:textFill>
            <w14:solidFill>
              <w14:schemeClr w14:val="tx1"/>
            </w14:solidFill>
          </w14:textFill>
        </w:rPr>
        <w:t>，其他用餐按实际情况提前告知予以保障。</w:t>
      </w:r>
    </w:p>
    <w:p w14:paraId="49A754FB">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（二）具体要求</w:t>
      </w:r>
    </w:p>
    <w:p w14:paraId="1463A2A2">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应根据</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的要求，于每周四下班前制订好下一周食谱，报</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审定后实施。食谱的制订应按照应时、应地、应人的原则，倡导少油、少糖、少盐的健康理念，做到周周有创新，具体要求如下：</w:t>
      </w:r>
    </w:p>
    <w:p w14:paraId="76077AAC">
      <w:pPr>
        <w:keepNext w:val="0"/>
        <w:keepLines w:val="0"/>
        <w:pageBreakBefore w:val="0"/>
        <w:widowControl w:val="0"/>
        <w:shd w:val="clear"/>
        <w:kinsoku/>
        <w:wordWrap/>
        <w:overflowPunct/>
        <w:topLinePunct w:val="0"/>
        <w:bidi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①早餐主要为肉包、馒头、菜包、汤面、水饺、炒面</w:t>
      </w:r>
      <w:r>
        <w:rPr>
          <w:rFonts w:hint="eastAsia" w:ascii="宋体" w:hAnsi="宋体" w:eastAsia="宋体" w:cs="宋体"/>
          <w:color w:val="000000" w:themeColor="text1"/>
          <w:sz w:val="24"/>
          <w:szCs w:val="24"/>
          <w:highlight w:val="none"/>
          <w:lang w:eastAsia="zh-CN"/>
          <w14:textFill>
            <w14:solidFill>
              <w14:schemeClr w14:val="tx1"/>
            </w14:solidFill>
          </w14:textFill>
        </w:rPr>
        <w:t>、粥、西式点心</w:t>
      </w:r>
      <w:r>
        <w:rPr>
          <w:rFonts w:hint="eastAsia" w:ascii="宋体" w:hAnsi="宋体" w:eastAsia="宋体" w:cs="宋体"/>
          <w:color w:val="000000" w:themeColor="text1"/>
          <w:sz w:val="24"/>
          <w:szCs w:val="24"/>
          <w:highlight w:val="none"/>
          <w14:textFill>
            <w14:solidFill>
              <w14:schemeClr w14:val="tx1"/>
            </w14:solidFill>
          </w14:textFill>
        </w:rPr>
        <w:t>等不少于8</w:t>
      </w:r>
      <w:r>
        <w:rPr>
          <w:rFonts w:hint="eastAsia" w:ascii="宋体" w:hAnsi="宋体" w:eastAsia="宋体" w:cs="宋体"/>
          <w:color w:val="000000" w:themeColor="text1"/>
          <w:sz w:val="24"/>
          <w:szCs w:val="24"/>
          <w:highlight w:val="none"/>
          <w:lang w:eastAsia="zh-CN"/>
          <w14:textFill>
            <w14:solidFill>
              <w14:schemeClr w14:val="tx1"/>
            </w14:solidFill>
          </w14:textFill>
        </w:rPr>
        <w:t>种，小菜</w:t>
      </w:r>
      <w:r>
        <w:rPr>
          <w:rFonts w:hint="eastAsia" w:ascii="宋体" w:hAnsi="宋体" w:eastAsia="宋体" w:cs="宋体"/>
          <w:color w:val="000000" w:themeColor="text1"/>
          <w:sz w:val="24"/>
          <w:szCs w:val="24"/>
          <w:highlight w:val="none"/>
          <w:lang w:val="en-US" w:eastAsia="zh-CN"/>
          <w14:textFill>
            <w14:solidFill>
              <w14:schemeClr w14:val="tx1"/>
            </w14:solidFill>
          </w14:textFill>
        </w:rPr>
        <w:t>3种以上，为保证菜品新鲜当天提供的食品当天制作（特殊小菜除外）</w:t>
      </w:r>
      <w:r>
        <w:rPr>
          <w:rFonts w:hint="eastAsia" w:ascii="宋体" w:hAnsi="宋体" w:eastAsia="宋体" w:cs="宋体"/>
          <w:color w:val="000000" w:themeColor="text1"/>
          <w:sz w:val="24"/>
          <w:szCs w:val="24"/>
          <w:highlight w:val="none"/>
          <w14:textFill>
            <w14:solidFill>
              <w14:schemeClr w14:val="tx1"/>
            </w14:solidFill>
          </w14:textFill>
        </w:rPr>
        <w:t>，中餐至少保障</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0个品种以上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晚餐至少保障</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个品种以</w:t>
      </w:r>
      <w:r>
        <w:rPr>
          <w:rFonts w:hint="eastAsia" w:ascii="宋体" w:hAnsi="宋体" w:eastAsia="宋体" w:cs="宋体"/>
          <w:color w:val="000000" w:themeColor="text1"/>
          <w:sz w:val="24"/>
          <w:szCs w:val="24"/>
          <w:highlight w:val="none"/>
          <w:lang w:eastAsia="zh-CN"/>
          <w14:textFill>
            <w14:solidFill>
              <w14:schemeClr w14:val="tx1"/>
            </w14:solidFill>
          </w14:textFill>
        </w:rPr>
        <w:t>上，经</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lang w:eastAsia="zh-CN"/>
          <w14:textFill>
            <w14:solidFill>
              <w14:schemeClr w14:val="tx1"/>
            </w14:solidFill>
          </w14:textFill>
        </w:rPr>
        <w:t>同意，适当穿插安排有特色的主食或营养健康餐等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品种要</w:t>
      </w:r>
      <w:r>
        <w:rPr>
          <w:rFonts w:hint="eastAsia" w:ascii="宋体" w:hAnsi="宋体" w:eastAsia="宋体" w:cs="宋体"/>
          <w:color w:val="000000" w:themeColor="text1"/>
          <w:sz w:val="24"/>
          <w:szCs w:val="24"/>
          <w:highlight w:val="none"/>
          <w14:textFill>
            <w14:solidFill>
              <w14:schemeClr w14:val="tx1"/>
            </w14:solidFill>
          </w14:textFill>
        </w:rPr>
        <w:t>荤素搭配，</w:t>
      </w:r>
      <w:r>
        <w:rPr>
          <w:rFonts w:hint="eastAsia" w:ascii="宋体" w:hAnsi="宋体" w:eastAsia="宋体" w:cs="宋体"/>
          <w:color w:val="000000" w:themeColor="text1"/>
          <w:sz w:val="24"/>
          <w:szCs w:val="24"/>
          <w:highlight w:val="none"/>
          <w:lang w:eastAsia="zh-CN"/>
          <w14:textFill>
            <w14:solidFill>
              <w14:schemeClr w14:val="tx1"/>
            </w14:solidFill>
          </w14:textFill>
        </w:rPr>
        <w:t>定期推出特色</w:t>
      </w:r>
      <w:r>
        <w:rPr>
          <w:rFonts w:hint="eastAsia" w:ascii="宋体" w:hAnsi="宋体" w:eastAsia="宋体" w:cs="宋体"/>
          <w:color w:val="000000" w:themeColor="text1"/>
          <w:sz w:val="24"/>
          <w:szCs w:val="24"/>
          <w:highlight w:val="none"/>
          <w14:textFill>
            <w14:solidFill>
              <w14:schemeClr w14:val="tx1"/>
            </w14:solidFill>
          </w14:textFill>
        </w:rPr>
        <w:t>卤</w:t>
      </w:r>
      <w:r>
        <w:rPr>
          <w:rFonts w:hint="eastAsia" w:ascii="宋体" w:hAnsi="宋体" w:eastAsia="宋体" w:cs="宋体"/>
          <w:color w:val="000000" w:themeColor="text1"/>
          <w:sz w:val="24"/>
          <w:szCs w:val="24"/>
          <w:highlight w:val="none"/>
          <w:lang w:eastAsia="zh-CN"/>
          <w14:textFill>
            <w14:solidFill>
              <w14:schemeClr w14:val="tx1"/>
            </w14:solidFill>
          </w14:textFill>
        </w:rPr>
        <w:t>品</w:t>
      </w:r>
      <w:r>
        <w:rPr>
          <w:rFonts w:hint="eastAsia" w:ascii="宋体" w:hAnsi="宋体" w:eastAsia="宋体" w:cs="宋体"/>
          <w:color w:val="000000" w:themeColor="text1"/>
          <w:sz w:val="24"/>
          <w:szCs w:val="24"/>
          <w:highlight w:val="none"/>
          <w14:textFill>
            <w14:solidFill>
              <w14:schemeClr w14:val="tx1"/>
            </w14:solidFill>
          </w14:textFill>
        </w:rPr>
        <w:t>，具体花色、品种调整核定由</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负责审定。</w:t>
      </w:r>
      <w:r>
        <w:rPr>
          <w:rFonts w:hint="eastAsia" w:ascii="宋体" w:hAnsi="宋体" w:eastAsia="宋体" w:cs="宋体"/>
          <w:color w:val="000000" w:themeColor="text1"/>
          <w:sz w:val="24"/>
          <w:szCs w:val="24"/>
          <w:highlight w:val="none"/>
          <w:lang w:eastAsia="zh-CN"/>
          <w14:textFill>
            <w14:solidFill>
              <w14:schemeClr w14:val="tx1"/>
            </w14:solidFill>
          </w14:textFill>
        </w:rPr>
        <w:t>公务接待用餐中，需研究提供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2-3个具有特色辨识度的菜品。</w:t>
      </w:r>
    </w:p>
    <w:p w14:paraId="36752231">
      <w:pPr>
        <w:keepNext w:val="0"/>
        <w:keepLines w:val="0"/>
        <w:pageBreakBefore w:val="0"/>
        <w:widowControl w:val="0"/>
        <w:shd w:val="clear"/>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根据就餐人数和食材成本及有关损耗，按照“保本经营”原则确定每个菜品的价格，并报</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审定，价格一经审定后，</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不得擅自改动。价格的制定既要让就餐机关干部职工吃得实惠，又要保证</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每月不发生亏损的原则。</w:t>
      </w:r>
    </w:p>
    <w:p w14:paraId="7AD13DD9">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2.原材料的采购由</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负责，油、米、调料及低值易耗品也由</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提供并计入成本。</w:t>
      </w:r>
    </w:p>
    <w:p w14:paraId="7C4B80F0">
      <w:pPr>
        <w:keepNext w:val="0"/>
        <w:keepLines w:val="0"/>
        <w:pageBreakBefore w:val="0"/>
        <w:shd w:val="clear"/>
        <w:kinsoku/>
        <w:wordWrap/>
        <w:overflowPunct/>
        <w:topLinePunct w:val="0"/>
        <w:autoSpaceDE/>
        <w:autoSpaceDN/>
        <w:bidi w:val="0"/>
        <w:spacing w:line="360" w:lineRule="auto"/>
        <w:ind w:firstLine="482"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第二条：承包费用和期限</w:t>
      </w:r>
    </w:p>
    <w:p w14:paraId="1910492E">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合同总金额</w:t>
      </w:r>
      <w:r>
        <w:rPr>
          <w:rFonts w:hint="eastAsia" w:ascii="宋体" w:hAnsi="宋体" w:eastAsia="宋体" w:cs="宋体"/>
          <w:color w:val="000000" w:themeColor="text1"/>
          <w:sz w:val="24"/>
          <w:szCs w:val="24"/>
          <w:highlight w:val="none"/>
          <w14:textFill>
            <w14:solidFill>
              <w14:schemeClr w14:val="tx1"/>
            </w14:solidFill>
          </w14:textFill>
        </w:rPr>
        <w:t>为(大写):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 人民币</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7A22282">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年承包费用。其中包括人工费、管理费、税费、服装费、</w:t>
      </w:r>
      <w:r>
        <w:rPr>
          <w:rFonts w:hint="eastAsia" w:ascii="宋体" w:hAnsi="宋体" w:eastAsia="宋体" w:cs="宋体"/>
          <w:color w:val="000000" w:themeColor="text1"/>
          <w:sz w:val="24"/>
          <w:szCs w:val="24"/>
          <w:highlight w:val="none"/>
          <w:lang w:eastAsia="zh-CN"/>
          <w14:textFill>
            <w14:solidFill>
              <w14:schemeClr w14:val="tx1"/>
            </w14:solidFill>
          </w14:textFill>
        </w:rPr>
        <w:t>公务或会议培训等接待服务费</w:t>
      </w:r>
      <w:r>
        <w:rPr>
          <w:rFonts w:hint="eastAsia" w:ascii="宋体" w:hAnsi="宋体" w:eastAsia="宋体" w:cs="宋体"/>
          <w:color w:val="000000" w:themeColor="text1"/>
          <w:sz w:val="24"/>
          <w:szCs w:val="24"/>
          <w:highlight w:val="none"/>
          <w14:textFill>
            <w14:solidFill>
              <w14:schemeClr w14:val="tx1"/>
            </w14:solidFill>
          </w14:textFill>
        </w:rPr>
        <w:t>及用工人员的一切费用。（不包括场租、煤气费、水电费）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78D4033">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承包方式：</w:t>
      </w:r>
      <w:r>
        <w:rPr>
          <w:rFonts w:hint="eastAsia" w:ascii="宋体" w:hAnsi="宋体" w:cs="宋体"/>
          <w:color w:val="000000" w:themeColor="text1"/>
          <w:szCs w:val="21"/>
          <w:highlight w:val="none"/>
          <w:lang w:eastAsia="zh-CN"/>
          <w14:textFill>
            <w14:solidFill>
              <w14:schemeClr w14:val="tx1"/>
            </w14:solidFill>
          </w14:textFill>
        </w:rPr>
        <w:t>在承包期内，如采购人同意续签，</w:t>
      </w:r>
      <w:r>
        <w:rPr>
          <w:rFonts w:hint="eastAsia" w:ascii="宋体" w:hAnsi="宋体" w:cs="宋体"/>
          <w:color w:val="000000" w:themeColor="text1"/>
          <w:szCs w:val="21"/>
          <w:highlight w:val="none"/>
          <w14:textFill>
            <w14:solidFill>
              <w14:schemeClr w14:val="tx1"/>
            </w14:solidFill>
          </w14:textFill>
        </w:rPr>
        <w:t>中标人必须无条件</w:t>
      </w:r>
      <w:r>
        <w:rPr>
          <w:rFonts w:hint="eastAsia" w:ascii="宋体" w:hAnsi="宋体" w:cs="宋体"/>
          <w:color w:val="000000" w:themeColor="text1"/>
          <w:szCs w:val="21"/>
          <w:highlight w:val="none"/>
          <w:lang w:eastAsia="zh-CN"/>
          <w14:textFill>
            <w14:solidFill>
              <w14:schemeClr w14:val="tx1"/>
            </w14:solidFill>
          </w14:textFill>
        </w:rPr>
        <w:t>续签</w:t>
      </w:r>
      <w:r>
        <w:rPr>
          <w:rFonts w:hint="eastAsia" w:ascii="宋体" w:hAnsi="宋体" w:cs="宋体"/>
          <w:color w:val="000000" w:themeColor="text1"/>
          <w:szCs w:val="21"/>
          <w:highlight w:val="none"/>
          <w14:textFill>
            <w14:solidFill>
              <w14:schemeClr w14:val="tx1"/>
            </w14:solidFill>
          </w14:textFill>
        </w:rPr>
        <w:t>并履行合同义务，否则合同履约保证金没收</w:t>
      </w:r>
      <w:r>
        <w:rPr>
          <w:rFonts w:hint="eastAsia" w:ascii="宋体" w:hAnsi="宋体" w:eastAsia="宋体" w:cs="宋体"/>
          <w:color w:val="000000" w:themeColor="text1"/>
          <w:szCs w:val="21"/>
          <w:highlight w:val="none"/>
          <w14:textFill>
            <w14:solidFill>
              <w14:schemeClr w14:val="tx1"/>
            </w14:solidFill>
          </w14:textFill>
        </w:rPr>
        <w:t>。</w:t>
      </w:r>
    </w:p>
    <w:p w14:paraId="3F9733BF">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.承包服务起止时间：202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年</w:t>
      </w:r>
      <w:r>
        <w:rPr>
          <w:rFonts w:hint="eastAsia" w:ascii="宋体" w:hAnsi="宋体" w:eastAsia="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日至202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年</w:t>
      </w:r>
      <w:r>
        <w:rPr>
          <w:rFonts w:hint="eastAsia" w:ascii="宋体" w:hAnsi="宋体" w:eastAsia="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日。</w:t>
      </w:r>
    </w:p>
    <w:p w14:paraId="30A61A24">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default"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堂服务外包一年一考核，如果</w:t>
      </w:r>
      <w:r>
        <w:rPr>
          <w:rFonts w:hint="eastAsia" w:ascii="宋体" w:hAnsi="宋体" w:cs="宋体"/>
          <w:b w:val="0"/>
          <w:bCs/>
          <w:color w:val="000000" w:themeColor="text1"/>
          <w:szCs w:val="21"/>
          <w:highlight w:val="none"/>
          <w:lang w:eastAsia="zh-CN"/>
          <w14:textFill>
            <w14:solidFill>
              <w14:schemeClr w14:val="tx1"/>
            </w14:solidFill>
          </w14:textFill>
        </w:rPr>
        <w:t>通过采购人考评的，经甲方集体讨论后</w:t>
      </w:r>
      <w:r>
        <w:rPr>
          <w:rFonts w:hint="eastAsia" w:ascii="宋体" w:hAnsi="宋体" w:eastAsia="宋体" w:cs="宋体"/>
          <w:b w:val="0"/>
          <w:bCs/>
          <w:color w:val="000000" w:themeColor="text1"/>
          <w:szCs w:val="21"/>
          <w:highlight w:val="none"/>
          <w14:textFill>
            <w14:solidFill>
              <w14:schemeClr w14:val="tx1"/>
            </w14:solidFill>
          </w14:textFill>
        </w:rPr>
        <w:t>，可</w:t>
      </w:r>
      <w:r>
        <w:rPr>
          <w:rFonts w:hint="eastAsia" w:ascii="宋体" w:hAnsi="宋体" w:eastAsia="宋体" w:cs="宋体"/>
          <w:b w:val="0"/>
          <w:bCs/>
          <w:color w:val="000000" w:themeColor="text1"/>
          <w:szCs w:val="21"/>
          <w:highlight w:val="none"/>
          <w:lang w:val="en-US" w:eastAsia="zh-CN"/>
          <w14:textFill>
            <w14:solidFill>
              <w14:schemeClr w14:val="tx1"/>
            </w14:solidFill>
          </w14:textFill>
        </w:rPr>
        <w:t>继续由中标方承</w:t>
      </w:r>
      <w:r>
        <w:rPr>
          <w:rFonts w:hint="eastAsia" w:ascii="宋体" w:hAnsi="宋体" w:eastAsia="宋体" w:cs="宋体"/>
          <w:b w:val="0"/>
          <w:bCs/>
          <w:color w:val="000000" w:themeColor="text1"/>
          <w:szCs w:val="21"/>
          <w:highlight w:val="none"/>
          <w14:textFill>
            <w14:solidFill>
              <w14:schemeClr w14:val="tx1"/>
            </w14:solidFill>
          </w14:textFill>
        </w:rPr>
        <w:t>包。如果由于</w:t>
      </w:r>
      <w:r>
        <w:rPr>
          <w:rFonts w:hint="eastAsia" w:ascii="宋体" w:hAnsi="宋体" w:eastAsia="宋体" w:cs="宋体"/>
          <w:b w:val="0"/>
          <w:bCs/>
          <w:color w:val="000000" w:themeColor="text1"/>
          <w:szCs w:val="21"/>
          <w:highlight w:val="none"/>
          <w:lang w:val="en-US" w:eastAsia="zh-CN"/>
          <w14:textFill>
            <w14:solidFill>
              <w14:schemeClr w14:val="tx1"/>
            </w14:solidFill>
          </w14:textFill>
        </w:rPr>
        <w:t>中标</w:t>
      </w:r>
      <w:r>
        <w:rPr>
          <w:rFonts w:hint="eastAsia" w:ascii="宋体" w:hAnsi="宋体" w:eastAsia="宋体" w:cs="宋体"/>
          <w:b w:val="0"/>
          <w:bCs/>
          <w:color w:val="000000" w:themeColor="text1"/>
          <w:szCs w:val="21"/>
          <w:highlight w:val="none"/>
          <w14:textFill>
            <w14:solidFill>
              <w14:schemeClr w14:val="tx1"/>
            </w14:solidFill>
          </w14:textFill>
        </w:rPr>
        <w:t>方的原因食堂出现重大事件或</w:t>
      </w:r>
      <w:r>
        <w:rPr>
          <w:rFonts w:hint="eastAsia" w:ascii="宋体" w:hAnsi="宋体" w:eastAsia="宋体" w:cs="宋体"/>
          <w:b w:val="0"/>
          <w:bCs/>
          <w:color w:val="000000" w:themeColor="text1"/>
          <w:szCs w:val="21"/>
          <w:highlight w:val="none"/>
          <w:lang w:val="en-US" w:eastAsia="zh-CN"/>
          <w14:textFill>
            <w14:solidFill>
              <w14:schemeClr w14:val="tx1"/>
            </w14:solidFill>
          </w14:textFill>
        </w:rPr>
        <w:t>中标</w:t>
      </w:r>
      <w:r>
        <w:rPr>
          <w:rFonts w:hint="eastAsia" w:ascii="宋体" w:hAnsi="宋体" w:eastAsia="宋体" w:cs="宋体"/>
          <w:b w:val="0"/>
          <w:bCs/>
          <w:color w:val="000000" w:themeColor="text1"/>
          <w:szCs w:val="21"/>
          <w:highlight w:val="none"/>
          <w14:textFill>
            <w14:solidFill>
              <w14:schemeClr w14:val="tx1"/>
            </w14:solidFill>
          </w14:textFill>
        </w:rPr>
        <w:t>方不听从</w:t>
      </w:r>
      <w:r>
        <w:rPr>
          <w:rFonts w:hint="eastAsia" w:ascii="宋体" w:hAnsi="宋体" w:eastAsia="宋体" w:cs="宋体"/>
          <w:b w:val="0"/>
          <w:bCs/>
          <w:color w:val="000000" w:themeColor="text1"/>
          <w:szCs w:val="21"/>
          <w:highlight w:val="none"/>
          <w:lang w:val="en-US" w:eastAsia="zh-CN"/>
          <w14:textFill>
            <w14:solidFill>
              <w14:schemeClr w14:val="tx1"/>
            </w14:solidFill>
          </w14:textFill>
        </w:rPr>
        <w:t>采购</w:t>
      </w:r>
      <w:r>
        <w:rPr>
          <w:rFonts w:hint="eastAsia" w:ascii="宋体" w:hAnsi="宋体" w:eastAsia="宋体" w:cs="宋体"/>
          <w:b w:val="0"/>
          <w:bCs/>
          <w:color w:val="000000" w:themeColor="text1"/>
          <w:szCs w:val="21"/>
          <w:highlight w:val="none"/>
          <w14:textFill>
            <w14:solidFill>
              <w14:schemeClr w14:val="tx1"/>
            </w14:solidFill>
          </w14:textFill>
        </w:rPr>
        <w:t>方有理的建议、不协助</w:t>
      </w:r>
      <w:r>
        <w:rPr>
          <w:rFonts w:hint="eastAsia" w:ascii="宋体" w:hAnsi="宋体" w:eastAsia="宋体" w:cs="宋体"/>
          <w:b w:val="0"/>
          <w:bCs/>
          <w:color w:val="000000" w:themeColor="text1"/>
          <w:szCs w:val="21"/>
          <w:highlight w:val="none"/>
          <w:lang w:val="en-US" w:eastAsia="zh-CN"/>
          <w14:textFill>
            <w14:solidFill>
              <w14:schemeClr w14:val="tx1"/>
            </w14:solidFill>
          </w14:textFill>
        </w:rPr>
        <w:t>采购</w:t>
      </w:r>
      <w:r>
        <w:rPr>
          <w:rFonts w:hint="eastAsia" w:ascii="宋体" w:hAnsi="宋体" w:eastAsia="宋体" w:cs="宋体"/>
          <w:b w:val="0"/>
          <w:bCs/>
          <w:color w:val="000000" w:themeColor="text1"/>
          <w:szCs w:val="21"/>
          <w:highlight w:val="none"/>
          <w14:textFill>
            <w14:solidFill>
              <w14:schemeClr w14:val="tx1"/>
            </w14:solidFill>
          </w14:textFill>
        </w:rPr>
        <w:t>方工作或因上级有关政策变更等，</w:t>
      </w:r>
      <w:r>
        <w:rPr>
          <w:rFonts w:hint="eastAsia" w:ascii="宋体" w:hAnsi="宋体" w:eastAsia="宋体" w:cs="宋体"/>
          <w:b w:val="0"/>
          <w:bCs/>
          <w:color w:val="000000" w:themeColor="text1"/>
          <w:szCs w:val="21"/>
          <w:highlight w:val="none"/>
          <w:lang w:val="en-US" w:eastAsia="zh-CN"/>
          <w14:textFill>
            <w14:solidFill>
              <w14:schemeClr w14:val="tx1"/>
            </w14:solidFill>
          </w14:textFill>
        </w:rPr>
        <w:t>采购</w:t>
      </w:r>
      <w:r>
        <w:rPr>
          <w:rFonts w:hint="eastAsia" w:ascii="宋体" w:hAnsi="宋体" w:eastAsia="宋体" w:cs="宋体"/>
          <w:b w:val="0"/>
          <w:bCs/>
          <w:color w:val="000000" w:themeColor="text1"/>
          <w:szCs w:val="21"/>
          <w:highlight w:val="none"/>
          <w14:textFill>
            <w14:solidFill>
              <w14:schemeClr w14:val="tx1"/>
            </w14:solidFill>
          </w14:textFill>
        </w:rPr>
        <w:t>方有权中途终止合同。</w:t>
      </w:r>
    </w:p>
    <w:p w14:paraId="09A1215E">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jc w:val="both"/>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第三条：人员配置要求</w:t>
      </w:r>
    </w:p>
    <w:p w14:paraId="7F309BF4">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1.派遣服务人员不少于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人。其中包括项目经理1名、厨师长1人、</w:t>
      </w:r>
      <w:r>
        <w:rPr>
          <w:rFonts w:hint="eastAsia" w:ascii="宋体" w:hAnsi="宋体" w:eastAsia="宋体" w:cs="宋体"/>
          <w:color w:val="000000" w:themeColor="text1"/>
          <w:sz w:val="24"/>
          <w:szCs w:val="24"/>
          <w:highlight w:val="none"/>
          <w:lang w:eastAsia="zh-CN"/>
          <w14:textFill>
            <w14:solidFill>
              <w14:schemeClr w14:val="tx1"/>
            </w14:solidFill>
          </w14:textFill>
        </w:rPr>
        <w:t>副</w:t>
      </w:r>
      <w:r>
        <w:rPr>
          <w:rFonts w:hint="eastAsia" w:ascii="宋体" w:hAnsi="宋体" w:eastAsia="宋体" w:cs="宋体"/>
          <w:color w:val="000000" w:themeColor="text1"/>
          <w:sz w:val="24"/>
          <w:szCs w:val="24"/>
          <w:highlight w:val="none"/>
          <w14:textFill>
            <w14:solidFill>
              <w14:schemeClr w14:val="tx1"/>
            </w14:solidFill>
          </w14:textFill>
        </w:rPr>
        <w:t>厨</w:t>
      </w:r>
      <w:r>
        <w:rPr>
          <w:rFonts w:hint="eastAsia" w:ascii="宋体" w:hAnsi="宋体" w:eastAsia="宋体" w:cs="宋体"/>
          <w:color w:val="000000" w:themeColor="text1"/>
          <w:sz w:val="24"/>
          <w:szCs w:val="24"/>
          <w:highlight w:val="none"/>
          <w:lang w:eastAsia="zh-CN"/>
          <w14:textFill>
            <w14:solidFill>
              <w14:schemeClr w14:val="tx1"/>
            </w14:solidFill>
          </w14:textFill>
        </w:rPr>
        <w:t>兼切配</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人、面点师</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勤杂工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，食堂工作人员（兼采购）</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，金清法庭厨师兼勤杂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1人</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素质要求符合相应服务岗位工作要求。</w:t>
      </w:r>
    </w:p>
    <w:p w14:paraId="2F5875ED">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2.所有人员都要有相应餐饮行业工作经验，新晋人员要有不少于一周时间的岗前培训。男性年龄需在</w:t>
      </w:r>
      <w:r>
        <w:rPr>
          <w:rFonts w:hint="eastAsia" w:ascii="宋体" w:hAnsi="宋体" w:eastAsia="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14:textFill>
            <w14:solidFill>
              <w14:schemeClr w14:val="tx1"/>
            </w14:solidFill>
          </w14:textFill>
        </w:rPr>
        <w:t>周岁以下，女性年龄在5</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周岁以下。</w:t>
      </w:r>
    </w:p>
    <w:p w14:paraId="476E2BE3">
      <w:pPr>
        <w:pStyle w:val="10"/>
        <w:keepNext w:val="0"/>
        <w:keepLines w:val="0"/>
        <w:pageBreakBefore w:val="0"/>
        <w:widowControl w:val="0"/>
        <w:shd w:val="clear"/>
        <w:kinsoku/>
        <w:wordWrap/>
        <w:overflowPunct/>
        <w:topLinePunct w:val="0"/>
        <w:bidi w:val="0"/>
        <w:spacing w:after="0"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经理要求具有中餐中级服务证书，并有三年以上知名酒店从业经验的服务师。厨师长要求具有中餐高级职业资格证书，并有五年以上知名酒店从业经验的专业厨师。面点师要求具有中式点心高级职业资格证书，并有五年以上知名酒店从业经验的专业点心师。</w:t>
      </w:r>
    </w:p>
    <w:p w14:paraId="638DEEB6">
      <w:pPr>
        <w:pStyle w:val="10"/>
        <w:keepNext w:val="0"/>
        <w:keepLines w:val="0"/>
        <w:pageBreakBefore w:val="0"/>
        <w:widowControl w:val="0"/>
        <w:shd w:val="clear"/>
        <w:kinsoku/>
        <w:wordWrap/>
        <w:overflowPunct/>
        <w:topLinePunct w:val="0"/>
        <w:bidi w:val="0"/>
        <w:spacing w:after="0"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厨师长月工资不低于7500元（含社保），面点师月工资不低于7200元（含社保），食堂工作人员月工资不低于4900元，金清法庭厨师月工资不低于</w:t>
      </w:r>
      <w:r>
        <w:rPr>
          <w:rFonts w:hint="eastAsia" w:ascii="宋体" w:hAnsi="宋体" w:cs="宋体"/>
          <w:color w:val="000000" w:themeColor="text1"/>
          <w:sz w:val="24"/>
          <w:szCs w:val="24"/>
          <w:highlight w:val="none"/>
          <w:lang w:val="en-US" w:eastAsia="zh-CN"/>
          <w14:textFill>
            <w14:solidFill>
              <w14:schemeClr w14:val="tx1"/>
            </w14:solidFill>
          </w14:textFill>
        </w:rPr>
        <w:t>400</w:t>
      </w:r>
      <w:r>
        <w:rPr>
          <w:rFonts w:hint="eastAsia" w:ascii="宋体" w:hAnsi="宋体" w:eastAsia="宋体" w:cs="宋体"/>
          <w:color w:val="000000" w:themeColor="text1"/>
          <w:sz w:val="24"/>
          <w:szCs w:val="24"/>
          <w:highlight w:val="none"/>
          <w:lang w:eastAsia="zh-CN"/>
          <w14:textFill>
            <w14:solidFill>
              <w14:schemeClr w14:val="tx1"/>
            </w14:solidFill>
          </w14:textFill>
        </w:rPr>
        <w:t>0元。</w:t>
      </w:r>
    </w:p>
    <w:p w14:paraId="18194FB6">
      <w:pPr>
        <w:pStyle w:val="11"/>
        <w:shd w:val="clear"/>
        <w:spacing w:line="360" w:lineRule="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▲投标供应商投标时须承诺的人员中标后不得更换。</w:t>
      </w:r>
    </w:p>
    <w:p w14:paraId="22B1806B">
      <w:pPr>
        <w:pStyle w:val="11"/>
        <w:numPr>
          <w:ilvl w:val="0"/>
          <w:numId w:val="0"/>
        </w:numPr>
        <w:shd w:val="clear"/>
        <w:spacing w:line="360" w:lineRule="auto"/>
        <w:ind w:firstLine="482" w:firstLineChars="200"/>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5.所有人员上岗前均须提供效健康合格证明给采购方备案。</w:t>
      </w:r>
    </w:p>
    <w:p w14:paraId="5DB1EE5D">
      <w:pPr>
        <w:numPr>
          <w:ilvl w:val="0"/>
          <w:numId w:val="0"/>
        </w:numPr>
        <w:shd w:val="clear"/>
        <w:spacing w:line="360" w:lineRule="auto"/>
        <w:ind w:firstLine="482" w:firstLineChars="200"/>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u w:val="none"/>
          <w:lang w:val="en-US" w:eastAsia="zh-CN" w:bidi="ar-SA"/>
          <w14:textFill>
            <w14:solidFill>
              <w14:schemeClr w14:val="tx1"/>
            </w14:solidFill>
          </w14:textFill>
        </w:rPr>
        <w:t>6.为便于开展工作，中标方工作人员统一在甲方食堂用餐，并按12元/人/天向甲方交纳伙食费。</w:t>
      </w:r>
    </w:p>
    <w:p w14:paraId="2B7F7907">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jc w:val="both"/>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第四条：会议（培训）和公务接待用餐服务要求：</w:t>
      </w:r>
    </w:p>
    <w:p w14:paraId="3E467668">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1.地点</w:t>
      </w:r>
      <w:r>
        <w:rPr>
          <w:rFonts w:hint="eastAsia" w:ascii="宋体" w:hAnsi="宋体" w:eastAsia="宋体" w:cs="宋体"/>
          <w:color w:val="000000" w:themeColor="text1"/>
          <w:sz w:val="24"/>
          <w:szCs w:val="24"/>
          <w:highlight w:val="none"/>
          <w:lang w:eastAsia="zh-CN"/>
          <w14:textFill>
            <w14:solidFill>
              <w14:schemeClr w14:val="tx1"/>
            </w14:solidFill>
          </w14:textFill>
        </w:rPr>
        <w:t>：区法院大楼</w:t>
      </w:r>
    </w:p>
    <w:p w14:paraId="6D46F656">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2.服务时间：中、晚餐，具体时间根据实际需要。</w:t>
      </w:r>
    </w:p>
    <w:p w14:paraId="4850009E">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3.服务费：</w:t>
      </w:r>
      <w:r>
        <w:rPr>
          <w:rFonts w:hint="eastAsia" w:ascii="宋体" w:hAnsi="宋体" w:eastAsia="宋体" w:cs="宋体"/>
          <w:color w:val="000000" w:themeColor="text1"/>
          <w:sz w:val="24"/>
          <w:szCs w:val="24"/>
          <w:highlight w:val="none"/>
          <w:lang w:eastAsia="zh-CN"/>
          <w14:textFill>
            <w14:solidFill>
              <w14:schemeClr w14:val="tx1"/>
            </w14:solidFill>
          </w14:textFill>
        </w:rPr>
        <w:t>含在总承包价内，不再另行结算。</w:t>
      </w:r>
    </w:p>
    <w:p w14:paraId="514A6601">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4.服务人员要求：公务接待根据用餐人数，即时提供相应的厨师与</w:t>
      </w:r>
      <w:r>
        <w:rPr>
          <w:rFonts w:hint="eastAsia" w:ascii="宋体" w:hAnsi="宋体" w:eastAsia="宋体" w:cs="宋体"/>
          <w:color w:val="000000" w:themeColor="text1"/>
          <w:sz w:val="24"/>
          <w:szCs w:val="24"/>
          <w:highlight w:val="none"/>
          <w:lang w:eastAsia="zh-CN"/>
          <w14:textFill>
            <w14:solidFill>
              <w14:schemeClr w14:val="tx1"/>
            </w14:solidFill>
          </w14:textFill>
        </w:rPr>
        <w:t>工作</w:t>
      </w:r>
      <w:r>
        <w:rPr>
          <w:rFonts w:hint="eastAsia" w:ascii="宋体" w:hAnsi="宋体" w:eastAsia="宋体" w:cs="宋体"/>
          <w:color w:val="000000" w:themeColor="text1"/>
          <w:sz w:val="24"/>
          <w:szCs w:val="24"/>
          <w:highlight w:val="none"/>
          <w14:textFill>
            <w14:solidFill>
              <w14:schemeClr w14:val="tx1"/>
            </w14:solidFill>
          </w14:textFill>
        </w:rPr>
        <w:t>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D787D4B">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①具有中式烹调高级职业资格证书，并有五年以上知名酒店从业经验的专业厨师</w:t>
      </w:r>
    </w:p>
    <w:p w14:paraId="093B0137">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②具有中式点心高级职业资格证书，并有五年以上知名酒店从业经验的专业点心师。</w:t>
      </w:r>
    </w:p>
    <w:p w14:paraId="64D2D5C3">
      <w:pPr>
        <w:keepNext w:val="0"/>
        <w:keepLines w:val="0"/>
        <w:pageBreakBefore w:val="0"/>
        <w:shd w:val="clear"/>
        <w:kinsoku/>
        <w:wordWrap/>
        <w:overflowPunct/>
        <w:topLinePunct w:val="0"/>
        <w:autoSpaceDE/>
        <w:autoSpaceDN/>
        <w:bidi w:val="0"/>
        <w:spacing w:line="360" w:lineRule="auto"/>
        <w:ind w:firstLine="482" w:firstLineChars="200"/>
        <w:jc w:val="both"/>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第五条</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双方权利义务</w:t>
      </w:r>
    </w:p>
    <w:p w14:paraId="1211575B">
      <w:pPr>
        <w:keepNext w:val="0"/>
        <w:keepLines w:val="0"/>
        <w:pageBreakBefore w:val="0"/>
        <w:shd w:val="clear"/>
        <w:kinsoku/>
        <w:wordWrap/>
        <w:overflowPunct/>
        <w:topLinePunct w:val="0"/>
        <w:autoSpaceDE/>
        <w:autoSpaceDN/>
        <w:bidi w:val="0"/>
        <w:spacing w:line="360" w:lineRule="auto"/>
        <w:ind w:firstLine="482" w:firstLineChars="200"/>
        <w:jc w:val="both"/>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（一）甲方权利义务：</w:t>
      </w:r>
    </w:p>
    <w:p w14:paraId="53C89B56">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1.按规定监督</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依法经营、履行合同，做好协调工作。</w:t>
      </w:r>
    </w:p>
    <w:p w14:paraId="738BC6B1">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2.提供厨房、餐厅、全套厨房设备和结算系统等。</w:t>
      </w:r>
    </w:p>
    <w:p w14:paraId="69030B1C">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3.负责水电气费用支出和场地提供。</w:t>
      </w:r>
    </w:p>
    <w:p w14:paraId="6356307B">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4.对</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配菜、营养搭配、服务水平及卫生状况进行监督、检查、考核，并有权要求</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限期整改。</w:t>
      </w:r>
    </w:p>
    <w:p w14:paraId="35C4D7F1">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5.协助</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维持食堂治安秩序。</w:t>
      </w:r>
    </w:p>
    <w:p w14:paraId="6B5AD531">
      <w:pPr>
        <w:keepNext w:val="0"/>
        <w:keepLines w:val="0"/>
        <w:pageBreakBefore w:val="0"/>
        <w:widowControl w:val="0"/>
        <w:shd w:val="clear"/>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（二）乙方的权利义务：</w:t>
      </w:r>
    </w:p>
    <w:p w14:paraId="1CC0AFED">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严格按照餐饮服务食品安全监督量化分级管理要求，</w:t>
      </w:r>
      <w:r>
        <w:rPr>
          <w:rFonts w:hint="eastAsia" w:ascii="宋体" w:hAnsi="宋体" w:eastAsia="宋体" w:cs="宋体"/>
          <w:color w:val="000000" w:themeColor="text1"/>
          <w:sz w:val="24"/>
          <w:szCs w:val="24"/>
          <w:highlight w:val="none"/>
          <w14:textFill>
            <w14:solidFill>
              <w14:schemeClr w14:val="tx1"/>
            </w14:solidFill>
          </w14:textFill>
        </w:rPr>
        <w:t>负责好食堂的食</w:t>
      </w:r>
      <w:r>
        <w:rPr>
          <w:rFonts w:hint="eastAsia" w:ascii="宋体" w:hAnsi="宋体" w:eastAsia="宋体" w:cs="宋体"/>
          <w:color w:val="000000" w:themeColor="text1"/>
          <w:sz w:val="24"/>
          <w:szCs w:val="24"/>
          <w:highlight w:val="none"/>
          <w:lang w:eastAsia="zh-CN"/>
          <w14:textFill>
            <w14:solidFill>
              <w14:schemeClr w14:val="tx1"/>
            </w14:solidFill>
          </w14:textFill>
        </w:rPr>
        <w:t>品</w:t>
      </w:r>
      <w:r>
        <w:rPr>
          <w:rFonts w:hint="eastAsia" w:ascii="宋体" w:hAnsi="宋体" w:eastAsia="宋体" w:cs="宋体"/>
          <w:color w:val="000000" w:themeColor="text1"/>
          <w:sz w:val="24"/>
          <w:szCs w:val="24"/>
          <w:highlight w:val="none"/>
          <w14:textFill>
            <w14:solidFill>
              <w14:schemeClr w14:val="tx1"/>
            </w14:solidFill>
          </w14:textFill>
        </w:rPr>
        <w:t>安全卫生，签约时还需与</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签订《餐饮服务食品安全责任书》、《社会治安综合治理目标管理责任书》和《消防安全管理责任书》。</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要落实好病媒生物防</w:t>
      </w:r>
      <w:r>
        <w:rPr>
          <w:rFonts w:hint="eastAsia" w:ascii="宋体" w:hAnsi="宋体" w:eastAsia="宋体" w:cs="宋体"/>
          <w:color w:val="000000" w:themeColor="text1"/>
          <w:sz w:val="24"/>
          <w:szCs w:val="24"/>
          <w:highlight w:val="none"/>
          <w:lang w:eastAsia="zh-CN"/>
          <w14:textFill>
            <w14:solidFill>
              <w14:schemeClr w14:val="tx1"/>
            </w14:solidFill>
          </w14:textFill>
        </w:rPr>
        <w:t>治</w:t>
      </w:r>
      <w:r>
        <w:rPr>
          <w:rFonts w:hint="eastAsia" w:ascii="宋体" w:hAnsi="宋体" w:eastAsia="宋体" w:cs="宋体"/>
          <w:color w:val="000000" w:themeColor="text1"/>
          <w:sz w:val="24"/>
          <w:szCs w:val="24"/>
          <w:highlight w:val="none"/>
          <w14:textFill>
            <w14:solidFill>
              <w14:schemeClr w14:val="tx1"/>
            </w14:solidFill>
          </w14:textFill>
        </w:rPr>
        <w:t>工作，定期组织除四害，保持四害密度少于食品卫生部门规定的要求。</w:t>
      </w:r>
    </w:p>
    <w:p w14:paraId="55A907D1">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2.负责食堂的经营管理，具体包括食堂人事、菜肴的搭配与制作、就餐环境卫生、服务等。</w:t>
      </w:r>
    </w:p>
    <w:p w14:paraId="6E71F50F">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3.保持菜肴的新鲜和卫生。按时供应</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工作日各餐，做到菜量适当、新鲜可口、花样翻新、营养搭配合理。</w:t>
      </w:r>
    </w:p>
    <w:p w14:paraId="370E2ED1">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4.负责厨房设施的维护，若财产发生人为损坏，需照价赔偿。承包期内必须添置或更换厨房设备，由</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提出，经</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审核同意后由</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负责购置。</w:t>
      </w:r>
    </w:p>
    <w:p w14:paraId="570E1D3F">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5.按照</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用餐核定标准，自行加工，确保收支平衡。负责做好食堂食材、日报表报送工作。</w:t>
      </w:r>
    </w:p>
    <w:p w14:paraId="5ECF5232">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应每年组织所属员工进行办理上岗证所需的健康检查，确保所属人员持有有效健康证；</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应定期开展职业道德、安全教育、卫生教育和技能培训等，不断提高员工素质；</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员工应统一着装上岗，上岗时穿戴好工作服、工作帽和口罩等。</w:t>
      </w:r>
    </w:p>
    <w:p w14:paraId="02F86319">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按时发放所属工作人员的工资、福利和奖金等，并负责对工作人员进行遵纪守法和安全卫生教育，必须与所聘用的从业人员签订劳动合同，并按规定缴纳五险一金。</w:t>
      </w:r>
    </w:p>
    <w:p w14:paraId="571287EC">
      <w:pPr>
        <w:keepNext w:val="0"/>
        <w:keepLines w:val="0"/>
        <w:pageBreakBefore w:val="0"/>
        <w:shd w:val="clear"/>
        <w:kinsoku/>
        <w:wordWrap/>
        <w:overflowPunct/>
        <w:topLinePunct w:val="0"/>
        <w:autoSpaceDE/>
        <w:autoSpaceDN/>
        <w:bidi w:val="0"/>
        <w:spacing w:line="360" w:lineRule="auto"/>
        <w:ind w:firstLine="482" w:firstLineChars="200"/>
        <w:jc w:val="both"/>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第六条：付款方式</w:t>
      </w:r>
    </w:p>
    <w:p w14:paraId="0CC013E9">
      <w:pPr>
        <w:pStyle w:val="13"/>
        <w:keepLines w:val="0"/>
        <w:pageBreakBefore w:val="0"/>
        <w:shd w:val="clear"/>
        <w:tabs>
          <w:tab w:val="right" w:leader="dot" w:pos="849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000000" w:themeColor="text1"/>
          <w:kern w:val="0"/>
          <w:sz w:val="24"/>
          <w:highlight w:val="none"/>
          <w:lang w:val="en-US" w:eastAsia="zh-CN"/>
          <w14:textFill>
            <w14:solidFill>
              <w14:schemeClr w14:val="tx1"/>
            </w14:solidFill>
          </w14:textFill>
        </w:rPr>
      </w:pPr>
      <w:r>
        <w:rPr>
          <w:rFonts w:hint="eastAsia" w:hAnsi="宋体" w:cs="宋体"/>
          <w:b w:val="0"/>
          <w:bCs w:val="0"/>
          <w:color w:val="000000" w:themeColor="text1"/>
          <w:kern w:val="0"/>
          <w:sz w:val="24"/>
          <w:highlight w:val="none"/>
          <w:lang w:val="en-US" w:eastAsia="zh-CN"/>
          <w14:textFill>
            <w14:solidFill>
              <w14:schemeClr w14:val="tx1"/>
            </w14:solidFill>
          </w14:textFill>
        </w:rPr>
        <w:t>按月结算</w:t>
      </w:r>
      <w:r>
        <w:rPr>
          <w:rFonts w:hint="eastAsia" w:ascii="宋体" w:hAnsi="宋体" w:cs="宋体"/>
          <w:b w:val="0"/>
          <w:bCs w:val="0"/>
          <w:color w:val="000000" w:themeColor="text1"/>
          <w:kern w:val="0"/>
          <w:sz w:val="24"/>
          <w:highlight w:val="none"/>
          <w:lang w:eastAsia="zh-CN"/>
          <w14:textFill>
            <w14:solidFill>
              <w14:schemeClr w14:val="tx1"/>
            </w14:solidFill>
          </w14:textFill>
        </w:rPr>
        <w:t>，</w:t>
      </w:r>
      <w:r>
        <w:rPr>
          <w:rFonts w:hint="eastAsia" w:hAnsi="宋体" w:cs="宋体"/>
          <w:b w:val="0"/>
          <w:bCs w:val="0"/>
          <w:color w:val="000000" w:themeColor="text1"/>
          <w:kern w:val="0"/>
          <w:sz w:val="24"/>
          <w:highlight w:val="none"/>
          <w:lang w:eastAsia="zh-CN"/>
          <w14:textFill>
            <w14:solidFill>
              <w14:schemeClr w14:val="tx1"/>
            </w14:solidFill>
          </w14:textFill>
        </w:rPr>
        <w:t>乙方</w:t>
      </w:r>
      <w:r>
        <w:rPr>
          <w:rFonts w:hint="eastAsia" w:ascii="宋体" w:hAnsi="宋体" w:cs="宋体"/>
          <w:b w:val="0"/>
          <w:bCs w:val="0"/>
          <w:color w:val="000000" w:themeColor="text1"/>
          <w:kern w:val="0"/>
          <w:sz w:val="24"/>
          <w:highlight w:val="none"/>
          <w:lang w:eastAsia="zh-CN"/>
          <w14:textFill>
            <w14:solidFill>
              <w14:schemeClr w14:val="tx1"/>
            </w14:solidFill>
          </w14:textFill>
        </w:rPr>
        <w:t>提供正式发票后</w:t>
      </w:r>
      <w:r>
        <w:rPr>
          <w:rFonts w:hint="eastAsia" w:ascii="宋体" w:hAnsi="宋体" w:cs="宋体"/>
          <w:b w:val="0"/>
          <w:bCs w:val="0"/>
          <w:color w:val="000000" w:themeColor="text1"/>
          <w:kern w:val="0"/>
          <w:sz w:val="24"/>
          <w:highlight w:val="none"/>
          <w:lang w:val="en-US" w:eastAsia="zh-CN"/>
          <w14:textFill>
            <w14:solidFill>
              <w14:schemeClr w14:val="tx1"/>
            </w14:solidFill>
          </w14:textFill>
        </w:rPr>
        <w:t>10个工作日内以转帐方式支付上月服务费的95%经费，其余</w:t>
      </w:r>
      <w:r>
        <w:rPr>
          <w:rFonts w:hint="eastAsia" w:hAnsi="宋体" w:cs="宋体"/>
          <w:b w:val="0"/>
          <w:bCs w:val="0"/>
          <w:color w:val="000000" w:themeColor="text1"/>
          <w:kern w:val="0"/>
          <w:sz w:val="24"/>
          <w:highlight w:val="none"/>
          <w:lang w:val="en-US" w:eastAsia="zh-CN"/>
          <w14:textFill>
            <w14:solidFill>
              <w14:schemeClr w14:val="tx1"/>
            </w14:solidFill>
          </w14:textFill>
        </w:rPr>
        <w:t>5%</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经费作为考核押金，按照管理业绩情况，在满一年</w:t>
      </w:r>
      <w:r>
        <w:rPr>
          <w:rFonts w:hint="eastAsia" w:ascii="宋体" w:hAnsi="宋体" w:cs="宋体"/>
          <w:b w:val="0"/>
          <w:bCs w:val="0"/>
          <w:color w:val="000000" w:themeColor="text1"/>
          <w:kern w:val="0"/>
          <w:sz w:val="24"/>
          <w:highlight w:val="none"/>
          <w:lang w:eastAsia="zh-CN"/>
          <w14:textFill>
            <w14:solidFill>
              <w14:schemeClr w14:val="tx1"/>
            </w14:solidFill>
          </w14:textFill>
        </w:rPr>
        <w:t>提供正式发票后</w:t>
      </w:r>
      <w:r>
        <w:rPr>
          <w:rFonts w:hint="eastAsia" w:ascii="宋体" w:hAnsi="宋体" w:cs="宋体"/>
          <w:b w:val="0"/>
          <w:bCs w:val="0"/>
          <w:color w:val="000000" w:themeColor="text1"/>
          <w:kern w:val="0"/>
          <w:sz w:val="24"/>
          <w:highlight w:val="none"/>
          <w:lang w:val="en-US" w:eastAsia="zh-CN"/>
          <w14:textFill>
            <w14:solidFill>
              <w14:schemeClr w14:val="tx1"/>
            </w14:solidFill>
          </w14:textFill>
        </w:rPr>
        <w:t>10个工作日一次性结清。</w:t>
      </w:r>
    </w:p>
    <w:p w14:paraId="74263C80">
      <w:pPr>
        <w:pStyle w:val="10"/>
        <w:keepNext w:val="0"/>
        <w:keepLines w:val="0"/>
        <w:pageBreakBefore w:val="0"/>
        <w:shd w:val="clear"/>
        <w:kinsoku/>
        <w:wordWrap/>
        <w:overflowPunct/>
        <w:topLinePunct w:val="0"/>
        <w:autoSpaceDE/>
        <w:autoSpaceDN/>
        <w:bidi w:val="0"/>
        <w:spacing w:after="0" w:line="360" w:lineRule="auto"/>
        <w:ind w:firstLine="482" w:firstLineChars="200"/>
        <w:jc w:val="both"/>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第七条：履约保证金</w:t>
      </w:r>
    </w:p>
    <w:p w14:paraId="68A9F185">
      <w:pPr>
        <w:pStyle w:val="13"/>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与</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签订食堂劳务服务承包合同时需向</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缴纳</w:t>
      </w:r>
      <w:r>
        <w:rPr>
          <w:rFonts w:hint="eastAsia" w:ascii="宋体" w:hAnsi="宋体" w:eastAsia="宋体" w:cs="宋体"/>
          <w:color w:val="000000" w:themeColor="text1"/>
          <w:sz w:val="24"/>
          <w:szCs w:val="24"/>
          <w:highlight w:val="none"/>
          <w:lang w:eastAsia="zh-CN"/>
          <w14:textFill>
            <w14:solidFill>
              <w14:schemeClr w14:val="tx1"/>
            </w14:solidFill>
          </w14:textFill>
        </w:rPr>
        <w:t>合同金额的1%</w:t>
      </w:r>
      <w:r>
        <w:rPr>
          <w:rFonts w:hint="eastAsia" w:ascii="宋体" w:hAnsi="宋体" w:eastAsia="宋体" w:cs="宋体"/>
          <w:color w:val="000000" w:themeColor="text1"/>
          <w:sz w:val="24"/>
          <w:szCs w:val="24"/>
          <w:highlight w:val="none"/>
          <w14:textFill>
            <w14:solidFill>
              <w14:schemeClr w14:val="tx1"/>
            </w14:solidFill>
          </w14:textFill>
        </w:rPr>
        <w:t>人民币作为履约保证金，以保证乙方遵守本合同，包括担保、保函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保险</w:t>
      </w:r>
      <w:r>
        <w:rPr>
          <w:rFonts w:hint="eastAsia" w:ascii="宋体" w:hAnsi="宋体" w:eastAsia="宋体" w:cs="宋体"/>
          <w:color w:val="000000" w:themeColor="text1"/>
          <w:sz w:val="24"/>
          <w:szCs w:val="24"/>
          <w:highlight w:val="none"/>
          <w14:textFill>
            <w14:solidFill>
              <w14:schemeClr w14:val="tx1"/>
            </w14:solidFill>
          </w14:textFill>
        </w:rPr>
        <w:t>等形式。</w:t>
      </w:r>
    </w:p>
    <w:p w14:paraId="08649A79">
      <w:pPr>
        <w:pStyle w:val="13"/>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2、甲方认为乙方在承包期内没有涉及违约行为，甲方在服务期满后一个月内全额退还履约保证金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不计息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，否则，甲方将在扣除乙方应付金额或违约金后退还保证金余额。</w:t>
      </w:r>
    </w:p>
    <w:p w14:paraId="269B6E28">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jc w:val="both"/>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第八条：违约责任</w:t>
      </w:r>
    </w:p>
    <w:p w14:paraId="716F3F75">
      <w:pPr>
        <w:pStyle w:val="8"/>
        <w:keepNext w:val="0"/>
        <w:keepLines w:val="0"/>
        <w:pageBreakBefore w:val="0"/>
        <w:shd w:val="clear"/>
        <w:kinsoku/>
        <w:wordWrap/>
        <w:overflowPunct/>
        <w:topLinePunct w:val="0"/>
        <w:autoSpaceDE/>
        <w:autoSpaceDN/>
        <w:bidi w:val="0"/>
        <w:adjustRightInd w:val="0"/>
        <w:snapToGrid w:val="0"/>
        <w:spacing w:after="0" w:line="360" w:lineRule="auto"/>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1、甲方无正当理由拒收接受服务的，甲方向乙方支付合同款项百分之五作为违约金。</w:t>
      </w:r>
    </w:p>
    <w:p w14:paraId="45CA8142">
      <w:pPr>
        <w:pStyle w:val="8"/>
        <w:keepNext w:val="0"/>
        <w:keepLines w:val="0"/>
        <w:pageBreakBefore w:val="0"/>
        <w:shd w:val="clear"/>
        <w:kinsoku/>
        <w:wordWrap/>
        <w:overflowPunct/>
        <w:topLinePunct w:val="0"/>
        <w:autoSpaceDE/>
        <w:autoSpaceDN/>
        <w:bidi w:val="0"/>
        <w:adjustRightInd w:val="0"/>
        <w:snapToGrid w:val="0"/>
        <w:spacing w:after="0" w:line="360" w:lineRule="auto"/>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2、甲方无故逾期验收和办理款项支付手续的，甲方应按逾期付款总额向乙方支付每日万分之五违约金。</w:t>
      </w:r>
    </w:p>
    <w:p w14:paraId="5432129B">
      <w:pPr>
        <w:keepNext w:val="0"/>
        <w:keepLines w:val="0"/>
        <w:pageBreakBefore w:val="0"/>
        <w:shd w:val="clear"/>
        <w:kinsoku/>
        <w:wordWrap/>
        <w:overflowPunct/>
        <w:topLinePunct w:val="0"/>
        <w:autoSpaceDE/>
        <w:autoSpaceDN/>
        <w:bidi w:val="0"/>
        <w:spacing w:line="360" w:lineRule="auto"/>
        <w:ind w:firstLine="480" w:firstLineChars="200"/>
        <w:jc w:val="both"/>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乙方私自带团队撤离，甲方有权没收合同履约保证金，并按合同价的百分之二十向招标方进行索赔。</w:t>
      </w:r>
    </w:p>
    <w:p w14:paraId="365D12A8">
      <w:pPr>
        <w:pStyle w:val="13"/>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both"/>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合同期满后，乙方应服从招标方安排，由甲方确定撤离时间，不得私自带团队撤离，如私自带团队撤离，影响食堂正常工作的，招标方有权没收合同履约保证金，并按合同价的百分之二十向招标方进行索赔。</w:t>
      </w:r>
    </w:p>
    <w:p w14:paraId="248FEBEA">
      <w:pPr>
        <w:pStyle w:val="13"/>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both"/>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4、若发生纠纷，由违约方赔偿守约方因纠纷所支付的费用（包括但不限于律师费、差旅费、诉讼费、保全费、鉴定费、评估费等）。</w:t>
      </w:r>
    </w:p>
    <w:p w14:paraId="41BF10DA">
      <w:pPr>
        <w:pStyle w:val="13"/>
        <w:keepNext w:val="0"/>
        <w:keepLines w:val="0"/>
        <w:pageBreakBefore w:val="0"/>
        <w:shd w:val="clear"/>
        <w:kinsoku/>
        <w:wordWrap/>
        <w:overflowPunct/>
        <w:topLinePunct w:val="0"/>
        <w:autoSpaceDE/>
        <w:autoSpaceDN/>
        <w:bidi w:val="0"/>
        <w:snapToGrid w:val="0"/>
        <w:spacing w:line="360" w:lineRule="auto"/>
        <w:ind w:firstLine="482" w:firstLineChars="200"/>
        <w:jc w:val="both"/>
        <w:textAlignment w:val="baseline"/>
        <w:outlineLvl w:val="9"/>
        <w:rPr>
          <w:rFonts w:hint="eastAsia" w:ascii="宋体" w:hAnsi="宋体" w:eastAsia="宋体" w:cs="宋体"/>
          <w:b/>
          <w:bCs/>
          <w:snapToGrid w:val="0"/>
          <w:color w:val="000000" w:themeColor="text1"/>
          <w:sz w:val="24"/>
          <w:szCs w:val="24"/>
          <w:highlight w:val="none"/>
          <w14:textFill>
            <w14:solidFill>
              <w14:schemeClr w14:val="tx1"/>
            </w14:solidFill>
          </w14:textFill>
        </w:rPr>
      </w:pPr>
      <w:r>
        <w:rPr>
          <w:rFonts w:hint="eastAsia" w:ascii="宋体" w:hAnsi="宋体" w:eastAsia="宋体" w:cs="宋体"/>
          <w:b/>
          <w:bCs/>
          <w:snapToGrid w:val="0"/>
          <w:color w:val="000000" w:themeColor="text1"/>
          <w:sz w:val="24"/>
          <w:szCs w:val="24"/>
          <w:highlight w:val="none"/>
          <w14:textFill>
            <w14:solidFill>
              <w14:schemeClr w14:val="tx1"/>
            </w14:solidFill>
          </w14:textFill>
        </w:rPr>
        <w:t>第</w:t>
      </w:r>
      <w:r>
        <w:rPr>
          <w:rFonts w:hint="eastAsia" w:ascii="宋体" w:hAnsi="宋体" w:eastAsia="宋体" w:cs="宋体"/>
          <w:b/>
          <w:bCs/>
          <w:snapToGrid w:val="0"/>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snapToGrid w:val="0"/>
          <w:color w:val="000000" w:themeColor="text1"/>
          <w:sz w:val="24"/>
          <w:szCs w:val="24"/>
          <w:highlight w:val="none"/>
          <w14:textFill>
            <w14:solidFill>
              <w14:schemeClr w14:val="tx1"/>
            </w14:solidFill>
          </w14:textFill>
        </w:rPr>
        <w:t>条：不可抗力事件处理</w:t>
      </w:r>
    </w:p>
    <w:p w14:paraId="7FA70C77">
      <w:pPr>
        <w:pStyle w:val="13"/>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14:paraId="7523967F">
      <w:pPr>
        <w:pStyle w:val="13"/>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2、不可抗力事件发生后，应立即通知对方，并寄送有关权威机构出具的证明。</w:t>
      </w:r>
    </w:p>
    <w:p w14:paraId="5C2A4990">
      <w:pPr>
        <w:pStyle w:val="13"/>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3、不可抗力事件延续120天以上，双方应通过友好协商，确定是否继续履行合同。</w:t>
      </w:r>
    </w:p>
    <w:p w14:paraId="7D0A4BE8">
      <w:pPr>
        <w:pStyle w:val="13"/>
        <w:keepNext w:val="0"/>
        <w:keepLines w:val="0"/>
        <w:pageBreakBefore w:val="0"/>
        <w:shd w:val="clear"/>
        <w:kinsoku/>
        <w:wordWrap/>
        <w:overflowPunct/>
        <w:topLinePunct w:val="0"/>
        <w:autoSpaceDE/>
        <w:autoSpaceDN/>
        <w:bidi w:val="0"/>
        <w:snapToGrid w:val="0"/>
        <w:spacing w:line="360" w:lineRule="auto"/>
        <w:ind w:firstLine="482" w:firstLineChars="200"/>
        <w:jc w:val="both"/>
        <w:textAlignment w:val="baseline"/>
        <w:outlineLvl w:val="9"/>
        <w:rPr>
          <w:rFonts w:hint="eastAsia" w:ascii="宋体" w:hAnsi="宋体" w:eastAsia="宋体" w:cs="宋体"/>
          <w:b/>
          <w:bCs/>
          <w:snapToGrid w:val="0"/>
          <w:color w:val="000000" w:themeColor="text1"/>
          <w:sz w:val="24"/>
          <w:szCs w:val="24"/>
          <w:highlight w:val="none"/>
          <w14:textFill>
            <w14:solidFill>
              <w14:schemeClr w14:val="tx1"/>
            </w14:solidFill>
          </w14:textFill>
        </w:rPr>
      </w:pPr>
      <w:r>
        <w:rPr>
          <w:rFonts w:hint="eastAsia" w:ascii="宋体" w:hAnsi="宋体" w:eastAsia="宋体" w:cs="宋体"/>
          <w:b/>
          <w:bCs/>
          <w:snapToGrid w:val="0"/>
          <w:color w:val="000000" w:themeColor="text1"/>
          <w:sz w:val="24"/>
          <w:szCs w:val="24"/>
          <w:highlight w:val="none"/>
          <w14:textFill>
            <w14:solidFill>
              <w14:schemeClr w14:val="tx1"/>
            </w14:solidFill>
          </w14:textFill>
        </w:rPr>
        <w:t>第十条：诉讼</w:t>
      </w:r>
    </w:p>
    <w:p w14:paraId="4A7F58F6">
      <w:pPr>
        <w:pStyle w:val="13"/>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sz w:val="24"/>
          <w:szCs w:val="24"/>
          <w:highlight w:val="none"/>
          <w14:textFill>
            <w14:solidFill>
              <w14:schemeClr w14:val="tx1"/>
            </w14:solidFill>
          </w14:textFill>
        </w:rPr>
        <w:t>双方在执行合同中所发生的一切争议，应通过协商解决。如协商不成，可向甲方所在地法院起诉。</w:t>
      </w:r>
    </w:p>
    <w:p w14:paraId="6FB262CA">
      <w:pPr>
        <w:pStyle w:val="13"/>
        <w:keepNext w:val="0"/>
        <w:keepLines w:val="0"/>
        <w:pageBreakBefore w:val="0"/>
        <w:shd w:val="clear"/>
        <w:kinsoku/>
        <w:wordWrap/>
        <w:overflowPunct/>
        <w:topLinePunct w:val="0"/>
        <w:autoSpaceDE/>
        <w:autoSpaceDN/>
        <w:bidi w:val="0"/>
        <w:snapToGrid w:val="0"/>
        <w:spacing w:line="360" w:lineRule="auto"/>
        <w:ind w:firstLine="482" w:firstLineChars="200"/>
        <w:jc w:val="both"/>
        <w:textAlignment w:val="baseline"/>
        <w:outlineLvl w:val="9"/>
        <w:rPr>
          <w:rFonts w:hint="eastAsia" w:ascii="宋体" w:hAnsi="宋体" w:eastAsia="宋体" w:cs="宋体"/>
          <w:b/>
          <w:bCs/>
          <w:snapToGrid w:val="0"/>
          <w:color w:val="000000" w:themeColor="text1"/>
          <w:sz w:val="24"/>
          <w:szCs w:val="24"/>
          <w:highlight w:val="none"/>
          <w14:textFill>
            <w14:solidFill>
              <w14:schemeClr w14:val="tx1"/>
            </w14:solidFill>
          </w14:textFill>
        </w:rPr>
      </w:pPr>
      <w:r>
        <w:rPr>
          <w:rFonts w:hint="eastAsia" w:ascii="宋体" w:hAnsi="宋体" w:eastAsia="宋体" w:cs="宋体"/>
          <w:b/>
          <w:bCs/>
          <w:snapToGrid w:val="0"/>
          <w:color w:val="000000" w:themeColor="text1"/>
          <w:sz w:val="24"/>
          <w:szCs w:val="24"/>
          <w:highlight w:val="none"/>
          <w14:textFill>
            <w14:solidFill>
              <w14:schemeClr w14:val="tx1"/>
            </w14:solidFill>
          </w14:textFill>
        </w:rPr>
        <w:t>第十</w:t>
      </w:r>
      <w:r>
        <w:rPr>
          <w:rFonts w:hint="eastAsia" w:ascii="宋体" w:hAnsi="宋体" w:eastAsia="宋体" w:cs="宋体"/>
          <w:b/>
          <w:bCs/>
          <w:snapToGrid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snapToGrid w:val="0"/>
          <w:color w:val="000000" w:themeColor="text1"/>
          <w:sz w:val="24"/>
          <w:szCs w:val="24"/>
          <w:highlight w:val="none"/>
          <w14:textFill>
            <w14:solidFill>
              <w14:schemeClr w14:val="tx1"/>
            </w14:solidFill>
          </w14:textFill>
        </w:rPr>
        <w:t>条：合同生效及其它</w:t>
      </w:r>
    </w:p>
    <w:p w14:paraId="77CB3924">
      <w:pPr>
        <w:pStyle w:val="13"/>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1、合同经双方法定代表人或授权代表签字并加盖单位公章后生效。</w:t>
      </w:r>
    </w:p>
    <w:p w14:paraId="688FABCE">
      <w:pPr>
        <w:pStyle w:val="13"/>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14:paraId="32534300">
      <w:pPr>
        <w:pStyle w:val="13"/>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3、本合同未尽事宜，遵照《</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民法典</w:t>
      </w:r>
      <w:r>
        <w:rPr>
          <w:rFonts w:hint="eastAsia" w:ascii="宋体" w:hAnsi="宋体" w:eastAsia="宋体" w:cs="宋体"/>
          <w:snapToGrid w:val="0"/>
          <w:color w:val="000000" w:themeColor="text1"/>
          <w:sz w:val="24"/>
          <w:szCs w:val="24"/>
          <w:highlight w:val="none"/>
          <w14:textFill>
            <w14:solidFill>
              <w14:schemeClr w14:val="tx1"/>
            </w14:solidFill>
          </w14:textFill>
        </w:rPr>
        <w:t>》有关条文执行。</w:t>
      </w:r>
    </w:p>
    <w:p w14:paraId="16AC02ED">
      <w:pPr>
        <w:keepNext w:val="0"/>
        <w:keepLines w:val="0"/>
        <w:pageBreakBefore w:val="0"/>
        <w:widowControl/>
        <w:shd w:val="clear"/>
        <w:kinsoku/>
        <w:wordWrap/>
        <w:overflowPunct/>
        <w:topLinePunct w:val="0"/>
        <w:autoSpaceDE/>
        <w:autoSpaceDN/>
        <w:bidi w:val="0"/>
        <w:spacing w:line="360" w:lineRule="auto"/>
        <w:ind w:firstLine="480" w:firstLineChars="200"/>
        <w:jc w:val="both"/>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spacing w:val="-6"/>
          <w:kern w:val="0"/>
          <w:sz w:val="24"/>
          <w:szCs w:val="24"/>
          <w:highlight w:val="none"/>
          <w14:textFill>
            <w14:solidFill>
              <w14:schemeClr w14:val="tx1"/>
            </w14:solidFill>
          </w14:textFill>
        </w:rPr>
        <w:t>、本合同壹式陆份，甲、乙双方、招标代理公司各执贰份。本项目未尽事宜以招标文件、</w:t>
      </w:r>
      <w:r>
        <w:rPr>
          <w:rFonts w:hint="eastAsia" w:ascii="宋体" w:hAnsi="宋体" w:eastAsia="宋体" w:cs="宋体"/>
          <w:color w:val="000000" w:themeColor="text1"/>
          <w:spacing w:val="-6"/>
          <w:kern w:val="0"/>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pacing w:val="-6"/>
          <w:kern w:val="0"/>
          <w:sz w:val="24"/>
          <w:szCs w:val="24"/>
          <w:highlight w:val="none"/>
          <w14:textFill>
            <w14:solidFill>
              <w14:schemeClr w14:val="tx1"/>
            </w14:solidFill>
          </w14:textFill>
        </w:rPr>
        <w:t>文件及澄清文件等为准。</w:t>
      </w:r>
    </w:p>
    <w:p w14:paraId="05BC4FA1">
      <w:pPr>
        <w:keepNext w:val="0"/>
        <w:keepLines w:val="0"/>
        <w:pageBreakBefore w:val="0"/>
        <w:widowControl/>
        <w:shd w:val="clear"/>
        <w:kinsoku/>
        <w:wordWrap/>
        <w:overflowPunct/>
        <w:topLinePunct w:val="0"/>
        <w:autoSpaceDE/>
        <w:autoSpaceDN/>
        <w:bidi w:val="0"/>
        <w:spacing w:line="360" w:lineRule="auto"/>
        <w:ind w:firstLine="480" w:firstLineChars="200"/>
        <w:jc w:val="both"/>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spacing w:val="-6"/>
          <w:kern w:val="0"/>
          <w:sz w:val="24"/>
          <w:szCs w:val="24"/>
          <w:highlight w:val="none"/>
          <w14:textFill>
            <w14:solidFill>
              <w14:schemeClr w14:val="tx1"/>
            </w14:solidFill>
          </w14:textFill>
        </w:rPr>
        <w:t>、与本合同有关标书及记录同本合同具有同等法律效果。</w:t>
      </w:r>
    </w:p>
    <w:p w14:paraId="55877581">
      <w:pPr>
        <w:keepNext w:val="0"/>
        <w:keepLines w:val="0"/>
        <w:pageBreakBefore w:val="0"/>
        <w:widowControl/>
        <w:shd w:val="clear"/>
        <w:kinsoku/>
        <w:wordWrap/>
        <w:overflowPunct/>
        <w:topLinePunct w:val="0"/>
        <w:autoSpaceDE/>
        <w:autoSpaceDN/>
        <w:bidi w:val="0"/>
        <w:spacing w:line="360" w:lineRule="auto"/>
        <w:ind w:firstLine="315"/>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甲方（公章）：                             乙方（公章）：          </w:t>
      </w:r>
    </w:p>
    <w:p w14:paraId="40FA6861">
      <w:pPr>
        <w:keepNext w:val="0"/>
        <w:keepLines w:val="0"/>
        <w:pageBreakBefore w:val="0"/>
        <w:widowControl/>
        <w:shd w:val="clear"/>
        <w:kinsoku/>
        <w:wordWrap/>
        <w:overflowPunct/>
        <w:topLinePunct w:val="0"/>
        <w:autoSpaceDE/>
        <w:autoSpaceDN/>
        <w:bidi w:val="0"/>
        <w:spacing w:line="360" w:lineRule="auto"/>
        <w:ind w:firstLine="315"/>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法定代表人或委托人：                      法定代表人或委托人：         </w:t>
      </w:r>
    </w:p>
    <w:p w14:paraId="7D185EF2">
      <w:pPr>
        <w:keepNext w:val="0"/>
        <w:keepLines w:val="0"/>
        <w:pageBreakBefore w:val="0"/>
        <w:widowControl/>
        <w:shd w:val="clear"/>
        <w:kinsoku/>
        <w:wordWrap/>
        <w:overflowPunct/>
        <w:topLinePunct w:val="0"/>
        <w:autoSpaceDE/>
        <w:autoSpaceDN/>
        <w:bidi w:val="0"/>
        <w:spacing w:line="360" w:lineRule="auto"/>
        <w:ind w:firstLine="315"/>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联系电话：                                联系电话：</w:t>
      </w:r>
    </w:p>
    <w:p w14:paraId="32567D74">
      <w:pPr>
        <w:keepNext w:val="0"/>
        <w:keepLines w:val="0"/>
        <w:pageBreakBefore w:val="0"/>
        <w:widowControl/>
        <w:shd w:val="clear"/>
        <w:kinsoku/>
        <w:wordWrap/>
        <w:overflowPunct/>
        <w:topLinePunct w:val="0"/>
        <w:autoSpaceDE/>
        <w:autoSpaceDN/>
        <w:bidi w:val="0"/>
        <w:spacing w:line="360" w:lineRule="auto"/>
        <w:ind w:firstLine="315"/>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开户银行：                                开户银行：    </w:t>
      </w:r>
    </w:p>
    <w:p w14:paraId="4CC38899">
      <w:pPr>
        <w:keepNext w:val="0"/>
        <w:keepLines w:val="0"/>
        <w:pageBreakBefore w:val="0"/>
        <w:widowControl/>
        <w:shd w:val="clear"/>
        <w:kinsoku/>
        <w:wordWrap/>
        <w:overflowPunct/>
        <w:topLinePunct w:val="0"/>
        <w:autoSpaceDE/>
        <w:autoSpaceDN/>
        <w:bidi w:val="0"/>
        <w:spacing w:line="360" w:lineRule="auto"/>
        <w:ind w:firstLine="315"/>
        <w:outlineLvl w:val="9"/>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账    号：                                账    号：</w:t>
      </w:r>
    </w:p>
    <w:p w14:paraId="74B9AB00">
      <w:pPr>
        <w:keepNext w:val="0"/>
        <w:keepLines w:val="0"/>
        <w:pageBreakBefore w:val="0"/>
        <w:shd w:val="clear"/>
        <w:kinsoku/>
        <w:wordWrap/>
        <w:overflowPunct/>
        <w:topLinePunct w:val="0"/>
        <w:autoSpaceDE/>
        <w:autoSpaceDN/>
        <w:bidi w:val="0"/>
        <w:spacing w:line="360" w:lineRule="auto"/>
        <w:ind w:firstLine="480" w:firstLineChars="200"/>
        <w:textAlignment w:val="baseline"/>
        <w:outlineLvl w:val="9"/>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合同鉴证方：</w:t>
      </w:r>
    </w:p>
    <w:p w14:paraId="6E952717">
      <w:pPr>
        <w:keepNext w:val="0"/>
        <w:keepLines w:val="0"/>
        <w:pageBreakBefore w:val="0"/>
        <w:shd w:val="clear"/>
        <w:kinsoku/>
        <w:wordWrap/>
        <w:overflowPunct/>
        <w:topLinePunct w:val="0"/>
        <w:autoSpaceDE/>
        <w:autoSpaceDN/>
        <w:bidi w:val="0"/>
        <w:spacing w:line="360" w:lineRule="auto"/>
        <w:ind w:firstLine="480" w:firstLineChars="200"/>
        <w:textAlignment w:val="baseline"/>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签订日期：       年     月     日</w:t>
      </w:r>
    </w:p>
    <w:p w14:paraId="266BADA8">
      <w:pPr>
        <w:pStyle w:val="11"/>
        <w:shd w:val="clear"/>
        <w:rPr>
          <w:rFonts w:hint="eastAsia"/>
          <w:color w:val="000000" w:themeColor="text1"/>
          <w:highlight w:val="none"/>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6404EF86">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第六部分 响应文件格式附件</w:t>
      </w:r>
    </w:p>
    <w:p w14:paraId="049FB47C">
      <w:pPr>
        <w:shd w:val="clear"/>
        <w:spacing w:line="360" w:lineRule="auto"/>
        <w:ind w:firstLine="482" w:firstLineChars="200"/>
        <w:rPr>
          <w:rFonts w:ascii="宋体" w:hAnsi="宋体" w:cs="宋体"/>
          <w:b/>
          <w:bCs/>
          <w:color w:val="000000" w:themeColor="text1"/>
          <w:sz w:val="24"/>
          <w:szCs w:val="32"/>
          <w:highlight w:val="none"/>
          <w:u w:val="singl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说明：对本章所有的投标书格式，投标方可根据自身情况进行补充和修改，但补充和修改不得造成与本格式内容有实质性的违背。</w:t>
      </w:r>
    </w:p>
    <w:p w14:paraId="782BB25B">
      <w:pPr>
        <w:shd w:val="clea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s="宋体"/>
          <w:color w:val="000000" w:themeColor="text1"/>
          <w:sz w:val="30"/>
          <w:szCs w:val="30"/>
          <w:highlight w:val="none"/>
          <w14:textFill>
            <w14:solidFill>
              <w14:schemeClr w14:val="tx1"/>
            </w14:solidFill>
          </w14:textFill>
        </w:rPr>
        <w:t>　　</w:t>
      </w:r>
      <w:r>
        <w:rPr>
          <w:rFonts w:hint="eastAsia" w:ascii="宋体" w:hAnsi="宋体" w:cs="宋体"/>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28"/>
          <w:szCs w:val="36"/>
          <w:highlight w:val="non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68B3EC1B">
      <w:pPr>
        <w:shd w:val="clear"/>
        <w:spacing w:line="360" w:lineRule="auto"/>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6FB47B60">
      <w:pPr>
        <w:shd w:val="clear"/>
        <w:spacing w:line="360" w:lineRule="auto"/>
        <w:ind w:firstLine="1800" w:firstLineChars="5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3CB2673F">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磋</w:t>
      </w:r>
    </w:p>
    <w:p w14:paraId="38ABCC7A">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商</w:t>
      </w:r>
    </w:p>
    <w:p w14:paraId="45CE96EB">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响</w:t>
      </w:r>
    </w:p>
    <w:p w14:paraId="4885AF27">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应</w:t>
      </w:r>
    </w:p>
    <w:p w14:paraId="56AD8AC4">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7E3CBDA0">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65607F3D">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0C116569">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7E3E0D3A">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3058DC0A">
      <w:pPr>
        <w:pStyle w:val="11"/>
        <w:shd w:val="clear"/>
        <w:rPr>
          <w:rFonts w:ascii="宋体" w:hAnsi="宋体" w:cs="宋体"/>
          <w:color w:val="000000" w:themeColor="text1"/>
          <w:highlight w:val="none"/>
          <w14:textFill>
            <w14:solidFill>
              <w14:schemeClr w14:val="tx1"/>
            </w14:solidFill>
          </w14:textFill>
        </w:rPr>
      </w:pPr>
    </w:p>
    <w:p w14:paraId="37A63BD9">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磋商响应文件目录</w:t>
      </w:r>
    </w:p>
    <w:p w14:paraId="00555D4E">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第一部分 资格证明部分</w:t>
      </w:r>
    </w:p>
    <w:p w14:paraId="04C49992">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1、磋商声明书；（附件1）</w:t>
      </w:r>
    </w:p>
    <w:p w14:paraId="0EC5D8DE">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2、授权委托书（法定代表人（单位负责人）亲自办理磋商响应事宜的，则无需提交）（附件2）；</w:t>
      </w:r>
    </w:p>
    <w:p w14:paraId="2D6CBDB2">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3、法人或者其他组织的营业执照等证明文件，自然人的身份证明（附件3）；</w:t>
      </w:r>
    </w:p>
    <w:p w14:paraId="05DCFBC4">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4、具有良好的商业信誉和健全的财务会计制度的承诺（附件4）；</w:t>
      </w:r>
    </w:p>
    <w:p w14:paraId="5C29EC6B">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5、依法缴纳税收和社会保障资金的承诺（附件5）；</w:t>
      </w:r>
    </w:p>
    <w:p w14:paraId="20791BB1">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6、具备履行合同所必需的设备和专业技术能力的证明材料（根据项目性质提供）；</w:t>
      </w:r>
    </w:p>
    <w:p w14:paraId="51F9960A">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7、参加政府采购活动前三年内，在经营活动中没有重大违法记录（承诺函）（附件6）；</w:t>
      </w:r>
    </w:p>
    <w:p w14:paraId="61E94B0E">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kern w:val="2"/>
          <w:sz w:val="24"/>
          <w:szCs w:val="32"/>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、中小企业声明函（附件7）。 </w:t>
      </w:r>
    </w:p>
    <w:p w14:paraId="03F5DCDF">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第二部分</w:t>
      </w:r>
      <w:r>
        <w:rPr>
          <w:rFonts w:hint="eastAsia" w:ascii="宋体" w:hAnsi="宋体" w:cs="宋体"/>
          <w:b/>
          <w:bCs/>
          <w:color w:val="000000" w:themeColor="text1"/>
          <w:sz w:val="28"/>
          <w:szCs w:val="36"/>
          <w:highlight w:val="none"/>
          <w14:textFill>
            <w14:solidFill>
              <w14:schemeClr w14:val="tx1"/>
            </w14:solidFill>
          </w14:textFill>
        </w:rPr>
        <w:t xml:space="preserve"> </w:t>
      </w:r>
      <w:r>
        <w:rPr>
          <w:rFonts w:hint="eastAsia" w:ascii="宋体" w:hAnsi="宋体" w:cs="宋体"/>
          <w:b/>
          <w:bCs/>
          <w:color w:val="000000" w:themeColor="text1"/>
          <w:sz w:val="28"/>
          <w:szCs w:val="36"/>
          <w:highlight w:val="none"/>
          <w:lang w:val="zh-CN"/>
          <w14:textFill>
            <w14:solidFill>
              <w14:schemeClr w14:val="tx1"/>
            </w14:solidFill>
          </w14:textFill>
        </w:rPr>
        <w:t>商务与技术</w:t>
      </w:r>
      <w:r>
        <w:rPr>
          <w:rFonts w:hint="eastAsia" w:ascii="宋体" w:hAnsi="宋体" w:cs="宋体"/>
          <w:b/>
          <w:bCs/>
          <w:color w:val="000000" w:themeColor="text1"/>
          <w:sz w:val="28"/>
          <w:szCs w:val="36"/>
          <w:highlight w:val="none"/>
          <w14:textFill>
            <w14:solidFill>
              <w14:schemeClr w14:val="tx1"/>
            </w14:solidFill>
          </w14:textFill>
        </w:rPr>
        <w:t>部分</w:t>
      </w:r>
    </w:p>
    <w:p w14:paraId="68D75CCD">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1、供应商情况介绍（附件</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14:textFill>
            <w14:solidFill>
              <w14:schemeClr w14:val="tx1"/>
            </w14:solidFill>
          </w14:textFill>
        </w:rPr>
        <w:t>）；</w:t>
      </w:r>
    </w:p>
    <w:p w14:paraId="1910D6D4">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2、项目实施人员一览表（附件</w:t>
      </w:r>
      <w:r>
        <w:rPr>
          <w:rFonts w:hint="eastAsia" w:ascii="宋体" w:hAnsi="宋体" w:cs="宋体"/>
          <w:color w:val="000000" w:themeColor="text1"/>
          <w:sz w:val="24"/>
          <w:szCs w:val="32"/>
          <w:highlight w:val="none"/>
          <w:lang w:val="en-US" w:eastAsia="zh-CN"/>
          <w14:textFill>
            <w14:solidFill>
              <w14:schemeClr w14:val="tx1"/>
            </w14:solidFill>
          </w14:textFill>
        </w:rPr>
        <w:t>9</w:t>
      </w:r>
      <w:r>
        <w:rPr>
          <w:rFonts w:hint="eastAsia" w:ascii="宋体" w:hAnsi="宋体" w:cs="宋体"/>
          <w:color w:val="000000" w:themeColor="text1"/>
          <w:sz w:val="24"/>
          <w:szCs w:val="32"/>
          <w:highlight w:val="none"/>
          <w14:textFill>
            <w14:solidFill>
              <w14:schemeClr w14:val="tx1"/>
            </w14:solidFill>
          </w14:textFill>
        </w:rPr>
        <w:t xml:space="preserve">）； </w:t>
      </w:r>
    </w:p>
    <w:p w14:paraId="4292CA4B">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3、证书一览表（附件</w:t>
      </w:r>
      <w:r>
        <w:rPr>
          <w:rFonts w:hint="eastAsia" w:ascii="宋体" w:hAnsi="宋体" w:cs="宋体"/>
          <w:color w:val="000000" w:themeColor="text1"/>
          <w:sz w:val="24"/>
          <w:szCs w:val="32"/>
          <w:highlight w:val="none"/>
          <w:lang w:val="en-US" w:eastAsia="zh-CN"/>
          <w14:textFill>
            <w14:solidFill>
              <w14:schemeClr w14:val="tx1"/>
            </w14:solidFill>
          </w14:textFill>
        </w:rPr>
        <w:t>10</w:t>
      </w:r>
      <w:r>
        <w:rPr>
          <w:rFonts w:hint="eastAsia" w:ascii="宋体" w:hAnsi="宋体" w:cs="宋体"/>
          <w:color w:val="000000" w:themeColor="text1"/>
          <w:sz w:val="24"/>
          <w:szCs w:val="32"/>
          <w:highlight w:val="none"/>
          <w14:textFill>
            <w14:solidFill>
              <w14:schemeClr w14:val="tx1"/>
            </w14:solidFill>
          </w14:textFill>
        </w:rPr>
        <w:t>）；</w:t>
      </w:r>
    </w:p>
    <w:p w14:paraId="64D7CDAC">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4、项目负责人资格情况表（附件</w:t>
      </w:r>
      <w:r>
        <w:rPr>
          <w:rFonts w:hint="eastAsia" w:ascii="宋体" w:hAnsi="宋体" w:cs="宋体"/>
          <w:color w:val="000000" w:themeColor="text1"/>
          <w:sz w:val="24"/>
          <w:szCs w:val="32"/>
          <w:highlight w:val="none"/>
          <w:lang w:val="en-US" w:eastAsia="zh-CN"/>
          <w14:textFill>
            <w14:solidFill>
              <w14:schemeClr w14:val="tx1"/>
            </w14:solidFill>
          </w14:textFill>
        </w:rPr>
        <w:t>11</w:t>
      </w:r>
      <w:r>
        <w:rPr>
          <w:rFonts w:hint="eastAsia" w:ascii="宋体" w:hAnsi="宋体" w:cs="宋体"/>
          <w:color w:val="000000" w:themeColor="text1"/>
          <w:sz w:val="24"/>
          <w:szCs w:val="32"/>
          <w:highlight w:val="none"/>
          <w14:textFill>
            <w14:solidFill>
              <w14:schemeClr w14:val="tx1"/>
            </w14:solidFill>
          </w14:textFill>
        </w:rPr>
        <w:t>）；</w:t>
      </w:r>
    </w:p>
    <w:p w14:paraId="00ECD04D">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5、商务及技术响应表（附件</w:t>
      </w:r>
      <w:r>
        <w:rPr>
          <w:rFonts w:hint="eastAsia" w:ascii="宋体" w:hAnsi="宋体" w:cs="宋体"/>
          <w:color w:val="000000" w:themeColor="text1"/>
          <w:sz w:val="24"/>
          <w:szCs w:val="32"/>
          <w:highlight w:val="none"/>
          <w:lang w:val="en-US" w:eastAsia="zh-CN"/>
          <w14:textFill>
            <w14:solidFill>
              <w14:schemeClr w14:val="tx1"/>
            </w14:solidFill>
          </w14:textFill>
        </w:rPr>
        <w:t>12</w:t>
      </w:r>
      <w:r>
        <w:rPr>
          <w:rFonts w:hint="eastAsia" w:ascii="宋体" w:hAnsi="宋体" w:cs="宋体"/>
          <w:color w:val="000000" w:themeColor="text1"/>
          <w:sz w:val="24"/>
          <w:szCs w:val="32"/>
          <w:highlight w:val="none"/>
          <w14:textFill>
            <w14:solidFill>
              <w14:schemeClr w14:val="tx1"/>
            </w14:solidFill>
          </w14:textFill>
        </w:rPr>
        <w:t>）；</w:t>
      </w:r>
    </w:p>
    <w:p w14:paraId="66F27357">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6、类似项目业绩一览表（附件</w:t>
      </w:r>
      <w:r>
        <w:rPr>
          <w:rFonts w:hint="eastAsia" w:ascii="宋体" w:hAnsi="宋体" w:cs="宋体"/>
          <w:color w:val="000000" w:themeColor="text1"/>
          <w:sz w:val="24"/>
          <w:szCs w:val="32"/>
          <w:highlight w:val="none"/>
          <w:lang w:val="en-US" w:eastAsia="zh-CN"/>
          <w14:textFill>
            <w14:solidFill>
              <w14:schemeClr w14:val="tx1"/>
            </w14:solidFill>
          </w14:textFill>
        </w:rPr>
        <w:t>13</w:t>
      </w:r>
      <w:r>
        <w:rPr>
          <w:rFonts w:hint="eastAsia" w:ascii="宋体" w:hAnsi="宋体" w:cs="宋体"/>
          <w:color w:val="000000" w:themeColor="text1"/>
          <w:sz w:val="24"/>
          <w:szCs w:val="32"/>
          <w:highlight w:val="none"/>
          <w14:textFill>
            <w14:solidFill>
              <w14:schemeClr w14:val="tx1"/>
            </w14:solidFill>
          </w14:textFill>
        </w:rPr>
        <w:t>）；</w:t>
      </w:r>
    </w:p>
    <w:p w14:paraId="5C6FFB1E">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7、售后服务措施及承诺（可视情选用附件</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14:textFill>
            <w14:solidFill>
              <w14:schemeClr w14:val="tx1"/>
            </w14:solidFill>
          </w14:textFill>
        </w:rPr>
        <w:t>）；</w:t>
      </w:r>
    </w:p>
    <w:p w14:paraId="2A3D0567">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第三部分 报价部分</w:t>
      </w:r>
    </w:p>
    <w:p w14:paraId="2A9E5C08">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1、首次报价一览表（附件</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14:textFill>
            <w14:solidFill>
              <w14:schemeClr w14:val="tx1"/>
            </w14:solidFill>
          </w14:textFill>
        </w:rPr>
        <w:t>）；</w:t>
      </w:r>
    </w:p>
    <w:p w14:paraId="45563280">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2、报价明细表（附件</w:t>
      </w:r>
      <w:r>
        <w:rPr>
          <w:rFonts w:hint="eastAsia" w:ascii="宋体" w:hAnsi="宋体" w:cs="宋体"/>
          <w:color w:val="000000" w:themeColor="text1"/>
          <w:sz w:val="24"/>
          <w:szCs w:val="32"/>
          <w:highlight w:val="none"/>
          <w:lang w:val="en-US" w:eastAsia="zh-CN"/>
          <w14:textFill>
            <w14:solidFill>
              <w14:schemeClr w14:val="tx1"/>
            </w14:solidFill>
          </w14:textFill>
        </w:rPr>
        <w:t>15</w:t>
      </w:r>
      <w:r>
        <w:rPr>
          <w:rFonts w:hint="eastAsia" w:ascii="宋体" w:hAnsi="宋体" w:cs="宋体"/>
          <w:color w:val="000000" w:themeColor="text1"/>
          <w:sz w:val="24"/>
          <w:szCs w:val="32"/>
          <w:highlight w:val="none"/>
          <w14:textFill>
            <w14:solidFill>
              <w14:schemeClr w14:val="tx1"/>
            </w14:solidFill>
          </w14:textFill>
        </w:rPr>
        <w:t>）；</w:t>
      </w:r>
    </w:p>
    <w:p w14:paraId="6116CDB3">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第四部分 其他部分</w:t>
      </w:r>
    </w:p>
    <w:p w14:paraId="4EFBE52A">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针对磋商，响应供应商认为其他需要说明的（包括可能影响供应商商务与技术评分项的各类证明材料）。</w:t>
      </w:r>
    </w:p>
    <w:p w14:paraId="6E6E0D33">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5C377E36">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5FF8D32D">
      <w:pPr>
        <w:shd w:val="clear"/>
        <w:spacing w:line="360" w:lineRule="auto"/>
        <w:rPr>
          <w:rFonts w:hint="default"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1</w:t>
      </w:r>
      <w:r>
        <w:rPr>
          <w:rFonts w:hint="eastAsia" w:ascii="宋体" w:hAnsi="宋体" w:cs="宋体"/>
          <w:b/>
          <w:color w:val="000000" w:themeColor="text1"/>
          <w:sz w:val="28"/>
          <w:highlight w:val="none"/>
          <w14:textFill>
            <w14:solidFill>
              <w14:schemeClr w14:val="tx1"/>
            </w14:solidFill>
          </w14:textFill>
        </w:rPr>
        <w:t xml:space="preserve">                  磋商</w:t>
      </w:r>
      <w:r>
        <w:rPr>
          <w:rFonts w:hint="eastAsia" w:ascii="宋体" w:hAnsi="宋体" w:cs="宋体"/>
          <w:b/>
          <w:color w:val="000000" w:themeColor="text1"/>
          <w:sz w:val="28"/>
          <w:highlight w:val="none"/>
          <w:lang w:val="zh-CN"/>
          <w14:textFill>
            <w14:solidFill>
              <w14:schemeClr w14:val="tx1"/>
            </w14:solidFill>
          </w14:textFill>
        </w:rPr>
        <w:t>声明书</w:t>
      </w:r>
      <w:r>
        <w:rPr>
          <w:rFonts w:hint="eastAsia" w:ascii="宋体" w:hAnsi="宋体" w:cs="宋体"/>
          <w:b/>
          <w:color w:val="000000" w:themeColor="text1"/>
          <w:sz w:val="28"/>
          <w:highlight w:val="none"/>
          <w:lang w:val="en-US" w:eastAsia="zh-CN"/>
          <w14:textFill>
            <w14:solidFill>
              <w14:schemeClr w14:val="tx1"/>
            </w14:solidFill>
          </w14:textFill>
        </w:rPr>
        <w:t xml:space="preserve">       </w:t>
      </w:r>
    </w:p>
    <w:p w14:paraId="1E7F7A8E">
      <w:pPr>
        <w:widowControl w:val="0"/>
        <w:shd w:val="clear"/>
        <w:wordWrap/>
        <w:adjustRightInd/>
        <w:snapToGrid/>
        <w:spacing w:line="460" w:lineRule="exact"/>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14:paraId="59FDCF20">
      <w:pPr>
        <w:widowControl w:val="0"/>
        <w:shd w:val="clear"/>
        <w:wordWrap/>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（供应商名称）</w:t>
      </w:r>
      <w:r>
        <w:rPr>
          <w:rFonts w:hint="eastAsia" w:ascii="宋体" w:hAnsi="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w:t>
      </w:r>
    </w:p>
    <w:p w14:paraId="23F8306F">
      <w:pPr>
        <w:widowControl w:val="0"/>
        <w:shd w:val="clear"/>
        <w:wordWrap/>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u w:val="single"/>
          <w14:textFill>
            <w14:solidFill>
              <w14:schemeClr w14:val="tx1"/>
            </w14:solidFill>
          </w14:textFill>
        </w:rPr>
        <w:t xml:space="preserve"> 姓名 </w:t>
      </w:r>
      <w:r>
        <w:rPr>
          <w:rFonts w:hint="eastAsia" w:ascii="宋体" w:hAnsi="宋体" w:cs="宋体"/>
          <w:color w:val="000000" w:themeColor="text1"/>
          <w:sz w:val="24"/>
          <w:szCs w:val="32"/>
          <w:highlight w:val="none"/>
          <w14:textFill>
            <w14:solidFill>
              <w14:schemeClr w14:val="tx1"/>
            </w14:solidFill>
          </w14:textFill>
        </w:rPr>
        <w:t>）系（</w:t>
      </w:r>
      <w:r>
        <w:rPr>
          <w:rFonts w:hint="eastAsia" w:ascii="宋体" w:hAnsi="宋体" w:cs="宋体"/>
          <w:color w:val="000000" w:themeColor="text1"/>
          <w:sz w:val="24"/>
          <w:szCs w:val="32"/>
          <w:highlight w:val="none"/>
          <w:u w:val="single"/>
          <w14:textFill>
            <w14:solidFill>
              <w14:schemeClr w14:val="tx1"/>
            </w14:solidFill>
          </w14:textFill>
        </w:rPr>
        <w:t xml:space="preserve"> 供应商名称 </w:t>
      </w:r>
      <w:r>
        <w:rPr>
          <w:rFonts w:hint="eastAsia" w:ascii="宋体" w:hAnsi="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32"/>
          <w:highlight w:val="none"/>
          <w:u w:val="single"/>
          <w:lang w:eastAsia="zh-CN"/>
          <w14:textFill>
            <w14:solidFill>
              <w14:schemeClr w14:val="tx1"/>
            </w14:solidFill>
          </w14:textFill>
        </w:rPr>
        <w:t>食堂劳务外包服务项目（二次）</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ZJWS2024-LQ130-1</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）的磋商，为此，我公司就本次磋商有关事项郑重声明如下：</w:t>
      </w:r>
    </w:p>
    <w:p w14:paraId="56AD3F06">
      <w:pPr>
        <w:widowControl w:val="0"/>
        <w:shd w:val="clear"/>
        <w:wordWrap/>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1、我公司声明截止磋商时间近三年以来：在参加政府采购活动过程中无重大违法记录（重大违法记录是指供应商因违法经营受到刑事处罚或者责令停产停业、吊销许可证或者执照、较大数额罚款等行政处罚）。</w:t>
      </w:r>
    </w:p>
    <w:p w14:paraId="0A916451">
      <w:pPr>
        <w:widowControl w:val="0"/>
        <w:shd w:val="clear"/>
        <w:wordWrap/>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494B0529">
      <w:pPr>
        <w:widowControl w:val="0"/>
        <w:shd w:val="clear"/>
        <w:wordWrap/>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74D98BC1">
      <w:pPr>
        <w:widowControl w:val="0"/>
        <w:shd w:val="clear"/>
        <w:wordWrap/>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保证，采购人在中华人民共和国境内使用我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934E04D">
      <w:pPr>
        <w:widowControl w:val="0"/>
        <w:shd w:val="clear"/>
        <w:wordWrap/>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严格履行政府采购合同，不降低合同约定的产品质量和服务，不擅自变更、中止、终止合同，或拒绝履行合同义务；</w:t>
      </w:r>
    </w:p>
    <w:p w14:paraId="5E67CB54">
      <w:pPr>
        <w:widowControl w:val="0"/>
        <w:shd w:val="clear"/>
        <w:wordWrap/>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6、以上事项如有虚假或隐瞒，我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愿意承担一切后果，并不再寻求任何旨在减轻或免除法律责任的辩解。</w:t>
      </w:r>
    </w:p>
    <w:p w14:paraId="1A43E0EC">
      <w:pPr>
        <w:widowControl w:val="0"/>
        <w:shd w:val="clear"/>
        <w:wordWrap/>
        <w:adjustRightInd/>
        <w:snapToGrid/>
        <w:spacing w:line="460" w:lineRule="exact"/>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14:paraId="2C53C8D5">
      <w:pPr>
        <w:shd w:val="clear"/>
        <w:spacing w:line="360" w:lineRule="auto"/>
        <w:ind w:firstLine="3600" w:firstLineChars="15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供应商名称（公章）：</w:t>
      </w:r>
    </w:p>
    <w:p w14:paraId="3749A141">
      <w:pPr>
        <w:shd w:val="clear"/>
        <w:spacing w:line="360" w:lineRule="auto"/>
        <w:ind w:firstLine="3600" w:firstLineChars="15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法定代表人或授权委托</w:t>
      </w:r>
      <w:r>
        <w:rPr>
          <w:rFonts w:hint="eastAsia" w:ascii="宋体" w:hAnsi="宋体" w:cs="宋体"/>
          <w:color w:val="000000" w:themeColor="text1"/>
          <w:sz w:val="24"/>
          <w:szCs w:val="32"/>
          <w:highlight w:val="none"/>
          <w:lang w:val="en-US" w:eastAsia="zh-CN"/>
          <w14:textFill>
            <w14:solidFill>
              <w14:schemeClr w14:val="tx1"/>
            </w14:solidFill>
          </w14:textFill>
        </w:rPr>
        <w:t>代理</w:t>
      </w:r>
      <w:r>
        <w:rPr>
          <w:rFonts w:hint="eastAsia" w:ascii="宋体" w:hAnsi="宋体" w:cs="宋体"/>
          <w:color w:val="000000" w:themeColor="text1"/>
          <w:sz w:val="24"/>
          <w:szCs w:val="32"/>
          <w:highlight w:val="none"/>
          <w:lang w:val="zh-CN"/>
          <w14:textFill>
            <w14:solidFill>
              <w14:schemeClr w14:val="tx1"/>
            </w14:solidFill>
          </w14:textFill>
        </w:rPr>
        <w:t>人（签字</w:t>
      </w:r>
      <w:r>
        <w:rPr>
          <w:rFonts w:hint="eastAsia" w:ascii="宋体" w:hAnsi="宋体" w:cs="宋体"/>
          <w:color w:val="000000" w:themeColor="text1"/>
          <w:sz w:val="24"/>
          <w:szCs w:val="32"/>
          <w:highlight w:val="none"/>
          <w:lang w:val="en-US" w:eastAsia="zh-CN"/>
          <w14:textFill>
            <w14:solidFill>
              <w14:schemeClr w14:val="tx1"/>
            </w14:solidFill>
          </w14:textFill>
        </w:rPr>
        <w:t>或盖章</w:t>
      </w:r>
      <w:r>
        <w:rPr>
          <w:rFonts w:hint="eastAsia" w:ascii="宋体" w:hAnsi="宋体" w:cs="宋体"/>
          <w:color w:val="000000" w:themeColor="text1"/>
          <w:sz w:val="24"/>
          <w:szCs w:val="32"/>
          <w:highlight w:val="none"/>
          <w:lang w:val="zh-CN"/>
          <w14:textFill>
            <w14:solidFill>
              <w14:schemeClr w14:val="tx1"/>
            </w14:solidFill>
          </w14:textFill>
        </w:rPr>
        <w:t>）：</w:t>
      </w:r>
    </w:p>
    <w:p w14:paraId="544AE376">
      <w:pPr>
        <w:shd w:val="clear"/>
        <w:spacing w:line="360" w:lineRule="auto"/>
        <w:ind w:firstLine="3600" w:firstLineChars="15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2D667ACF">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60D10960">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4837180A">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2</w:t>
      </w:r>
      <w:r>
        <w:rPr>
          <w:rFonts w:hint="eastAsia" w:ascii="宋体" w:hAnsi="宋体" w:cs="宋体"/>
          <w:b/>
          <w:color w:val="000000" w:themeColor="text1"/>
          <w:sz w:val="28"/>
          <w:highlight w:val="none"/>
          <w14:textFill>
            <w14:solidFill>
              <w14:schemeClr w14:val="tx1"/>
            </w14:solidFill>
          </w14:textFill>
        </w:rPr>
        <w:t xml:space="preserve">                   授权委托书</w:t>
      </w:r>
    </w:p>
    <w:p w14:paraId="5A5FC807">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lang w:eastAsia="zh-CN"/>
          <w14:textFill>
            <w14:solidFill>
              <w14:schemeClr w14:val="tx1"/>
            </w14:solidFill>
          </w14:textFill>
        </w:rPr>
        <w:t>台州市路桥区人民法院</w:t>
      </w:r>
      <w:r>
        <w:rPr>
          <w:rFonts w:hint="eastAsia" w:ascii="宋体" w:hAnsi="宋体" w:cs="宋体"/>
          <w:color w:val="000000" w:themeColor="text1"/>
          <w:sz w:val="24"/>
          <w:szCs w:val="32"/>
          <w:highlight w:val="none"/>
          <w:u w:val="single"/>
          <w14:textFill>
            <w14:solidFill>
              <w14:schemeClr w14:val="tx1"/>
            </w14:solidFill>
          </w14:textFill>
        </w:rPr>
        <w:t>、</w:t>
      </w:r>
      <w:r>
        <w:rPr>
          <w:rFonts w:hint="eastAsia" w:ascii="宋体" w:hAnsi="宋体" w:cs="宋体"/>
          <w:color w:val="000000" w:themeColor="text1"/>
          <w:sz w:val="24"/>
          <w:szCs w:val="32"/>
          <w:highlight w:val="none"/>
          <w:u w:val="singl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w:t>
      </w:r>
    </w:p>
    <w:p w14:paraId="46D68A8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（供应商全称）</w:t>
      </w:r>
      <w:r>
        <w:rPr>
          <w:rFonts w:hint="eastAsia" w:ascii="宋体" w:hAnsi="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szCs w:val="32"/>
          <w:highlight w:val="none"/>
          <w14:textFill>
            <w14:solidFill>
              <w14:schemeClr w14:val="tx1"/>
            </w14:solidFill>
          </w14:textFill>
        </w:rPr>
        <w:t>授权</w:t>
      </w:r>
      <w:r>
        <w:rPr>
          <w:rFonts w:hint="eastAsia" w:ascii="宋体" w:hAnsi="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食堂劳务外包服务项目（二次）</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的采购活动，并代表我方全权办理针对上述项目的磋商、签约等具体事务和签署相关文件。我方对授权委托代理人的签字事项负全部责任。</w:t>
      </w:r>
    </w:p>
    <w:p w14:paraId="391D3D0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08E758B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14:paraId="2895C98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4D8D2A9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法定代表人（单位负责人）签字或盖章：</w:t>
      </w:r>
    </w:p>
    <w:p w14:paraId="302D338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2B2716C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供应商全称（公章）：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061ADC2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54695F7D">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A90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838CC9C">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67546211">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法定代表人（单位负责人）姓名：</w:t>
      </w:r>
    </w:p>
    <w:p w14:paraId="696027ED">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7EA2EC70">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4BD05EB4">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6A6F7ED9">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50A53CAC">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26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53869EE">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授权委托代理人身份证复印件粘帖处</w:t>
            </w:r>
          </w:p>
        </w:tc>
      </w:tr>
    </w:tbl>
    <w:p w14:paraId="3FE61F84">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14:paraId="3D3E4850">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14:paraId="3A4C96F5">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13FFF3D1">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1774AD89">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264EB5EA">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1DBA676C">
      <w:pPr>
        <w:pStyle w:val="20"/>
        <w:shd w:val="clear"/>
        <w:spacing w:line="360" w:lineRule="auto"/>
        <w:ind w:left="0" w:firstLine="0" w:firstLineChars="0"/>
        <w:outlineLvl w:val="2"/>
        <w:rPr>
          <w:rFonts w:hint="eastAsia" w:ascii="宋体" w:hAnsi="宋体" w:cs="宋体"/>
          <w:b/>
          <w:color w:val="000000" w:themeColor="text1"/>
          <w:sz w:val="28"/>
          <w:highlight w:val="none"/>
          <w14:textFill>
            <w14:solidFill>
              <w14:schemeClr w14:val="tx1"/>
            </w14:solidFill>
          </w14:textFill>
        </w:rPr>
      </w:pPr>
    </w:p>
    <w:p w14:paraId="19288C6A">
      <w:pPr>
        <w:pStyle w:val="20"/>
        <w:shd w:val="clear"/>
        <w:spacing w:line="360" w:lineRule="auto"/>
        <w:ind w:left="0" w:firstLine="0" w:firstLineChars="0"/>
        <w:outlineLvl w:val="2"/>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3</w:t>
      </w:r>
      <w:r>
        <w:rPr>
          <w:rFonts w:hint="eastAsia" w:ascii="宋体" w:hAnsi="宋体" w:cs="宋体"/>
          <w:b/>
          <w:color w:val="000000" w:themeColor="text1"/>
          <w:sz w:val="28"/>
          <w:highlight w:val="none"/>
          <w14:textFill>
            <w14:solidFill>
              <w14:schemeClr w14:val="tx1"/>
            </w14:solidFill>
          </w14:textFill>
        </w:rPr>
        <w:t xml:space="preserve">               </w:t>
      </w:r>
    </w:p>
    <w:p w14:paraId="3089954A">
      <w:pPr>
        <w:pStyle w:val="20"/>
        <w:shd w:val="clear"/>
        <w:spacing w:line="360" w:lineRule="auto"/>
        <w:ind w:left="0" w:firstLine="0" w:firstLineChars="0"/>
        <w:jc w:val="center"/>
        <w:outlineLvl w:val="2"/>
        <w:rPr>
          <w:rFonts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有效的法人或者其他组织的营业执照等证明文件（复印件），自然人的身份证明</w:t>
      </w:r>
    </w:p>
    <w:p w14:paraId="7AD3D2E0">
      <w:pPr>
        <w:pStyle w:val="20"/>
        <w:shd w:val="clear"/>
        <w:spacing w:line="360" w:lineRule="auto"/>
        <w:ind w:left="0" w:firstLine="0" w:firstLineChars="0"/>
        <w:jc w:val="center"/>
        <w:rPr>
          <w:rFonts w:ascii="宋体" w:hAnsi="宋体" w:eastAsia="宋体" w:cs="宋体"/>
          <w:b/>
          <w:color w:val="000000" w:themeColor="text1"/>
          <w:spacing w:val="-6"/>
          <w:sz w:val="24"/>
          <w:highlight w:val="none"/>
          <w14:textFill>
            <w14:solidFill>
              <w14:schemeClr w14:val="tx1"/>
            </w14:solidFill>
          </w14:textFill>
        </w:rPr>
      </w:pPr>
    </w:p>
    <w:p w14:paraId="19E7C779">
      <w:pPr>
        <w:pStyle w:val="20"/>
        <w:shd w:val="clear"/>
        <w:spacing w:line="360" w:lineRule="auto"/>
        <w:ind w:left="0" w:firstLine="0" w:firstLineChars="0"/>
        <w:jc w:val="center"/>
        <w:rPr>
          <w:rFonts w:ascii="宋体" w:hAnsi="宋体" w:eastAsia="宋体" w:cs="宋体"/>
          <w:b/>
          <w:color w:val="000000" w:themeColor="text1"/>
          <w:spacing w:val="-6"/>
          <w:sz w:val="24"/>
          <w:highlight w:val="none"/>
          <w14:textFill>
            <w14:solidFill>
              <w14:schemeClr w14:val="tx1"/>
            </w14:solidFill>
          </w14:textFill>
        </w:rPr>
      </w:pPr>
    </w:p>
    <w:p w14:paraId="74353C03">
      <w:pPr>
        <w:pStyle w:val="20"/>
        <w:shd w:val="clear"/>
        <w:spacing w:line="360" w:lineRule="auto"/>
        <w:ind w:left="0" w:firstLine="0" w:firstLineChars="0"/>
        <w:jc w:val="center"/>
        <w:rPr>
          <w:rFonts w:ascii="宋体" w:hAnsi="宋体" w:eastAsia="宋体" w:cs="宋体"/>
          <w:b/>
          <w:color w:val="000000" w:themeColor="text1"/>
          <w:spacing w:val="-6"/>
          <w:sz w:val="24"/>
          <w:highlight w:val="none"/>
          <w14:textFill>
            <w14:solidFill>
              <w14:schemeClr w14:val="tx1"/>
            </w14:solidFill>
          </w14:textFill>
        </w:rPr>
      </w:pPr>
    </w:p>
    <w:p w14:paraId="056D3667">
      <w:pPr>
        <w:shd w:val="clear"/>
        <w:spacing w:line="360" w:lineRule="auto"/>
        <w:rPr>
          <w:rFonts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说明：</w:t>
      </w:r>
    </w:p>
    <w:p w14:paraId="331BBB73">
      <w:pPr>
        <w:shd w:val="clear"/>
        <w:spacing w:line="360" w:lineRule="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14:paraId="33B32D5F">
      <w:pPr>
        <w:shd w:val="clear"/>
        <w:spacing w:line="360" w:lineRule="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2.如供应商是事业单位，提供有效的“事业单位法人证书”；</w:t>
      </w:r>
    </w:p>
    <w:p w14:paraId="19E49BD6">
      <w:pPr>
        <w:shd w:val="clear"/>
        <w:spacing w:line="360" w:lineRule="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3.如供应商是非企业专业服务机构的，提供执业许可证等证明文件；</w:t>
      </w:r>
    </w:p>
    <w:p w14:paraId="4FEF57BF">
      <w:pPr>
        <w:shd w:val="clear"/>
        <w:spacing w:line="360" w:lineRule="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4.如供应商是个体工商户，提供有效的“个体工商户营业执照”；</w:t>
      </w:r>
    </w:p>
    <w:p w14:paraId="2C464CBC">
      <w:pPr>
        <w:shd w:val="clear"/>
        <w:spacing w:line="360" w:lineRule="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5.如供应商是自然人，提供有效的自然人身份证明。</w:t>
      </w:r>
    </w:p>
    <w:p w14:paraId="694FFFC9">
      <w:pPr>
        <w:shd w:val="clear"/>
        <w:rPr>
          <w:rFonts w:hint="eastAsia" w:ascii="宋体" w:hAnsi="宋体" w:cs="宋体"/>
          <w:b/>
          <w:bCs/>
          <w:color w:val="000000" w:themeColor="text1"/>
          <w:sz w:val="28"/>
          <w:szCs w:val="36"/>
          <w:highlight w:val="none"/>
          <w14:textFill>
            <w14:solidFill>
              <w14:schemeClr w14:val="tx1"/>
            </w14:solidFill>
          </w14:textFill>
        </w:rPr>
      </w:pPr>
    </w:p>
    <w:p w14:paraId="07B18A1C">
      <w:pPr>
        <w:shd w:val="clear"/>
        <w:rPr>
          <w:rFonts w:hint="eastAsia" w:ascii="宋体" w:hAnsi="宋体" w:cs="宋体"/>
          <w:b/>
          <w:bCs/>
          <w:color w:val="000000" w:themeColor="text1"/>
          <w:sz w:val="28"/>
          <w:szCs w:val="36"/>
          <w:highlight w:val="none"/>
          <w14:textFill>
            <w14:solidFill>
              <w14:schemeClr w14:val="tx1"/>
            </w14:solidFill>
          </w14:textFill>
        </w:rPr>
      </w:pPr>
    </w:p>
    <w:p w14:paraId="3D56D6AD">
      <w:pPr>
        <w:shd w:val="clear"/>
        <w:rPr>
          <w:rFonts w:hint="eastAsia" w:ascii="宋体" w:hAnsi="宋体" w:cs="宋体"/>
          <w:b/>
          <w:bCs/>
          <w:color w:val="000000" w:themeColor="text1"/>
          <w:sz w:val="28"/>
          <w:szCs w:val="36"/>
          <w:highlight w:val="none"/>
          <w14:textFill>
            <w14:solidFill>
              <w14:schemeClr w14:val="tx1"/>
            </w14:solidFill>
          </w14:textFill>
        </w:rPr>
      </w:pPr>
    </w:p>
    <w:p w14:paraId="05417979">
      <w:pPr>
        <w:shd w:val="clear"/>
        <w:rPr>
          <w:rFonts w:hint="eastAsia" w:ascii="宋体" w:hAnsi="宋体" w:cs="宋体"/>
          <w:b/>
          <w:bCs/>
          <w:color w:val="000000" w:themeColor="text1"/>
          <w:sz w:val="28"/>
          <w:szCs w:val="36"/>
          <w:highlight w:val="none"/>
          <w14:textFill>
            <w14:solidFill>
              <w14:schemeClr w14:val="tx1"/>
            </w14:solidFill>
          </w14:textFill>
        </w:rPr>
      </w:pPr>
    </w:p>
    <w:p w14:paraId="00483C51">
      <w:pPr>
        <w:shd w:val="clear"/>
        <w:rPr>
          <w:rFonts w:hint="eastAsia" w:ascii="宋体" w:hAnsi="宋体" w:cs="宋体"/>
          <w:b/>
          <w:bCs/>
          <w:color w:val="000000" w:themeColor="text1"/>
          <w:sz w:val="28"/>
          <w:szCs w:val="36"/>
          <w:highlight w:val="none"/>
          <w14:textFill>
            <w14:solidFill>
              <w14:schemeClr w14:val="tx1"/>
            </w14:solidFill>
          </w14:textFill>
        </w:rPr>
      </w:pPr>
    </w:p>
    <w:p w14:paraId="1ABB7C82">
      <w:pPr>
        <w:shd w:val="clear"/>
        <w:rPr>
          <w:rFonts w:hint="eastAsia" w:ascii="宋体" w:hAnsi="宋体" w:cs="宋体"/>
          <w:b/>
          <w:bCs/>
          <w:color w:val="000000" w:themeColor="text1"/>
          <w:sz w:val="28"/>
          <w:szCs w:val="36"/>
          <w:highlight w:val="none"/>
          <w14:textFill>
            <w14:solidFill>
              <w14:schemeClr w14:val="tx1"/>
            </w14:solidFill>
          </w14:textFill>
        </w:rPr>
      </w:pPr>
    </w:p>
    <w:p w14:paraId="0C611406">
      <w:pPr>
        <w:shd w:val="clear"/>
        <w:rPr>
          <w:rFonts w:hint="eastAsia" w:ascii="宋体" w:hAnsi="宋体" w:cs="宋体"/>
          <w:b/>
          <w:bCs/>
          <w:color w:val="000000" w:themeColor="text1"/>
          <w:sz w:val="28"/>
          <w:szCs w:val="36"/>
          <w:highlight w:val="none"/>
          <w14:textFill>
            <w14:solidFill>
              <w14:schemeClr w14:val="tx1"/>
            </w14:solidFill>
          </w14:textFill>
        </w:rPr>
      </w:pPr>
    </w:p>
    <w:p w14:paraId="4E3D37B4">
      <w:pPr>
        <w:shd w:val="clear"/>
        <w:rPr>
          <w:rFonts w:hint="eastAsia" w:ascii="宋体" w:hAnsi="宋体" w:cs="宋体"/>
          <w:b/>
          <w:bCs/>
          <w:color w:val="000000" w:themeColor="text1"/>
          <w:sz w:val="28"/>
          <w:szCs w:val="36"/>
          <w:highlight w:val="none"/>
          <w14:textFill>
            <w14:solidFill>
              <w14:schemeClr w14:val="tx1"/>
            </w14:solidFill>
          </w14:textFill>
        </w:rPr>
      </w:pPr>
    </w:p>
    <w:p w14:paraId="177E4040">
      <w:pPr>
        <w:shd w:val="clear"/>
        <w:rPr>
          <w:rFonts w:hint="eastAsia" w:ascii="宋体" w:hAnsi="宋体" w:cs="宋体"/>
          <w:b/>
          <w:bCs/>
          <w:color w:val="000000" w:themeColor="text1"/>
          <w:sz w:val="28"/>
          <w:szCs w:val="36"/>
          <w:highlight w:val="none"/>
          <w14:textFill>
            <w14:solidFill>
              <w14:schemeClr w14:val="tx1"/>
            </w14:solidFill>
          </w14:textFill>
        </w:rPr>
      </w:pPr>
    </w:p>
    <w:p w14:paraId="703A05E0">
      <w:pPr>
        <w:shd w:val="clear"/>
        <w:rPr>
          <w:rFonts w:hint="eastAsia" w:ascii="宋体" w:hAnsi="宋体" w:cs="宋体"/>
          <w:b/>
          <w:bCs/>
          <w:color w:val="000000" w:themeColor="text1"/>
          <w:sz w:val="28"/>
          <w:szCs w:val="36"/>
          <w:highlight w:val="none"/>
          <w14:textFill>
            <w14:solidFill>
              <w14:schemeClr w14:val="tx1"/>
            </w14:solidFill>
          </w14:textFill>
        </w:rPr>
      </w:pPr>
    </w:p>
    <w:p w14:paraId="0F3098D1">
      <w:pPr>
        <w:shd w:val="clear"/>
        <w:rPr>
          <w:rFonts w:hint="eastAsia" w:ascii="宋体" w:hAnsi="宋体" w:cs="宋体"/>
          <w:b/>
          <w:bCs/>
          <w:color w:val="000000" w:themeColor="text1"/>
          <w:sz w:val="28"/>
          <w:szCs w:val="36"/>
          <w:highlight w:val="none"/>
          <w14:textFill>
            <w14:solidFill>
              <w14:schemeClr w14:val="tx1"/>
            </w14:solidFill>
          </w14:textFill>
        </w:rPr>
      </w:pPr>
    </w:p>
    <w:p w14:paraId="0D735216">
      <w:pPr>
        <w:shd w:val="clear"/>
        <w:rPr>
          <w:rFonts w:hint="eastAsia"/>
          <w:b/>
          <w:bCs/>
          <w:color w:val="000000" w:themeColor="text1"/>
          <w:sz w:val="28"/>
          <w:szCs w:val="28"/>
          <w:highlight w:val="none"/>
          <w14:textFill>
            <w14:solidFill>
              <w14:schemeClr w14:val="tx1"/>
            </w14:solidFill>
          </w14:textFill>
        </w:rPr>
      </w:pPr>
    </w:p>
    <w:p w14:paraId="5E4DF8A9">
      <w:pPr>
        <w:shd w:val="clear"/>
        <w:rPr>
          <w:rFonts w:hint="eastAsia"/>
          <w:b/>
          <w:bCs/>
          <w:color w:val="000000" w:themeColor="text1"/>
          <w:sz w:val="28"/>
          <w:szCs w:val="28"/>
          <w:highlight w:val="none"/>
          <w14:textFill>
            <w14:solidFill>
              <w14:schemeClr w14:val="tx1"/>
            </w14:solidFill>
          </w14:textFill>
        </w:rPr>
      </w:pPr>
    </w:p>
    <w:p w14:paraId="2B9D8562">
      <w:pPr>
        <w:shd w:val="clear"/>
        <w:rPr>
          <w:rFonts w:hint="eastAsia" w:eastAsia="宋体"/>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4</w:t>
      </w:r>
    </w:p>
    <w:p w14:paraId="28211F4D">
      <w:pPr>
        <w:shd w:val="clear"/>
        <w:spacing w:after="312" w:afterLines="100" w:line="48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具备健全的财务会计制度的承诺函</w:t>
      </w:r>
    </w:p>
    <w:p w14:paraId="1251DBB6">
      <w:pPr>
        <w:widowControl/>
        <w:shd w:val="clear"/>
        <w:spacing w:line="600" w:lineRule="exact"/>
        <w:rPr>
          <w:rFonts w:ascii="宋体" w:hAnsi="宋体" w:eastAsia="宋体" w:cs="宋体"/>
          <w:color w:val="000000" w:themeColor="text1"/>
          <w:kern w:val="0"/>
          <w:sz w:val="24"/>
          <w:highlight w:val="none"/>
          <w14:textFill>
            <w14:solidFill>
              <w14:schemeClr w14:val="tx1"/>
            </w14:solidFill>
          </w14:textFill>
        </w:rPr>
      </w:pPr>
    </w:p>
    <w:p w14:paraId="3AC8DE21">
      <w:pPr>
        <w:widowControl/>
        <w:shd w:val="clear"/>
        <w:spacing w:line="6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p>
    <w:p w14:paraId="5EF31C25">
      <w:pPr>
        <w:pStyle w:val="10"/>
        <w:shd w:val="clear"/>
        <w:spacing w:line="600" w:lineRule="exact"/>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我公司参加</w:t>
      </w:r>
      <w:r>
        <w:rPr>
          <w:rFonts w:hint="eastAsia" w:ascii="宋体" w:hAnsi="宋体" w:cs="宋体"/>
          <w:color w:val="000000" w:themeColor="text1"/>
          <w:sz w:val="24"/>
          <w:szCs w:val="32"/>
          <w:highlight w:val="none"/>
          <w:u w:val="single"/>
          <w:lang w:eastAsia="zh-CN"/>
          <w14:textFill>
            <w14:solidFill>
              <w14:schemeClr w14:val="tx1"/>
            </w14:solidFill>
          </w14:textFill>
        </w:rPr>
        <w:t>食堂劳务外包服务项目（二次）</w:t>
      </w:r>
      <w:r>
        <w:rPr>
          <w:rFonts w:hint="eastAsia" w:ascii="宋体" w:hAnsi="宋体" w:eastAsia="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sz w:val="24"/>
          <w:szCs w:val="32"/>
          <w:highlight w:val="none"/>
          <w:u w:val="single"/>
          <w:lang w:eastAsia="zh-CN"/>
          <w14:textFill>
            <w14:solidFill>
              <w14:schemeClr w14:val="tx1"/>
            </w14:solidFill>
          </w14:textFill>
        </w:rPr>
        <w:t>ZJWS2024-LQ130-1</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的投标活动，作如下承诺：</w:t>
      </w:r>
    </w:p>
    <w:p w14:paraId="3C499611">
      <w:pPr>
        <w:pStyle w:val="10"/>
        <w:shd w:val="clear"/>
        <w:spacing w:line="600" w:lineRule="exact"/>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我公司在参加本项目政府采购活动前，</w:t>
      </w:r>
      <w:r>
        <w:rPr>
          <w:rFonts w:hint="eastAsia" w:ascii="宋体" w:hAnsi="宋体" w:eastAsia="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eastAsia="宋体" w:cs="宋体"/>
          <w:color w:val="000000" w:themeColor="text1"/>
          <w:highlight w:val="none"/>
          <w14:textFill>
            <w14:solidFill>
              <w14:schemeClr w14:val="tx1"/>
            </w14:solidFill>
          </w14:textFill>
        </w:rPr>
        <w:t>具有良好的商业信誉和健全的财务会计制度。</w:t>
      </w:r>
    </w:p>
    <w:p w14:paraId="4A4563F0">
      <w:pPr>
        <w:shd w:val="clear"/>
        <w:spacing w:line="600" w:lineRule="exact"/>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如违反以上承诺，本公司愿承担一切法律责任。</w:t>
      </w:r>
    </w:p>
    <w:p w14:paraId="18D7436A">
      <w:pPr>
        <w:shd w:val="clear"/>
        <w:spacing w:line="360" w:lineRule="auto"/>
        <w:rPr>
          <w:rFonts w:ascii="宋体" w:hAnsi="宋体" w:eastAsia="宋体" w:cs="宋体"/>
          <w:color w:val="000000" w:themeColor="text1"/>
          <w:sz w:val="24"/>
          <w:highlight w:val="none"/>
          <w:lang w:val="zh-CN"/>
          <w14:textFill>
            <w14:solidFill>
              <w14:schemeClr w14:val="tx1"/>
            </w14:solidFill>
          </w14:textFill>
        </w:rPr>
      </w:pPr>
    </w:p>
    <w:p w14:paraId="7E15A9E2">
      <w:pPr>
        <w:pStyle w:val="10"/>
        <w:shd w:val="clear"/>
        <w:rPr>
          <w:rFonts w:ascii="宋体" w:hAnsi="宋体" w:eastAsia="宋体" w:cs="宋体"/>
          <w:color w:val="000000" w:themeColor="text1"/>
          <w:highlight w:val="none"/>
          <w:lang w:val="zh-CN"/>
          <w14:textFill>
            <w14:solidFill>
              <w14:schemeClr w14:val="tx1"/>
            </w14:solidFill>
          </w14:textFill>
        </w:rPr>
      </w:pPr>
    </w:p>
    <w:p w14:paraId="25ACD92E">
      <w:pPr>
        <w:pStyle w:val="10"/>
        <w:shd w:val="clear"/>
        <w:rPr>
          <w:rFonts w:ascii="宋体" w:hAnsi="宋体" w:eastAsia="宋体" w:cs="宋体"/>
          <w:color w:val="000000" w:themeColor="text1"/>
          <w:highlight w:val="none"/>
          <w:lang w:val="zh-CN"/>
          <w14:textFill>
            <w14:solidFill>
              <w14:schemeClr w14:val="tx1"/>
            </w14:solidFill>
          </w14:textFill>
        </w:rPr>
      </w:pPr>
    </w:p>
    <w:p w14:paraId="7111E6DE">
      <w:pPr>
        <w:widowControl/>
        <w:shd w:val="clear"/>
        <w:wordWrap w:val="0"/>
        <w:spacing w:line="360" w:lineRule="auto"/>
        <w:ind w:firstLine="2160" w:firstLineChars="900"/>
        <w:jc w:val="both"/>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 xml:space="preserve">(公章)：             </w:t>
      </w:r>
    </w:p>
    <w:p w14:paraId="4525ED21">
      <w:pPr>
        <w:widowControl/>
        <w:shd w:val="clear"/>
        <w:spacing w:line="360" w:lineRule="auto"/>
        <w:jc w:val="left"/>
        <w:rPr>
          <w:rFonts w:ascii="宋体" w:hAnsi="宋体" w:eastAsia="宋体" w:cs="宋体"/>
          <w:color w:val="000000" w:themeColor="text1"/>
          <w:kern w:val="0"/>
          <w:sz w:val="24"/>
          <w:highlight w:val="none"/>
          <w14:textFill>
            <w14:solidFill>
              <w14:schemeClr w14:val="tx1"/>
            </w14:solidFill>
          </w14:textFill>
        </w:rPr>
      </w:pPr>
    </w:p>
    <w:p w14:paraId="69164BC8">
      <w:pPr>
        <w:widowControl/>
        <w:shd w:val="clear"/>
        <w:spacing w:line="360" w:lineRule="auto"/>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法定代表人(签字或盖章)或授权委托代理人(签字或盖章)：</w:t>
      </w:r>
    </w:p>
    <w:p w14:paraId="3A1A7128">
      <w:pPr>
        <w:shd w:val="clear"/>
        <w:spacing w:line="360" w:lineRule="auto"/>
        <w:ind w:firstLine="240" w:firstLineChars="100"/>
        <w:jc w:val="both"/>
        <w:rPr>
          <w:rFonts w:hint="eastAsia" w:ascii="宋体" w:hAnsi="宋体" w:eastAsia="宋体" w:cs="宋体"/>
          <w:color w:val="000000" w:themeColor="text1"/>
          <w:kern w:val="0"/>
          <w:sz w:val="24"/>
          <w:highlight w:val="none"/>
          <w14:textFill>
            <w14:solidFill>
              <w14:schemeClr w14:val="tx1"/>
            </w14:solidFill>
          </w14:textFill>
        </w:rPr>
      </w:pPr>
    </w:p>
    <w:p w14:paraId="2E401DD4">
      <w:pPr>
        <w:shd w:val="clear"/>
        <w:spacing w:line="360" w:lineRule="auto"/>
        <w:ind w:firstLine="2160" w:firstLineChars="900"/>
        <w:jc w:val="both"/>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0D7FAF6F">
      <w:pPr>
        <w:shd w:val="clear"/>
        <w:spacing w:line="360" w:lineRule="auto"/>
        <w:rPr>
          <w:rFonts w:ascii="宋体" w:hAnsi="宋体" w:eastAsia="宋体" w:cs="宋体"/>
          <w:b/>
          <w:bCs/>
          <w:color w:val="000000" w:themeColor="text1"/>
          <w:spacing w:val="-6"/>
          <w:sz w:val="24"/>
          <w:highlight w:val="none"/>
          <w14:textFill>
            <w14:solidFill>
              <w14:schemeClr w14:val="tx1"/>
            </w14:solidFill>
          </w14:textFill>
        </w:rPr>
      </w:pPr>
    </w:p>
    <w:p w14:paraId="54ECB2B0">
      <w:pPr>
        <w:shd w:val="clear"/>
        <w:rPr>
          <w:rFonts w:hint="eastAsia" w:ascii="宋体" w:hAnsi="宋体" w:cs="宋体"/>
          <w:b/>
          <w:bCs/>
          <w:color w:val="000000" w:themeColor="text1"/>
          <w:sz w:val="28"/>
          <w:szCs w:val="36"/>
          <w:highlight w:val="none"/>
          <w14:textFill>
            <w14:solidFill>
              <w14:schemeClr w14:val="tx1"/>
            </w14:solidFill>
          </w14:textFill>
        </w:rPr>
      </w:pPr>
    </w:p>
    <w:p w14:paraId="05DBEB26">
      <w:pPr>
        <w:shd w:val="clear"/>
        <w:rPr>
          <w:rFonts w:hint="eastAsia" w:ascii="宋体" w:hAnsi="宋体" w:cs="宋体"/>
          <w:b/>
          <w:bCs/>
          <w:color w:val="000000" w:themeColor="text1"/>
          <w:sz w:val="28"/>
          <w:szCs w:val="36"/>
          <w:highlight w:val="none"/>
          <w14:textFill>
            <w14:solidFill>
              <w14:schemeClr w14:val="tx1"/>
            </w14:solidFill>
          </w14:textFill>
        </w:rPr>
      </w:pPr>
    </w:p>
    <w:p w14:paraId="43035B23">
      <w:pPr>
        <w:shd w:val="clear"/>
        <w:rPr>
          <w:rFonts w:hint="eastAsia" w:ascii="宋体" w:hAnsi="宋体" w:cs="宋体"/>
          <w:b/>
          <w:bCs/>
          <w:color w:val="000000" w:themeColor="text1"/>
          <w:sz w:val="28"/>
          <w:szCs w:val="36"/>
          <w:highlight w:val="none"/>
          <w14:textFill>
            <w14:solidFill>
              <w14:schemeClr w14:val="tx1"/>
            </w14:solidFill>
          </w14:textFill>
        </w:rPr>
      </w:pPr>
    </w:p>
    <w:p w14:paraId="61CF9065">
      <w:pPr>
        <w:shd w:val="clear"/>
        <w:rPr>
          <w:rFonts w:hint="eastAsia" w:ascii="宋体" w:hAnsi="宋体" w:cs="宋体"/>
          <w:b/>
          <w:bCs/>
          <w:color w:val="000000" w:themeColor="text1"/>
          <w:sz w:val="28"/>
          <w:szCs w:val="36"/>
          <w:highlight w:val="none"/>
          <w14:textFill>
            <w14:solidFill>
              <w14:schemeClr w14:val="tx1"/>
            </w14:solidFill>
          </w14:textFill>
        </w:rPr>
      </w:pPr>
    </w:p>
    <w:p w14:paraId="0F11DFD0">
      <w:pPr>
        <w:shd w:val="clear"/>
        <w:rPr>
          <w:rFonts w:hint="eastAsia"/>
          <w:b/>
          <w:bCs/>
          <w:color w:val="000000" w:themeColor="text1"/>
          <w:sz w:val="28"/>
          <w:szCs w:val="28"/>
          <w:highlight w:val="none"/>
          <w14:textFill>
            <w14:solidFill>
              <w14:schemeClr w14:val="tx1"/>
            </w14:solidFill>
          </w14:textFill>
        </w:rPr>
      </w:pPr>
    </w:p>
    <w:p w14:paraId="38657A3A">
      <w:pPr>
        <w:pStyle w:val="27"/>
        <w:shd w:val="clear"/>
        <w:rPr>
          <w:rFonts w:hint="eastAsia"/>
          <w:color w:val="000000" w:themeColor="text1"/>
          <w:highlight w:val="none"/>
          <w14:textFill>
            <w14:solidFill>
              <w14:schemeClr w14:val="tx1"/>
            </w14:solidFill>
          </w14:textFill>
        </w:rPr>
      </w:pPr>
    </w:p>
    <w:p w14:paraId="45F82A85">
      <w:pPr>
        <w:shd w:val="clea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5</w:t>
      </w:r>
    </w:p>
    <w:p w14:paraId="3EB8B14E">
      <w:pPr>
        <w:shd w:val="clear"/>
        <w:spacing w:after="312" w:afterLines="100" w:line="48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无税收缴纳、社会保障等方面的失信记录的承诺函</w:t>
      </w:r>
    </w:p>
    <w:p w14:paraId="48DB94A8">
      <w:pPr>
        <w:widowControl/>
        <w:shd w:val="clear"/>
        <w:spacing w:line="600" w:lineRule="exact"/>
        <w:rPr>
          <w:rFonts w:ascii="宋体" w:hAnsi="宋体" w:eastAsia="宋体" w:cs="宋体"/>
          <w:color w:val="000000" w:themeColor="text1"/>
          <w:kern w:val="0"/>
          <w:sz w:val="24"/>
          <w:highlight w:val="none"/>
          <w14:textFill>
            <w14:solidFill>
              <w14:schemeClr w14:val="tx1"/>
            </w14:solidFill>
          </w14:textFill>
        </w:rPr>
      </w:pPr>
    </w:p>
    <w:p w14:paraId="7D5E1E01">
      <w:pPr>
        <w:widowControl/>
        <w:shd w:val="clear"/>
        <w:spacing w:line="6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p>
    <w:p w14:paraId="5B372082">
      <w:pPr>
        <w:pStyle w:val="10"/>
        <w:shd w:val="clear"/>
        <w:spacing w:line="600" w:lineRule="exact"/>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我公司参加</w:t>
      </w:r>
      <w:r>
        <w:rPr>
          <w:rFonts w:hint="eastAsia" w:ascii="宋体" w:hAnsi="宋体" w:cs="宋体"/>
          <w:color w:val="000000" w:themeColor="text1"/>
          <w:sz w:val="24"/>
          <w:szCs w:val="32"/>
          <w:highlight w:val="none"/>
          <w:u w:val="single"/>
          <w:lang w:eastAsia="zh-CN"/>
          <w14:textFill>
            <w14:solidFill>
              <w14:schemeClr w14:val="tx1"/>
            </w14:solidFill>
          </w14:textFill>
        </w:rPr>
        <w:t>食堂劳务外包服务项目（二次）</w:t>
      </w:r>
      <w:r>
        <w:rPr>
          <w:rFonts w:hint="eastAsia" w:ascii="宋体" w:hAnsi="宋体" w:eastAsia="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sz w:val="24"/>
          <w:szCs w:val="32"/>
          <w:highlight w:val="none"/>
          <w:u w:val="single"/>
          <w:lang w:eastAsia="zh-CN"/>
          <w14:textFill>
            <w14:solidFill>
              <w14:schemeClr w14:val="tx1"/>
            </w14:solidFill>
          </w14:textFill>
        </w:rPr>
        <w:t>ZJWS2024-LQ130-1</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的投标活动，作如下承诺：</w:t>
      </w:r>
    </w:p>
    <w:p w14:paraId="6F1F703B">
      <w:pPr>
        <w:pStyle w:val="10"/>
        <w:shd w:val="clear"/>
        <w:spacing w:line="600" w:lineRule="exact"/>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14:paraId="2E785818">
      <w:pPr>
        <w:shd w:val="clear"/>
        <w:spacing w:line="600" w:lineRule="exact"/>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如违反以上承诺，本公司愿承担一切法律责任。</w:t>
      </w:r>
    </w:p>
    <w:p w14:paraId="5808E9A9">
      <w:pPr>
        <w:shd w:val="clear"/>
        <w:spacing w:line="360" w:lineRule="auto"/>
        <w:rPr>
          <w:rFonts w:ascii="宋体" w:hAnsi="宋体" w:eastAsia="宋体" w:cs="宋体"/>
          <w:color w:val="000000" w:themeColor="text1"/>
          <w:sz w:val="24"/>
          <w:highlight w:val="none"/>
          <w:lang w:val="zh-CN"/>
          <w14:textFill>
            <w14:solidFill>
              <w14:schemeClr w14:val="tx1"/>
            </w14:solidFill>
          </w14:textFill>
        </w:rPr>
      </w:pPr>
    </w:p>
    <w:p w14:paraId="5386BEFE">
      <w:pPr>
        <w:pStyle w:val="10"/>
        <w:shd w:val="clear"/>
        <w:rPr>
          <w:rFonts w:ascii="宋体" w:hAnsi="宋体" w:eastAsia="宋体" w:cs="宋体"/>
          <w:color w:val="000000" w:themeColor="text1"/>
          <w:highlight w:val="none"/>
          <w:lang w:val="zh-CN"/>
          <w14:textFill>
            <w14:solidFill>
              <w14:schemeClr w14:val="tx1"/>
            </w14:solidFill>
          </w14:textFill>
        </w:rPr>
      </w:pPr>
    </w:p>
    <w:p w14:paraId="5C3BD5FD">
      <w:pPr>
        <w:pStyle w:val="10"/>
        <w:shd w:val="clear"/>
        <w:rPr>
          <w:rFonts w:ascii="宋体" w:hAnsi="宋体" w:eastAsia="宋体" w:cs="宋体"/>
          <w:color w:val="000000" w:themeColor="text1"/>
          <w:highlight w:val="none"/>
          <w:lang w:val="zh-CN"/>
          <w14:textFill>
            <w14:solidFill>
              <w14:schemeClr w14:val="tx1"/>
            </w14:solidFill>
          </w14:textFill>
        </w:rPr>
      </w:pPr>
    </w:p>
    <w:p w14:paraId="2146C4C4">
      <w:pPr>
        <w:widowControl/>
        <w:shd w:val="clear"/>
        <w:wordWrap w:val="0"/>
        <w:spacing w:line="360" w:lineRule="auto"/>
        <w:ind w:firstLine="2160" w:firstLineChars="900"/>
        <w:jc w:val="both"/>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 xml:space="preserve">(公章)：             </w:t>
      </w:r>
    </w:p>
    <w:p w14:paraId="62A59FC0">
      <w:pPr>
        <w:widowControl/>
        <w:shd w:val="clear"/>
        <w:spacing w:line="360" w:lineRule="auto"/>
        <w:jc w:val="left"/>
        <w:rPr>
          <w:rFonts w:ascii="宋体" w:hAnsi="宋体" w:eastAsia="宋体" w:cs="宋体"/>
          <w:color w:val="000000" w:themeColor="text1"/>
          <w:kern w:val="0"/>
          <w:sz w:val="24"/>
          <w:highlight w:val="none"/>
          <w14:textFill>
            <w14:solidFill>
              <w14:schemeClr w14:val="tx1"/>
            </w14:solidFill>
          </w14:textFill>
        </w:rPr>
      </w:pPr>
    </w:p>
    <w:p w14:paraId="542702C9">
      <w:pPr>
        <w:widowControl/>
        <w:shd w:val="clear"/>
        <w:spacing w:line="360" w:lineRule="auto"/>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法定代表人(签字或盖章)或授权委托代理人(签字或盖章)：</w:t>
      </w:r>
    </w:p>
    <w:p w14:paraId="64E65B80">
      <w:pPr>
        <w:shd w:val="clear"/>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p>
    <w:p w14:paraId="1B704B2C">
      <w:pPr>
        <w:shd w:val="clear"/>
        <w:spacing w:line="360" w:lineRule="auto"/>
        <w:ind w:firstLine="2160" w:firstLineChars="900"/>
        <w:jc w:val="both"/>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77DB1C9C">
      <w:pPr>
        <w:pStyle w:val="46"/>
        <w:shd w:val="clear" w:color="auto"/>
        <w:spacing w:before="0" w:beforeAutospacing="0" w:after="0" w:afterAutospacing="0" w:line="360" w:lineRule="auto"/>
        <w:rPr>
          <w:rFonts w:ascii="宋体" w:hAnsi="宋体" w:eastAsia="宋体" w:cs="宋体"/>
          <w:b/>
          <w:color w:val="000000" w:themeColor="text1"/>
          <w:highlight w:val="none"/>
          <w14:textFill>
            <w14:solidFill>
              <w14:schemeClr w14:val="tx1"/>
            </w14:solidFill>
          </w14:textFill>
        </w:rPr>
      </w:pPr>
    </w:p>
    <w:p w14:paraId="5A99F6FE">
      <w:pPr>
        <w:shd w:val="clear"/>
        <w:spacing w:line="360" w:lineRule="auto"/>
        <w:rPr>
          <w:rFonts w:ascii="宋体" w:hAnsi="宋体" w:eastAsia="宋体" w:cs="宋体"/>
          <w:b/>
          <w:color w:val="000000" w:themeColor="text1"/>
          <w:sz w:val="24"/>
          <w:highlight w:val="none"/>
          <w14:textFill>
            <w14:solidFill>
              <w14:schemeClr w14:val="tx1"/>
            </w14:solidFill>
          </w14:textFill>
        </w:rPr>
      </w:pPr>
    </w:p>
    <w:p w14:paraId="6C56AEC9">
      <w:pPr>
        <w:pStyle w:val="5"/>
        <w:shd w:val="clear"/>
        <w:rPr>
          <w:rFonts w:ascii="宋体" w:hAnsi="宋体" w:eastAsia="宋体" w:cs="宋体"/>
          <w:b/>
          <w:color w:val="000000" w:themeColor="text1"/>
          <w:sz w:val="24"/>
          <w:highlight w:val="none"/>
          <w14:textFill>
            <w14:solidFill>
              <w14:schemeClr w14:val="tx1"/>
            </w14:solidFill>
          </w14:textFill>
        </w:rPr>
      </w:pPr>
    </w:p>
    <w:p w14:paraId="6B7FC91A">
      <w:pPr>
        <w:shd w:val="clear"/>
        <w:rPr>
          <w:rFonts w:ascii="宋体" w:hAnsi="宋体" w:eastAsia="宋体" w:cs="宋体"/>
          <w:b/>
          <w:color w:val="000000" w:themeColor="text1"/>
          <w:sz w:val="24"/>
          <w:highlight w:val="none"/>
          <w14:textFill>
            <w14:solidFill>
              <w14:schemeClr w14:val="tx1"/>
            </w14:solidFill>
          </w14:textFill>
        </w:rPr>
      </w:pPr>
    </w:p>
    <w:p w14:paraId="1B3A80B6">
      <w:pPr>
        <w:shd w:val="clear"/>
        <w:rPr>
          <w:rFonts w:hint="eastAsia"/>
          <w:b/>
          <w:bCs/>
          <w:color w:val="000000" w:themeColor="text1"/>
          <w:sz w:val="28"/>
          <w:szCs w:val="28"/>
          <w:highlight w:val="none"/>
          <w14:textFill>
            <w14:solidFill>
              <w14:schemeClr w14:val="tx1"/>
            </w14:solidFill>
          </w14:textFill>
        </w:rPr>
      </w:pPr>
    </w:p>
    <w:p w14:paraId="5BAD0A8D">
      <w:pPr>
        <w:shd w:val="clear"/>
        <w:rPr>
          <w:rFonts w:hint="eastAsia"/>
          <w:b/>
          <w:bCs/>
          <w:color w:val="000000" w:themeColor="text1"/>
          <w:sz w:val="28"/>
          <w:szCs w:val="28"/>
          <w:highlight w:val="none"/>
          <w14:textFill>
            <w14:solidFill>
              <w14:schemeClr w14:val="tx1"/>
            </w14:solidFill>
          </w14:textFill>
        </w:rPr>
      </w:pPr>
    </w:p>
    <w:p w14:paraId="0E796EF1">
      <w:pPr>
        <w:shd w:val="clear"/>
        <w:rPr>
          <w:rFonts w:hint="eastAsia"/>
          <w:b/>
          <w:bCs/>
          <w:color w:val="000000" w:themeColor="text1"/>
          <w:sz w:val="28"/>
          <w:szCs w:val="28"/>
          <w:highlight w:val="none"/>
          <w14:textFill>
            <w14:solidFill>
              <w14:schemeClr w14:val="tx1"/>
            </w14:solidFill>
          </w14:textFill>
        </w:rPr>
      </w:pPr>
    </w:p>
    <w:p w14:paraId="57CF19C8">
      <w:pPr>
        <w:shd w:val="clear"/>
        <w:rPr>
          <w:rFonts w:hint="eastAsia" w:eastAsia="宋体"/>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6</w:t>
      </w:r>
    </w:p>
    <w:p w14:paraId="1AFB6CE4">
      <w:pPr>
        <w:widowControl/>
        <w:shd w:val="clear"/>
        <w:spacing w:line="360" w:lineRule="auto"/>
        <w:jc w:val="center"/>
        <w:outlineLvl w:val="2"/>
        <w:rPr>
          <w:rFonts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参加政府采购活动前3年内在经营活动中没有重大违法记录的书面声明</w:t>
      </w:r>
    </w:p>
    <w:p w14:paraId="2CDFD1DA">
      <w:pPr>
        <w:pStyle w:val="20"/>
        <w:shd w:val="clear"/>
        <w:spacing w:line="360" w:lineRule="auto"/>
        <w:ind w:left="169" w:hanging="169" w:hangingChars="74"/>
        <w:jc w:val="center"/>
        <w:rPr>
          <w:rFonts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声明函</w:t>
      </w:r>
    </w:p>
    <w:p w14:paraId="13A9BD09">
      <w:pPr>
        <w:shd w:val="clear"/>
        <w:spacing w:line="360" w:lineRule="auto"/>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致：</w:t>
      </w:r>
      <w:r>
        <w:rPr>
          <w:rFonts w:hint="eastAsia" w:ascii="宋体" w:hAnsi="宋体" w:eastAsia="宋体" w:cs="宋体"/>
          <w:color w:val="000000" w:themeColor="text1"/>
          <w:spacing w:val="-6"/>
          <w:sz w:val="24"/>
          <w:highlight w:val="none"/>
          <w:u w:val="single"/>
          <w14:textFill>
            <w14:solidFill>
              <w14:schemeClr w14:val="tx1"/>
            </w14:solidFill>
          </w14:textFill>
        </w:rPr>
        <w:t>浙江五石中正工程咨询有限公司</w:t>
      </w:r>
    </w:p>
    <w:p w14:paraId="5138F838">
      <w:pPr>
        <w:shd w:val="clear"/>
        <w:spacing w:line="360" w:lineRule="auto"/>
        <w:ind w:firstLine="456" w:firstLineChars="200"/>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我公司郑重承诺在参加本项目政府采购活动前三年内，在经营活动中</w:t>
      </w:r>
      <w:r>
        <w:rPr>
          <w:rFonts w:hint="eastAsia" w:ascii="宋体" w:hAnsi="宋体" w:eastAsia="宋体" w:cs="宋体"/>
          <w:b/>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b/>
          <w:color w:val="000000" w:themeColor="text1"/>
          <w:spacing w:val="-6"/>
          <w:sz w:val="24"/>
          <w:highlight w:val="none"/>
          <w14:textFill>
            <w14:solidFill>
              <w14:schemeClr w14:val="tx1"/>
            </w14:solidFill>
          </w14:textFill>
        </w:rPr>
        <w:t>（填写“有”或“没有”，如实填写，如不填写视同未提供本声明函）</w:t>
      </w:r>
      <w:r>
        <w:rPr>
          <w:rFonts w:hint="eastAsia" w:ascii="宋体" w:hAnsi="宋体" w:eastAsia="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5DF92ECE">
      <w:pPr>
        <w:shd w:val="clear"/>
        <w:spacing w:line="360" w:lineRule="auto"/>
        <w:ind w:firstLine="456" w:firstLineChars="200"/>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以上事项如有虚假或隐瞒，我方愿意承担一切后果和责任。</w:t>
      </w:r>
    </w:p>
    <w:p w14:paraId="2DE47940">
      <w:pPr>
        <w:shd w:val="clear"/>
        <w:spacing w:line="360" w:lineRule="auto"/>
        <w:ind w:firstLine="456" w:firstLineChars="200"/>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特此声明。</w:t>
      </w:r>
    </w:p>
    <w:p w14:paraId="2AAC349D">
      <w:pPr>
        <w:shd w:val="clear"/>
        <w:spacing w:line="360" w:lineRule="auto"/>
        <w:rPr>
          <w:rFonts w:ascii="宋体" w:hAnsi="宋体" w:eastAsia="宋体" w:cs="宋体"/>
          <w:color w:val="000000" w:themeColor="text1"/>
          <w:spacing w:val="-6"/>
          <w:sz w:val="24"/>
          <w:highlight w:val="none"/>
          <w14:textFill>
            <w14:solidFill>
              <w14:schemeClr w14:val="tx1"/>
            </w14:solidFill>
          </w14:textFill>
        </w:rPr>
      </w:pPr>
    </w:p>
    <w:p w14:paraId="2BEECC7F">
      <w:pPr>
        <w:pStyle w:val="71"/>
        <w:shd w:val="clear"/>
        <w:spacing w:line="360" w:lineRule="auto"/>
        <w:rPr>
          <w:rFonts w:ascii="宋体" w:hAnsi="宋体" w:eastAsia="宋体" w:cs="宋体"/>
          <w:color w:val="000000" w:themeColor="text1"/>
          <w:spacing w:val="-6"/>
          <w:highlight w:val="none"/>
          <w14:textFill>
            <w14:solidFill>
              <w14:schemeClr w14:val="tx1"/>
            </w14:solidFill>
          </w14:textFill>
        </w:rPr>
      </w:pPr>
    </w:p>
    <w:p w14:paraId="2F6F470B">
      <w:pPr>
        <w:pStyle w:val="72"/>
        <w:shd w:val="clear"/>
        <w:spacing w:line="360" w:lineRule="auto"/>
        <w:ind w:left="0"/>
        <w:rPr>
          <w:rFonts w:ascii="宋体" w:hAnsi="宋体" w:eastAsia="宋体" w:cs="宋体"/>
          <w:color w:val="000000" w:themeColor="text1"/>
          <w:sz w:val="24"/>
          <w:szCs w:val="24"/>
          <w:highlight w:val="none"/>
          <w14:textFill>
            <w14:solidFill>
              <w14:schemeClr w14:val="tx1"/>
            </w14:solidFill>
          </w14:textFill>
        </w:rPr>
      </w:pPr>
    </w:p>
    <w:p w14:paraId="779432D0">
      <w:pPr>
        <w:shd w:val="clear"/>
        <w:spacing w:line="360" w:lineRule="auto"/>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供应商名称（盖章）：</w:t>
      </w:r>
    </w:p>
    <w:p w14:paraId="41EF4FC9">
      <w:pPr>
        <w:shd w:val="clear"/>
        <w:spacing w:line="360" w:lineRule="auto"/>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法定代表人(签字或盖章)或授权委托代理人(签字</w:t>
      </w:r>
      <w:r>
        <w:rPr>
          <w:rFonts w:hint="eastAsia" w:ascii="宋体" w:hAnsi="宋体" w:cs="宋体"/>
          <w:color w:val="000000" w:themeColor="text1"/>
          <w:kern w:val="0"/>
          <w:sz w:val="24"/>
          <w:highlight w:val="none"/>
          <w:lang w:val="en-US" w:eastAsia="zh-CN"/>
          <w14:textFill>
            <w14:solidFill>
              <w14:schemeClr w14:val="tx1"/>
            </w14:solidFill>
          </w14:textFill>
        </w:rPr>
        <w:t>或盖章</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w:t>
      </w:r>
    </w:p>
    <w:p w14:paraId="327EA11B">
      <w:pPr>
        <w:widowControl/>
        <w:shd w:val="clear"/>
        <w:tabs>
          <w:tab w:val="left" w:pos="3225"/>
        </w:tabs>
        <w:spacing w:line="360" w:lineRule="auto"/>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日期：     年   月   日</w:t>
      </w:r>
    </w:p>
    <w:p w14:paraId="0069410B">
      <w:pPr>
        <w:shd w:val="clear"/>
        <w:snapToGrid w:val="0"/>
        <w:spacing w:line="360" w:lineRule="auto"/>
        <w:ind w:firstLine="2160" w:firstLineChars="900"/>
        <w:rPr>
          <w:rFonts w:ascii="宋体" w:hAnsi="宋体" w:eastAsia="宋体" w:cs="宋体"/>
          <w:color w:val="000000" w:themeColor="text1"/>
          <w:sz w:val="24"/>
          <w:highlight w:val="none"/>
          <w:lang w:val="zh-CN"/>
          <w14:textFill>
            <w14:solidFill>
              <w14:schemeClr w14:val="tx1"/>
            </w14:solidFill>
          </w14:textFill>
        </w:rPr>
      </w:pPr>
    </w:p>
    <w:p w14:paraId="57E90C3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FC5BD11">
      <w:pPr>
        <w:shd w:val="clear"/>
        <w:rPr>
          <w:rFonts w:hint="eastAsia" w:ascii="宋体" w:hAnsi="宋体" w:cs="宋体"/>
          <w:b/>
          <w:bCs/>
          <w:color w:val="000000" w:themeColor="text1"/>
          <w:sz w:val="28"/>
          <w:szCs w:val="36"/>
          <w:highlight w:val="none"/>
          <w14:textFill>
            <w14:solidFill>
              <w14:schemeClr w14:val="tx1"/>
            </w14:solidFill>
          </w14:textFill>
        </w:rPr>
      </w:pPr>
    </w:p>
    <w:p w14:paraId="2559138A">
      <w:pPr>
        <w:shd w:val="clear"/>
        <w:rPr>
          <w:rFonts w:hint="eastAsia" w:ascii="宋体" w:hAnsi="宋体" w:cs="宋体"/>
          <w:b/>
          <w:bCs/>
          <w:color w:val="000000" w:themeColor="text1"/>
          <w:sz w:val="28"/>
          <w:szCs w:val="36"/>
          <w:highlight w:val="none"/>
          <w14:textFill>
            <w14:solidFill>
              <w14:schemeClr w14:val="tx1"/>
            </w14:solidFill>
          </w14:textFill>
        </w:rPr>
      </w:pPr>
    </w:p>
    <w:p w14:paraId="4A35B3D4">
      <w:pPr>
        <w:shd w:val="clear"/>
        <w:rPr>
          <w:rFonts w:hint="eastAsia" w:ascii="宋体" w:hAnsi="宋体" w:cs="宋体"/>
          <w:b/>
          <w:bCs/>
          <w:color w:val="000000" w:themeColor="text1"/>
          <w:sz w:val="28"/>
          <w:szCs w:val="36"/>
          <w:highlight w:val="none"/>
          <w14:textFill>
            <w14:solidFill>
              <w14:schemeClr w14:val="tx1"/>
            </w14:solidFill>
          </w14:textFill>
        </w:rPr>
      </w:pPr>
    </w:p>
    <w:p w14:paraId="1BE68B3B">
      <w:pPr>
        <w:shd w:val="clear"/>
        <w:rPr>
          <w:rFonts w:hint="eastAsia" w:ascii="宋体" w:hAnsi="宋体" w:cs="宋体"/>
          <w:b/>
          <w:bCs/>
          <w:color w:val="000000" w:themeColor="text1"/>
          <w:sz w:val="28"/>
          <w:szCs w:val="36"/>
          <w:highlight w:val="none"/>
          <w14:textFill>
            <w14:solidFill>
              <w14:schemeClr w14:val="tx1"/>
            </w14:solidFill>
          </w14:textFill>
        </w:rPr>
      </w:pPr>
    </w:p>
    <w:p w14:paraId="62672872">
      <w:pPr>
        <w:shd w:val="clear"/>
        <w:rPr>
          <w:rFonts w:hint="eastAsia" w:ascii="宋体" w:hAnsi="宋体" w:cs="宋体"/>
          <w:b/>
          <w:bCs/>
          <w:color w:val="000000" w:themeColor="text1"/>
          <w:sz w:val="28"/>
          <w:szCs w:val="36"/>
          <w:highlight w:val="none"/>
          <w14:textFill>
            <w14:solidFill>
              <w14:schemeClr w14:val="tx1"/>
            </w14:solidFill>
          </w14:textFill>
        </w:rPr>
      </w:pPr>
    </w:p>
    <w:p w14:paraId="6632939B">
      <w:pPr>
        <w:shd w:val="clear"/>
        <w:rPr>
          <w:rFonts w:hint="eastAsia" w:ascii="宋体" w:hAnsi="宋体" w:cs="宋体"/>
          <w:b/>
          <w:bCs/>
          <w:color w:val="000000" w:themeColor="text1"/>
          <w:sz w:val="28"/>
          <w:szCs w:val="36"/>
          <w:highlight w:val="none"/>
          <w14:textFill>
            <w14:solidFill>
              <w14:schemeClr w14:val="tx1"/>
            </w14:solidFill>
          </w14:textFill>
        </w:rPr>
      </w:pPr>
    </w:p>
    <w:p w14:paraId="29D7C02D">
      <w:pPr>
        <w:shd w:val="clear"/>
        <w:rPr>
          <w:rFonts w:hint="eastAsia" w:ascii="宋体" w:hAnsi="宋体" w:cs="宋体"/>
          <w:b/>
          <w:bCs/>
          <w:color w:val="000000" w:themeColor="text1"/>
          <w:sz w:val="28"/>
          <w:szCs w:val="36"/>
          <w:highlight w:val="none"/>
          <w14:textFill>
            <w14:solidFill>
              <w14:schemeClr w14:val="tx1"/>
            </w14:solidFill>
          </w14:textFill>
        </w:rPr>
      </w:pPr>
    </w:p>
    <w:p w14:paraId="390770F3">
      <w:pPr>
        <w:shd w:val="clear"/>
        <w:rPr>
          <w:rFonts w:hint="eastAsia" w:ascii="宋体" w:hAnsi="宋体" w:cs="宋体"/>
          <w:b/>
          <w:bCs/>
          <w:color w:val="000000" w:themeColor="text1"/>
          <w:sz w:val="28"/>
          <w:szCs w:val="36"/>
          <w:highlight w:val="none"/>
          <w14:textFill>
            <w14:solidFill>
              <w14:schemeClr w14:val="tx1"/>
            </w14:solidFill>
          </w14:textFill>
        </w:rPr>
      </w:pPr>
    </w:p>
    <w:p w14:paraId="4E620194">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 xml:space="preserve">附件7      </w:t>
      </w:r>
    </w:p>
    <w:p w14:paraId="4F1AE129">
      <w:pPr>
        <w:shd w:val="clear"/>
        <w:tabs>
          <w:tab w:val="left" w:pos="3360"/>
        </w:tabs>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落实政府采购政策需满足的资格要求所对应的证明材料</w:t>
      </w:r>
    </w:p>
    <w:p w14:paraId="683015B4">
      <w:pPr>
        <w:shd w:val="clear"/>
        <w:tabs>
          <w:tab w:val="left" w:pos="3360"/>
        </w:tabs>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a.中小企业声明函；</w:t>
      </w:r>
    </w:p>
    <w:p w14:paraId="009119B5">
      <w:pPr>
        <w:shd w:val="clear"/>
        <w:tabs>
          <w:tab w:val="left" w:pos="3360"/>
        </w:tabs>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中小企业应当按照《政府采购促进中小企业发展管理办法》规定和《中小企业划型标准规定》（工信部联企业〔2011〕300 号），如实填写并提交《中小企业声明函》。 </w:t>
      </w:r>
    </w:p>
    <w:p w14:paraId="141005DA">
      <w:pPr>
        <w:shd w:val="clear"/>
        <w:tabs>
          <w:tab w:val="left" w:pos="3360"/>
        </w:tabs>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中小企业对其声明内容的真实性负责，声明函内容不实的，属于提供虚假材料谋取中标、成交，依照《中华人民共和国政府采购法》等国家有关规定追究相应责任。 </w:t>
      </w:r>
    </w:p>
    <w:p w14:paraId="16C4FD08">
      <w:pPr>
        <w:shd w:val="clear"/>
        <w:tabs>
          <w:tab w:val="left" w:pos="3360"/>
        </w:tabs>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b.供应商为监狱企业的证明文件：省级以上监狱管理局、戒毒管理局（含新疆生产建设兵团）出具（如是）</w:t>
      </w:r>
      <w:r>
        <w:rPr>
          <w:rFonts w:hint="eastAsia" w:ascii="宋体" w:hAnsi="宋体" w:eastAsia="宋体" w:cs="宋体"/>
          <w:color w:val="000000" w:themeColor="text1"/>
          <w:sz w:val="24"/>
          <w:szCs w:val="32"/>
          <w:highlight w:val="none"/>
          <w:lang w:val="zh-CN"/>
          <w14:textFill>
            <w14:solidFill>
              <w14:schemeClr w14:val="tx1"/>
            </w14:solidFill>
          </w14:textFill>
        </w:rPr>
        <w:t>。</w:t>
      </w:r>
    </w:p>
    <w:p w14:paraId="0AC42863">
      <w:pPr>
        <w:shd w:val="clear"/>
        <w:tabs>
          <w:tab w:val="left" w:pos="3360"/>
        </w:tabs>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c.供应商如符合《财政部、民政部、中国残疾人联合会关于促进残疾人就业政府采购政策的通知》 （财库〔2017〕141 号）政策规定的，须提供《残疾人福利性单位声明函》（如是）。</w:t>
      </w:r>
    </w:p>
    <w:p w14:paraId="038AD3BE">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46594F47">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651BEFEB">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63A14178">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4FB5668E">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4B59A551">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5681D6ED">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3681448C">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38D34672">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2D94E27B">
      <w:pPr>
        <w:shd w:val="clear"/>
        <w:spacing w:line="360" w:lineRule="auto"/>
        <w:jc w:val="left"/>
        <w:rPr>
          <w:rFonts w:hint="eastAsia" w:ascii="宋体" w:hAnsi="宋体" w:cs="宋体"/>
          <w:b/>
          <w:color w:val="000000" w:themeColor="text1"/>
          <w:sz w:val="28"/>
          <w:szCs w:val="28"/>
          <w:highlight w:val="none"/>
          <w:lang w:val="en-US" w:eastAsia="zh-CN"/>
          <w14:textFill>
            <w14:solidFill>
              <w14:schemeClr w14:val="tx1"/>
            </w14:solidFill>
          </w14:textFill>
        </w:rPr>
      </w:pPr>
    </w:p>
    <w:p w14:paraId="45D05B80">
      <w:pPr>
        <w:shd w:val="clear"/>
        <w:spacing w:line="360" w:lineRule="auto"/>
        <w:jc w:val="lef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 xml:space="preserve">          </w:t>
      </w:r>
    </w:p>
    <w:p w14:paraId="29CA94DD">
      <w:pPr>
        <w:shd w:val="clear" w:color="auto"/>
        <w:spacing w:line="360" w:lineRule="auto"/>
        <w:ind w:firstLine="1928" w:firstLineChars="600"/>
        <w:jc w:val="both"/>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中小企业声明函（工程、服务）</w:t>
      </w:r>
    </w:p>
    <w:p w14:paraId="2DC92EB3">
      <w:pPr>
        <w:shd w:val="clear" w:color="auto"/>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（单位名称）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（项目名称）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采购活动，工程的施工单位全部为符合政策要求的中小企业（或者：服务全部由符合政策要求的中小企业承接）。相关企业的具体情况如下：</w:t>
      </w:r>
    </w:p>
    <w:p w14:paraId="246DFBED">
      <w:pPr>
        <w:shd w:val="clear" w:color="auto"/>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（标的名称）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，属于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；承建（承接）企业为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w:t>
      </w:r>
      <w:r>
        <w:rPr>
          <w:rStyle w:val="33"/>
          <w:rFonts w:hint="eastAsia" w:ascii="宋体" w:hAnsi="宋体" w:eastAsia="宋体" w:cs="宋体"/>
          <w:b w:val="0"/>
          <w:bCs/>
          <w:color w:val="000000" w:themeColor="text1"/>
          <w:sz w:val="24"/>
          <w:szCs w:val="24"/>
          <w:highlight w:val="none"/>
          <w:lang w:val="en-US" w:eastAsia="zh-CN"/>
          <w14:textFill>
            <w14:solidFill>
              <w14:schemeClr w14:val="tx1"/>
            </w14:solidFill>
          </w14:textFill>
        </w:rPr>
        <w:footnoteReference w:id="0"/>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，属于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3450D5B2">
      <w:pPr>
        <w:shd w:val="clear" w:color="auto"/>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（标的名称）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，属于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；承建（承接）企业为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万元，属于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28913373">
      <w:pPr>
        <w:shd w:val="clear" w:color="auto"/>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55CFD52E">
      <w:pPr>
        <w:shd w:val="clear" w:color="auto"/>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以上企业，不属于大企业的分支机构，不存在控股股东为大企业的情形，也不存在与大企业的负责人为同一人的情形。</w:t>
      </w:r>
    </w:p>
    <w:p w14:paraId="046A2F70">
      <w:pPr>
        <w:shd w:val="clear" w:color="auto"/>
        <w:spacing w:line="360" w:lineRule="auto"/>
        <w:ind w:firstLine="480" w:firstLineChars="2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本企业对上述声明内容的真实性负责。如有虚假，将依法承担相应责任。 </w:t>
      </w:r>
    </w:p>
    <w:p w14:paraId="38E68DA1">
      <w:pPr>
        <w:shd w:val="clear" w:color="auto"/>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02BDDE4F">
      <w:pPr>
        <w:shd w:val="clear" w:color="auto"/>
        <w:spacing w:line="360" w:lineRule="auto"/>
        <w:ind w:firstLine="4800" w:firstLineChars="20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企业名称（盖章）：</w:t>
      </w:r>
    </w:p>
    <w:p w14:paraId="648CD841">
      <w:pPr>
        <w:shd w:val="clear" w:color="auto"/>
        <w:spacing w:line="360" w:lineRule="auto"/>
        <w:ind w:firstLine="4800" w:firstLineChars="200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日 期：</w:t>
      </w:r>
    </w:p>
    <w:p w14:paraId="6EF8B692">
      <w:pPr>
        <w:shd w:val="clear" w:color="auto"/>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1B3018A9">
      <w:pPr>
        <w:pStyle w:val="13"/>
        <w:shd w:val="clear" w:color="auto"/>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14:paraId="6E320A6F">
      <w:pPr>
        <w:pStyle w:val="13"/>
        <w:shd w:val="clear" w:color="auto"/>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14:paraId="070AC562">
      <w:pPr>
        <w:pStyle w:val="13"/>
        <w:shd w:val="clear" w:color="auto"/>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14:paraId="1FD4368C">
      <w:pPr>
        <w:pStyle w:val="13"/>
        <w:shd w:val="clear" w:color="auto"/>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14:paraId="1E00A31C">
      <w:pPr>
        <w:pStyle w:val="13"/>
        <w:shd w:val="clear" w:color="auto"/>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14:paraId="66B1BEA1">
      <w:pPr>
        <w:pStyle w:val="13"/>
        <w:shd w:val="clear" w:color="auto"/>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14:paraId="6893C70F">
      <w:pPr>
        <w:pStyle w:val="13"/>
        <w:shd w:val="clear" w:color="auto"/>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14:paraId="5C457DC9">
      <w:pPr>
        <w:shd w:val="clear" w:color="auto"/>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1709C46">
      <w:pPr>
        <w:shd w:val="clear" w:color="auto"/>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1956CAF0">
      <w:pPr>
        <w:shd w:val="clear" w:color="auto"/>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p>
    <w:p w14:paraId="1055208B">
      <w:pPr>
        <w:shd w:val="clear" w:color="auto"/>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单位名称（盖章）：</w:t>
      </w:r>
    </w:p>
    <w:p w14:paraId="170B77E8">
      <w:pPr>
        <w:shd w:val="clear" w:color="auto"/>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5C45759D">
      <w:pPr>
        <w:shd w:val="clear" w:color="auto"/>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p>
    <w:p w14:paraId="571250B4">
      <w:pPr>
        <w:shd w:val="clea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填表说明：</w:t>
      </w:r>
    </w:p>
    <w:p w14:paraId="5FD7ED00">
      <w:pPr>
        <w:shd w:val="clea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29EDEDEB">
      <w:pPr>
        <w:shd w:val="clea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2、为了更加准确判定制造商是否为小微企业，请供应商根据工业和信息化部官方网站---中小企业规模类型自测小程序来辨别制造商企业规模类型，中小企业规模类型自测小程序链接网址为</w:t>
      </w:r>
    </w:p>
    <w:p w14:paraId="2806CFFB">
      <w:pPr>
        <w:shd w:val="clea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http://202.106.120.146/baosong/appweb/orgScale.html</w:t>
      </w:r>
    </w:p>
    <w:p w14:paraId="532A692F">
      <w:pPr>
        <w:shd w:val="clea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3、供应商未提供《中小企业声明函》的、《中小企业声明函》中内容应填写而未进行填写或未如实填写的，将不给予供应商小微企业报价优惠扣除。</w:t>
      </w:r>
    </w:p>
    <w:p w14:paraId="273A6C45">
      <w:pPr>
        <w:shd w:val="clea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预成交供应商享受小微企业报价优惠扣除的，将按规定公开预成交供应商的《中小企业声明函》。</w:t>
      </w:r>
    </w:p>
    <w:p w14:paraId="6A814466">
      <w:pPr>
        <w:numPr>
          <w:ilvl w:val="0"/>
          <w:numId w:val="1"/>
        </w:numPr>
        <w:shd w:val="clea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如国家对中小企业划型标准有新的规定的，从其规定。 </w:t>
      </w:r>
    </w:p>
    <w:p w14:paraId="11C44A45">
      <w:pPr>
        <w:shd w:val="clear"/>
        <w:spacing w:line="360" w:lineRule="auto"/>
        <w:jc w:val="left"/>
        <w:rPr>
          <w:rFonts w:hint="eastAsia" w:ascii="宋体" w:hAnsi="宋体" w:cs="宋体"/>
          <w:b/>
          <w:bCs/>
          <w:color w:val="000000" w:themeColor="text1"/>
          <w:sz w:val="28"/>
          <w:szCs w:val="36"/>
          <w:highlight w:val="none"/>
          <w14:textFill>
            <w14:solidFill>
              <w14:schemeClr w14:val="tx1"/>
            </w14:solidFill>
          </w14:textFill>
        </w:rPr>
      </w:pPr>
    </w:p>
    <w:p w14:paraId="4DC2551D">
      <w:pPr>
        <w:shd w:val="clear"/>
        <w:spacing w:line="360" w:lineRule="auto"/>
        <w:jc w:val="left"/>
        <w:rPr>
          <w:rFonts w:hint="eastAsia" w:ascii="宋体" w:hAnsi="宋体" w:cs="宋体"/>
          <w:b/>
          <w:bCs/>
          <w:color w:val="000000" w:themeColor="text1"/>
          <w:sz w:val="28"/>
          <w:szCs w:val="36"/>
          <w:highlight w:val="none"/>
          <w14:textFill>
            <w14:solidFill>
              <w14:schemeClr w14:val="tx1"/>
            </w14:solidFill>
          </w14:textFill>
        </w:rPr>
      </w:pPr>
    </w:p>
    <w:p w14:paraId="4807A82E">
      <w:pPr>
        <w:shd w:val="clear"/>
        <w:spacing w:line="360" w:lineRule="auto"/>
        <w:jc w:val="left"/>
        <w:rPr>
          <w:rFonts w:hint="eastAsia" w:ascii="宋体" w:hAnsi="宋体" w:cs="宋体"/>
          <w:b/>
          <w:bCs/>
          <w:color w:val="000000" w:themeColor="text1"/>
          <w:sz w:val="28"/>
          <w:szCs w:val="36"/>
          <w:highlight w:val="none"/>
          <w14:textFill>
            <w14:solidFill>
              <w14:schemeClr w14:val="tx1"/>
            </w14:solidFill>
          </w14:textFill>
        </w:rPr>
      </w:pPr>
    </w:p>
    <w:p w14:paraId="0C2F3CEE">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 xml:space="preserve">8                                              </w:t>
      </w:r>
    </w:p>
    <w:p w14:paraId="71B2F74D">
      <w:pPr>
        <w:shd w:val="clear"/>
        <w:spacing w:line="360" w:lineRule="auto"/>
        <w:jc w:val="center"/>
        <w:rPr>
          <w:rFonts w:hint="default"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供应商基本情况表</w:t>
      </w:r>
      <w:r>
        <w:rPr>
          <w:rFonts w:hint="eastAsia" w:ascii="宋体" w:hAnsi="宋体" w:cs="宋体"/>
          <w:b/>
          <w:bCs/>
          <w:color w:val="000000" w:themeColor="text1"/>
          <w:sz w:val="32"/>
          <w:szCs w:val="40"/>
          <w:highlight w:val="none"/>
          <w:lang w:val="en-US" w:eastAsia="zh-CN"/>
          <w14:textFill>
            <w14:solidFill>
              <w14:schemeClr w14:val="tx1"/>
            </w14:solidFill>
          </w14:textFill>
        </w:rPr>
        <w:t xml:space="preserve">     </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6879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7FC8311F">
            <w:pPr>
              <w:pStyle w:val="46"/>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765" w:type="dxa"/>
            <w:gridSpan w:val="6"/>
            <w:vAlign w:val="center"/>
          </w:tcPr>
          <w:p w14:paraId="529E44A6">
            <w:pPr>
              <w:pStyle w:val="46"/>
              <w:shd w:val="clear" w:color="auto"/>
              <w:spacing w:line="360" w:lineRule="auto"/>
              <w:jc w:val="both"/>
              <w:rPr>
                <w:bCs/>
                <w:color w:val="000000" w:themeColor="text1"/>
                <w:highlight w:val="none"/>
                <w14:textFill>
                  <w14:solidFill>
                    <w14:schemeClr w14:val="tx1"/>
                  </w14:solidFill>
                </w14:textFill>
              </w:rPr>
            </w:pPr>
          </w:p>
        </w:tc>
        <w:tc>
          <w:tcPr>
            <w:tcW w:w="1560" w:type="dxa"/>
            <w:vAlign w:val="center"/>
          </w:tcPr>
          <w:p w14:paraId="4F5C1D81">
            <w:pPr>
              <w:pStyle w:val="46"/>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608" w:type="dxa"/>
            <w:gridSpan w:val="3"/>
            <w:vAlign w:val="center"/>
          </w:tcPr>
          <w:p w14:paraId="3D3F6A4D">
            <w:pPr>
              <w:pStyle w:val="46"/>
              <w:shd w:val="clear" w:color="auto"/>
              <w:spacing w:line="360" w:lineRule="auto"/>
              <w:jc w:val="both"/>
              <w:rPr>
                <w:bCs/>
                <w:color w:val="000000" w:themeColor="text1"/>
                <w:highlight w:val="none"/>
                <w14:textFill>
                  <w14:solidFill>
                    <w14:schemeClr w14:val="tx1"/>
                  </w14:solidFill>
                </w14:textFill>
              </w:rPr>
            </w:pPr>
          </w:p>
        </w:tc>
      </w:tr>
      <w:tr w14:paraId="732A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495C418C">
            <w:pPr>
              <w:pStyle w:val="46"/>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vAlign w:val="center"/>
          </w:tcPr>
          <w:p w14:paraId="1C19D435">
            <w:pPr>
              <w:pStyle w:val="46"/>
              <w:shd w:val="clear" w:color="auto"/>
              <w:spacing w:line="360" w:lineRule="auto"/>
              <w:jc w:val="both"/>
              <w:rPr>
                <w:bCs/>
                <w:color w:val="000000" w:themeColor="text1"/>
                <w:spacing w:val="16"/>
                <w:highlight w:val="none"/>
                <w14:textFill>
                  <w14:solidFill>
                    <w14:schemeClr w14:val="tx1"/>
                  </w14:solidFill>
                </w14:textFill>
              </w:rPr>
            </w:pPr>
          </w:p>
        </w:tc>
        <w:tc>
          <w:tcPr>
            <w:tcW w:w="1560" w:type="dxa"/>
            <w:vAlign w:val="center"/>
          </w:tcPr>
          <w:p w14:paraId="1043CFA1">
            <w:pPr>
              <w:pStyle w:val="46"/>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608" w:type="dxa"/>
            <w:gridSpan w:val="3"/>
            <w:vAlign w:val="center"/>
          </w:tcPr>
          <w:p w14:paraId="1DD6D7ED">
            <w:pPr>
              <w:pStyle w:val="46"/>
              <w:shd w:val="clear" w:color="auto"/>
              <w:spacing w:line="360" w:lineRule="auto"/>
              <w:jc w:val="both"/>
              <w:rPr>
                <w:bCs/>
                <w:color w:val="000000" w:themeColor="text1"/>
                <w:spacing w:val="16"/>
                <w:highlight w:val="none"/>
                <w14:textFill>
                  <w14:solidFill>
                    <w14:schemeClr w14:val="tx1"/>
                  </w14:solidFill>
                </w14:textFill>
              </w:rPr>
            </w:pPr>
          </w:p>
        </w:tc>
      </w:tr>
      <w:tr w14:paraId="28C0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B7E45FB">
            <w:pPr>
              <w:pStyle w:val="46"/>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690" w:type="dxa"/>
            <w:tcBorders>
              <w:bottom w:val="single" w:color="auto" w:sz="4" w:space="0"/>
            </w:tcBorders>
            <w:vAlign w:val="center"/>
          </w:tcPr>
          <w:p w14:paraId="606BF3C5">
            <w:pPr>
              <w:pStyle w:val="46"/>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14:paraId="466952DD">
            <w:pPr>
              <w:pStyle w:val="46"/>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vAlign w:val="center"/>
          </w:tcPr>
          <w:p w14:paraId="26E7418C">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37327A3C">
            <w:pPr>
              <w:pStyle w:val="46"/>
              <w:shd w:val="clear" w:color="auto"/>
              <w:spacing w:line="360" w:lineRule="auto"/>
              <w:jc w:val="both"/>
              <w:rPr>
                <w:bCs/>
                <w:color w:val="000000" w:themeColor="text1"/>
                <w:spacing w:val="16"/>
                <w:highlight w:val="none"/>
                <w14:textFill>
                  <w14:solidFill>
                    <w14:schemeClr w14:val="tx1"/>
                  </w14:solidFill>
                </w14:textFill>
              </w:rPr>
            </w:pPr>
          </w:p>
        </w:tc>
        <w:tc>
          <w:tcPr>
            <w:tcW w:w="1560" w:type="dxa"/>
            <w:vAlign w:val="center"/>
          </w:tcPr>
          <w:p w14:paraId="52E29945">
            <w:pPr>
              <w:pStyle w:val="46"/>
              <w:shd w:val="clear" w:color="auto"/>
              <w:spacing w:line="360" w:lineRule="auto"/>
              <w:ind w:left="107"/>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608" w:type="dxa"/>
            <w:gridSpan w:val="3"/>
            <w:vAlign w:val="center"/>
          </w:tcPr>
          <w:p w14:paraId="4A365349">
            <w:pPr>
              <w:pStyle w:val="46"/>
              <w:shd w:val="clear" w:color="auto"/>
              <w:spacing w:line="360" w:lineRule="auto"/>
              <w:ind w:left="107"/>
              <w:jc w:val="both"/>
              <w:rPr>
                <w:bCs/>
                <w:color w:val="000000" w:themeColor="text1"/>
                <w:spacing w:val="16"/>
                <w:highlight w:val="none"/>
                <w14:textFill>
                  <w14:solidFill>
                    <w14:schemeClr w14:val="tx1"/>
                  </w14:solidFill>
                </w14:textFill>
              </w:rPr>
            </w:pPr>
          </w:p>
        </w:tc>
      </w:tr>
      <w:tr w14:paraId="7D89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62A97F16">
            <w:pPr>
              <w:pStyle w:val="46"/>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690" w:type="dxa"/>
            <w:vMerge w:val="restart"/>
            <w:tcBorders>
              <w:top w:val="nil"/>
            </w:tcBorders>
            <w:vAlign w:val="center"/>
          </w:tcPr>
          <w:p w14:paraId="7EA19828">
            <w:pPr>
              <w:pStyle w:val="46"/>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vAlign w:val="center"/>
          </w:tcPr>
          <w:p w14:paraId="11EECCC9">
            <w:pPr>
              <w:pStyle w:val="46"/>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vAlign w:val="center"/>
          </w:tcPr>
          <w:p w14:paraId="0AE79B43">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1EAB6214">
            <w:pPr>
              <w:pStyle w:val="46"/>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restart"/>
            <w:vAlign w:val="center"/>
          </w:tcPr>
          <w:p w14:paraId="01339D43">
            <w:pPr>
              <w:pStyle w:val="46"/>
              <w:shd w:val="clear" w:color="auto"/>
              <w:spacing w:before="0" w:beforeAutospacing="0" w:after="0" w:afterAutospacing="0"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608" w:type="dxa"/>
            <w:gridSpan w:val="3"/>
            <w:vMerge w:val="restart"/>
            <w:vAlign w:val="center"/>
          </w:tcPr>
          <w:p w14:paraId="4522BCED">
            <w:pPr>
              <w:pStyle w:val="46"/>
              <w:shd w:val="clear" w:color="auto"/>
              <w:spacing w:line="360" w:lineRule="auto"/>
              <w:jc w:val="both"/>
              <w:rPr>
                <w:bCs/>
                <w:color w:val="000000" w:themeColor="text1"/>
                <w:spacing w:val="16"/>
                <w:highlight w:val="none"/>
                <w14:textFill>
                  <w14:solidFill>
                    <w14:schemeClr w14:val="tx1"/>
                  </w14:solidFill>
                </w14:textFill>
              </w:rPr>
            </w:pPr>
          </w:p>
        </w:tc>
      </w:tr>
      <w:tr w14:paraId="273B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35F3164C">
            <w:pPr>
              <w:pStyle w:val="46"/>
              <w:shd w:val="clear" w:color="auto"/>
              <w:spacing w:line="360" w:lineRule="auto"/>
              <w:ind w:left="107"/>
              <w:jc w:val="both"/>
              <w:rPr>
                <w:bCs/>
                <w:color w:val="000000" w:themeColor="text1"/>
                <w:highlight w:val="none"/>
                <w14:textFill>
                  <w14:solidFill>
                    <w14:schemeClr w14:val="tx1"/>
                  </w14:solidFill>
                </w14:textFill>
              </w:rPr>
            </w:pPr>
          </w:p>
        </w:tc>
        <w:tc>
          <w:tcPr>
            <w:tcW w:w="690" w:type="dxa"/>
            <w:vMerge w:val="continue"/>
            <w:tcBorders>
              <w:bottom w:val="single" w:color="auto" w:sz="4" w:space="0"/>
            </w:tcBorders>
            <w:vAlign w:val="center"/>
          </w:tcPr>
          <w:p w14:paraId="122EF83C">
            <w:pPr>
              <w:pStyle w:val="46"/>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14:paraId="11F79E6C">
            <w:pPr>
              <w:pStyle w:val="46"/>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vAlign w:val="center"/>
          </w:tcPr>
          <w:p w14:paraId="1A818F23">
            <w:pPr>
              <w:pStyle w:val="46"/>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continue"/>
            <w:vAlign w:val="center"/>
          </w:tcPr>
          <w:p w14:paraId="49B763E1">
            <w:pPr>
              <w:pStyle w:val="46"/>
              <w:shd w:val="clear" w:color="auto"/>
              <w:spacing w:line="360" w:lineRule="auto"/>
              <w:jc w:val="center"/>
              <w:rPr>
                <w:bCs/>
                <w:color w:val="000000" w:themeColor="text1"/>
                <w:spacing w:val="16"/>
                <w:highlight w:val="none"/>
                <w14:textFill>
                  <w14:solidFill>
                    <w14:schemeClr w14:val="tx1"/>
                  </w14:solidFill>
                </w14:textFill>
              </w:rPr>
            </w:pPr>
          </w:p>
        </w:tc>
        <w:tc>
          <w:tcPr>
            <w:tcW w:w="2608" w:type="dxa"/>
            <w:gridSpan w:val="3"/>
            <w:vMerge w:val="continue"/>
            <w:vAlign w:val="center"/>
          </w:tcPr>
          <w:p w14:paraId="41584C00">
            <w:pPr>
              <w:pStyle w:val="46"/>
              <w:shd w:val="clear" w:color="auto"/>
              <w:spacing w:line="360" w:lineRule="auto"/>
              <w:jc w:val="both"/>
              <w:rPr>
                <w:bCs/>
                <w:color w:val="000000" w:themeColor="text1"/>
                <w:spacing w:val="16"/>
                <w:highlight w:val="none"/>
                <w14:textFill>
                  <w14:solidFill>
                    <w14:schemeClr w14:val="tx1"/>
                  </w14:solidFill>
                </w14:textFill>
              </w:rPr>
            </w:pPr>
          </w:p>
        </w:tc>
      </w:tr>
      <w:tr w14:paraId="395A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201A46B0">
            <w:pPr>
              <w:pStyle w:val="46"/>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57B9F90F">
            <w:pPr>
              <w:pStyle w:val="46"/>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07B62435">
            <w:pPr>
              <w:pStyle w:val="46"/>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4CE49D92">
            <w:pPr>
              <w:pStyle w:val="46"/>
              <w:shd w:val="clear" w:color="auto"/>
              <w:spacing w:line="360" w:lineRule="auto"/>
              <w:ind w:left="107"/>
              <w:jc w:val="both"/>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030016C4">
            <w:pPr>
              <w:pStyle w:val="46"/>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690" w:type="dxa"/>
            <w:tcBorders>
              <w:top w:val="nil"/>
            </w:tcBorders>
            <w:vAlign w:val="center"/>
          </w:tcPr>
          <w:p w14:paraId="2B1A93A4">
            <w:pPr>
              <w:pStyle w:val="46"/>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60" w:type="dxa"/>
            <w:gridSpan w:val="2"/>
            <w:tcBorders>
              <w:top w:val="nil"/>
            </w:tcBorders>
            <w:vAlign w:val="center"/>
          </w:tcPr>
          <w:p w14:paraId="2BE97EBA">
            <w:pPr>
              <w:pStyle w:val="46"/>
              <w:shd w:val="clear" w:color="auto"/>
              <w:spacing w:line="360" w:lineRule="auto"/>
              <w:jc w:val="both"/>
              <w:rPr>
                <w:bCs/>
                <w:color w:val="000000" w:themeColor="text1"/>
                <w:spacing w:val="16"/>
                <w:highlight w:val="none"/>
                <w14:textFill>
                  <w14:solidFill>
                    <w14:schemeClr w14:val="tx1"/>
                  </w14:solidFill>
                </w14:textFill>
              </w:rPr>
            </w:pPr>
          </w:p>
        </w:tc>
        <w:tc>
          <w:tcPr>
            <w:tcW w:w="926" w:type="dxa"/>
            <w:tcBorders>
              <w:top w:val="nil"/>
            </w:tcBorders>
            <w:vAlign w:val="center"/>
          </w:tcPr>
          <w:p w14:paraId="319555FC">
            <w:pPr>
              <w:pStyle w:val="46"/>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189" w:type="dxa"/>
            <w:gridSpan w:val="2"/>
            <w:tcBorders>
              <w:top w:val="nil"/>
            </w:tcBorders>
            <w:vAlign w:val="center"/>
          </w:tcPr>
          <w:p w14:paraId="1CAF5542">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4B6F393B">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18FE74C3">
            <w:pPr>
              <w:pStyle w:val="46"/>
              <w:shd w:val="clear" w:color="auto"/>
              <w:spacing w:line="360" w:lineRule="auto"/>
              <w:jc w:val="both"/>
              <w:rPr>
                <w:bCs/>
                <w:color w:val="000000" w:themeColor="text1"/>
                <w:spacing w:val="16"/>
                <w:highlight w:val="none"/>
                <w14:textFill>
                  <w14:solidFill>
                    <w14:schemeClr w14:val="tx1"/>
                  </w14:solidFill>
                </w14:textFill>
              </w:rPr>
            </w:pPr>
          </w:p>
        </w:tc>
        <w:tc>
          <w:tcPr>
            <w:tcW w:w="1560" w:type="dxa"/>
            <w:vAlign w:val="center"/>
          </w:tcPr>
          <w:p w14:paraId="1375AC8E">
            <w:pPr>
              <w:pStyle w:val="46"/>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608" w:type="dxa"/>
            <w:gridSpan w:val="3"/>
            <w:vAlign w:val="center"/>
          </w:tcPr>
          <w:p w14:paraId="1828EC86">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5EFC1E35">
            <w:pPr>
              <w:pStyle w:val="46"/>
              <w:shd w:val="clear" w:color="auto"/>
              <w:spacing w:line="360" w:lineRule="auto"/>
              <w:jc w:val="both"/>
              <w:rPr>
                <w:bCs/>
                <w:color w:val="000000" w:themeColor="text1"/>
                <w:spacing w:val="16"/>
                <w:highlight w:val="none"/>
                <w14:textFill>
                  <w14:solidFill>
                    <w14:schemeClr w14:val="tx1"/>
                  </w14:solidFill>
                </w14:textFill>
              </w:rPr>
            </w:pPr>
          </w:p>
        </w:tc>
      </w:tr>
      <w:tr w14:paraId="138B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2FC25DAA">
            <w:pPr>
              <w:pStyle w:val="46"/>
              <w:shd w:val="clear" w:color="auto"/>
              <w:spacing w:line="360" w:lineRule="auto"/>
              <w:ind w:left="107"/>
              <w:jc w:val="both"/>
              <w:rPr>
                <w:bCs/>
                <w:color w:val="000000" w:themeColor="text1"/>
                <w:highlight w:val="none"/>
                <w14:textFill>
                  <w14:solidFill>
                    <w14:schemeClr w14:val="tx1"/>
                  </w14:solidFill>
                </w14:textFill>
              </w:rPr>
            </w:pPr>
          </w:p>
        </w:tc>
        <w:tc>
          <w:tcPr>
            <w:tcW w:w="690" w:type="dxa"/>
            <w:vAlign w:val="center"/>
          </w:tcPr>
          <w:p w14:paraId="01F3B78C">
            <w:pPr>
              <w:pStyle w:val="46"/>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60" w:type="dxa"/>
            <w:gridSpan w:val="2"/>
            <w:vAlign w:val="center"/>
          </w:tcPr>
          <w:p w14:paraId="25C5A6A2">
            <w:pPr>
              <w:pStyle w:val="46"/>
              <w:shd w:val="clear" w:color="auto"/>
              <w:spacing w:line="360" w:lineRule="auto"/>
              <w:jc w:val="both"/>
              <w:rPr>
                <w:bCs/>
                <w:color w:val="000000" w:themeColor="text1"/>
                <w:highlight w:val="none"/>
                <w14:textFill>
                  <w14:solidFill>
                    <w14:schemeClr w14:val="tx1"/>
                  </w14:solidFill>
                </w14:textFill>
              </w:rPr>
            </w:pPr>
          </w:p>
        </w:tc>
        <w:tc>
          <w:tcPr>
            <w:tcW w:w="926" w:type="dxa"/>
            <w:vAlign w:val="center"/>
          </w:tcPr>
          <w:p w14:paraId="5612A0C2">
            <w:pPr>
              <w:pStyle w:val="46"/>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189" w:type="dxa"/>
            <w:gridSpan w:val="2"/>
            <w:vAlign w:val="center"/>
          </w:tcPr>
          <w:p w14:paraId="104C54D0">
            <w:pPr>
              <w:pStyle w:val="46"/>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14:paraId="2C0A6157">
            <w:pPr>
              <w:pStyle w:val="46"/>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1560" w:type="dxa"/>
            <w:vAlign w:val="center"/>
          </w:tcPr>
          <w:p w14:paraId="12A00BB9">
            <w:pPr>
              <w:pStyle w:val="46"/>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608" w:type="dxa"/>
            <w:gridSpan w:val="3"/>
            <w:vAlign w:val="center"/>
          </w:tcPr>
          <w:p w14:paraId="3847C53B">
            <w:pPr>
              <w:pStyle w:val="46"/>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r>
      <w:tr w14:paraId="38EE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4352F8D3">
            <w:pPr>
              <w:pStyle w:val="46"/>
              <w:shd w:val="clear" w:color="auto"/>
              <w:spacing w:line="360" w:lineRule="auto"/>
              <w:ind w:left="107"/>
              <w:jc w:val="both"/>
              <w:rPr>
                <w:bCs/>
                <w:color w:val="000000" w:themeColor="text1"/>
                <w:highlight w:val="none"/>
                <w14:textFill>
                  <w14:solidFill>
                    <w14:schemeClr w14:val="tx1"/>
                  </w14:solidFill>
                </w14:textFill>
              </w:rPr>
            </w:pPr>
          </w:p>
        </w:tc>
        <w:tc>
          <w:tcPr>
            <w:tcW w:w="690" w:type="dxa"/>
            <w:vAlign w:val="center"/>
          </w:tcPr>
          <w:p w14:paraId="2BBDAFB9">
            <w:pPr>
              <w:pStyle w:val="46"/>
              <w:shd w:val="clear" w:color="auto"/>
              <w:spacing w:line="360" w:lineRule="auto"/>
              <w:ind w:left="2"/>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60" w:type="dxa"/>
            <w:gridSpan w:val="2"/>
            <w:vAlign w:val="center"/>
          </w:tcPr>
          <w:p w14:paraId="2A414D3C">
            <w:pPr>
              <w:pStyle w:val="46"/>
              <w:shd w:val="clear" w:color="auto"/>
              <w:spacing w:line="360" w:lineRule="auto"/>
              <w:ind w:left="2"/>
              <w:jc w:val="both"/>
              <w:rPr>
                <w:bCs/>
                <w:color w:val="000000" w:themeColor="text1"/>
                <w:highlight w:val="none"/>
                <w14:textFill>
                  <w14:solidFill>
                    <w14:schemeClr w14:val="tx1"/>
                  </w14:solidFill>
                </w14:textFill>
              </w:rPr>
            </w:pPr>
          </w:p>
        </w:tc>
        <w:tc>
          <w:tcPr>
            <w:tcW w:w="926" w:type="dxa"/>
            <w:vAlign w:val="center"/>
          </w:tcPr>
          <w:p w14:paraId="55CFB9AA">
            <w:pPr>
              <w:pStyle w:val="46"/>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749" w:type="dxa"/>
            <w:gridSpan w:val="3"/>
            <w:vAlign w:val="center"/>
          </w:tcPr>
          <w:p w14:paraId="08A8B930">
            <w:pPr>
              <w:widowControl/>
              <w:shd w:val="clear"/>
              <w:spacing w:line="360" w:lineRule="auto"/>
              <w:rPr>
                <w:rFonts w:ascii="宋体" w:hAnsi="宋体" w:cs="宋体"/>
                <w:bCs/>
                <w:color w:val="000000" w:themeColor="text1"/>
                <w:kern w:val="0"/>
                <w:sz w:val="24"/>
                <w:highlight w:val="none"/>
                <w14:textFill>
                  <w14:solidFill>
                    <w14:schemeClr w14:val="tx1"/>
                  </w14:solidFill>
                </w14:textFill>
              </w:rPr>
            </w:pPr>
          </w:p>
          <w:p w14:paraId="59E1E825">
            <w:pPr>
              <w:pStyle w:val="46"/>
              <w:shd w:val="clear" w:color="auto"/>
              <w:spacing w:line="360" w:lineRule="auto"/>
              <w:ind w:left="107"/>
              <w:jc w:val="both"/>
              <w:rPr>
                <w:bCs/>
                <w:color w:val="000000" w:themeColor="text1"/>
                <w:highlight w:val="none"/>
                <w14:textFill>
                  <w14:solidFill>
                    <w14:schemeClr w14:val="tx1"/>
                  </w14:solidFill>
                </w14:textFill>
              </w:rPr>
            </w:pPr>
          </w:p>
        </w:tc>
        <w:tc>
          <w:tcPr>
            <w:tcW w:w="1675" w:type="dxa"/>
            <w:gridSpan w:val="2"/>
            <w:vAlign w:val="center"/>
          </w:tcPr>
          <w:p w14:paraId="0B9EE6BB">
            <w:pPr>
              <w:pStyle w:val="46"/>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vAlign w:val="center"/>
          </w:tcPr>
          <w:p w14:paraId="6933F76F">
            <w:pPr>
              <w:pStyle w:val="46"/>
              <w:shd w:val="clear" w:color="auto"/>
              <w:spacing w:line="360" w:lineRule="auto"/>
              <w:ind w:left="107"/>
              <w:jc w:val="both"/>
              <w:rPr>
                <w:bCs/>
                <w:color w:val="000000" w:themeColor="text1"/>
                <w:highlight w:val="none"/>
                <w14:textFill>
                  <w14:solidFill>
                    <w14:schemeClr w14:val="tx1"/>
                  </w14:solidFill>
                </w14:textFill>
              </w:rPr>
            </w:pPr>
          </w:p>
        </w:tc>
      </w:tr>
      <w:tr w14:paraId="5CCF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4ACE2B46">
            <w:pPr>
              <w:pStyle w:val="46"/>
              <w:shd w:val="clear" w:color="auto"/>
              <w:spacing w:line="360" w:lineRule="auto"/>
              <w:ind w:left="107"/>
              <w:jc w:val="both"/>
              <w:rPr>
                <w:bCs/>
                <w:color w:val="000000" w:themeColor="text1"/>
                <w:highlight w:val="none"/>
                <w14:textFill>
                  <w14:solidFill>
                    <w14:schemeClr w14:val="tx1"/>
                  </w14:solidFill>
                </w14:textFill>
              </w:rPr>
            </w:pPr>
          </w:p>
        </w:tc>
        <w:tc>
          <w:tcPr>
            <w:tcW w:w="690" w:type="dxa"/>
            <w:vAlign w:val="center"/>
          </w:tcPr>
          <w:p w14:paraId="2A7DA480">
            <w:pPr>
              <w:pStyle w:val="46"/>
              <w:shd w:val="clear" w:color="auto"/>
              <w:spacing w:line="360" w:lineRule="auto"/>
              <w:ind w:left="2"/>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243" w:type="dxa"/>
            <w:gridSpan w:val="9"/>
            <w:vAlign w:val="center"/>
          </w:tcPr>
          <w:p w14:paraId="2FC15E27">
            <w:pPr>
              <w:pStyle w:val="46"/>
              <w:shd w:val="clear" w:color="auto"/>
              <w:spacing w:line="360" w:lineRule="auto"/>
              <w:ind w:left="107"/>
              <w:jc w:val="both"/>
              <w:rPr>
                <w:bCs/>
                <w:color w:val="000000" w:themeColor="text1"/>
                <w:highlight w:val="none"/>
                <w14:textFill>
                  <w14:solidFill>
                    <w14:schemeClr w14:val="tx1"/>
                  </w14:solidFill>
                </w14:textFill>
              </w:rPr>
            </w:pPr>
          </w:p>
        </w:tc>
      </w:tr>
      <w:tr w14:paraId="1E36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5994423A">
            <w:pPr>
              <w:pStyle w:val="46"/>
              <w:shd w:val="clear" w:color="auto"/>
              <w:spacing w:line="360" w:lineRule="auto"/>
              <w:ind w:left="107"/>
              <w:jc w:val="both"/>
              <w:rPr>
                <w:bCs/>
                <w:color w:val="000000" w:themeColor="text1"/>
                <w:highlight w:val="none"/>
                <w14:textFill>
                  <w14:solidFill>
                    <w14:schemeClr w14:val="tx1"/>
                  </w14:solidFill>
                </w14:textFill>
              </w:rPr>
            </w:pPr>
          </w:p>
        </w:tc>
        <w:tc>
          <w:tcPr>
            <w:tcW w:w="7933" w:type="dxa"/>
            <w:gridSpan w:val="10"/>
            <w:vAlign w:val="center"/>
          </w:tcPr>
          <w:p w14:paraId="186730A8">
            <w:pPr>
              <w:pStyle w:val="46"/>
              <w:shd w:val="clear" w:color="auto"/>
              <w:spacing w:line="360" w:lineRule="auto"/>
              <w:jc w:val="both"/>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5231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135FD22E">
            <w:pPr>
              <w:pStyle w:val="46"/>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5A5069F1">
            <w:pPr>
              <w:pStyle w:val="46"/>
              <w:shd w:val="clear" w:color="auto"/>
              <w:spacing w:line="360" w:lineRule="auto"/>
              <w:ind w:left="107"/>
              <w:jc w:val="both"/>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355" w:type="dxa"/>
            <w:gridSpan w:val="2"/>
            <w:vMerge w:val="restart"/>
            <w:vAlign w:val="center"/>
          </w:tcPr>
          <w:p w14:paraId="35742607">
            <w:pPr>
              <w:pStyle w:val="46"/>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vAlign w:val="center"/>
          </w:tcPr>
          <w:p w14:paraId="7063655A">
            <w:pPr>
              <w:pStyle w:val="46"/>
              <w:shd w:val="clear" w:color="auto"/>
              <w:spacing w:line="360" w:lineRule="auto"/>
              <w:ind w:right="-78" w:rightChars="-37"/>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077" w:type="dxa"/>
            <w:vAlign w:val="center"/>
          </w:tcPr>
          <w:p w14:paraId="2CFD93D1">
            <w:pPr>
              <w:pStyle w:val="46"/>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617" w:type="dxa"/>
            <w:gridSpan w:val="2"/>
            <w:vAlign w:val="center"/>
          </w:tcPr>
          <w:p w14:paraId="7AE21CC1">
            <w:pPr>
              <w:pStyle w:val="46"/>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vAlign w:val="center"/>
          </w:tcPr>
          <w:p w14:paraId="2B76236E">
            <w:pPr>
              <w:pStyle w:val="46"/>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vAlign w:val="center"/>
          </w:tcPr>
          <w:p w14:paraId="7844F9FA">
            <w:pPr>
              <w:pStyle w:val="46"/>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1D03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7FFC21A8">
            <w:pPr>
              <w:pStyle w:val="46"/>
              <w:shd w:val="clear" w:color="auto"/>
              <w:spacing w:line="360" w:lineRule="auto"/>
              <w:ind w:left="107"/>
              <w:jc w:val="both"/>
              <w:rPr>
                <w:bCs/>
                <w:color w:val="000000" w:themeColor="text1"/>
                <w:highlight w:val="none"/>
                <w14:textFill>
                  <w14:solidFill>
                    <w14:schemeClr w14:val="tx1"/>
                  </w14:solidFill>
                </w14:textFill>
              </w:rPr>
            </w:pPr>
          </w:p>
        </w:tc>
        <w:tc>
          <w:tcPr>
            <w:tcW w:w="1355" w:type="dxa"/>
            <w:gridSpan w:val="2"/>
            <w:vMerge w:val="continue"/>
            <w:vAlign w:val="center"/>
          </w:tcPr>
          <w:p w14:paraId="25A96A38">
            <w:pPr>
              <w:pStyle w:val="46"/>
              <w:shd w:val="clear" w:color="auto"/>
              <w:spacing w:line="360" w:lineRule="auto"/>
              <w:jc w:val="both"/>
              <w:rPr>
                <w:bCs/>
                <w:color w:val="000000" w:themeColor="text1"/>
                <w:highlight w:val="none"/>
                <w14:textFill>
                  <w14:solidFill>
                    <w14:schemeClr w14:val="tx1"/>
                  </w14:solidFill>
                </w14:textFill>
              </w:rPr>
            </w:pPr>
          </w:p>
        </w:tc>
        <w:tc>
          <w:tcPr>
            <w:tcW w:w="1333" w:type="dxa"/>
            <w:gridSpan w:val="3"/>
            <w:vAlign w:val="center"/>
          </w:tcPr>
          <w:p w14:paraId="0C1DE9F2">
            <w:pPr>
              <w:pStyle w:val="46"/>
              <w:shd w:val="clear" w:color="auto"/>
              <w:spacing w:line="360" w:lineRule="auto"/>
              <w:jc w:val="both"/>
              <w:rPr>
                <w:bCs/>
                <w:color w:val="000000" w:themeColor="text1"/>
                <w:highlight w:val="none"/>
                <w14:textFill>
                  <w14:solidFill>
                    <w14:schemeClr w14:val="tx1"/>
                  </w14:solidFill>
                </w14:textFill>
              </w:rPr>
            </w:pPr>
          </w:p>
        </w:tc>
        <w:tc>
          <w:tcPr>
            <w:tcW w:w="1077" w:type="dxa"/>
            <w:vAlign w:val="center"/>
          </w:tcPr>
          <w:p w14:paraId="24BA4487">
            <w:pPr>
              <w:pStyle w:val="46"/>
              <w:shd w:val="clear" w:color="auto"/>
              <w:spacing w:line="360" w:lineRule="auto"/>
              <w:jc w:val="both"/>
              <w:rPr>
                <w:bCs/>
                <w:color w:val="000000" w:themeColor="text1"/>
                <w:highlight w:val="none"/>
                <w14:textFill>
                  <w14:solidFill>
                    <w14:schemeClr w14:val="tx1"/>
                  </w14:solidFill>
                </w14:textFill>
              </w:rPr>
            </w:pPr>
          </w:p>
        </w:tc>
        <w:tc>
          <w:tcPr>
            <w:tcW w:w="1617" w:type="dxa"/>
            <w:gridSpan w:val="2"/>
            <w:vAlign w:val="center"/>
          </w:tcPr>
          <w:p w14:paraId="282E74DB">
            <w:pPr>
              <w:pStyle w:val="46"/>
              <w:shd w:val="clear" w:color="auto"/>
              <w:spacing w:line="360" w:lineRule="auto"/>
              <w:jc w:val="both"/>
              <w:rPr>
                <w:bCs/>
                <w:color w:val="000000" w:themeColor="text1"/>
                <w:highlight w:val="none"/>
                <w14:textFill>
                  <w14:solidFill>
                    <w14:schemeClr w14:val="tx1"/>
                  </w14:solidFill>
                </w14:textFill>
              </w:rPr>
            </w:pPr>
          </w:p>
        </w:tc>
        <w:tc>
          <w:tcPr>
            <w:tcW w:w="2551" w:type="dxa"/>
            <w:gridSpan w:val="2"/>
            <w:vAlign w:val="center"/>
          </w:tcPr>
          <w:p w14:paraId="758EA3BB">
            <w:pPr>
              <w:pStyle w:val="46"/>
              <w:shd w:val="clear" w:color="auto"/>
              <w:spacing w:line="360" w:lineRule="auto"/>
              <w:jc w:val="both"/>
              <w:rPr>
                <w:bCs/>
                <w:color w:val="000000" w:themeColor="text1"/>
                <w:highlight w:val="none"/>
                <w14:textFill>
                  <w14:solidFill>
                    <w14:schemeClr w14:val="tx1"/>
                  </w14:solidFill>
                </w14:textFill>
              </w:rPr>
            </w:pPr>
          </w:p>
        </w:tc>
      </w:tr>
      <w:tr w14:paraId="3255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6FCB44FE">
            <w:pPr>
              <w:pStyle w:val="46"/>
              <w:shd w:val="clear" w:color="auto"/>
              <w:spacing w:line="360" w:lineRule="auto"/>
              <w:ind w:left="107"/>
              <w:jc w:val="both"/>
              <w:rPr>
                <w:bCs/>
                <w:color w:val="000000" w:themeColor="text1"/>
                <w:spacing w:val="16"/>
                <w:highlight w:val="none"/>
                <w14:textFill>
                  <w14:solidFill>
                    <w14:schemeClr w14:val="tx1"/>
                  </w14:solidFill>
                </w14:textFill>
              </w:rPr>
            </w:pPr>
          </w:p>
        </w:tc>
        <w:tc>
          <w:tcPr>
            <w:tcW w:w="1355" w:type="dxa"/>
            <w:gridSpan w:val="2"/>
            <w:vAlign w:val="center"/>
          </w:tcPr>
          <w:p w14:paraId="2B091364">
            <w:pPr>
              <w:pStyle w:val="46"/>
              <w:shd w:val="clear" w:color="auto"/>
              <w:spacing w:before="0" w:beforeAutospacing="0" w:after="0" w:afterAutospacing="0" w:line="360" w:lineRule="auto"/>
              <w:ind w:right="-107" w:rightChars="-51"/>
              <w:jc w:val="both"/>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8"/>
            <w:vAlign w:val="center"/>
          </w:tcPr>
          <w:p w14:paraId="02C1DE48">
            <w:pPr>
              <w:pStyle w:val="46"/>
              <w:shd w:val="clear" w:color="auto"/>
              <w:spacing w:line="360" w:lineRule="auto"/>
              <w:jc w:val="both"/>
              <w:rPr>
                <w:bCs/>
                <w:color w:val="000000" w:themeColor="text1"/>
                <w:spacing w:val="16"/>
                <w:highlight w:val="none"/>
                <w14:textFill>
                  <w14:solidFill>
                    <w14:schemeClr w14:val="tx1"/>
                  </w14:solidFill>
                </w14:textFill>
              </w:rPr>
            </w:pPr>
          </w:p>
        </w:tc>
      </w:tr>
      <w:tr w14:paraId="53DB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2053D1E9">
            <w:pPr>
              <w:pStyle w:val="46"/>
              <w:shd w:val="clear" w:color="auto"/>
              <w:spacing w:line="360" w:lineRule="auto"/>
              <w:ind w:left="107"/>
              <w:jc w:val="both"/>
              <w:rPr>
                <w:bCs/>
                <w:color w:val="000000" w:themeColor="text1"/>
                <w:spacing w:val="27"/>
                <w:highlight w:val="none"/>
                <w14:textFill>
                  <w14:solidFill>
                    <w14:schemeClr w14:val="tx1"/>
                  </w14:solidFill>
                </w14:textFill>
              </w:rPr>
            </w:pPr>
          </w:p>
        </w:tc>
        <w:tc>
          <w:tcPr>
            <w:tcW w:w="1355" w:type="dxa"/>
            <w:gridSpan w:val="2"/>
            <w:vAlign w:val="center"/>
          </w:tcPr>
          <w:p w14:paraId="0FABC971">
            <w:pPr>
              <w:pStyle w:val="46"/>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8"/>
            <w:vAlign w:val="center"/>
          </w:tcPr>
          <w:p w14:paraId="483EC17F">
            <w:pPr>
              <w:pStyle w:val="46"/>
              <w:shd w:val="clear" w:color="auto"/>
              <w:spacing w:line="360" w:lineRule="auto"/>
              <w:jc w:val="both"/>
              <w:rPr>
                <w:bCs/>
                <w:color w:val="000000" w:themeColor="text1"/>
                <w:spacing w:val="16"/>
                <w:highlight w:val="none"/>
                <w14:textFill>
                  <w14:solidFill>
                    <w14:schemeClr w14:val="tx1"/>
                  </w14:solidFill>
                </w14:textFill>
              </w:rPr>
            </w:pPr>
          </w:p>
        </w:tc>
      </w:tr>
    </w:tbl>
    <w:p w14:paraId="0744259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93870CB">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3AE81F8C">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14:paraId="085636F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2B050BB">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8FFC28B">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25A59AEF">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3346160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021D642">
      <w:pPr>
        <w:shd w:val="clear"/>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 xml:space="preserve">9                              </w:t>
      </w:r>
      <w:r>
        <w:rPr>
          <w:rFonts w:hint="eastAsia" w:ascii="宋体" w:hAnsi="宋体" w:cs="宋体"/>
          <w:b/>
          <w:bCs/>
          <w:color w:val="000000" w:themeColor="text1"/>
          <w:sz w:val="28"/>
          <w:szCs w:val="36"/>
          <w:highlight w:val="none"/>
          <w:lang w:val="en-US" w:eastAsia="zh-CN"/>
          <w14:textFill>
            <w14:solidFill>
              <w14:schemeClr w14:val="tx1"/>
            </w14:solidFill>
          </w14:textFill>
        </w:rPr>
        <w:t xml:space="preserve">        </w:t>
      </w:r>
    </w:p>
    <w:p w14:paraId="09A8EA1B">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项目实施人员一览表</w:t>
      </w:r>
    </w:p>
    <w:p w14:paraId="25312E49">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3F53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29272254">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E4C3B74">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B8B4CD7">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08A9FE15">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E5874E8">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12E12EB">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DD19816">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1A24321A">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14:paraId="3C6AE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955EF7F">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71E1D0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D9735D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1B318B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13120A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9F3A8B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D69C97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34E17F3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E03D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D4019F6">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F4647F9">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EA400E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61C57A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3DB01C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F58416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ABCCFB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633C8E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4E555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229197C">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C20EFC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71124D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BF32CCE">
            <w:pPr>
              <w:pStyle w:val="14"/>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0C2A974">
            <w:pPr>
              <w:pStyle w:val="14"/>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D5F7C04">
            <w:pPr>
              <w:pStyle w:val="14"/>
              <w:shd w:val="clear"/>
              <w:spacing w:line="360" w:lineRule="auto"/>
              <w:ind w:left="5250"/>
              <w:rPr>
                <w:rFonts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A197F8F">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7F5749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976C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FAD9596">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AA7993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4228D1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7EEFB7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7BFC47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73B2EE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2127BF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8BEA9B8">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E823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06C23F5">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6858D59">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240424C">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3A9B1D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CCDD55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7D8950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C4BB8D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642EE0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5AE0F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F79F60E">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FC93AF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5D690BC">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5CFABD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25079B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F10238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1340E6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A5F041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72F95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92701F3">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A76EE2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FA98EE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FDEC89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303558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C8FBA0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5D8FFF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6BAC07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682CD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C85E0BF">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435DC0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278CFF9">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52926A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E90FC0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A3B882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6939868">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A5FB9B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00610AEF">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0C635AD0">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1.在填写时，如本表格不适合供应商的实际情况，可根据本表格式自行划表填写。</w:t>
      </w:r>
    </w:p>
    <w:p w14:paraId="218FB8ED">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2.附人员证书复印件；</w:t>
      </w:r>
    </w:p>
    <w:p w14:paraId="63DC1DE8">
      <w:pPr>
        <w:shd w:val="clea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w:t>
      </w:r>
    </w:p>
    <w:p w14:paraId="38F40615">
      <w:pPr>
        <w:shd w:val="clear"/>
        <w:spacing w:line="360" w:lineRule="auto"/>
        <w:rPr>
          <w:rFonts w:hint="eastAsia" w:ascii="宋体" w:hAnsi="宋体" w:cs="宋体"/>
          <w:color w:val="000000" w:themeColor="text1"/>
          <w:sz w:val="24"/>
          <w:szCs w:val="32"/>
          <w:highlight w:val="none"/>
          <w14:textFill>
            <w14:solidFill>
              <w14:schemeClr w14:val="tx1"/>
            </w14:solidFill>
          </w14:textFill>
        </w:rPr>
      </w:pPr>
    </w:p>
    <w:p w14:paraId="5B53EED7">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7821416">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54743CA1">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419BF7AE">
      <w:pPr>
        <w:shd w:val="clear"/>
        <w:spacing w:line="360" w:lineRule="auto"/>
        <w:jc w:val="left"/>
        <w:rPr>
          <w:rFonts w:ascii="宋体" w:hAnsi="宋体" w:cs="宋体"/>
          <w:b/>
          <w:bCs/>
          <w:color w:val="000000" w:themeColor="text1"/>
          <w:sz w:val="28"/>
          <w:szCs w:val="36"/>
          <w:highlight w:val="none"/>
          <w:lang w:val="zh-CN"/>
          <w14:textFill>
            <w14:solidFill>
              <w14:schemeClr w14:val="tx1"/>
            </w14:solidFill>
          </w14:textFill>
        </w:rPr>
      </w:pPr>
    </w:p>
    <w:p w14:paraId="01094D50">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 xml:space="preserve">10                                         </w:t>
      </w:r>
    </w:p>
    <w:p w14:paraId="51C63617">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14:paraId="724658A8">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CD16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75282A09">
            <w:pPr>
              <w:pStyle w:val="50"/>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14:paraId="5C6E90B7">
            <w:pPr>
              <w:pStyle w:val="50"/>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14:paraId="4E5D6B63">
            <w:pPr>
              <w:pStyle w:val="50"/>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14:paraId="388A9B84">
            <w:pPr>
              <w:pStyle w:val="50"/>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1D4360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B92141">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1E61F0E6">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1CD35361">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01F4F9D">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7DBD17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E424484">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75EB0F7D">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174C6CF6">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1A3DBF9C">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6ADA45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FE0804C">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2481D4EF">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22111F8D">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70D43C8E">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49B3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D5980D0">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791BB458">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00FD3563">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FBA3686">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5C867B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4269DD">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3DA0A084">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352467DB">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669B309F">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7E1AE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BA7E6B0">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2F2C7502">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6FC4E0B9">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E59D222">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00A012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0DC69F98">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14:paraId="2DFE09C5">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14:paraId="03302518">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14:paraId="6D87399E">
            <w:pPr>
              <w:pStyle w:val="50"/>
              <w:shd w:val="clear"/>
              <w:spacing w:line="360" w:lineRule="auto"/>
              <w:jc w:val="center"/>
              <w:rPr>
                <w:rFonts w:ascii="宋体" w:hAnsi="宋体" w:cs="宋体"/>
                <w:color w:val="000000" w:themeColor="text1"/>
                <w:szCs w:val="21"/>
                <w:highlight w:val="none"/>
                <w14:textFill>
                  <w14:solidFill>
                    <w14:schemeClr w14:val="tx1"/>
                  </w14:solidFill>
                </w14:textFill>
              </w:rPr>
            </w:pPr>
          </w:p>
        </w:tc>
      </w:tr>
    </w:tbl>
    <w:p w14:paraId="2AD20083">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2FB1C7A2">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3BF06D38">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1.填写供应商获得资质、认证或企业信誉证书；</w:t>
      </w:r>
    </w:p>
    <w:p w14:paraId="7144FE6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2.附所列证书复印件或其他证明材料。</w:t>
      </w:r>
    </w:p>
    <w:p w14:paraId="774CB9FB">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554F95A0">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3E335BCD">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21B7CB4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5D78A06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61AD7795">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236436B1">
      <w:pPr>
        <w:shd w:val="clear"/>
        <w:spacing w:line="360" w:lineRule="auto"/>
        <w:rPr>
          <w:rFonts w:ascii="宋体" w:hAnsi="宋体" w:cs="宋体"/>
          <w:b/>
          <w:bCs/>
          <w:color w:val="000000" w:themeColor="text1"/>
          <w:sz w:val="24"/>
          <w:highlight w:val="none"/>
          <w14:textFill>
            <w14:solidFill>
              <w14:schemeClr w14:val="tx1"/>
            </w14:solidFill>
          </w14:textFill>
        </w:rPr>
      </w:pPr>
    </w:p>
    <w:p w14:paraId="0375B27F">
      <w:pPr>
        <w:shd w:val="clear"/>
        <w:spacing w:line="360" w:lineRule="auto"/>
        <w:rPr>
          <w:rFonts w:ascii="宋体" w:hAnsi="宋体" w:cs="宋体"/>
          <w:b/>
          <w:bCs/>
          <w:color w:val="000000" w:themeColor="text1"/>
          <w:sz w:val="24"/>
          <w:highlight w:val="none"/>
          <w14:textFill>
            <w14:solidFill>
              <w14:schemeClr w14:val="tx1"/>
            </w14:solidFill>
          </w14:textFill>
        </w:rPr>
      </w:pPr>
    </w:p>
    <w:p w14:paraId="44CBDD07">
      <w:pPr>
        <w:shd w:val="clear"/>
        <w:spacing w:line="360" w:lineRule="auto"/>
        <w:rPr>
          <w:rFonts w:ascii="宋体" w:hAnsi="宋体" w:cs="宋体"/>
          <w:b/>
          <w:bCs/>
          <w:color w:val="000000" w:themeColor="text1"/>
          <w:sz w:val="24"/>
          <w:highlight w:val="none"/>
          <w14:textFill>
            <w14:solidFill>
              <w14:schemeClr w14:val="tx1"/>
            </w14:solidFill>
          </w14:textFill>
        </w:rPr>
      </w:pPr>
    </w:p>
    <w:p w14:paraId="3D961A9D">
      <w:pPr>
        <w:shd w:val="clear"/>
        <w:spacing w:line="360" w:lineRule="auto"/>
        <w:rPr>
          <w:rFonts w:ascii="宋体" w:hAnsi="宋体" w:cs="宋体"/>
          <w:b/>
          <w:bCs/>
          <w:color w:val="000000" w:themeColor="text1"/>
          <w:sz w:val="24"/>
          <w:highlight w:val="none"/>
          <w14:textFill>
            <w14:solidFill>
              <w14:schemeClr w14:val="tx1"/>
            </w14:solidFill>
          </w14:textFill>
        </w:rPr>
      </w:pPr>
    </w:p>
    <w:p w14:paraId="053FE81A">
      <w:pPr>
        <w:shd w:val="clear"/>
        <w:spacing w:line="360" w:lineRule="auto"/>
        <w:rPr>
          <w:rFonts w:ascii="宋体" w:hAnsi="宋体" w:cs="宋体"/>
          <w:b/>
          <w:bCs/>
          <w:color w:val="000000" w:themeColor="text1"/>
          <w:sz w:val="24"/>
          <w:highlight w:val="none"/>
          <w14:textFill>
            <w14:solidFill>
              <w14:schemeClr w14:val="tx1"/>
            </w14:solidFill>
          </w14:textFill>
        </w:rPr>
      </w:pPr>
    </w:p>
    <w:p w14:paraId="5A68AE3E">
      <w:pPr>
        <w:shd w:val="clear"/>
        <w:spacing w:line="360" w:lineRule="auto"/>
        <w:rPr>
          <w:rFonts w:ascii="宋体" w:hAnsi="宋体" w:cs="宋体"/>
          <w:b/>
          <w:bCs/>
          <w:color w:val="000000" w:themeColor="text1"/>
          <w:sz w:val="24"/>
          <w:highlight w:val="none"/>
          <w14:textFill>
            <w14:solidFill>
              <w14:schemeClr w14:val="tx1"/>
            </w14:solidFill>
          </w14:textFill>
        </w:rPr>
      </w:pPr>
    </w:p>
    <w:p w14:paraId="6FE0FF0F">
      <w:pPr>
        <w:shd w:val="clear"/>
        <w:spacing w:line="360" w:lineRule="auto"/>
        <w:jc w:val="left"/>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 xml:space="preserve">11                                    </w:t>
      </w:r>
      <w:r>
        <w:rPr>
          <w:rFonts w:hint="eastAsia" w:ascii="宋体" w:hAnsi="宋体" w:cs="宋体"/>
          <w:b/>
          <w:bCs/>
          <w:color w:val="000000" w:themeColor="text1"/>
          <w:sz w:val="28"/>
          <w:szCs w:val="36"/>
          <w:highlight w:val="none"/>
          <w:lang w:val="en-US" w:eastAsia="zh-CN"/>
          <w14:textFill>
            <w14:solidFill>
              <w14:schemeClr w14:val="tx1"/>
            </w14:solidFill>
          </w14:textFill>
        </w:rPr>
        <w:t xml:space="preserve">  </w:t>
      </w:r>
    </w:p>
    <w:p w14:paraId="72841F61">
      <w:pPr>
        <w:shd w:val="clear"/>
        <w:spacing w:before="158" w:beforeLines="50" w:after="158" w:afterLines="50" w:line="360" w:lineRule="auto"/>
        <w:ind w:right="-1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56D63A2A">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采购项目：                                        </w:t>
      </w:r>
      <w:r>
        <w:rPr>
          <w:rFonts w:hint="eastAsia" w:ascii="宋体" w:hAnsi="宋体" w:cs="宋体"/>
          <w:color w:val="000000" w:themeColor="text1"/>
          <w:sz w:val="24"/>
          <w:szCs w:val="32"/>
          <w:highlight w:val="none"/>
          <w:lang w:val="en-US" w:eastAsia="zh-CN"/>
          <w14:textFill>
            <w14:solidFill>
              <w14:schemeClr w14:val="tx1"/>
            </w14:solidFill>
          </w14:textFill>
        </w:rPr>
        <w:t>项目</w:t>
      </w:r>
      <w:r>
        <w:rPr>
          <w:rFonts w:hint="eastAsia" w:ascii="宋体" w:hAnsi="宋体" w:cs="宋体"/>
          <w:color w:val="000000" w:themeColor="text1"/>
          <w:sz w:val="24"/>
          <w:szCs w:val="32"/>
          <w:highlight w:val="none"/>
          <w14:textFill>
            <w14:solidFill>
              <w14:schemeClr w14:val="tx1"/>
            </w14:solidFill>
          </w14:textFill>
        </w:rPr>
        <w:t>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3F7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2B08135">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6EF323D">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7410FBA3">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近年来主要工作业绩</w:t>
            </w:r>
          </w:p>
        </w:tc>
      </w:tr>
      <w:tr w14:paraId="3435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FA9A642">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121BC58B">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66E67A3">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注：业绩证明应提供旁证材料</w:t>
            </w:r>
          </w:p>
          <w:p w14:paraId="48BC6F56">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（供货合同或中标通知书）。</w:t>
            </w:r>
          </w:p>
        </w:tc>
      </w:tr>
      <w:tr w14:paraId="792F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EA8B9A6">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25054835">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0E19294">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7B86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77612C4">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45F276C">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F2BCA06">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728C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39799C8">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190B4395">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590B914">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3A18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723D19">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0993C1F7">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877B364">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43B4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BB2CD2F">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4403130">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50C4517">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4649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118CB73">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DB2EE91">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E312FBA">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427D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2EA8138C">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1C1FE360">
            <w:pPr>
              <w:shd w:val="clear"/>
              <w:jc w:val="center"/>
              <w:rPr>
                <w:rFonts w:ascii="宋体" w:hAnsi="宋体" w:cs="宋体"/>
                <w:b/>
                <w:bCs/>
                <w:color w:val="000000" w:themeColor="text1"/>
                <w:sz w:val="24"/>
                <w:highlight w:val="none"/>
                <w:lang w:val="zh-CN"/>
                <w14:textFill>
                  <w14:solidFill>
                    <w14:schemeClr w14:val="tx1"/>
                  </w14:solidFill>
                </w14:textFill>
              </w:rPr>
            </w:pPr>
          </w:p>
        </w:tc>
      </w:tr>
    </w:tbl>
    <w:p w14:paraId="551E99DD">
      <w:pPr>
        <w:shd w:val="clear"/>
        <w:spacing w:line="360" w:lineRule="auto"/>
        <w:rPr>
          <w:rFonts w:ascii="宋体" w:hAnsi="宋体" w:cs="宋体"/>
          <w:color w:val="000000" w:themeColor="text1"/>
          <w:sz w:val="24"/>
          <w:highlight w:val="none"/>
          <w14:textFill>
            <w14:solidFill>
              <w14:schemeClr w14:val="tx1"/>
            </w14:solidFill>
          </w14:textFill>
        </w:rPr>
      </w:pPr>
    </w:p>
    <w:p w14:paraId="53578D35">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5E6989C0">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576A0EB8">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3C97D61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C8A238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84D7425">
      <w:pPr>
        <w:shd w:val="clear"/>
        <w:spacing w:line="360" w:lineRule="auto"/>
        <w:jc w:val="left"/>
        <w:rPr>
          <w:rFonts w:hint="eastAsia" w:ascii="宋体" w:hAnsi="宋体" w:cs="宋体"/>
          <w:b/>
          <w:bCs/>
          <w:color w:val="000000" w:themeColor="text1"/>
          <w:sz w:val="28"/>
          <w:szCs w:val="36"/>
          <w:highlight w:val="none"/>
          <w:lang w:val="zh-CN"/>
          <w14:textFill>
            <w14:solidFill>
              <w14:schemeClr w14:val="tx1"/>
            </w14:solidFill>
          </w14:textFill>
        </w:rPr>
      </w:pPr>
    </w:p>
    <w:p w14:paraId="6A5141B3">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 xml:space="preserve">12                                             </w:t>
      </w:r>
    </w:p>
    <w:p w14:paraId="4D799B3F">
      <w:pPr>
        <w:shd w:val="clear"/>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商务及技术响应表</w:t>
      </w:r>
    </w:p>
    <w:p w14:paraId="64105C77">
      <w:pPr>
        <w:shd w:val="clear"/>
        <w:spacing w:line="360" w:lineRule="auto"/>
        <w:rPr>
          <w:rFonts w:ascii="宋体" w:hAnsi="宋体" w:cs="宋体"/>
          <w:color w:val="000000" w:themeColor="text1"/>
          <w:sz w:val="24"/>
          <w:highlight w:val="none"/>
          <w14:textFill>
            <w14:solidFill>
              <w14:schemeClr w14:val="tx1"/>
            </w14:solidFill>
          </w14:textFill>
        </w:rPr>
      </w:pPr>
    </w:p>
    <w:tbl>
      <w:tblPr>
        <w:tblStyle w:val="28"/>
        <w:tblW w:w="8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2"/>
        <w:gridCol w:w="1831"/>
        <w:gridCol w:w="2160"/>
        <w:gridCol w:w="2127"/>
        <w:gridCol w:w="1472"/>
      </w:tblGrid>
      <w:tr w14:paraId="2620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14:paraId="45CF53AB">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E22C20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56CF47A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14:paraId="44F4D2A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14:paraId="36227ED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tc>
      </w:tr>
      <w:tr w14:paraId="2E6D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14:paraId="769B2F3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7065194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14:paraId="052CB890">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59E7E41">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32EFE05">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3035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3DC52E3E">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F8D5B2A">
            <w:pPr>
              <w:shd w:val="clea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完成时间</w:t>
            </w:r>
          </w:p>
        </w:tc>
        <w:tc>
          <w:tcPr>
            <w:tcW w:w="2160" w:type="dxa"/>
            <w:tcBorders>
              <w:top w:val="single" w:color="auto" w:sz="4" w:space="0"/>
              <w:left w:val="single" w:color="auto" w:sz="4" w:space="0"/>
              <w:bottom w:val="single" w:color="auto" w:sz="4" w:space="0"/>
              <w:right w:val="single" w:color="auto" w:sz="4" w:space="0"/>
            </w:tcBorders>
            <w:vAlign w:val="center"/>
          </w:tcPr>
          <w:p w14:paraId="27132AA6">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F78CBD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58AEB84">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1FA8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533654CD">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546270C">
            <w:pPr>
              <w:shd w:val="clea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7DC0663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96C6B7B">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5DCA6350">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6EE5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14:paraId="08A094AB">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3193059">
            <w:pPr>
              <w:shd w:val="clea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vAlign w:val="center"/>
          </w:tcPr>
          <w:p w14:paraId="12E269BF">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807842B">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86AF995">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633E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DAC2AF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1F7FBEEE">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09FE3D5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B0F49EA">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2961997">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62A3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AC08033">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85958EF">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5837A1D6">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3599F87">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2A0CA18">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09FD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5AC777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CCAFA0B">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6E8914A7">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FCF4F41">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5DFF11C">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0C29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61A2AF3">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04C952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2014AD57">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271652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953D3F3">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6362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6B8EBB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8D239EF">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10178348">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B019289">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893E887">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1237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27040C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1D9943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4037B37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626BEFB">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FC207D4">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5C68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906986C">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6F92CB8">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78E4309F">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9291CF8">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D34A990">
            <w:pPr>
              <w:shd w:val="clear"/>
              <w:spacing w:line="360" w:lineRule="auto"/>
              <w:jc w:val="center"/>
              <w:rPr>
                <w:rFonts w:ascii="宋体" w:hAnsi="宋体" w:cs="宋体"/>
                <w:color w:val="000000" w:themeColor="text1"/>
                <w:sz w:val="24"/>
                <w:highlight w:val="none"/>
                <w14:textFill>
                  <w14:solidFill>
                    <w14:schemeClr w14:val="tx1"/>
                  </w14:solidFill>
                </w14:textFill>
              </w:rPr>
            </w:pPr>
          </w:p>
        </w:tc>
      </w:tr>
    </w:tbl>
    <w:p w14:paraId="4B72E395">
      <w:pPr>
        <w:shd w:val="clear"/>
        <w:spacing w:line="360" w:lineRule="auto"/>
        <w:rPr>
          <w:rFonts w:ascii="宋体" w:hAnsi="宋体" w:cs="宋体"/>
          <w:color w:val="000000" w:themeColor="text1"/>
          <w:sz w:val="24"/>
          <w:highlight w:val="none"/>
          <w14:textFill>
            <w14:solidFill>
              <w14:schemeClr w14:val="tx1"/>
            </w14:solidFill>
          </w14:textFill>
        </w:rPr>
      </w:pPr>
    </w:p>
    <w:p w14:paraId="54EBEC85">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524E389">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7F9D0C34">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7ED34E0B">
      <w:pPr>
        <w:shd w:val="clear"/>
        <w:spacing w:line="360" w:lineRule="auto"/>
        <w:rPr>
          <w:rFonts w:ascii="宋体" w:hAnsi="宋体" w:cs="宋体"/>
          <w:color w:val="000000" w:themeColor="text1"/>
          <w:sz w:val="24"/>
          <w:highlight w:val="none"/>
          <w14:textFill>
            <w14:solidFill>
              <w14:schemeClr w14:val="tx1"/>
            </w14:solidFill>
          </w14:textFill>
        </w:rPr>
      </w:pPr>
    </w:p>
    <w:p w14:paraId="2987FE23">
      <w:pPr>
        <w:shd w:val="clear"/>
        <w:spacing w:line="360" w:lineRule="auto"/>
        <w:rPr>
          <w:rFonts w:ascii="宋体" w:hAnsi="宋体" w:cs="宋体"/>
          <w:color w:val="000000" w:themeColor="text1"/>
          <w:sz w:val="24"/>
          <w:highlight w:val="none"/>
          <w14:textFill>
            <w14:solidFill>
              <w14:schemeClr w14:val="tx1"/>
            </w14:solidFill>
          </w14:textFill>
        </w:rPr>
      </w:pPr>
    </w:p>
    <w:p w14:paraId="370E0F32">
      <w:pPr>
        <w:shd w:val="clear"/>
        <w:spacing w:line="360" w:lineRule="auto"/>
        <w:rPr>
          <w:rFonts w:ascii="宋体" w:hAnsi="宋体" w:cs="宋体"/>
          <w:color w:val="000000" w:themeColor="text1"/>
          <w:sz w:val="24"/>
          <w:highlight w:val="none"/>
          <w14:textFill>
            <w14:solidFill>
              <w14:schemeClr w14:val="tx1"/>
            </w14:solidFill>
          </w14:textFill>
        </w:rPr>
      </w:pPr>
    </w:p>
    <w:p w14:paraId="7DE25806">
      <w:pPr>
        <w:shd w:val="clear"/>
        <w:spacing w:line="360" w:lineRule="auto"/>
        <w:rPr>
          <w:rFonts w:ascii="宋体" w:hAnsi="宋体" w:cs="宋体"/>
          <w:color w:val="000000" w:themeColor="text1"/>
          <w:sz w:val="24"/>
          <w:highlight w:val="none"/>
          <w14:textFill>
            <w14:solidFill>
              <w14:schemeClr w14:val="tx1"/>
            </w14:solidFill>
          </w14:textFill>
        </w:rPr>
      </w:pPr>
    </w:p>
    <w:p w14:paraId="4BB0A094">
      <w:pPr>
        <w:shd w:val="clear"/>
        <w:spacing w:line="360" w:lineRule="auto"/>
        <w:rPr>
          <w:rFonts w:ascii="宋体" w:hAnsi="宋体" w:cs="宋体"/>
          <w:color w:val="000000" w:themeColor="text1"/>
          <w:sz w:val="24"/>
          <w:highlight w:val="none"/>
          <w14:textFill>
            <w14:solidFill>
              <w14:schemeClr w14:val="tx1"/>
            </w14:solidFill>
          </w14:textFill>
        </w:rPr>
      </w:pPr>
    </w:p>
    <w:p w14:paraId="26F0BDF7">
      <w:pPr>
        <w:shd w:val="clear"/>
        <w:spacing w:line="360" w:lineRule="auto"/>
        <w:rPr>
          <w:rFonts w:ascii="宋体" w:hAnsi="宋体" w:cs="宋体"/>
          <w:color w:val="000000" w:themeColor="text1"/>
          <w:sz w:val="24"/>
          <w:highlight w:val="none"/>
          <w14:textFill>
            <w14:solidFill>
              <w14:schemeClr w14:val="tx1"/>
            </w14:solidFill>
          </w14:textFill>
        </w:rPr>
      </w:pPr>
    </w:p>
    <w:p w14:paraId="214E6A82">
      <w:pPr>
        <w:shd w:val="clear"/>
        <w:spacing w:line="360" w:lineRule="auto"/>
        <w:rPr>
          <w:rFonts w:ascii="宋体" w:hAnsi="宋体" w:cs="宋体"/>
          <w:color w:val="000000" w:themeColor="text1"/>
          <w:sz w:val="24"/>
          <w:highlight w:val="none"/>
          <w14:textFill>
            <w14:solidFill>
              <w14:schemeClr w14:val="tx1"/>
            </w14:solidFill>
          </w14:textFill>
        </w:rPr>
      </w:pPr>
    </w:p>
    <w:p w14:paraId="789A2999">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 xml:space="preserve">13                                            </w:t>
      </w:r>
    </w:p>
    <w:p w14:paraId="23362AA3">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供应商类似项目实施情况一览表</w:t>
      </w:r>
    </w:p>
    <w:p w14:paraId="3B0DC0F8">
      <w:pPr>
        <w:shd w:val="clear"/>
        <w:spacing w:line="360" w:lineRule="auto"/>
        <w:rPr>
          <w:rFonts w:ascii="宋体" w:hAnsi="宋体" w:cs="宋体"/>
          <w:b/>
          <w:bCs/>
          <w:color w:val="000000" w:themeColor="text1"/>
          <w:sz w:val="24"/>
          <w:highlight w:val="none"/>
          <w14:textFill>
            <w14:solidFill>
              <w14:schemeClr w14:val="tx1"/>
            </w14:solidFill>
          </w14:textFill>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8336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C1E3D82">
            <w:pPr>
              <w:pStyle w:val="4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620C9D8">
            <w:pPr>
              <w:pStyle w:val="4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01FE591">
            <w:pPr>
              <w:pStyle w:val="4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4F72B81">
            <w:pPr>
              <w:pStyle w:val="4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56144AC">
            <w:pPr>
              <w:pStyle w:val="4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7B263DF8">
            <w:pPr>
              <w:pStyle w:val="4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B45AEF2">
            <w:pPr>
              <w:pStyle w:val="49"/>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6A928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831B67C">
            <w:pPr>
              <w:pStyle w:val="49"/>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35F56769">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4658DFE">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1851E09">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930C4F6">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FD8EE58">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DA94DEC">
            <w:pPr>
              <w:pStyle w:val="49"/>
              <w:shd w:val="clear"/>
              <w:spacing w:line="360" w:lineRule="auto"/>
              <w:rPr>
                <w:rFonts w:ascii="宋体" w:hAnsi="宋体" w:cs="宋体"/>
                <w:color w:val="000000" w:themeColor="text1"/>
                <w:sz w:val="24"/>
                <w:highlight w:val="none"/>
                <w14:textFill>
                  <w14:solidFill>
                    <w14:schemeClr w14:val="tx1"/>
                  </w14:solidFill>
                </w14:textFill>
              </w:rPr>
            </w:pPr>
          </w:p>
        </w:tc>
      </w:tr>
      <w:tr w14:paraId="05DF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996A6C">
            <w:pPr>
              <w:pStyle w:val="49"/>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16242274">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F0198A3">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B93636D">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5085B84">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2E015C4">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CBD8DAA">
            <w:pPr>
              <w:pStyle w:val="49"/>
              <w:shd w:val="clear"/>
              <w:spacing w:line="360" w:lineRule="auto"/>
              <w:rPr>
                <w:rFonts w:ascii="宋体" w:hAnsi="宋体" w:cs="宋体"/>
                <w:color w:val="000000" w:themeColor="text1"/>
                <w:sz w:val="24"/>
                <w:highlight w:val="none"/>
                <w14:textFill>
                  <w14:solidFill>
                    <w14:schemeClr w14:val="tx1"/>
                  </w14:solidFill>
                </w14:textFill>
              </w:rPr>
            </w:pPr>
          </w:p>
        </w:tc>
      </w:tr>
      <w:tr w14:paraId="1C27B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E744E79">
            <w:pPr>
              <w:pStyle w:val="49"/>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1D2D209E">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EE312C3">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0787FB2">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777FCD3">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316F33E">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7B2A82E">
            <w:pPr>
              <w:pStyle w:val="49"/>
              <w:shd w:val="clear"/>
              <w:spacing w:line="360" w:lineRule="auto"/>
              <w:rPr>
                <w:rFonts w:ascii="宋体" w:hAnsi="宋体" w:cs="宋体"/>
                <w:color w:val="000000" w:themeColor="text1"/>
                <w:sz w:val="24"/>
                <w:highlight w:val="none"/>
                <w14:textFill>
                  <w14:solidFill>
                    <w14:schemeClr w14:val="tx1"/>
                  </w14:solidFill>
                </w14:textFill>
              </w:rPr>
            </w:pPr>
          </w:p>
        </w:tc>
      </w:tr>
      <w:tr w14:paraId="296A7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5A323BC">
            <w:pPr>
              <w:pStyle w:val="49"/>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194A6AE9">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F4E8E8D">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E53021B">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DBE1722">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ED96D29">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A1B776A">
            <w:pPr>
              <w:pStyle w:val="49"/>
              <w:shd w:val="clear"/>
              <w:spacing w:line="360" w:lineRule="auto"/>
              <w:rPr>
                <w:rFonts w:ascii="宋体" w:hAnsi="宋体" w:cs="宋体"/>
                <w:color w:val="000000" w:themeColor="text1"/>
                <w:sz w:val="24"/>
                <w:highlight w:val="none"/>
                <w14:textFill>
                  <w14:solidFill>
                    <w14:schemeClr w14:val="tx1"/>
                  </w14:solidFill>
                </w14:textFill>
              </w:rPr>
            </w:pPr>
          </w:p>
        </w:tc>
      </w:tr>
      <w:tr w14:paraId="6A749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CCD1784">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3E2BE17D">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52FDC56">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D4244F2">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42CE1B6">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792C2D5">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7D8EA54">
            <w:pPr>
              <w:pStyle w:val="49"/>
              <w:shd w:val="clear"/>
              <w:spacing w:line="360" w:lineRule="auto"/>
              <w:rPr>
                <w:rFonts w:ascii="宋体" w:hAnsi="宋体" w:cs="宋体"/>
                <w:color w:val="000000" w:themeColor="text1"/>
                <w:sz w:val="24"/>
                <w:highlight w:val="none"/>
                <w14:textFill>
                  <w14:solidFill>
                    <w14:schemeClr w14:val="tx1"/>
                  </w14:solidFill>
                </w14:textFill>
              </w:rPr>
            </w:pPr>
          </w:p>
        </w:tc>
      </w:tr>
      <w:tr w14:paraId="77CF7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5F8A7A9">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A0B0EE0">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A6D062D">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D939656">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5A7ED10">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8269EF6">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4FB95E7">
            <w:pPr>
              <w:pStyle w:val="49"/>
              <w:shd w:val="clear"/>
              <w:spacing w:line="360" w:lineRule="auto"/>
              <w:rPr>
                <w:rFonts w:ascii="宋体" w:hAnsi="宋体" w:cs="宋体"/>
                <w:color w:val="000000" w:themeColor="text1"/>
                <w:sz w:val="24"/>
                <w:highlight w:val="none"/>
                <w14:textFill>
                  <w14:solidFill>
                    <w14:schemeClr w14:val="tx1"/>
                  </w14:solidFill>
                </w14:textFill>
              </w:rPr>
            </w:pPr>
          </w:p>
        </w:tc>
      </w:tr>
      <w:tr w14:paraId="3444C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EE63385">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ABE6392">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E27AAFF">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AE3CFBF">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8EF2F1F">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06A3B44">
            <w:pPr>
              <w:pStyle w:val="49"/>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1C085E2">
            <w:pPr>
              <w:pStyle w:val="49"/>
              <w:shd w:val="clear"/>
              <w:spacing w:line="360" w:lineRule="auto"/>
              <w:rPr>
                <w:rFonts w:ascii="宋体" w:hAnsi="宋体" w:cs="宋体"/>
                <w:color w:val="000000" w:themeColor="text1"/>
                <w:sz w:val="24"/>
                <w:highlight w:val="none"/>
                <w14:textFill>
                  <w14:solidFill>
                    <w14:schemeClr w14:val="tx1"/>
                  </w14:solidFill>
                </w14:textFill>
              </w:rPr>
            </w:pPr>
          </w:p>
        </w:tc>
      </w:tr>
    </w:tbl>
    <w:p w14:paraId="695475F3">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09D28E5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1.业绩证明应提供证明材料（合同复印件可只提供首页、含金额页、盖章页并加盖供应商公章）；</w:t>
      </w:r>
    </w:p>
    <w:p w14:paraId="15AE2D6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2.供应商可按此表格式复制。</w:t>
      </w:r>
    </w:p>
    <w:p w14:paraId="591FA20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0447DD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EE8E463">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03FFCDE">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06208FBB">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708E6AAF">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998FD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E581E7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92D8F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21D56CF">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20ECC31">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14</w:t>
      </w:r>
    </w:p>
    <w:p w14:paraId="2E9A1F6D">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售后服务情况表</w:t>
      </w:r>
    </w:p>
    <w:p w14:paraId="04284FFE">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EA818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150E8BC6">
            <w:pPr>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2355" w:type="dxa"/>
            <w:vAlign w:val="center"/>
          </w:tcPr>
          <w:p w14:paraId="7045EA1F">
            <w:pPr>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w:t>
            </w:r>
          </w:p>
        </w:tc>
        <w:tc>
          <w:tcPr>
            <w:tcW w:w="4061" w:type="dxa"/>
            <w:vAlign w:val="center"/>
          </w:tcPr>
          <w:p w14:paraId="693F1229">
            <w:pPr>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磋商供应商承诺</w:t>
            </w:r>
          </w:p>
        </w:tc>
        <w:tc>
          <w:tcPr>
            <w:tcW w:w="1373" w:type="dxa"/>
            <w:vAlign w:val="center"/>
          </w:tcPr>
          <w:p w14:paraId="6DEE08B7">
            <w:pPr>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tc>
      </w:tr>
      <w:tr w14:paraId="2CB3C1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739" w:type="dxa"/>
            <w:vAlign w:val="center"/>
          </w:tcPr>
          <w:p w14:paraId="368024E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55" w:type="dxa"/>
            <w:vAlign w:val="center"/>
          </w:tcPr>
          <w:p w14:paraId="524470E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售后服务情况（服务方式、服务网点、售后服务的内容和措施等等，可用附页和宣传材料）</w:t>
            </w:r>
          </w:p>
        </w:tc>
        <w:tc>
          <w:tcPr>
            <w:tcW w:w="4061" w:type="dxa"/>
            <w:vAlign w:val="center"/>
          </w:tcPr>
          <w:p w14:paraId="4905A0E1">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373" w:type="dxa"/>
            <w:vAlign w:val="center"/>
          </w:tcPr>
          <w:p w14:paraId="53B1B7CF">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35ED88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39E3F24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55" w:type="dxa"/>
            <w:vAlign w:val="center"/>
          </w:tcPr>
          <w:p w14:paraId="608D37FA">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061" w:type="dxa"/>
            <w:vAlign w:val="center"/>
          </w:tcPr>
          <w:p w14:paraId="0F7696BE">
            <w:pPr>
              <w:shd w:val="clear"/>
              <w:spacing w:line="360" w:lineRule="auto"/>
              <w:jc w:val="center"/>
              <w:rPr>
                <w:rFonts w:ascii="宋体" w:hAnsi="宋体" w:cs="宋体"/>
                <w:color w:val="000000" w:themeColor="text1"/>
                <w:sz w:val="24"/>
                <w:highlight w:val="none"/>
                <w14:textFill>
                  <w14:solidFill>
                    <w14:schemeClr w14:val="tx1"/>
                  </w14:solidFill>
                </w14:textFill>
              </w:rPr>
            </w:pPr>
          </w:p>
          <w:p w14:paraId="0E350038">
            <w:pPr>
              <w:shd w:val="clear"/>
              <w:spacing w:line="360" w:lineRule="auto"/>
              <w:jc w:val="center"/>
              <w:rPr>
                <w:rFonts w:ascii="宋体" w:hAnsi="宋体" w:cs="宋体"/>
                <w:color w:val="000000" w:themeColor="text1"/>
                <w:sz w:val="24"/>
                <w:highlight w:val="none"/>
                <w14:textFill>
                  <w14:solidFill>
                    <w14:schemeClr w14:val="tx1"/>
                  </w14:solidFill>
                </w14:textFill>
              </w:rPr>
            </w:pPr>
          </w:p>
          <w:p w14:paraId="58F73286">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373" w:type="dxa"/>
            <w:vAlign w:val="center"/>
          </w:tcPr>
          <w:p w14:paraId="40720048">
            <w:pPr>
              <w:shd w:val="clear"/>
              <w:spacing w:line="360" w:lineRule="auto"/>
              <w:jc w:val="center"/>
              <w:rPr>
                <w:rFonts w:ascii="宋体" w:hAnsi="宋体" w:cs="宋体"/>
                <w:color w:val="000000" w:themeColor="text1"/>
                <w:sz w:val="24"/>
                <w:highlight w:val="none"/>
                <w14:textFill>
                  <w14:solidFill>
                    <w14:schemeClr w14:val="tx1"/>
                  </w14:solidFill>
                </w14:textFill>
              </w:rPr>
            </w:pPr>
          </w:p>
          <w:p w14:paraId="68E90845">
            <w:pPr>
              <w:shd w:val="clear"/>
              <w:spacing w:line="360" w:lineRule="auto"/>
              <w:jc w:val="center"/>
              <w:rPr>
                <w:rFonts w:ascii="宋体" w:hAnsi="宋体" w:cs="宋体"/>
                <w:color w:val="000000" w:themeColor="text1"/>
                <w:sz w:val="24"/>
                <w:highlight w:val="none"/>
                <w14:textFill>
                  <w14:solidFill>
                    <w14:schemeClr w14:val="tx1"/>
                  </w14:solidFill>
                </w14:textFill>
              </w:rPr>
            </w:pPr>
          </w:p>
          <w:p w14:paraId="0401EACB">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03D328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1AE17DE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55" w:type="dxa"/>
            <w:vAlign w:val="center"/>
          </w:tcPr>
          <w:p w14:paraId="2CA1F5B1">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4061" w:type="dxa"/>
            <w:vAlign w:val="center"/>
          </w:tcPr>
          <w:p w14:paraId="57170AE9">
            <w:pPr>
              <w:shd w:val="clear"/>
              <w:spacing w:line="360" w:lineRule="auto"/>
              <w:jc w:val="center"/>
              <w:rPr>
                <w:rFonts w:ascii="宋体" w:hAnsi="宋体" w:cs="宋体"/>
                <w:color w:val="000000" w:themeColor="text1"/>
                <w:sz w:val="24"/>
                <w:highlight w:val="none"/>
                <w14:textFill>
                  <w14:solidFill>
                    <w14:schemeClr w14:val="tx1"/>
                  </w14:solidFill>
                </w14:textFill>
              </w:rPr>
            </w:pPr>
          </w:p>
          <w:p w14:paraId="4AD2AFB7">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373" w:type="dxa"/>
            <w:vAlign w:val="center"/>
          </w:tcPr>
          <w:p w14:paraId="2A83DFBC">
            <w:pPr>
              <w:shd w:val="clear"/>
              <w:spacing w:line="360" w:lineRule="auto"/>
              <w:jc w:val="center"/>
              <w:rPr>
                <w:rFonts w:ascii="宋体" w:hAnsi="宋体" w:cs="宋体"/>
                <w:color w:val="000000" w:themeColor="text1"/>
                <w:sz w:val="24"/>
                <w:highlight w:val="none"/>
                <w14:textFill>
                  <w14:solidFill>
                    <w14:schemeClr w14:val="tx1"/>
                  </w14:solidFill>
                </w14:textFill>
              </w:rPr>
            </w:pPr>
          </w:p>
          <w:p w14:paraId="5EA45376">
            <w:pPr>
              <w:shd w:val="clear"/>
              <w:spacing w:line="360" w:lineRule="auto"/>
              <w:jc w:val="center"/>
              <w:rPr>
                <w:rFonts w:ascii="宋体" w:hAnsi="宋体" w:cs="宋体"/>
                <w:color w:val="000000" w:themeColor="text1"/>
                <w:sz w:val="24"/>
                <w:highlight w:val="none"/>
                <w14:textFill>
                  <w14:solidFill>
                    <w14:schemeClr w14:val="tx1"/>
                  </w14:solidFill>
                </w14:textFill>
              </w:rPr>
            </w:pPr>
          </w:p>
          <w:p w14:paraId="36A59B07">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0D517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0F6409E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55" w:type="dxa"/>
            <w:vAlign w:val="center"/>
          </w:tcPr>
          <w:p w14:paraId="7E6BA07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061" w:type="dxa"/>
            <w:vAlign w:val="center"/>
          </w:tcPr>
          <w:p w14:paraId="548EE88E">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373" w:type="dxa"/>
            <w:vAlign w:val="center"/>
          </w:tcPr>
          <w:p w14:paraId="24D8C7DD">
            <w:pPr>
              <w:shd w:val="clear"/>
              <w:spacing w:line="360" w:lineRule="auto"/>
              <w:jc w:val="center"/>
              <w:rPr>
                <w:rFonts w:ascii="宋体" w:hAnsi="宋体" w:cs="宋体"/>
                <w:color w:val="000000" w:themeColor="text1"/>
                <w:sz w:val="24"/>
                <w:highlight w:val="none"/>
                <w14:textFill>
                  <w14:solidFill>
                    <w14:schemeClr w14:val="tx1"/>
                  </w14:solidFill>
                </w14:textFill>
              </w:rPr>
            </w:pPr>
          </w:p>
        </w:tc>
      </w:tr>
    </w:tbl>
    <w:p w14:paraId="2FCBA8E6">
      <w:pPr>
        <w:shd w:val="clear"/>
        <w:spacing w:line="360" w:lineRule="auto"/>
        <w:rPr>
          <w:rFonts w:ascii="宋体" w:hAnsi="宋体" w:cs="宋体"/>
          <w:b/>
          <w:color w:val="000000" w:themeColor="text1"/>
          <w:sz w:val="24"/>
          <w:highlight w:val="none"/>
          <w14:textFill>
            <w14:solidFill>
              <w14:schemeClr w14:val="tx1"/>
            </w14:solidFill>
          </w14:textFill>
        </w:rPr>
      </w:pPr>
    </w:p>
    <w:p w14:paraId="0BB13D24">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28966B7">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5D2448F2">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616B7DAA">
      <w:pPr>
        <w:shd w:val="clear"/>
        <w:spacing w:line="360" w:lineRule="auto"/>
        <w:rPr>
          <w:rFonts w:ascii="宋体" w:hAnsi="宋体" w:cs="宋体"/>
          <w:b/>
          <w:color w:val="000000" w:themeColor="text1"/>
          <w:sz w:val="24"/>
          <w:highlight w:val="none"/>
          <w14:textFill>
            <w14:solidFill>
              <w14:schemeClr w14:val="tx1"/>
            </w14:solidFill>
          </w14:textFill>
        </w:rPr>
      </w:pPr>
    </w:p>
    <w:p w14:paraId="50133354">
      <w:pPr>
        <w:shd w:val="clear"/>
        <w:spacing w:line="360" w:lineRule="auto"/>
        <w:rPr>
          <w:rFonts w:ascii="宋体" w:hAnsi="宋体" w:cs="宋体"/>
          <w:b/>
          <w:color w:val="000000" w:themeColor="text1"/>
          <w:sz w:val="24"/>
          <w:highlight w:val="none"/>
          <w14:textFill>
            <w14:solidFill>
              <w14:schemeClr w14:val="tx1"/>
            </w14:solidFill>
          </w14:textFill>
        </w:rPr>
      </w:pPr>
    </w:p>
    <w:p w14:paraId="7F38CA49">
      <w:pPr>
        <w:shd w:val="clear"/>
        <w:spacing w:line="360" w:lineRule="auto"/>
        <w:rPr>
          <w:rFonts w:ascii="宋体" w:hAnsi="宋体" w:cs="宋体"/>
          <w:b/>
          <w:color w:val="000000" w:themeColor="text1"/>
          <w:sz w:val="24"/>
          <w:highlight w:val="none"/>
          <w14:textFill>
            <w14:solidFill>
              <w14:schemeClr w14:val="tx1"/>
            </w14:solidFill>
          </w14:textFill>
        </w:rPr>
      </w:pPr>
    </w:p>
    <w:p w14:paraId="22E2699C">
      <w:pPr>
        <w:shd w:val="clear"/>
        <w:spacing w:line="360" w:lineRule="auto"/>
        <w:rPr>
          <w:rFonts w:ascii="宋体" w:hAnsi="宋体" w:cs="宋体"/>
          <w:b/>
          <w:color w:val="000000" w:themeColor="text1"/>
          <w:sz w:val="24"/>
          <w:highlight w:val="none"/>
          <w14:textFill>
            <w14:solidFill>
              <w14:schemeClr w14:val="tx1"/>
            </w14:solidFill>
          </w14:textFill>
        </w:rPr>
      </w:pPr>
    </w:p>
    <w:p w14:paraId="1C662C71">
      <w:pPr>
        <w:shd w:val="clear"/>
        <w:spacing w:line="360" w:lineRule="auto"/>
        <w:rPr>
          <w:rFonts w:ascii="宋体" w:hAnsi="宋体" w:cs="宋体"/>
          <w:b/>
          <w:color w:val="000000" w:themeColor="text1"/>
          <w:sz w:val="24"/>
          <w:highlight w:val="none"/>
          <w14:textFill>
            <w14:solidFill>
              <w14:schemeClr w14:val="tx1"/>
            </w14:solidFill>
          </w14:textFill>
        </w:rPr>
      </w:pPr>
    </w:p>
    <w:p w14:paraId="63D7A1AF">
      <w:pPr>
        <w:shd w:val="clear"/>
        <w:spacing w:line="360" w:lineRule="auto"/>
        <w:rPr>
          <w:rFonts w:ascii="宋体" w:hAnsi="宋体" w:cs="宋体"/>
          <w:b/>
          <w:color w:val="000000" w:themeColor="text1"/>
          <w:sz w:val="24"/>
          <w:highlight w:val="none"/>
          <w14:textFill>
            <w14:solidFill>
              <w14:schemeClr w14:val="tx1"/>
            </w14:solidFill>
          </w14:textFill>
        </w:rPr>
      </w:pPr>
    </w:p>
    <w:p w14:paraId="46062C0D">
      <w:pPr>
        <w:shd w:val="clear"/>
        <w:spacing w:line="360" w:lineRule="auto"/>
        <w:rPr>
          <w:rFonts w:ascii="宋体" w:hAnsi="宋体" w:cs="宋体"/>
          <w:b/>
          <w:color w:val="000000" w:themeColor="text1"/>
          <w:sz w:val="24"/>
          <w:highlight w:val="none"/>
          <w14:textFill>
            <w14:solidFill>
              <w14:schemeClr w14:val="tx1"/>
            </w14:solidFill>
          </w14:textFill>
        </w:rPr>
      </w:pPr>
    </w:p>
    <w:p w14:paraId="3C7394EF">
      <w:pPr>
        <w:shd w:val="clear"/>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 xml:space="preserve">15                                         </w:t>
      </w:r>
    </w:p>
    <w:p w14:paraId="108E59CA">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首次报价一览表</w:t>
      </w:r>
    </w:p>
    <w:p w14:paraId="776B7D69">
      <w:pPr>
        <w:shd w:val="clear"/>
        <w:spacing w:line="360" w:lineRule="auto"/>
        <w:rPr>
          <w:rFonts w:ascii="宋体" w:hAnsi="宋体" w:cs="宋体"/>
          <w:b/>
          <w:color w:val="000000" w:themeColor="text1"/>
          <w:sz w:val="24"/>
          <w:szCs w:val="22"/>
          <w:highlight w:val="none"/>
          <w14:textFill>
            <w14:solidFill>
              <w14:schemeClr w14:val="tx1"/>
            </w14:solidFill>
          </w14:textFill>
        </w:rPr>
      </w:pPr>
      <w:r>
        <w:rPr>
          <w:rFonts w:hint="eastAsia" w:ascii="宋体" w:hAnsi="宋体" w:cs="宋体"/>
          <w:b/>
          <w:color w:val="000000" w:themeColor="text1"/>
          <w:sz w:val="24"/>
          <w:szCs w:val="22"/>
          <w:highlight w:val="none"/>
          <w14:textFill>
            <w14:solidFill>
              <w14:schemeClr w14:val="tx1"/>
            </w14:solidFill>
          </w14:textFill>
        </w:rPr>
        <w:t>项目编号：</w:t>
      </w:r>
    </w:p>
    <w:p w14:paraId="2F98C5FA">
      <w:pPr>
        <w:shd w:val="clear"/>
        <w:spacing w:line="360" w:lineRule="auto"/>
        <w:rPr>
          <w:rFonts w:hint="eastAsia" w:ascii="宋体" w:hAnsi="宋体" w:cs="宋体"/>
          <w:b/>
          <w:color w:val="000000" w:themeColor="text1"/>
          <w:sz w:val="24"/>
          <w:szCs w:val="22"/>
          <w:highlight w:val="none"/>
          <w14:textFill>
            <w14:solidFill>
              <w14:schemeClr w14:val="tx1"/>
            </w14:solidFill>
          </w14:textFill>
        </w:rPr>
      </w:pPr>
      <w:r>
        <w:rPr>
          <w:rFonts w:hint="eastAsia" w:ascii="宋体" w:hAnsi="宋体" w:cs="宋体"/>
          <w:b/>
          <w:color w:val="000000" w:themeColor="text1"/>
          <w:sz w:val="24"/>
          <w:szCs w:val="22"/>
          <w:highlight w:val="none"/>
          <w14:textFill>
            <w14:solidFill>
              <w14:schemeClr w14:val="tx1"/>
            </w14:solidFill>
          </w14:textFill>
        </w:rPr>
        <w:t>项目名称：                                     [货币单位：人民币/元]</w:t>
      </w:r>
    </w:p>
    <w:tbl>
      <w:tblPr>
        <w:tblStyle w:val="2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FDDCD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14:paraId="0D02D844">
            <w:pPr>
              <w:shd w:val="clear"/>
              <w:wordWrap/>
              <w:autoSpaceDE w:val="0"/>
              <w:autoSpaceDN w:val="0"/>
              <w:spacing w:line="360" w:lineRule="auto"/>
              <w:jc w:val="center"/>
              <w:textAlignment w:val="bottom"/>
              <w:outlineLvl w:val="9"/>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投标总报价</w:t>
            </w:r>
          </w:p>
          <w:p w14:paraId="67E3237A">
            <w:pPr>
              <w:shd w:val="clear"/>
              <w:wordWrap/>
              <w:autoSpaceDE w:val="0"/>
              <w:autoSpaceDN w:val="0"/>
              <w:spacing w:line="360" w:lineRule="auto"/>
              <w:jc w:val="center"/>
              <w:textAlignment w:val="bottom"/>
              <w:outlineLvl w:val="9"/>
              <w:rPr>
                <w:rFonts w:asci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en-US" w:eastAsia="zh-CN"/>
                <w14:textFill>
                  <w14:solidFill>
                    <w14:schemeClr w14:val="tx1"/>
                  </w14:solidFill>
                </w14:textFill>
              </w:rPr>
              <w:t>人民币元</w:t>
            </w:r>
            <w:r>
              <w:rPr>
                <w:rFonts w:ascii="宋体" w:hAnsi="宋体"/>
                <w:b w:val="0"/>
                <w:bCs w:val="0"/>
                <w:color w:val="000000" w:themeColor="text1"/>
                <w:sz w:val="24"/>
                <w:szCs w:val="24"/>
                <w:highlight w:val="none"/>
                <w14:textFill>
                  <w14:solidFill>
                    <w14:schemeClr w14:val="tx1"/>
                  </w14:solidFill>
                </w14:textFill>
              </w:rPr>
              <w:t>)</w:t>
            </w:r>
          </w:p>
        </w:tc>
        <w:tc>
          <w:tcPr>
            <w:tcW w:w="1349" w:type="dxa"/>
            <w:tcBorders>
              <w:top w:val="single" w:color="auto" w:sz="4" w:space="0"/>
              <w:left w:val="single" w:color="auto" w:sz="4" w:space="0"/>
              <w:bottom w:val="single" w:color="auto" w:sz="4" w:space="0"/>
              <w:right w:val="single" w:color="auto" w:sz="4" w:space="0"/>
            </w:tcBorders>
            <w:vAlign w:val="center"/>
          </w:tcPr>
          <w:p w14:paraId="7EF24A58">
            <w:pPr>
              <w:shd w:val="clear"/>
              <w:wordWrap/>
              <w:autoSpaceDE w:val="0"/>
              <w:autoSpaceDN w:val="0"/>
              <w:spacing w:line="360" w:lineRule="auto"/>
              <w:jc w:val="center"/>
              <w:textAlignment w:val="bottom"/>
              <w:outlineLvl w:val="9"/>
              <w:rPr>
                <w:rFonts w:asci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58F3D3D4">
            <w:pPr>
              <w:shd w:val="clear"/>
              <w:wordWrap/>
              <w:autoSpaceDE w:val="0"/>
              <w:autoSpaceDN w:val="0"/>
              <w:spacing w:line="360" w:lineRule="auto"/>
              <w:jc w:val="center"/>
              <w:textAlignment w:val="bottom"/>
              <w:outlineLvl w:val="9"/>
              <w:rPr>
                <w:rFonts w:ascii="宋体"/>
                <w:b w:val="0"/>
                <w:bCs w:val="0"/>
                <w:color w:val="000000" w:themeColor="text1"/>
                <w:sz w:val="24"/>
                <w:szCs w:val="24"/>
                <w:highlight w:val="none"/>
                <w14:textFill>
                  <w14:solidFill>
                    <w14:schemeClr w14:val="tx1"/>
                  </w14:solidFill>
                </w14:textFill>
              </w:rPr>
            </w:pPr>
          </w:p>
        </w:tc>
      </w:tr>
      <w:tr w14:paraId="58AD2D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14:paraId="29F2E182">
            <w:pPr>
              <w:shd w:val="clear"/>
              <w:wordWrap/>
              <w:spacing w:line="360" w:lineRule="auto"/>
              <w:outlineLvl w:val="9"/>
              <w:rPr>
                <w:rFonts w:ascii="宋体"/>
                <w:b w:val="0"/>
                <w:bCs w:val="0"/>
                <w:color w:val="000000" w:themeColor="text1"/>
                <w:sz w:val="24"/>
                <w:szCs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5B3AE513">
            <w:pPr>
              <w:shd w:val="clear"/>
              <w:wordWrap/>
              <w:autoSpaceDE w:val="0"/>
              <w:autoSpaceDN w:val="0"/>
              <w:spacing w:line="360" w:lineRule="auto"/>
              <w:jc w:val="center"/>
              <w:textAlignment w:val="bottom"/>
              <w:outlineLvl w:val="9"/>
              <w:rPr>
                <w:rFonts w:asci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2C7620A5">
            <w:pPr>
              <w:shd w:val="clear"/>
              <w:wordWrap/>
              <w:autoSpaceDE w:val="0"/>
              <w:autoSpaceDN w:val="0"/>
              <w:spacing w:line="360" w:lineRule="auto"/>
              <w:jc w:val="center"/>
              <w:textAlignment w:val="bottom"/>
              <w:outlineLvl w:val="9"/>
              <w:rPr>
                <w:rFonts w:ascii="宋体"/>
                <w:b w:val="0"/>
                <w:bCs w:val="0"/>
                <w:color w:val="000000" w:themeColor="text1"/>
                <w:sz w:val="24"/>
                <w:szCs w:val="24"/>
                <w:highlight w:val="none"/>
                <w14:textFill>
                  <w14:solidFill>
                    <w14:schemeClr w14:val="tx1"/>
                  </w14:solidFill>
                </w14:textFill>
              </w:rPr>
            </w:pPr>
          </w:p>
        </w:tc>
      </w:tr>
      <w:tr w14:paraId="716AFE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4043" w:type="dxa"/>
            <w:gridSpan w:val="2"/>
            <w:tcBorders>
              <w:top w:val="single" w:color="auto" w:sz="4" w:space="0"/>
              <w:left w:val="single" w:color="auto" w:sz="4" w:space="0"/>
              <w:bottom w:val="single" w:color="auto" w:sz="4" w:space="0"/>
              <w:right w:val="single" w:color="auto" w:sz="4" w:space="0"/>
            </w:tcBorders>
            <w:vAlign w:val="center"/>
          </w:tcPr>
          <w:p w14:paraId="18128C98">
            <w:pPr>
              <w:pStyle w:val="8"/>
              <w:widowControl w:val="0"/>
              <w:numPr>
                <w:ilvl w:val="0"/>
                <w:numId w:val="0"/>
              </w:numPr>
              <w:shd w:val="clear"/>
              <w:wordWrap/>
              <w:adjustRightInd/>
              <w:snapToGrid/>
              <w:spacing w:after="120" w:afterAutospacing="0" w:line="360" w:lineRule="exact"/>
              <w:ind w:left="0" w:leftChars="0" w:right="0" w:firstLine="0" w:firstLineChars="0"/>
              <w:jc w:val="center"/>
              <w:textAlignment w:val="auto"/>
              <w:outlineLvl w:val="9"/>
              <w:rPr>
                <w:rFonts w:hint="default" w:ascii="宋体" w:hAnsi="宋体" w:eastAsia="宋体" w:cs="Times New Roman"/>
                <w:b w:val="0"/>
                <w:bCs w:val="0"/>
                <w:color w:val="000000" w:themeColor="text1"/>
                <w:kern w:val="2"/>
                <w:sz w:val="24"/>
                <w:szCs w:val="24"/>
                <w:highlight w:val="none"/>
                <w:u w:val="none"/>
                <w:lang w:val="en-US" w:eastAsia="zh-CN" w:bidi="ar-SA"/>
                <w14:textFill>
                  <w14:solidFill>
                    <w14:schemeClr w14:val="tx1"/>
                  </w14:solidFill>
                </w14:textFill>
              </w:rPr>
            </w:pPr>
            <w:r>
              <w:rPr>
                <w:rFonts w:hint="eastAsia" w:hAnsi="宋体" w:cs="Times New Roman"/>
                <w:b w:val="0"/>
                <w:bCs w:val="0"/>
                <w:color w:val="000000" w:themeColor="text1"/>
                <w:kern w:val="2"/>
                <w:sz w:val="24"/>
                <w:szCs w:val="24"/>
                <w:highlight w:val="none"/>
                <w:u w:val="none"/>
                <w:lang w:val="en-US" w:eastAsia="zh-CN" w:bidi="ar-SA"/>
                <w14:textFill>
                  <w14:solidFill>
                    <w14:schemeClr w14:val="tx1"/>
                  </w14:solidFill>
                </w14:textFill>
              </w:rPr>
              <w:t>备注</w:t>
            </w:r>
          </w:p>
        </w:tc>
        <w:tc>
          <w:tcPr>
            <w:tcW w:w="4629" w:type="dxa"/>
            <w:tcBorders>
              <w:top w:val="single" w:color="auto" w:sz="4" w:space="0"/>
              <w:left w:val="single" w:color="auto" w:sz="4" w:space="0"/>
              <w:bottom w:val="single" w:color="auto" w:sz="4" w:space="0"/>
              <w:right w:val="single" w:color="auto" w:sz="4" w:space="0"/>
            </w:tcBorders>
            <w:vAlign w:val="center"/>
          </w:tcPr>
          <w:p w14:paraId="4908B542">
            <w:pPr>
              <w:shd w:val="clear"/>
              <w:wordWrap/>
              <w:autoSpaceDE w:val="0"/>
              <w:autoSpaceDN w:val="0"/>
              <w:spacing w:line="360" w:lineRule="auto"/>
              <w:jc w:val="both"/>
              <w:textAlignment w:val="bottom"/>
              <w:outlineLvl w:val="9"/>
              <w:rPr>
                <w:rFonts w:hint="eastAsia" w:ascii="宋体" w:hAnsi="宋体" w:eastAsia="宋体" w:cs="Times New Roman"/>
                <w:b w:val="0"/>
                <w:bCs w:val="0"/>
                <w:color w:val="000000" w:themeColor="text1"/>
                <w:kern w:val="2"/>
                <w:sz w:val="24"/>
                <w:szCs w:val="24"/>
                <w:highlight w:val="none"/>
                <w:u w:val="none"/>
                <w:lang w:val="en-US" w:eastAsia="zh-CN" w:bidi="ar-SA"/>
                <w14:textFill>
                  <w14:solidFill>
                    <w14:schemeClr w14:val="tx1"/>
                  </w14:solidFill>
                </w14:textFill>
              </w:rPr>
            </w:pPr>
          </w:p>
        </w:tc>
      </w:tr>
    </w:tbl>
    <w:p w14:paraId="12BA1967">
      <w:pPr>
        <w:pStyle w:val="19"/>
        <w:shd w:val="clear"/>
        <w:rPr>
          <w:color w:val="000000" w:themeColor="text1"/>
          <w:highlight w:val="none"/>
          <w14:textFill>
            <w14:solidFill>
              <w14:schemeClr w14:val="tx1"/>
            </w14:solidFill>
          </w14:textFill>
        </w:rPr>
      </w:pPr>
    </w:p>
    <w:p w14:paraId="32112BBD">
      <w:pPr>
        <w:shd w:val="clear"/>
        <w:spacing w:line="360" w:lineRule="auto"/>
        <w:rPr>
          <w:rFonts w:ascii="宋体" w:hAnsi="宋体" w:cs="宋体"/>
          <w:b/>
          <w:color w:val="000000" w:themeColor="text1"/>
          <w:sz w:val="24"/>
          <w:szCs w:val="22"/>
          <w:highlight w:val="none"/>
          <w14:textFill>
            <w14:solidFill>
              <w14:schemeClr w14:val="tx1"/>
            </w14:solidFill>
          </w14:textFill>
        </w:rPr>
      </w:pPr>
      <w:r>
        <w:rPr>
          <w:rFonts w:hint="eastAsia" w:ascii="宋体" w:hAnsi="宋体" w:cs="宋体"/>
          <w:b/>
          <w:color w:val="000000" w:themeColor="text1"/>
          <w:sz w:val="24"/>
          <w:szCs w:val="22"/>
          <w:highlight w:val="none"/>
          <w14:textFill>
            <w14:solidFill>
              <w14:schemeClr w14:val="tx1"/>
            </w14:solidFill>
          </w14:textFill>
        </w:rPr>
        <w:t>填报要求：</w:t>
      </w:r>
    </w:p>
    <w:p w14:paraId="2F7D1768">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本项目投标报价为完成本项目的所有费用，投标人应考虑企业自身实力、经验及项目实施过程中的各种因素，在投标报价中应充分考虑所有可能发生的费用，否则采购人将视投标报价中已包括所有费用</w:t>
      </w:r>
      <w:r>
        <w:rPr>
          <w:rFonts w:hint="eastAsia" w:ascii="宋体" w:hAnsi="宋体" w:cs="宋体"/>
          <w:color w:val="000000" w:themeColor="text1"/>
          <w:sz w:val="24"/>
          <w:szCs w:val="32"/>
          <w:highlight w:val="none"/>
          <w14:textFill>
            <w14:solidFill>
              <w14:schemeClr w14:val="tx1"/>
            </w14:solidFill>
          </w14:textFill>
        </w:rPr>
        <w:t>。</w:t>
      </w:r>
    </w:p>
    <w:p w14:paraId="743D42FE">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14:paraId="3058DAB2">
      <w:pPr>
        <w:shd w:val="clear"/>
        <w:spacing w:line="360" w:lineRule="auto"/>
        <w:ind w:firstLine="480" w:firstLineChars="200"/>
        <w:rPr>
          <w:rFonts w:ascii="宋体" w:hAnsi="宋体" w:cs="宋体"/>
          <w:bCs/>
          <w:color w:val="000000" w:themeColor="text1"/>
          <w:sz w:val="24"/>
          <w:szCs w:val="22"/>
          <w:highlight w:val="none"/>
          <w:lang w:val="zh-CN"/>
          <w14:textFill>
            <w14:solidFill>
              <w14:schemeClr w14:val="tx1"/>
            </w14:solidFill>
          </w14:textFill>
        </w:rPr>
      </w:pPr>
    </w:p>
    <w:p w14:paraId="104E1B0E">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28AC767">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3E66F514">
      <w:pPr>
        <w:shd w:val="clear"/>
        <w:spacing w:line="48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784F15F6">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4F64E4CE">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18A32DDD">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582D896F">
      <w:pPr>
        <w:shd w:val="clear"/>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16</w:t>
      </w:r>
    </w:p>
    <w:p w14:paraId="71CB5469">
      <w:pPr>
        <w:shd w:val="clea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报价明细表</w:t>
      </w:r>
    </w:p>
    <w:p w14:paraId="218319FB">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14:paraId="12F9C1DA">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项目编号：                                       [单位：人民币/元]</w:t>
      </w:r>
    </w:p>
    <w:tbl>
      <w:tblPr>
        <w:tblStyle w:val="2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26"/>
        <w:gridCol w:w="1204"/>
        <w:gridCol w:w="1440"/>
        <w:gridCol w:w="1440"/>
      </w:tblGrid>
      <w:tr w14:paraId="3D8F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07" w:type="dxa"/>
            <w:vAlign w:val="center"/>
          </w:tcPr>
          <w:p w14:paraId="094AC63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4026" w:type="dxa"/>
            <w:vAlign w:val="center"/>
          </w:tcPr>
          <w:p w14:paraId="3C26C88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1204" w:type="dxa"/>
            <w:vAlign w:val="center"/>
          </w:tcPr>
          <w:p w14:paraId="03C86D7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440" w:type="dxa"/>
            <w:vAlign w:val="center"/>
          </w:tcPr>
          <w:p w14:paraId="652C2E1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小计（元）</w:t>
            </w:r>
          </w:p>
        </w:tc>
        <w:tc>
          <w:tcPr>
            <w:tcW w:w="1440" w:type="dxa"/>
            <w:vAlign w:val="center"/>
          </w:tcPr>
          <w:p w14:paraId="644A498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149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7" w:type="dxa"/>
            <w:vAlign w:val="center"/>
          </w:tcPr>
          <w:p w14:paraId="3A80618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26" w:type="dxa"/>
            <w:vAlign w:val="center"/>
          </w:tcPr>
          <w:p w14:paraId="792D7C81">
            <w:pPr>
              <w:shd w:val="clear"/>
              <w:jc w:val="center"/>
              <w:rPr>
                <w:rFonts w:ascii="宋体" w:hAnsi="宋体" w:cs="宋体"/>
                <w:color w:val="000000" w:themeColor="text1"/>
                <w:sz w:val="24"/>
                <w:highlight w:val="none"/>
                <w14:textFill>
                  <w14:solidFill>
                    <w14:schemeClr w14:val="tx1"/>
                  </w14:solidFill>
                </w14:textFill>
              </w:rPr>
            </w:pPr>
          </w:p>
        </w:tc>
        <w:tc>
          <w:tcPr>
            <w:tcW w:w="1204" w:type="dxa"/>
            <w:vAlign w:val="center"/>
          </w:tcPr>
          <w:p w14:paraId="10821E91">
            <w:pPr>
              <w:shd w:val="clea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14:paraId="2FAAF591">
            <w:pPr>
              <w:shd w:val="clea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14:paraId="01AE920C">
            <w:pPr>
              <w:shd w:val="clear"/>
              <w:jc w:val="center"/>
              <w:rPr>
                <w:rFonts w:ascii="宋体" w:hAnsi="宋体" w:cs="宋体"/>
                <w:color w:val="000000" w:themeColor="text1"/>
                <w:sz w:val="24"/>
                <w:highlight w:val="none"/>
                <w14:textFill>
                  <w14:solidFill>
                    <w14:schemeClr w14:val="tx1"/>
                  </w14:solidFill>
                </w14:textFill>
              </w:rPr>
            </w:pPr>
          </w:p>
        </w:tc>
      </w:tr>
      <w:tr w14:paraId="616A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7" w:type="dxa"/>
            <w:vAlign w:val="center"/>
          </w:tcPr>
          <w:p w14:paraId="4703D50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26" w:type="dxa"/>
            <w:vAlign w:val="center"/>
          </w:tcPr>
          <w:p w14:paraId="36953462">
            <w:pPr>
              <w:shd w:val="clear"/>
              <w:jc w:val="center"/>
              <w:rPr>
                <w:rFonts w:ascii="宋体" w:hAnsi="宋体" w:cs="宋体"/>
                <w:color w:val="000000" w:themeColor="text1"/>
                <w:sz w:val="24"/>
                <w:highlight w:val="none"/>
                <w14:textFill>
                  <w14:solidFill>
                    <w14:schemeClr w14:val="tx1"/>
                  </w14:solidFill>
                </w14:textFill>
              </w:rPr>
            </w:pPr>
          </w:p>
        </w:tc>
        <w:tc>
          <w:tcPr>
            <w:tcW w:w="1204" w:type="dxa"/>
            <w:vAlign w:val="center"/>
          </w:tcPr>
          <w:p w14:paraId="7204999A">
            <w:pPr>
              <w:shd w:val="clea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14:paraId="64101011">
            <w:pPr>
              <w:shd w:val="clea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14:paraId="4AA5E6BD">
            <w:pPr>
              <w:shd w:val="clear"/>
              <w:jc w:val="center"/>
              <w:rPr>
                <w:rFonts w:ascii="宋体" w:hAnsi="宋体" w:cs="宋体"/>
                <w:color w:val="000000" w:themeColor="text1"/>
                <w:sz w:val="24"/>
                <w:highlight w:val="none"/>
                <w14:textFill>
                  <w14:solidFill>
                    <w14:schemeClr w14:val="tx1"/>
                  </w14:solidFill>
                </w14:textFill>
              </w:rPr>
            </w:pPr>
          </w:p>
        </w:tc>
      </w:tr>
      <w:tr w14:paraId="4762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7" w:type="dxa"/>
            <w:vAlign w:val="center"/>
          </w:tcPr>
          <w:p w14:paraId="30B18AD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026" w:type="dxa"/>
            <w:vAlign w:val="center"/>
          </w:tcPr>
          <w:p w14:paraId="19070294">
            <w:pPr>
              <w:shd w:val="clear"/>
              <w:jc w:val="center"/>
              <w:rPr>
                <w:rFonts w:ascii="宋体" w:hAnsi="宋体" w:cs="宋体"/>
                <w:color w:val="000000" w:themeColor="text1"/>
                <w:sz w:val="24"/>
                <w:highlight w:val="none"/>
                <w14:textFill>
                  <w14:solidFill>
                    <w14:schemeClr w14:val="tx1"/>
                  </w14:solidFill>
                </w14:textFill>
              </w:rPr>
            </w:pPr>
          </w:p>
        </w:tc>
        <w:tc>
          <w:tcPr>
            <w:tcW w:w="1204" w:type="dxa"/>
            <w:vAlign w:val="center"/>
          </w:tcPr>
          <w:p w14:paraId="6524B0A8">
            <w:pPr>
              <w:shd w:val="clea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14:paraId="6817CBE1">
            <w:pPr>
              <w:shd w:val="clea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14:paraId="7AA826CB">
            <w:pPr>
              <w:shd w:val="clear"/>
              <w:jc w:val="center"/>
              <w:rPr>
                <w:rFonts w:ascii="宋体" w:hAnsi="宋体" w:cs="宋体"/>
                <w:color w:val="000000" w:themeColor="text1"/>
                <w:sz w:val="24"/>
                <w:highlight w:val="none"/>
                <w14:textFill>
                  <w14:solidFill>
                    <w14:schemeClr w14:val="tx1"/>
                  </w14:solidFill>
                </w14:textFill>
              </w:rPr>
            </w:pPr>
          </w:p>
        </w:tc>
      </w:tr>
      <w:tr w14:paraId="583F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917" w:type="dxa"/>
            <w:gridSpan w:val="5"/>
            <w:vAlign w:val="center"/>
          </w:tcPr>
          <w:p w14:paraId="5DBA860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总计：大写                          小写</w:t>
            </w:r>
          </w:p>
        </w:tc>
      </w:tr>
    </w:tbl>
    <w:p w14:paraId="5A916928">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714AB0EF">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1.本表为《首次报价一览表》的报价明细表，如有缺项、漏项，视为投标报价中已包含相关费用，采购人无需另外支付任何费用。</w:t>
      </w:r>
    </w:p>
    <w:p w14:paraId="0FF0797E">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“报价明细表”中的报价合计应与“首次报价一览表”中的投标总报价相一致，不一致时，以首次报价一览表为准。</w:t>
      </w:r>
    </w:p>
    <w:p w14:paraId="65156C80">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投标报价明细表所填内容按采购文件采购需求为准。如有漏报的，视同已包含在投标总价内或已作优惠处理。有重大缺项的将作无效响应处理。</w:t>
      </w:r>
    </w:p>
    <w:p w14:paraId="4E6586B1">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64F4F365">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4314ADC">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0184C21A">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50FBE1E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8E7F59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3D5F368">
      <w:pPr>
        <w:pStyle w:val="2"/>
        <w:shd w:val="clear"/>
        <w:rPr>
          <w:rFonts w:ascii="宋体" w:hAnsi="宋体" w:cs="宋体"/>
          <w:color w:val="000000" w:themeColor="text1"/>
          <w:sz w:val="24"/>
          <w:szCs w:val="32"/>
          <w:highlight w:val="none"/>
          <w14:textFill>
            <w14:solidFill>
              <w14:schemeClr w14:val="tx1"/>
            </w14:solidFill>
          </w14:textFill>
        </w:rPr>
      </w:pPr>
    </w:p>
    <w:p w14:paraId="53DE5871">
      <w:pPr>
        <w:shd w:val="clear"/>
        <w:rPr>
          <w:color w:val="000000" w:themeColor="text1"/>
          <w:highlight w:val="none"/>
          <w14:textFill>
            <w14:solidFill>
              <w14:schemeClr w14:val="tx1"/>
            </w14:solidFill>
          </w14:textFill>
        </w:rPr>
      </w:pPr>
    </w:p>
    <w:p w14:paraId="59691CD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F927EC7">
      <w:pPr>
        <w:shd w:val="clear"/>
        <w:tabs>
          <w:tab w:val="left" w:pos="3360"/>
        </w:tabs>
        <w:spacing w:line="480" w:lineRule="auto"/>
        <w:jc w:val="center"/>
        <w:textAlignment w:val="baseline"/>
        <w:rPr>
          <w:rStyle w:val="34"/>
          <w:rFonts w:hint="eastAsia" w:ascii="宋体" w:hAnsi="宋体" w:eastAsia="宋体" w:cs="宋体"/>
          <w:b/>
          <w:bCs/>
          <w:color w:val="000000" w:themeColor="text1"/>
          <w:sz w:val="28"/>
          <w:szCs w:val="28"/>
          <w:highlight w:val="none"/>
          <w14:textFill>
            <w14:solidFill>
              <w14:schemeClr w14:val="tx1"/>
            </w14:solidFill>
          </w14:textFill>
        </w:rPr>
      </w:pPr>
      <w:r>
        <w:rPr>
          <w:rStyle w:val="34"/>
          <w:rFonts w:hint="eastAsia" w:ascii="宋体" w:hAnsi="宋体" w:eastAsia="宋体" w:cs="宋体"/>
          <w:b/>
          <w:bCs/>
          <w:color w:val="000000" w:themeColor="text1"/>
          <w:sz w:val="28"/>
          <w:szCs w:val="28"/>
          <w:highlight w:val="none"/>
          <w14:textFill>
            <w14:solidFill>
              <w14:schemeClr w14:val="tx1"/>
            </w14:solidFill>
          </w14:textFill>
        </w:rPr>
        <w:t>政府采购活动确认声明书</w:t>
      </w:r>
    </w:p>
    <w:p w14:paraId="2ACBBD1C">
      <w:pPr>
        <w:widowControl/>
        <w:shd w:val="clear"/>
        <w:tabs>
          <w:tab w:val="left" w:pos="3360"/>
        </w:tabs>
        <w:spacing w:line="390" w:lineRule="exact"/>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b/>
          <w:bCs/>
          <w:color w:val="000000" w:themeColor="text1"/>
          <w:sz w:val="24"/>
          <w:szCs w:val="32"/>
          <w:highlight w:val="none"/>
          <w:u w:val="single"/>
          <w14:textFill>
            <w14:solidFill>
              <w14:schemeClr w14:val="tx1"/>
            </w14:solidFill>
          </w14:textFill>
        </w:rPr>
        <w:t>浙江五石中正工程咨询有限公司</w:t>
      </w:r>
      <w:r>
        <w:rPr>
          <w:rStyle w:val="34"/>
          <w:rFonts w:hint="eastAsia" w:ascii="宋体" w:hAnsi="宋体" w:eastAsia="宋体" w:cs="宋体"/>
          <w:color w:val="000000" w:themeColor="text1"/>
          <w:sz w:val="24"/>
          <w:szCs w:val="32"/>
          <w:highlight w:val="none"/>
          <w14:textFill>
            <w14:solidFill>
              <w14:schemeClr w14:val="tx1"/>
            </w14:solidFill>
          </w14:textFill>
        </w:rPr>
        <w:t>（采购组织机构名称）：</w:t>
      </w:r>
    </w:p>
    <w:p w14:paraId="1DF97548">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本人经由</w:t>
      </w:r>
      <w:r>
        <w:rPr>
          <w:rStyle w:val="34"/>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Style w:val="34"/>
          <w:rFonts w:hint="eastAsia" w:ascii="宋体" w:hAnsi="宋体" w:eastAsia="宋体" w:cs="宋体"/>
          <w:color w:val="000000" w:themeColor="text1"/>
          <w:sz w:val="24"/>
          <w:szCs w:val="32"/>
          <w:highlight w:val="none"/>
          <w14:textFill>
            <w14:solidFill>
              <w14:schemeClr w14:val="tx1"/>
            </w14:solidFill>
          </w14:textFill>
        </w:rPr>
        <w:t>（投标人全称）</w:t>
      </w:r>
      <w:r>
        <w:rPr>
          <w:rStyle w:val="34"/>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Style w:val="34"/>
          <w:rFonts w:hint="eastAsia" w:ascii="宋体" w:hAnsi="宋体" w:eastAsia="宋体" w:cs="宋体"/>
          <w:color w:val="000000" w:themeColor="text1"/>
          <w:sz w:val="24"/>
          <w:szCs w:val="32"/>
          <w:highlight w:val="none"/>
          <w14:textFill>
            <w14:solidFill>
              <w14:schemeClr w14:val="tx1"/>
            </w14:solidFill>
          </w14:textFill>
        </w:rPr>
        <w:t>（法人代表姓名）合法授权参加</w:t>
      </w:r>
      <w:r>
        <w:rPr>
          <w:rFonts w:hint="eastAsia" w:ascii="宋体" w:hAnsi="宋体" w:cs="宋体"/>
          <w:color w:val="000000" w:themeColor="text1"/>
          <w:sz w:val="24"/>
          <w:szCs w:val="32"/>
          <w:highlight w:val="none"/>
          <w:u w:val="single"/>
          <w:lang w:eastAsia="zh-CN"/>
          <w14:textFill>
            <w14:solidFill>
              <w14:schemeClr w14:val="tx1"/>
            </w14:solidFill>
          </w14:textFill>
        </w:rPr>
        <w:t>食堂劳务外包服务项目（二次）</w:t>
      </w:r>
      <w:r>
        <w:rPr>
          <w:rStyle w:val="34"/>
          <w:rFonts w:hint="eastAsia" w:ascii="宋体" w:hAnsi="宋体" w:eastAsia="宋体" w:cs="宋体"/>
          <w:color w:val="000000" w:themeColor="text1"/>
          <w:sz w:val="24"/>
          <w:szCs w:val="32"/>
          <w:highlight w:val="none"/>
          <w14:textFill>
            <w14:solidFill>
              <w14:schemeClr w14:val="tx1"/>
            </w14:solidFill>
          </w14:textFill>
        </w:rPr>
        <w:t>（项目编号：</w:t>
      </w:r>
      <w:r>
        <w:rPr>
          <w:rStyle w:val="34"/>
          <w:rFonts w:hint="eastAsia" w:ascii="宋体" w:hAnsi="宋体" w:cs="宋体"/>
          <w:b/>
          <w:bCs/>
          <w:color w:val="000000" w:themeColor="text1"/>
          <w:sz w:val="24"/>
          <w:szCs w:val="32"/>
          <w:highlight w:val="none"/>
          <w:u w:val="single"/>
          <w:lang w:eastAsia="zh-CN"/>
          <w14:textFill>
            <w14:solidFill>
              <w14:schemeClr w14:val="tx1"/>
            </w14:solidFill>
          </w14:textFill>
        </w:rPr>
        <w:t>ZJWS2024-LQ130-1</w:t>
      </w:r>
      <w:r>
        <w:rPr>
          <w:rStyle w:val="34"/>
          <w:rFonts w:hint="eastAsia" w:ascii="宋体" w:hAnsi="宋体" w:eastAsia="宋体" w:cs="宋体"/>
          <w:color w:val="000000" w:themeColor="text1"/>
          <w:sz w:val="24"/>
          <w:szCs w:val="32"/>
          <w:highlight w:val="none"/>
          <w14:textFill>
            <w14:solidFill>
              <w14:schemeClr w14:val="tx1"/>
            </w14:solidFill>
          </w14:textFill>
        </w:rPr>
        <w:t>）政府采购活动，经与本单位法人代表（负责人）联系确认，现就有关公平竞争事项郑重声明如下：</w:t>
      </w:r>
    </w:p>
    <w:p w14:paraId="047956B1">
      <w:pPr>
        <w:widowControl/>
        <w:shd w:val="clear"/>
        <w:tabs>
          <w:tab w:val="left" w:pos="3360"/>
        </w:tabs>
        <w:spacing w:line="390" w:lineRule="exact"/>
        <w:ind w:firstLine="241" w:firstLineChars="100"/>
        <w:jc w:val="left"/>
        <w:textAlignment w:val="baseline"/>
        <w:rPr>
          <w:rStyle w:val="34"/>
          <w:rFonts w:hint="eastAsia" w:ascii="宋体" w:hAnsi="宋体" w:eastAsia="宋体" w:cs="宋体"/>
          <w:b/>
          <w:bCs/>
          <w:color w:val="000000" w:themeColor="text1"/>
          <w:sz w:val="24"/>
          <w:szCs w:val="32"/>
          <w:highlight w:val="none"/>
          <w14:textFill>
            <w14:solidFill>
              <w14:schemeClr w14:val="tx1"/>
            </w14:solidFill>
          </w14:textFill>
        </w:rPr>
      </w:pPr>
      <w:r>
        <w:rPr>
          <w:rStyle w:val="34"/>
          <w:rFonts w:hint="eastAsia" w:ascii="宋体" w:hAnsi="宋体" w:eastAsia="宋体" w:cs="宋体"/>
          <w:b/>
          <w:bCs/>
          <w:color w:val="000000" w:themeColor="text1"/>
          <w:sz w:val="24"/>
          <w:szCs w:val="32"/>
          <w:highlight w:val="none"/>
          <w14:textFill>
            <w14:solidFill>
              <w14:schemeClr w14:val="tx1"/>
            </w14:solidFill>
          </w14:textFill>
        </w:rPr>
        <w:t>一、本单位与采购人之间</w:t>
      </w:r>
    </w:p>
    <w:p w14:paraId="3AE28D82">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□不存在利害关系</w:t>
      </w:r>
    </w:p>
    <w:p w14:paraId="103EDE9A">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□存在下列利害关系：</w:t>
      </w:r>
    </w:p>
    <w:p w14:paraId="75EDAD0A">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A.投资关系    B.行政隶属关系    C.业务指导关系</w:t>
      </w:r>
    </w:p>
    <w:p w14:paraId="10D69B09">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D.其他可能影响采购公正的利害关系（如有，请如实说明）</w:t>
      </w:r>
      <w:r>
        <w:rPr>
          <w:rStyle w:val="34"/>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Style w:val="34"/>
          <w:rFonts w:hint="eastAsia" w:ascii="宋体" w:hAnsi="宋体" w:eastAsia="宋体" w:cs="宋体"/>
          <w:color w:val="000000" w:themeColor="text1"/>
          <w:sz w:val="24"/>
          <w:szCs w:val="32"/>
          <w:highlight w:val="none"/>
          <w14:textFill>
            <w14:solidFill>
              <w14:schemeClr w14:val="tx1"/>
            </w14:solidFill>
          </w14:textFill>
        </w:rPr>
        <w:t>。</w:t>
      </w:r>
    </w:p>
    <w:p w14:paraId="51FAEED8">
      <w:pPr>
        <w:widowControl/>
        <w:shd w:val="clear"/>
        <w:tabs>
          <w:tab w:val="left" w:pos="3360"/>
        </w:tabs>
        <w:spacing w:line="390" w:lineRule="exact"/>
        <w:ind w:firstLine="241" w:firstLineChars="100"/>
        <w:jc w:val="left"/>
        <w:textAlignment w:val="baseline"/>
        <w:rPr>
          <w:rStyle w:val="34"/>
          <w:rFonts w:hint="eastAsia" w:ascii="宋体" w:hAnsi="宋体" w:eastAsia="宋体" w:cs="宋体"/>
          <w:b/>
          <w:bCs/>
          <w:color w:val="000000" w:themeColor="text1"/>
          <w:sz w:val="24"/>
          <w:szCs w:val="32"/>
          <w:highlight w:val="none"/>
          <w14:textFill>
            <w14:solidFill>
              <w14:schemeClr w14:val="tx1"/>
            </w14:solidFill>
          </w14:textFill>
        </w:rPr>
      </w:pPr>
      <w:r>
        <w:rPr>
          <w:rStyle w:val="34"/>
          <w:rFonts w:hint="eastAsia" w:ascii="宋体" w:hAnsi="宋体" w:eastAsia="宋体" w:cs="宋体"/>
          <w:b/>
          <w:bCs/>
          <w:color w:val="000000" w:themeColor="text1"/>
          <w:sz w:val="24"/>
          <w:szCs w:val="32"/>
          <w:highlight w:val="none"/>
          <w14:textFill>
            <w14:solidFill>
              <w14:schemeClr w14:val="tx1"/>
            </w14:solidFill>
          </w14:textFill>
        </w:rPr>
        <w:t>二、现已清楚知道参加本项目采购活动的其他所有供应商名称，本单位</w:t>
      </w:r>
    </w:p>
    <w:p w14:paraId="50A78A9D">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□与其他所有供应商之间均不存在利害关系</w:t>
      </w:r>
    </w:p>
    <w:p w14:paraId="286BC6E5">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□与之间存在下列利害关系：</w:t>
      </w:r>
    </w:p>
    <w:p w14:paraId="02158FAB">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A.法定代表人或负责人或实际控制人是同一人</w:t>
      </w:r>
    </w:p>
    <w:p w14:paraId="7366C549">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B.法定代表人或负责人或实际控制人是夫妻关系</w:t>
      </w:r>
    </w:p>
    <w:p w14:paraId="42805667">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C.法定代表人或负责人或实际控制人是直系血亲关系</w:t>
      </w:r>
    </w:p>
    <w:p w14:paraId="0EFB646E">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D.法定代表人或负责人或实际控制人存在三代以内旁系血亲关系</w:t>
      </w:r>
    </w:p>
    <w:p w14:paraId="2F9F4474">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E.法定代表人或负责人或实际控制人存在近姻亲关系</w:t>
      </w:r>
    </w:p>
    <w:p w14:paraId="5442AE41">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F.法定代表人或负责人或实际控制人存在股份控制或实际控制关系</w:t>
      </w:r>
    </w:p>
    <w:p w14:paraId="7D0B4E55">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G.存在共同直接或间接投资设立子公司、联营企业和合营企业情况</w:t>
      </w:r>
    </w:p>
    <w:p w14:paraId="0FA6A03E">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63C08144">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I.其他利害关系情况</w:t>
      </w:r>
      <w:r>
        <w:rPr>
          <w:rStyle w:val="34"/>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Style w:val="34"/>
          <w:rFonts w:hint="eastAsia" w:ascii="宋体" w:hAnsi="宋体" w:eastAsia="宋体" w:cs="宋体"/>
          <w:color w:val="000000" w:themeColor="text1"/>
          <w:sz w:val="24"/>
          <w:szCs w:val="32"/>
          <w:highlight w:val="none"/>
          <w14:textFill>
            <w14:solidFill>
              <w14:schemeClr w14:val="tx1"/>
            </w14:solidFill>
          </w14:textFill>
        </w:rPr>
        <w:t>。</w:t>
      </w:r>
    </w:p>
    <w:p w14:paraId="3B69865F">
      <w:pPr>
        <w:widowControl/>
        <w:shd w:val="clear"/>
        <w:tabs>
          <w:tab w:val="left" w:pos="3360"/>
        </w:tabs>
        <w:spacing w:line="390" w:lineRule="exact"/>
        <w:ind w:firstLine="241" w:firstLineChars="100"/>
        <w:jc w:val="left"/>
        <w:textAlignment w:val="baseline"/>
        <w:rPr>
          <w:rStyle w:val="34"/>
          <w:rFonts w:hint="eastAsia" w:ascii="宋体" w:hAnsi="宋体" w:eastAsia="宋体" w:cs="宋体"/>
          <w:b/>
          <w:bCs/>
          <w:color w:val="000000" w:themeColor="text1"/>
          <w:sz w:val="24"/>
          <w:szCs w:val="32"/>
          <w:highlight w:val="none"/>
          <w14:textFill>
            <w14:solidFill>
              <w14:schemeClr w14:val="tx1"/>
            </w14:solidFill>
          </w14:textFill>
        </w:rPr>
      </w:pPr>
      <w:r>
        <w:rPr>
          <w:rStyle w:val="34"/>
          <w:rFonts w:hint="eastAsia" w:ascii="宋体" w:hAnsi="宋体" w:eastAsia="宋体" w:cs="宋体"/>
          <w:b/>
          <w:bCs/>
          <w:color w:val="000000" w:themeColor="text1"/>
          <w:sz w:val="24"/>
          <w:szCs w:val="32"/>
          <w:highlight w:val="none"/>
          <w14:textFill>
            <w14:solidFill>
              <w14:schemeClr w14:val="tx1"/>
            </w14:solidFill>
          </w14:textFill>
        </w:rPr>
        <w:t>三、现已清楚知道并严格遵守政府采购法律法规。</w:t>
      </w:r>
    </w:p>
    <w:p w14:paraId="07CB5B6A">
      <w:pPr>
        <w:widowControl/>
        <w:shd w:val="clear"/>
        <w:tabs>
          <w:tab w:val="left" w:pos="3360"/>
        </w:tabs>
        <w:spacing w:line="390" w:lineRule="exact"/>
        <w:ind w:firstLine="241" w:firstLineChars="100"/>
        <w:jc w:val="left"/>
        <w:textAlignment w:val="baseline"/>
        <w:rPr>
          <w:rStyle w:val="34"/>
          <w:rFonts w:hint="eastAsia" w:ascii="宋体" w:hAnsi="宋体" w:eastAsia="宋体" w:cs="宋体"/>
          <w:b/>
          <w:bCs/>
          <w:color w:val="000000" w:themeColor="text1"/>
          <w:sz w:val="24"/>
          <w:szCs w:val="32"/>
          <w:highlight w:val="none"/>
          <w14:textFill>
            <w14:solidFill>
              <w14:schemeClr w14:val="tx1"/>
            </w14:solidFill>
          </w14:textFill>
        </w:rPr>
      </w:pPr>
      <w:r>
        <w:rPr>
          <w:rStyle w:val="34"/>
          <w:rFonts w:hint="eastAsia" w:ascii="宋体" w:hAnsi="宋体" w:eastAsia="宋体" w:cs="宋体"/>
          <w:b/>
          <w:bCs/>
          <w:color w:val="000000" w:themeColor="text1"/>
          <w:sz w:val="24"/>
          <w:szCs w:val="32"/>
          <w:highlight w:val="none"/>
          <w14:textFill>
            <w14:solidFill>
              <w14:schemeClr w14:val="tx1"/>
            </w14:solidFill>
          </w14:textFill>
        </w:rPr>
        <w:t>四、我发现供应商之间存在或可能存在上述第二条第</w:t>
      </w:r>
      <w:r>
        <w:rPr>
          <w:rStyle w:val="34"/>
          <w:rFonts w:hint="eastAsia" w:ascii="宋体" w:hAnsi="宋体" w:eastAsia="宋体" w:cs="宋体"/>
          <w:b/>
          <w:bCs/>
          <w:color w:val="000000" w:themeColor="text1"/>
          <w:sz w:val="24"/>
          <w:szCs w:val="32"/>
          <w:highlight w:val="none"/>
          <w:u w:val="single"/>
          <w14:textFill>
            <w14:solidFill>
              <w14:schemeClr w14:val="tx1"/>
            </w14:solidFill>
          </w14:textFill>
        </w:rPr>
        <w:t xml:space="preserve">         </w:t>
      </w:r>
      <w:r>
        <w:rPr>
          <w:rStyle w:val="34"/>
          <w:rFonts w:hint="eastAsia" w:ascii="宋体" w:hAnsi="宋体" w:eastAsia="宋体" w:cs="宋体"/>
          <w:b/>
          <w:bCs/>
          <w:color w:val="000000" w:themeColor="text1"/>
          <w:sz w:val="24"/>
          <w:szCs w:val="32"/>
          <w:highlight w:val="none"/>
          <w14:textFill>
            <w14:solidFill>
              <w14:schemeClr w14:val="tx1"/>
            </w14:solidFill>
          </w14:textFill>
        </w:rPr>
        <w:t>项利害关系。</w:t>
      </w:r>
    </w:p>
    <w:p w14:paraId="4BE06073">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□不存在利害关系</w:t>
      </w:r>
    </w:p>
    <w:p w14:paraId="356505E5">
      <w:pPr>
        <w:widowControl/>
        <w:shd w:val="clear"/>
        <w:tabs>
          <w:tab w:val="left" w:pos="3360"/>
        </w:tabs>
        <w:spacing w:line="390" w:lineRule="exact"/>
        <w:ind w:firstLine="480" w:firstLineChars="2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□存在下列利害关系</w:t>
      </w:r>
    </w:p>
    <w:p w14:paraId="429D91E1">
      <w:pPr>
        <w:widowControl/>
        <w:shd w:val="clear"/>
        <w:tabs>
          <w:tab w:val="left" w:pos="3360"/>
        </w:tabs>
        <w:spacing w:line="390" w:lineRule="exact"/>
        <w:ind w:firstLine="4800" w:firstLineChars="2000"/>
        <w:jc w:val="lef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供应商代表签名：</w:t>
      </w:r>
    </w:p>
    <w:p w14:paraId="746B9577">
      <w:pPr>
        <w:widowControl/>
        <w:shd w:val="clear"/>
        <w:tabs>
          <w:tab w:val="left" w:pos="3360"/>
        </w:tabs>
        <w:spacing w:line="390" w:lineRule="exact"/>
        <w:jc w:val="right"/>
        <w:textAlignment w:val="baseline"/>
        <w:rPr>
          <w:rStyle w:val="34"/>
          <w:rFonts w:hint="eastAsia" w:ascii="宋体" w:hAnsi="宋体" w:eastAsia="宋体" w:cs="宋体"/>
          <w:color w:val="000000" w:themeColor="text1"/>
          <w:sz w:val="24"/>
          <w:szCs w:val="32"/>
          <w:highlight w:val="none"/>
          <w14:textFill>
            <w14:solidFill>
              <w14:schemeClr w14:val="tx1"/>
            </w14:solidFill>
          </w14:textFill>
        </w:rPr>
      </w:pPr>
      <w:r>
        <w:rPr>
          <w:rStyle w:val="34"/>
          <w:rFonts w:hint="eastAsia" w:ascii="宋体" w:hAnsi="宋体" w:eastAsia="宋体" w:cs="宋体"/>
          <w:color w:val="000000" w:themeColor="text1"/>
          <w:sz w:val="24"/>
          <w:szCs w:val="32"/>
          <w:highlight w:val="none"/>
          <w14:textFill>
            <w14:solidFill>
              <w14:schemeClr w14:val="tx1"/>
            </w14:solidFill>
          </w14:textFill>
        </w:rPr>
        <w:t>202</w:t>
      </w:r>
      <w:r>
        <w:rPr>
          <w:rStyle w:val="34"/>
          <w:rFonts w:hint="eastAsia" w:ascii="宋体" w:hAnsi="宋体" w:eastAsia="宋体" w:cs="宋体"/>
          <w:color w:val="000000" w:themeColor="text1"/>
          <w:sz w:val="24"/>
          <w:szCs w:val="32"/>
          <w:highlight w:val="none"/>
          <w:lang w:val="en-US"/>
          <w14:textFill>
            <w14:solidFill>
              <w14:schemeClr w14:val="tx1"/>
            </w14:solidFill>
          </w14:textFill>
        </w:rPr>
        <w:t>4</w:t>
      </w:r>
      <w:r>
        <w:rPr>
          <w:rStyle w:val="34"/>
          <w:rFonts w:hint="eastAsia" w:ascii="宋体" w:hAnsi="宋体" w:eastAsia="宋体" w:cs="宋体"/>
          <w:color w:val="000000" w:themeColor="text1"/>
          <w:sz w:val="24"/>
          <w:szCs w:val="32"/>
          <w:highlight w:val="none"/>
          <w14:textFill>
            <w14:solidFill>
              <w14:schemeClr w14:val="tx1"/>
            </w14:solidFill>
          </w14:textFill>
        </w:rPr>
        <w:t>年  月  日</w:t>
      </w:r>
    </w:p>
    <w:p w14:paraId="190DA23A">
      <w:pPr>
        <w:widowControl/>
        <w:shd w:val="clear"/>
        <w:tabs>
          <w:tab w:val="left" w:pos="3360"/>
        </w:tabs>
        <w:spacing w:line="390" w:lineRule="exact"/>
        <w:ind w:firstLine="482" w:firstLineChars="200"/>
        <w:jc w:val="left"/>
        <w:textAlignment w:val="baseline"/>
        <w:rPr>
          <w:rFonts w:hint="eastAsia" w:ascii="宋体" w:hAnsi="宋体" w:eastAsia="宋体" w:cs="宋体"/>
          <w:b/>
          <w:bCs/>
          <w:color w:val="000000" w:themeColor="text1"/>
          <w:highlight w:val="none"/>
          <w14:textFill>
            <w14:solidFill>
              <w14:schemeClr w14:val="tx1"/>
            </w14:solidFill>
          </w14:textFill>
        </w:rPr>
      </w:pPr>
      <w:r>
        <w:rPr>
          <w:rStyle w:val="34"/>
          <w:rFonts w:hint="eastAsia" w:ascii="宋体" w:hAnsi="宋体" w:eastAsia="宋体" w:cs="宋体"/>
          <w:b/>
          <w:bCs/>
          <w:color w:val="000000" w:themeColor="text1"/>
          <w:sz w:val="24"/>
          <w:szCs w:val="32"/>
          <w:highlight w:val="none"/>
          <w14:textFill>
            <w14:solidFill>
              <w14:schemeClr w14:val="tx1"/>
            </w14:solidFill>
          </w14:textFill>
        </w:rPr>
        <w:t>说明：商务技术文件开启后30分钟内，供应商通过邮件形式将经授权委托代理人签署的《政府采购活动确认声明书》扫描件发至代理机构邮箱（邮箱地址：zjwstz@163.com）；不填写或未按规定发出邮件的，视同默认不存在确认声明书中的相关违规情形。</w:t>
      </w:r>
    </w:p>
    <w:p w14:paraId="232E9BCF">
      <w:pPr>
        <w:shd w:val="clear"/>
        <w:rPr>
          <w:color w:val="000000" w:themeColor="text1"/>
          <w:highlight w:val="none"/>
          <w14:textFill>
            <w14:solidFill>
              <w14:schemeClr w14:val="tx1"/>
            </w14:solidFill>
          </w14:textFill>
        </w:rPr>
      </w:pPr>
    </w:p>
    <w:sectPr>
      <w:headerReference r:id="rId5" w:type="default"/>
      <w:pgSz w:w="11906" w:h="16838"/>
      <w:pgMar w:top="1383" w:right="1746" w:bottom="1327" w:left="1746"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Helvetica">
    <w:altName w:val="Arial"/>
    <w:panose1 w:val="020B0604020002020204"/>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C350">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E795DA">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2E795DA">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C8F9C89">
      <w:pPr>
        <w:pStyle w:val="21"/>
        <w:snapToGrid w:val="0"/>
      </w:pPr>
      <w:r>
        <w:rPr>
          <w:rStyle w:val="33"/>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C8B9">
    <w:pPr>
      <w:spacing w:line="20" w:lineRule="atLeast"/>
      <w:rPr>
        <w:b/>
        <w:color w:val="000000"/>
        <w:sz w:val="10"/>
        <w:u w:val="single"/>
      </w:rPr>
    </w:pPr>
    <w:r>
      <w:rPr>
        <w:rFonts w:hint="eastAsia"/>
        <w:b/>
        <w:i/>
        <w:color w:val="000000"/>
        <w:kern w:val="0"/>
        <w:sz w:val="18"/>
        <w:u w:val="single"/>
      </w:rPr>
      <w:t>台州市路桥区政府采购电子竞争性磋商文件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23</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44</w:t>
    </w:r>
    <w:r>
      <w:rPr>
        <w:b/>
        <w:i/>
        <w:color w:val="000000"/>
        <w:spacing w:val="-20"/>
        <w:kern w:val="0"/>
        <w:sz w:val="18"/>
        <w:u w:val="single"/>
      </w:rPr>
      <w:fldChar w:fldCharType="end"/>
    </w:r>
    <w:r>
      <w:rPr>
        <w:rFonts w:hint="eastAsia"/>
        <w:b/>
        <w:i/>
        <w:color w:val="000000"/>
        <w:spacing w:val="-20"/>
        <w:kern w:val="0"/>
        <w:sz w:val="18"/>
        <w:u w:val="single"/>
      </w:rPr>
      <w:t>页</w:t>
    </w:r>
  </w:p>
  <w:p w14:paraId="7E9A4885">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01"/>
    <w:multiLevelType w:val="singleLevel"/>
    <w:tmpl w:val="00000001"/>
    <w:lvl w:ilvl="0" w:tentative="0">
      <w:start w:val="1"/>
      <w:numFmt w:val="decimal"/>
      <w:pStyle w:val="6"/>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4"/>
      <w:numFmt w:val="chineseCounting"/>
      <w:suff w:val="nothing"/>
      <w:lvlText w:val="（%1）"/>
      <w:lvlJc w:val="left"/>
      <w:rPr>
        <w:rFonts w:hint="eastAsia"/>
      </w:rPr>
    </w:lvl>
  </w:abstractNum>
  <w:abstractNum w:abstractNumId="3">
    <w:nsid w:val="00000003"/>
    <w:multiLevelType w:val="singleLevel"/>
    <w:tmpl w:val="00000003"/>
    <w:lvl w:ilvl="0" w:tentative="0">
      <w:start w:val="4"/>
      <w:numFmt w:val="chineseCounting"/>
      <w:suff w:val="space"/>
      <w:lvlText w:val="第%1部分"/>
      <w:lvlJc w:val="left"/>
      <w:rPr>
        <w:rFonts w:hint="eastAsia"/>
      </w:rPr>
    </w:lvl>
  </w:abstractNum>
  <w:abstractNum w:abstractNumId="4">
    <w:nsid w:val="20E80E8E"/>
    <w:multiLevelType w:val="singleLevel"/>
    <w:tmpl w:val="20E80E8E"/>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jdkYmE0ZGFmMWI0YThlNWJlNjI3OTNmOTNmMzkifQ=="/>
    <w:docVar w:name="KSO_WPS_MARK_KEY" w:val="a2a96e39-7687-40c3-964c-6123ca2f20bc"/>
  </w:docVars>
  <w:rsids>
    <w:rsidRoot w:val="00000000"/>
    <w:rsid w:val="05F15F19"/>
    <w:rsid w:val="06DD197D"/>
    <w:rsid w:val="078C5DA2"/>
    <w:rsid w:val="098737B4"/>
    <w:rsid w:val="0C6A7222"/>
    <w:rsid w:val="0D4E0668"/>
    <w:rsid w:val="0EC9016F"/>
    <w:rsid w:val="0F2509E1"/>
    <w:rsid w:val="102965E2"/>
    <w:rsid w:val="127A3D34"/>
    <w:rsid w:val="13E53AC7"/>
    <w:rsid w:val="1471701A"/>
    <w:rsid w:val="17173305"/>
    <w:rsid w:val="18644328"/>
    <w:rsid w:val="193B7A70"/>
    <w:rsid w:val="199944A6"/>
    <w:rsid w:val="1AD302AC"/>
    <w:rsid w:val="1EC31592"/>
    <w:rsid w:val="21B9530E"/>
    <w:rsid w:val="22347461"/>
    <w:rsid w:val="22453DC6"/>
    <w:rsid w:val="24F50857"/>
    <w:rsid w:val="27C3595D"/>
    <w:rsid w:val="2A394AEC"/>
    <w:rsid w:val="2F9E402D"/>
    <w:rsid w:val="307014E6"/>
    <w:rsid w:val="30823732"/>
    <w:rsid w:val="31AE451A"/>
    <w:rsid w:val="320226A8"/>
    <w:rsid w:val="3342394E"/>
    <w:rsid w:val="34971BA2"/>
    <w:rsid w:val="367D50D0"/>
    <w:rsid w:val="36D13E4F"/>
    <w:rsid w:val="37C37826"/>
    <w:rsid w:val="38020EB3"/>
    <w:rsid w:val="38183075"/>
    <w:rsid w:val="388A1419"/>
    <w:rsid w:val="3A523693"/>
    <w:rsid w:val="3BFB4055"/>
    <w:rsid w:val="3D4F2F4A"/>
    <w:rsid w:val="3E10069C"/>
    <w:rsid w:val="3E6A6447"/>
    <w:rsid w:val="3EE5525A"/>
    <w:rsid w:val="3FC67A05"/>
    <w:rsid w:val="3FE1257F"/>
    <w:rsid w:val="40361065"/>
    <w:rsid w:val="40F51D65"/>
    <w:rsid w:val="41BE4E62"/>
    <w:rsid w:val="42ED5DF4"/>
    <w:rsid w:val="43F81C45"/>
    <w:rsid w:val="44013B38"/>
    <w:rsid w:val="443F7874"/>
    <w:rsid w:val="48CE0F09"/>
    <w:rsid w:val="48F72D2E"/>
    <w:rsid w:val="4B414C39"/>
    <w:rsid w:val="4B553E21"/>
    <w:rsid w:val="4BD7747E"/>
    <w:rsid w:val="4E8C2A19"/>
    <w:rsid w:val="4FD02AF6"/>
    <w:rsid w:val="50E7376D"/>
    <w:rsid w:val="516C778D"/>
    <w:rsid w:val="53AF47CD"/>
    <w:rsid w:val="541770F9"/>
    <w:rsid w:val="54E53EDA"/>
    <w:rsid w:val="58EF2500"/>
    <w:rsid w:val="598C5F52"/>
    <w:rsid w:val="5BD13050"/>
    <w:rsid w:val="5D3A69D3"/>
    <w:rsid w:val="5FC046A4"/>
    <w:rsid w:val="5FD7599D"/>
    <w:rsid w:val="64535B33"/>
    <w:rsid w:val="66A15D8A"/>
    <w:rsid w:val="66E16111"/>
    <w:rsid w:val="694D4681"/>
    <w:rsid w:val="6ADD61D3"/>
    <w:rsid w:val="6EBE7A87"/>
    <w:rsid w:val="6EC24A7A"/>
    <w:rsid w:val="6EF56BFD"/>
    <w:rsid w:val="729902EC"/>
    <w:rsid w:val="74D01AB1"/>
    <w:rsid w:val="77486817"/>
    <w:rsid w:val="78852DA0"/>
    <w:rsid w:val="79D22C75"/>
    <w:rsid w:val="79D25A6C"/>
    <w:rsid w:val="79E1596F"/>
    <w:rsid w:val="7D55293E"/>
    <w:rsid w:val="7FE548BB"/>
    <w:rsid w:val="BFD87E6F"/>
    <w:rsid w:val="DF773EB6"/>
    <w:rsid w:val="FAFF5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76"/>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77"/>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next w:val="8"/>
    <w:qFormat/>
    <w:uiPriority w:val="99"/>
    <w:pPr>
      <w:ind w:firstLine="420"/>
    </w:pPr>
    <w:rPr>
      <w:szCs w:val="20"/>
    </w:rPr>
  </w:style>
  <w:style w:type="paragraph" w:styleId="8">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9">
    <w:name w:val="annotation text"/>
    <w:basedOn w:val="1"/>
    <w:link w:val="79"/>
    <w:qFormat/>
    <w:uiPriority w:val="99"/>
    <w:pPr>
      <w:jc w:val="left"/>
    </w:pPr>
  </w:style>
  <w:style w:type="paragraph" w:styleId="10">
    <w:name w:val="Body Text"/>
    <w:basedOn w:val="1"/>
    <w:next w:val="11"/>
    <w:link w:val="78"/>
    <w:qFormat/>
    <w:uiPriority w:val="99"/>
    <w:pPr>
      <w:spacing w:line="360" w:lineRule="exact"/>
    </w:pPr>
    <w:rPr>
      <w:sz w:val="24"/>
    </w:rPr>
  </w:style>
  <w:style w:type="paragraph" w:styleId="11">
    <w:name w:val="Body Text First Indent"/>
    <w:basedOn w:val="10"/>
    <w:next w:val="1"/>
    <w:qFormat/>
    <w:uiPriority w:val="99"/>
    <w:pPr>
      <w:ind w:firstLine="420"/>
    </w:pPr>
    <w:rPr>
      <w:sz w:val="21"/>
    </w:rPr>
  </w:style>
  <w:style w:type="paragraph" w:styleId="12">
    <w:name w:val="Block Text"/>
    <w:basedOn w:val="1"/>
    <w:qFormat/>
    <w:uiPriority w:val="99"/>
    <w:pPr>
      <w:adjustRightInd w:val="0"/>
      <w:spacing w:line="300" w:lineRule="auto"/>
      <w:ind w:left="958" w:right="-120" w:rightChars="-120"/>
      <w:jc w:val="left"/>
    </w:pPr>
    <w:rPr>
      <w:rFonts w:ascii="宋体" w:hAnsi="宋体"/>
      <w:sz w:val="28"/>
    </w:rPr>
  </w:style>
  <w:style w:type="paragraph" w:styleId="13">
    <w:name w:val="Plain Text"/>
    <w:basedOn w:val="1"/>
    <w:next w:val="14"/>
    <w:link w:val="81"/>
    <w:qFormat/>
    <w:uiPriority w:val="99"/>
    <w:rPr>
      <w:rFonts w:ascii="宋体" w:hAnsi="Courier New"/>
    </w:rPr>
  </w:style>
  <w:style w:type="paragraph" w:styleId="14">
    <w:name w:val="Date"/>
    <w:basedOn w:val="1"/>
    <w:next w:val="1"/>
    <w:link w:val="82"/>
    <w:qFormat/>
    <w:uiPriority w:val="99"/>
    <w:pPr>
      <w:ind w:left="2500" w:leftChars="2500"/>
    </w:pPr>
    <w:rPr>
      <w:rFonts w:ascii="Calibri" w:hAnsi="Calibri" w:eastAsia="楷体_GB2312"/>
      <w:sz w:val="32"/>
      <w:szCs w:val="22"/>
    </w:rPr>
  </w:style>
  <w:style w:type="paragraph" w:styleId="15">
    <w:name w:val="Body Text Indent 2"/>
    <w:basedOn w:val="1"/>
    <w:next w:val="16"/>
    <w:qFormat/>
    <w:uiPriority w:val="99"/>
    <w:pPr>
      <w:spacing w:after="120" w:line="480" w:lineRule="auto"/>
      <w:ind w:left="420" w:leftChars="200"/>
    </w:pPr>
  </w:style>
  <w:style w:type="paragraph" w:styleId="16">
    <w:name w:val="toc 1"/>
    <w:basedOn w:val="1"/>
    <w:next w:val="1"/>
    <w:qFormat/>
    <w:uiPriority w:val="39"/>
    <w:pPr>
      <w:tabs>
        <w:tab w:val="right" w:leader="dot" w:pos="8835"/>
      </w:tabs>
    </w:pPr>
    <w:rPr>
      <w:rFonts w:eastAsia="方正仿宋_GB18030"/>
      <w:sz w:val="32"/>
    </w:rPr>
  </w:style>
  <w:style w:type="paragraph" w:styleId="17">
    <w:name w:val="Balloon Text"/>
    <w:basedOn w:val="1"/>
    <w:link w:val="83"/>
    <w:qFormat/>
    <w:uiPriority w:val="99"/>
    <w:rPr>
      <w:sz w:val="18"/>
      <w:szCs w:val="18"/>
    </w:rPr>
  </w:style>
  <w:style w:type="paragraph" w:styleId="18">
    <w:name w:val="footer"/>
    <w:basedOn w:val="1"/>
    <w:link w:val="84"/>
    <w:qFormat/>
    <w:uiPriority w:val="99"/>
    <w:pPr>
      <w:tabs>
        <w:tab w:val="center" w:pos="4153"/>
        <w:tab w:val="right" w:pos="8306"/>
      </w:tabs>
      <w:snapToGrid w:val="0"/>
      <w:jc w:val="left"/>
    </w:pPr>
    <w:rPr>
      <w:sz w:val="18"/>
    </w:rPr>
  </w:style>
  <w:style w:type="paragraph" w:styleId="19">
    <w:name w:val="header"/>
    <w:basedOn w:val="1"/>
    <w:link w:val="8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List"/>
    <w:basedOn w:val="1"/>
    <w:qFormat/>
    <w:uiPriority w:val="0"/>
    <w:pPr>
      <w:ind w:left="200" w:hanging="200" w:hangingChars="200"/>
    </w:pPr>
  </w:style>
  <w:style w:type="paragraph" w:styleId="21">
    <w:name w:val="footnote text"/>
    <w:basedOn w:val="1"/>
    <w:qFormat/>
    <w:uiPriority w:val="99"/>
    <w:pPr>
      <w:snapToGrid w:val="0"/>
      <w:jc w:val="left"/>
    </w:pPr>
    <w:rPr>
      <w:sz w:val="18"/>
    </w:rPr>
  </w:style>
  <w:style w:type="paragraph" w:styleId="22">
    <w:name w:val="toc 6"/>
    <w:basedOn w:val="1"/>
    <w:next w:val="1"/>
    <w:qFormat/>
    <w:uiPriority w:val="39"/>
    <w:pPr>
      <w:widowControl/>
      <w:ind w:left="1000"/>
      <w:jc w:val="left"/>
    </w:pPr>
    <w:rPr>
      <w:kern w:val="0"/>
      <w:sz w:val="18"/>
      <w:szCs w:val="20"/>
    </w:rPr>
  </w:style>
  <w:style w:type="paragraph" w:styleId="23">
    <w:name w:val="toc 2"/>
    <w:basedOn w:val="1"/>
    <w:next w:val="1"/>
    <w:qFormat/>
    <w:uiPriority w:val="9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rPr>
  </w:style>
  <w:style w:type="paragraph" w:styleId="26">
    <w:name w:val="annotation subject"/>
    <w:basedOn w:val="9"/>
    <w:next w:val="9"/>
    <w:link w:val="86"/>
    <w:qFormat/>
    <w:uiPriority w:val="99"/>
    <w:rPr>
      <w:b/>
      <w:bCs/>
    </w:rPr>
  </w:style>
  <w:style w:type="paragraph" w:styleId="27">
    <w:name w:val="Body Text First Indent 2"/>
    <w:basedOn w:val="8"/>
    <w:next w:val="1"/>
    <w:qFormat/>
    <w:uiPriority w:val="0"/>
    <w:pPr>
      <w:ind w:firstLine="420"/>
      <w:textAlignment w:val="baseline"/>
    </w:pPr>
    <w:rPr>
      <w:rFonts w:cs="宋体"/>
      <w:szCs w:val="21"/>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qFormat/>
    <w:uiPriority w:val="0"/>
    <w:rPr>
      <w:color w:val="0000FF"/>
      <w:u w:val="single"/>
    </w:rPr>
  </w:style>
  <w:style w:type="character" w:styleId="32">
    <w:name w:val="annotation reference"/>
    <w:qFormat/>
    <w:uiPriority w:val="99"/>
    <w:rPr>
      <w:rFonts w:cs="Times New Roman"/>
      <w:sz w:val="21"/>
      <w:szCs w:val="21"/>
    </w:rPr>
  </w:style>
  <w:style w:type="character" w:styleId="33">
    <w:name w:val="footnote reference"/>
    <w:qFormat/>
    <w:uiPriority w:val="99"/>
    <w:rPr>
      <w:vertAlign w:val="superscript"/>
    </w:rPr>
  </w:style>
  <w:style w:type="character" w:customStyle="1" w:styleId="34">
    <w:name w:val="NormalCharacter"/>
    <w:semiHidden/>
    <w:qFormat/>
    <w:uiPriority w:val="0"/>
  </w:style>
  <w:style w:type="paragraph" w:customStyle="1" w:styleId="35">
    <w:name w:val="_Style 4"/>
    <w:next w:val="1"/>
    <w:qFormat/>
    <w:uiPriority w:val="0"/>
    <w:pPr>
      <w:wordWrap w:val="0"/>
    </w:pPr>
    <w:rPr>
      <w:rFonts w:ascii="Times New Roman" w:hAnsi="Times New Roman" w:eastAsia="宋体" w:cs="Times New Roman"/>
      <w:sz w:val="32"/>
      <w:lang w:val="en-US" w:eastAsia="zh-CN" w:bidi="ar-SA"/>
    </w:rPr>
  </w:style>
  <w:style w:type="paragraph" w:customStyle="1" w:styleId="36">
    <w:name w:val="标题 5（有编号）（绿盟科技）"/>
    <w:basedOn w:val="1"/>
    <w:next w:val="37"/>
    <w:qFormat/>
    <w:uiPriority w:val="99"/>
    <w:pPr>
      <w:keepNext/>
      <w:keepLines/>
      <w:spacing w:before="280" w:after="156" w:line="377" w:lineRule="auto"/>
      <w:outlineLvl w:val="4"/>
    </w:pPr>
    <w:rPr>
      <w:rFonts w:ascii="Arial" w:hAnsi="Arial" w:eastAsia="黑体" w:cs="Arial"/>
      <w:b/>
      <w:bCs/>
      <w:sz w:val="24"/>
    </w:rPr>
  </w:style>
  <w:style w:type="paragraph" w:customStyle="1" w:styleId="37">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38">
    <w:name w:val="Body Text First Indent 21"/>
    <w:basedOn w:val="39"/>
    <w:qFormat/>
    <w:uiPriority w:val="0"/>
    <w:pPr>
      <w:autoSpaceDE w:val="0"/>
      <w:autoSpaceDN w:val="0"/>
      <w:adjustRightInd w:val="0"/>
      <w:ind w:firstLine="420"/>
      <w:textAlignment w:val="baseline"/>
    </w:pPr>
    <w:rPr>
      <w:rFonts w:ascii="宋体" w:cs="宋体"/>
      <w:kern w:val="0"/>
      <w:szCs w:val="21"/>
    </w:rPr>
  </w:style>
  <w:style w:type="paragraph" w:customStyle="1" w:styleId="39">
    <w:name w:val="Body Text Indent1"/>
    <w:basedOn w:val="1"/>
    <w:qFormat/>
    <w:uiPriority w:val="0"/>
    <w:pPr>
      <w:spacing w:after="120"/>
      <w:ind w:left="420" w:leftChars="200"/>
    </w:pPr>
  </w:style>
  <w:style w:type="paragraph" w:customStyle="1" w:styleId="4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1">
    <w:name w:val="正文（首行缩进2字符）"/>
    <w:basedOn w:val="1"/>
    <w:qFormat/>
    <w:uiPriority w:val="0"/>
    <w:pPr>
      <w:spacing w:line="360" w:lineRule="auto"/>
      <w:ind w:firstLine="420" w:firstLineChars="200"/>
    </w:pPr>
    <w:rPr>
      <w:szCs w:val="21"/>
    </w:rPr>
  </w:style>
  <w:style w:type="paragraph" w:customStyle="1" w:styleId="42">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43">
    <w:name w:val="列出段落1"/>
    <w:basedOn w:val="1"/>
    <w:qFormat/>
    <w:uiPriority w:val="99"/>
    <w:pPr>
      <w:ind w:firstLine="420" w:firstLineChars="200"/>
    </w:pPr>
    <w:rPr>
      <w:rFonts w:ascii="Calibri" w:hAnsi="Calibri"/>
      <w:szCs w:val="22"/>
    </w:rPr>
  </w:style>
  <w:style w:type="paragraph" w:customStyle="1" w:styleId="44">
    <w:name w:val="列出段落11"/>
    <w:basedOn w:val="1"/>
    <w:qFormat/>
    <w:uiPriority w:val="99"/>
    <w:pPr>
      <w:ind w:firstLine="420" w:firstLineChars="200"/>
    </w:pPr>
    <w:rPr>
      <w:rFonts w:ascii="Calibri" w:hAnsi="Calibri"/>
      <w:kern w:val="0"/>
      <w:szCs w:val="20"/>
    </w:rPr>
  </w:style>
  <w:style w:type="paragraph" w:customStyle="1" w:styleId="45">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4"/>
    <w:qFormat/>
    <w:uiPriority w:val="99"/>
    <w:rPr>
      <w:rFonts w:ascii="Times New Roman" w:hAnsi="Times New Roman" w:eastAsia="宋体" w:cs="Times New Roman"/>
      <w:sz w:val="21"/>
      <w:szCs w:val="22"/>
      <w:lang w:val="en-US" w:eastAsia="zh-CN" w:bidi="ar-SA"/>
    </w:rPr>
  </w:style>
  <w:style w:type="paragraph" w:customStyle="1" w:styleId="4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3"/>
    <w:basedOn w:val="51"/>
    <w:qFormat/>
    <w:uiPriority w:val="99"/>
    <w:pPr>
      <w:widowControl/>
      <w:jc w:val="left"/>
    </w:pPr>
    <w:rPr>
      <w:rFonts w:ascii="宋体" w:hAnsi="Courier New"/>
      <w:szCs w:val="21"/>
    </w:rPr>
  </w:style>
  <w:style w:type="paragraph" w:customStyle="1" w:styleId="53">
    <w:name w:val="纯文本_0_1"/>
    <w:basedOn w:val="1"/>
    <w:qFormat/>
    <w:uiPriority w:val="99"/>
    <w:pPr>
      <w:widowControl/>
      <w:jc w:val="left"/>
    </w:pPr>
    <w:rPr>
      <w:rFonts w:ascii="宋体" w:hAnsi="Courier New"/>
      <w:szCs w:val="21"/>
    </w:rPr>
  </w:style>
  <w:style w:type="paragraph" w:customStyle="1" w:styleId="5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正文 A"/>
    <w:qFormat/>
    <w:uiPriority w:val="99"/>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59">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
    <w:name w:val="p18"/>
    <w:basedOn w:val="1"/>
    <w:qFormat/>
    <w:uiPriority w:val="99"/>
    <w:pPr>
      <w:widowControl/>
      <w:spacing w:line="748" w:lineRule="atLeast"/>
      <w:ind w:left="-527" w:firstLine="527"/>
    </w:pPr>
    <w:rPr>
      <w:rFonts w:ascii="宋体" w:hAnsi="宋体" w:cs="宋体"/>
      <w:kern w:val="0"/>
      <w:sz w:val="24"/>
    </w:rPr>
  </w:style>
  <w:style w:type="paragraph" w:customStyle="1" w:styleId="62">
    <w:name w:val="表格文字"/>
    <w:basedOn w:val="1"/>
    <w:next w:val="10"/>
    <w:qFormat/>
    <w:uiPriority w:val="99"/>
    <w:pPr>
      <w:adjustRightInd w:val="0"/>
      <w:spacing w:line="420" w:lineRule="atLeast"/>
      <w:jc w:val="left"/>
      <w:textAlignment w:val="baseline"/>
    </w:pPr>
    <w:rPr>
      <w:kern w:val="0"/>
    </w:rPr>
  </w:style>
  <w:style w:type="paragraph" w:customStyle="1" w:styleId="63">
    <w:name w:val="正文2"/>
    <w:basedOn w:val="1"/>
    <w:qFormat/>
    <w:uiPriority w:val="0"/>
    <w:pPr>
      <w:spacing w:before="156" w:line="360" w:lineRule="auto"/>
      <w:ind w:firstLine="510" w:firstLineChars="200"/>
    </w:pPr>
    <w:rPr>
      <w:rFonts w:ascii="Calibri" w:hAnsi="Calibri"/>
      <w:sz w:val="24"/>
      <w:szCs w:val="20"/>
    </w:rPr>
  </w:style>
  <w:style w:type="paragraph" w:customStyle="1" w:styleId="6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样1"/>
    <w:basedOn w:val="1"/>
    <w:qFormat/>
    <w:uiPriority w:val="0"/>
    <w:pPr>
      <w:spacing w:line="360" w:lineRule="auto"/>
      <w:ind w:firstLine="480"/>
    </w:pPr>
    <w:rPr>
      <w:rFonts w:ascii="Calibri" w:hAnsi="Calibri"/>
      <w:sz w:val="24"/>
    </w:rPr>
  </w:style>
  <w:style w:type="paragraph" w:customStyle="1" w:styleId="66">
    <w:name w:val="列出段落21"/>
    <w:basedOn w:val="1"/>
    <w:qFormat/>
    <w:uiPriority w:val="0"/>
    <w:pPr>
      <w:widowControl/>
      <w:ind w:firstLine="420" w:firstLineChars="200"/>
      <w:jc w:val="left"/>
    </w:pPr>
    <w:rPr>
      <w:rFonts w:ascii="Calibri" w:hAnsi="Calibri"/>
      <w:kern w:val="0"/>
      <w:sz w:val="24"/>
    </w:rPr>
  </w:style>
  <w:style w:type="paragraph" w:customStyle="1" w:styleId="67">
    <w:name w:val="正文首行缩进 21"/>
    <w:basedOn w:val="68"/>
    <w:qFormat/>
    <w:uiPriority w:val="0"/>
    <w:pPr>
      <w:ind w:firstLine="420"/>
    </w:pPr>
    <w:rPr>
      <w:rFonts w:cs="宋体"/>
    </w:rPr>
  </w:style>
  <w:style w:type="paragraph" w:customStyle="1" w:styleId="68">
    <w:name w:val="正文文本缩进1"/>
    <w:basedOn w:val="1"/>
    <w:next w:val="1"/>
    <w:qFormat/>
    <w:uiPriority w:val="0"/>
    <w:pPr>
      <w:ind w:left="420" w:leftChars="200"/>
    </w:pPr>
    <w:rPr>
      <w:color w:val="000000"/>
      <w:szCs w:val="21"/>
    </w:rPr>
  </w:style>
  <w:style w:type="paragraph" w:customStyle="1" w:styleId="69">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
    <w:basedOn w:val="1"/>
    <w:qFormat/>
    <w:uiPriority w:val="0"/>
    <w:pPr>
      <w:spacing w:line="360" w:lineRule="auto"/>
      <w:ind w:firstLine="200" w:firstLineChars="200"/>
    </w:pPr>
    <w:rPr>
      <w:kern w:val="0"/>
      <w:sz w:val="24"/>
      <w:szCs w:val="20"/>
    </w:rPr>
  </w:style>
  <w:style w:type="paragraph" w:customStyle="1" w:styleId="7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7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74">
    <w:name w:val="[Normal]"/>
    <w:qFormat/>
    <w:uiPriority w:val="0"/>
    <w:rPr>
      <w:rFonts w:ascii="宋体" w:hAnsi="宋体" w:eastAsia="宋体" w:cs="Times New Roman"/>
      <w:sz w:val="24"/>
      <w:szCs w:val="22"/>
      <w:lang w:val="zh-CN" w:eastAsia="zh-CN" w:bidi="ar-SA"/>
    </w:rPr>
  </w:style>
  <w:style w:type="character" w:customStyle="1" w:styleId="75">
    <w:name w:val="标题 1 Char"/>
    <w:link w:val="3"/>
    <w:qFormat/>
    <w:uiPriority w:val="99"/>
    <w:rPr>
      <w:rFonts w:ascii="Times New Roman" w:hAnsi="Times New Roman" w:cs="Times New Roman"/>
      <w:b/>
      <w:bCs/>
      <w:kern w:val="44"/>
      <w:sz w:val="44"/>
      <w:szCs w:val="44"/>
    </w:rPr>
  </w:style>
  <w:style w:type="character" w:customStyle="1" w:styleId="76">
    <w:name w:val="标题 2 Char"/>
    <w:link w:val="2"/>
    <w:qFormat/>
    <w:uiPriority w:val="99"/>
    <w:rPr>
      <w:rFonts w:ascii="Cambria" w:hAnsi="Cambria" w:eastAsia="宋体" w:cs="Times New Roman"/>
      <w:b/>
      <w:bCs/>
      <w:sz w:val="32"/>
      <w:szCs w:val="32"/>
    </w:rPr>
  </w:style>
  <w:style w:type="character" w:customStyle="1" w:styleId="77">
    <w:name w:val="标题 3 Char"/>
    <w:link w:val="4"/>
    <w:qFormat/>
    <w:uiPriority w:val="99"/>
    <w:rPr>
      <w:rFonts w:cs="Times New Roman"/>
      <w:b/>
      <w:bCs/>
      <w:sz w:val="32"/>
      <w:szCs w:val="32"/>
    </w:rPr>
  </w:style>
  <w:style w:type="character" w:customStyle="1" w:styleId="78">
    <w:name w:val="正文文本 Char"/>
    <w:link w:val="10"/>
    <w:qFormat/>
    <w:uiPriority w:val="99"/>
    <w:rPr>
      <w:rFonts w:cs="Times New Roman"/>
      <w:sz w:val="24"/>
      <w:szCs w:val="24"/>
    </w:rPr>
  </w:style>
  <w:style w:type="character" w:customStyle="1" w:styleId="79">
    <w:name w:val="批注文字 Char"/>
    <w:link w:val="9"/>
    <w:qFormat/>
    <w:uiPriority w:val="99"/>
    <w:rPr>
      <w:rFonts w:ascii="Times New Roman" w:hAnsi="Times New Roman" w:eastAsia="宋体" w:cs="Times New Roman"/>
      <w:kern w:val="2"/>
      <w:sz w:val="24"/>
      <w:szCs w:val="24"/>
    </w:rPr>
  </w:style>
  <w:style w:type="character" w:customStyle="1" w:styleId="80">
    <w:name w:val="Body Text Indent Char"/>
    <w:qFormat/>
    <w:uiPriority w:val="99"/>
    <w:rPr>
      <w:rFonts w:cs="Times New Roman"/>
      <w:kern w:val="2"/>
      <w:sz w:val="24"/>
      <w:szCs w:val="24"/>
    </w:rPr>
  </w:style>
  <w:style w:type="character" w:customStyle="1" w:styleId="81">
    <w:name w:val="纯文本 Char"/>
    <w:link w:val="13"/>
    <w:qFormat/>
    <w:uiPriority w:val="99"/>
    <w:rPr>
      <w:rFonts w:ascii="宋体" w:hAnsi="Courier New" w:cs="Courier New"/>
      <w:sz w:val="21"/>
      <w:szCs w:val="21"/>
    </w:rPr>
  </w:style>
  <w:style w:type="character" w:customStyle="1" w:styleId="82">
    <w:name w:val="日期 Char"/>
    <w:link w:val="14"/>
    <w:qFormat/>
    <w:uiPriority w:val="99"/>
    <w:rPr>
      <w:rFonts w:cs="Times New Roman"/>
      <w:sz w:val="24"/>
      <w:szCs w:val="24"/>
    </w:rPr>
  </w:style>
  <w:style w:type="character" w:customStyle="1" w:styleId="83">
    <w:name w:val="批注框文本 Char"/>
    <w:link w:val="17"/>
    <w:qFormat/>
    <w:uiPriority w:val="99"/>
    <w:rPr>
      <w:rFonts w:ascii="Times New Roman" w:hAnsi="Times New Roman" w:eastAsia="宋体" w:cs="Times New Roman"/>
      <w:kern w:val="2"/>
      <w:sz w:val="18"/>
      <w:szCs w:val="18"/>
    </w:rPr>
  </w:style>
  <w:style w:type="character" w:customStyle="1" w:styleId="84">
    <w:name w:val="页脚 Char"/>
    <w:link w:val="18"/>
    <w:qFormat/>
    <w:uiPriority w:val="99"/>
    <w:rPr>
      <w:rFonts w:cs="Times New Roman"/>
      <w:sz w:val="18"/>
      <w:szCs w:val="18"/>
    </w:rPr>
  </w:style>
  <w:style w:type="character" w:customStyle="1" w:styleId="85">
    <w:name w:val="页眉 Char"/>
    <w:link w:val="19"/>
    <w:qFormat/>
    <w:uiPriority w:val="99"/>
    <w:rPr>
      <w:rFonts w:cs="Times New Roman"/>
      <w:sz w:val="18"/>
      <w:szCs w:val="18"/>
    </w:rPr>
  </w:style>
  <w:style w:type="character" w:customStyle="1" w:styleId="86">
    <w:name w:val="批注主题 Char"/>
    <w:link w:val="26"/>
    <w:qFormat/>
    <w:uiPriority w:val="99"/>
    <w:rPr>
      <w:rFonts w:ascii="Times New Roman" w:hAnsi="Times New Roman" w:eastAsia="宋体" w:cs="Times New Roman"/>
      <w:b/>
      <w:bCs/>
      <w:kern w:val="2"/>
      <w:sz w:val="24"/>
      <w:szCs w:val="24"/>
    </w:rPr>
  </w:style>
  <w:style w:type="character" w:customStyle="1" w:styleId="87">
    <w:name w:val="font11"/>
    <w:qFormat/>
    <w:uiPriority w:val="0"/>
    <w:rPr>
      <w:rFonts w:hint="default" w:ascii="Times New Roman" w:hAnsi="Times New Roman" w:cs="Times New Roman"/>
      <w:color w:val="000000"/>
      <w:sz w:val="24"/>
      <w:szCs w:val="24"/>
      <w:u w:val="none"/>
    </w:rPr>
  </w:style>
  <w:style w:type="character" w:customStyle="1" w:styleId="88">
    <w:name w:val="font01"/>
    <w:qFormat/>
    <w:uiPriority w:val="0"/>
    <w:rPr>
      <w:rFonts w:hint="eastAsia" w:ascii="宋体" w:hAnsi="宋体" w:eastAsia="宋体" w:cs="宋体"/>
      <w:color w:val="000000"/>
      <w:sz w:val="24"/>
      <w:szCs w:val="24"/>
      <w:u w:val="none"/>
    </w:rPr>
  </w:style>
  <w:style w:type="character" w:customStyle="1" w:styleId="89">
    <w:name w:val="font31"/>
    <w:qFormat/>
    <w:uiPriority w:val="0"/>
    <w:rPr>
      <w:rFonts w:hint="eastAsia" w:ascii="宋体" w:hAnsi="宋体" w:eastAsia="宋体" w:cs="宋体"/>
      <w:color w:val="000000"/>
      <w:sz w:val="24"/>
      <w:szCs w:val="24"/>
      <w:u w:val="none"/>
    </w:rPr>
  </w:style>
  <w:style w:type="character" w:customStyle="1" w:styleId="90">
    <w:name w:val="无"/>
    <w:qFormat/>
    <w:uiPriority w:val="99"/>
  </w:style>
  <w:style w:type="table" w:customStyle="1" w:styleId="91">
    <w:name w:val="Table Normal"/>
    <w:qFormat/>
    <w:uiPriority w:val="0"/>
    <w:tblPr>
      <w:tblCellMar>
        <w:top w:w="0" w:type="dxa"/>
        <w:left w:w="0" w:type="dxa"/>
        <w:bottom w:w="0" w:type="dxa"/>
        <w:right w:w="0" w:type="dxa"/>
      </w:tblCellMar>
    </w:tblPr>
  </w:style>
  <w:style w:type="paragraph" w:customStyle="1" w:styleId="92">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29466</Words>
  <Characters>31040</Characters>
  <Paragraphs>1662</Paragraphs>
  <TotalTime>6</TotalTime>
  <ScaleCrop>false</ScaleCrop>
  <LinksUpToDate>false</LinksUpToDate>
  <CharactersWithSpaces>32927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2018-06-20T05:33:00Z</dcterms:created>
  <dc:creator>S-mile</dc:creator>
  <cp:lastModifiedBy>陆喵了个白。</cp:lastModifiedBy>
  <cp:lastPrinted>2023-09-06T23:45:00Z</cp:lastPrinted>
  <dcterms:modified xsi:type="dcterms:W3CDTF">2024-08-20T05:46:28Z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BA9F7E3A8C386655C540A8669BBB0250</vt:lpwstr>
  </property>
</Properties>
</file>