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460F0">
      <w:pPr>
        <w:shd w:val="clear" w:color="auto" w:fill="auto"/>
        <w:spacing w:line="360" w:lineRule="auto"/>
        <w:jc w:val="center"/>
        <w:textAlignment w:val="bottom"/>
        <w:rPr>
          <w:rFonts w:hint="eastAsia" w:ascii="宋体" w:hAnsi="宋体" w:eastAsia="宋体" w:cs="宋体"/>
          <w:b/>
          <w:color w:val="auto"/>
          <w:kern w:val="0"/>
          <w:sz w:val="52"/>
          <w:szCs w:val="52"/>
          <w:highlight w:val="none"/>
          <w:lang w:eastAsia="zh-CN"/>
        </w:rPr>
      </w:pPr>
    </w:p>
    <w:p w14:paraId="4D200260">
      <w:pPr>
        <w:pStyle w:val="3"/>
        <w:shd w:val="clear" w:color="auto" w:fill="auto"/>
        <w:rPr>
          <w:rFonts w:hint="eastAsia" w:ascii="宋体" w:hAnsi="宋体" w:eastAsia="宋体" w:cs="宋体"/>
          <w:color w:val="auto"/>
          <w:highlight w:val="none"/>
        </w:rPr>
      </w:pPr>
    </w:p>
    <w:p w14:paraId="00004DFE">
      <w:pPr>
        <w:shd w:val="clear" w:color="auto" w:fill="auto"/>
        <w:jc w:val="center"/>
        <w:rPr>
          <w:rFonts w:hint="eastAsia" w:ascii="宋体" w:hAnsi="宋体" w:eastAsia="宋体" w:cs="宋体"/>
          <w:color w:val="auto"/>
          <w:sz w:val="36"/>
          <w:szCs w:val="36"/>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page">
              <wp:posOffset>800100</wp:posOffset>
            </wp:positionH>
            <wp:positionV relativeFrom="page">
              <wp:posOffset>1898650</wp:posOffset>
            </wp:positionV>
            <wp:extent cx="2971800" cy="2091690"/>
            <wp:effectExtent l="0" t="0" r="0" b="0"/>
            <wp:wrapNone/>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pic:cNvPicPr>
                      <a:picLocks noChangeAspect="1"/>
                    </pic:cNvPicPr>
                  </pic:nvPicPr>
                  <pic:blipFill>
                    <a:blip r:embed="rId7" cstate="print">
                      <a:lum contrast="12000"/>
                    </a:blip>
                    <a:srcRect/>
                    <a:stretch>
                      <a:fillRect/>
                    </a:stretch>
                  </pic:blipFill>
                  <pic:spPr>
                    <a:xfrm>
                      <a:off x="0" y="0"/>
                      <a:ext cx="2971800" cy="2091689"/>
                    </a:xfrm>
                    <a:prstGeom prst="rect">
                      <a:avLst/>
                    </a:prstGeom>
                    <a:ln>
                      <a:noFill/>
                    </a:ln>
                  </pic:spPr>
                </pic:pic>
              </a:graphicData>
            </a:graphic>
          </wp:anchor>
        </w:drawing>
      </w:r>
    </w:p>
    <w:p w14:paraId="00EF6188">
      <w:pPr>
        <w:shd w:val="clear" w:color="auto" w:fill="auto"/>
        <w:jc w:val="center"/>
        <w:rPr>
          <w:rFonts w:hint="eastAsia" w:ascii="宋体" w:hAnsi="宋体" w:eastAsia="宋体" w:cs="宋体"/>
          <w:color w:val="auto"/>
          <w:sz w:val="52"/>
          <w:szCs w:val="52"/>
          <w:highlight w:val="none"/>
        </w:rPr>
      </w:pPr>
    </w:p>
    <w:p w14:paraId="2F79031F">
      <w:pPr>
        <w:shd w:val="clear" w:color="auto" w:fill="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F-STONE</w:t>
      </w:r>
    </w:p>
    <w:p w14:paraId="2D0606AD">
      <w:pPr>
        <w:shd w:val="clear" w:color="auto" w:fill="auto"/>
        <w:jc w:val="center"/>
        <w:rPr>
          <w:rFonts w:hint="eastAsia" w:ascii="宋体" w:hAnsi="宋体" w:eastAsia="宋体" w:cs="宋体"/>
          <w:color w:val="auto"/>
          <w:sz w:val="36"/>
          <w:szCs w:val="36"/>
          <w:highlight w:val="none"/>
        </w:rPr>
      </w:pPr>
    </w:p>
    <w:p w14:paraId="7518F40B">
      <w:pPr>
        <w:shd w:val="clear" w:color="auto" w:fill="auto"/>
        <w:jc w:val="center"/>
        <w:rPr>
          <w:rFonts w:hint="eastAsia" w:ascii="宋体" w:hAnsi="宋体" w:eastAsia="宋体" w:cs="宋体"/>
          <w:b/>
          <w:color w:val="auto"/>
          <w:sz w:val="72"/>
          <w:szCs w:val="72"/>
          <w:highlight w:val="none"/>
        </w:rPr>
      </w:pPr>
    </w:p>
    <w:p w14:paraId="0C6AF1E9">
      <w:pPr>
        <w:shd w:val="clear" w:color="auto" w:fill="auto"/>
        <w:spacing w:line="360" w:lineRule="auto"/>
        <w:jc w:val="center"/>
        <w:textAlignment w:val="bottom"/>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政府采购电子竞争性磋商文件</w:t>
      </w:r>
    </w:p>
    <w:p w14:paraId="73A81DAC">
      <w:pPr>
        <w:shd w:val="clear" w:color="auto" w:fill="auto"/>
        <w:spacing w:line="360" w:lineRule="auto"/>
        <w:jc w:val="center"/>
        <w:textAlignment w:val="bottom"/>
        <w:rPr>
          <w:rFonts w:hint="eastAsia" w:ascii="宋体" w:hAnsi="宋体" w:eastAsia="宋体" w:cs="宋体"/>
          <w:color w:val="auto"/>
          <w:sz w:val="28"/>
          <w:szCs w:val="28"/>
          <w:highlight w:val="none"/>
        </w:rPr>
      </w:pPr>
    </w:p>
    <w:p w14:paraId="6CBEDFEA">
      <w:pPr>
        <w:shd w:val="clear" w:color="auto" w:fill="auto"/>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ZJWS2024-LQ137</w:t>
      </w:r>
    </w:p>
    <w:p w14:paraId="1731AAE3">
      <w:pPr>
        <w:shd w:val="clear" w:color="auto" w:fill="auto"/>
        <w:tabs>
          <w:tab w:val="left" w:pos="1860"/>
        </w:tabs>
        <w:spacing w:line="360" w:lineRule="auto"/>
        <w:textAlignment w:val="bottom"/>
        <w:rPr>
          <w:rFonts w:hint="eastAsia" w:ascii="宋体" w:hAnsi="宋体" w:eastAsia="宋体" w:cs="宋体"/>
          <w:color w:val="auto"/>
          <w:kern w:val="0"/>
          <w:sz w:val="28"/>
          <w:highlight w:val="none"/>
        </w:rPr>
      </w:pPr>
    </w:p>
    <w:p w14:paraId="54C57F6E">
      <w:pPr>
        <w:pStyle w:val="3"/>
        <w:shd w:val="clear" w:color="auto" w:fill="auto"/>
        <w:rPr>
          <w:rFonts w:hint="eastAsia" w:ascii="宋体" w:hAnsi="宋体" w:eastAsia="宋体" w:cs="宋体"/>
          <w:color w:val="auto"/>
          <w:highlight w:val="none"/>
        </w:rPr>
      </w:pPr>
    </w:p>
    <w:p w14:paraId="2800E587">
      <w:pPr>
        <w:shd w:val="clear" w:color="auto" w:fill="auto"/>
        <w:spacing w:line="360" w:lineRule="auto"/>
        <w:textAlignment w:val="bottom"/>
        <w:rPr>
          <w:rFonts w:hint="eastAsia" w:ascii="宋体" w:hAnsi="宋体" w:eastAsia="宋体" w:cs="宋体"/>
          <w:color w:val="auto"/>
          <w:kern w:val="0"/>
          <w:sz w:val="28"/>
          <w:highlight w:val="none"/>
        </w:rPr>
      </w:pPr>
    </w:p>
    <w:p w14:paraId="4E8F620C">
      <w:pPr>
        <w:shd w:val="clear" w:color="auto" w:fill="auto"/>
        <w:autoSpaceDE w:val="0"/>
        <w:autoSpaceDN w:val="0"/>
        <w:adjustRightInd w:val="0"/>
        <w:spacing w:line="360" w:lineRule="auto"/>
        <w:ind w:firstLine="1400" w:firstLineChars="500"/>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rPr>
        <w:t>采购项目：</w:t>
      </w:r>
      <w:r>
        <w:rPr>
          <w:rFonts w:hint="eastAsia" w:ascii="宋体" w:hAnsi="宋体" w:cs="宋体"/>
          <w:color w:val="auto"/>
          <w:kern w:val="0"/>
          <w:sz w:val="28"/>
          <w:highlight w:val="none"/>
          <w:lang w:eastAsia="zh-CN"/>
        </w:rPr>
        <w:t>2024年路桥城区交通拥堵点位整治工程</w:t>
      </w:r>
    </w:p>
    <w:p w14:paraId="66DBDDC6">
      <w:pPr>
        <w:shd w:val="clear" w:color="auto" w:fill="auto"/>
        <w:autoSpaceDE w:val="0"/>
        <w:autoSpaceDN w:val="0"/>
        <w:adjustRightInd w:val="0"/>
        <w:spacing w:line="360" w:lineRule="auto"/>
        <w:ind w:firstLine="1400" w:firstLineChars="500"/>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采购单位：台州市路桥区综合行政执法局</w:t>
      </w:r>
    </w:p>
    <w:p w14:paraId="3D8EAF71">
      <w:pPr>
        <w:shd w:val="clear" w:color="auto" w:fill="auto"/>
        <w:autoSpaceDE w:val="0"/>
        <w:autoSpaceDN w:val="0"/>
        <w:adjustRightInd w:val="0"/>
        <w:spacing w:line="360" w:lineRule="auto"/>
        <w:jc w:val="center"/>
        <w:rPr>
          <w:rFonts w:hint="eastAsia" w:ascii="宋体" w:hAnsi="宋体" w:eastAsia="宋体" w:cs="宋体"/>
          <w:color w:val="auto"/>
          <w:kern w:val="0"/>
          <w:sz w:val="28"/>
          <w:highlight w:val="none"/>
        </w:rPr>
      </w:pPr>
    </w:p>
    <w:p w14:paraId="7910B8CC">
      <w:pPr>
        <w:pStyle w:val="3"/>
        <w:shd w:val="clear" w:color="auto" w:fill="auto"/>
        <w:rPr>
          <w:rFonts w:hint="eastAsia" w:ascii="宋体" w:hAnsi="宋体" w:eastAsia="宋体" w:cs="宋体"/>
          <w:color w:val="auto"/>
          <w:kern w:val="0"/>
          <w:sz w:val="28"/>
          <w:highlight w:val="none"/>
        </w:rPr>
      </w:pPr>
    </w:p>
    <w:p w14:paraId="4869D406">
      <w:pPr>
        <w:pStyle w:val="17"/>
        <w:shd w:val="clear" w:color="auto" w:fill="auto"/>
        <w:rPr>
          <w:rFonts w:hint="eastAsia" w:ascii="宋体" w:hAnsi="宋体" w:eastAsia="宋体" w:cs="宋体"/>
          <w:color w:val="auto"/>
          <w:highlight w:val="none"/>
        </w:rPr>
      </w:pPr>
    </w:p>
    <w:p w14:paraId="2BB7B6B0">
      <w:pPr>
        <w:shd w:val="clear" w:color="auto" w:fill="auto"/>
        <w:autoSpaceDE w:val="0"/>
        <w:autoSpaceDN w:val="0"/>
        <w:adjustRightInd w:val="0"/>
        <w:spacing w:line="360" w:lineRule="auto"/>
        <w:jc w:val="center"/>
        <w:rPr>
          <w:rFonts w:hint="eastAsia" w:ascii="宋体" w:hAnsi="宋体" w:eastAsia="宋体" w:cs="宋体"/>
          <w:color w:val="auto"/>
          <w:kern w:val="0"/>
          <w:sz w:val="28"/>
          <w:highlight w:val="none"/>
        </w:rPr>
      </w:pPr>
    </w:p>
    <w:p w14:paraId="42AE447F">
      <w:pPr>
        <w:shd w:val="clear" w:color="auto" w:fill="auto"/>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lang w:val="en-US" w:eastAsia="zh-CN"/>
        </w:rPr>
        <w:t xml:space="preserve"> </w:t>
      </w:r>
      <w:r>
        <w:rPr>
          <w:rFonts w:hint="eastAsia" w:ascii="宋体" w:hAnsi="宋体" w:eastAsia="宋体" w:cs="宋体"/>
          <w:color w:val="auto"/>
          <w:kern w:val="0"/>
          <w:sz w:val="28"/>
          <w:highlight w:val="none"/>
        </w:rPr>
        <w:t>采购代理机构：</w:t>
      </w:r>
      <w:r>
        <w:rPr>
          <w:rFonts w:hint="eastAsia" w:ascii="宋体" w:hAnsi="宋体" w:cs="宋体"/>
          <w:color w:val="auto"/>
          <w:kern w:val="0"/>
          <w:sz w:val="28"/>
          <w:highlight w:val="none"/>
          <w:lang w:eastAsia="zh-CN"/>
        </w:rPr>
        <w:t>浙江五石中正工程咨询有限公司</w:t>
      </w:r>
    </w:p>
    <w:p w14:paraId="1174A123">
      <w:pPr>
        <w:shd w:val="clear" w:color="auto" w:fill="auto"/>
        <w:autoSpaceDE w:val="0"/>
        <w:autoSpaceDN w:val="0"/>
        <w:adjustRightInd w:val="0"/>
        <w:spacing w:line="360" w:lineRule="auto"/>
        <w:jc w:val="center"/>
        <w:rPr>
          <w:rFonts w:hint="eastAsia" w:ascii="宋体" w:hAnsi="宋体" w:eastAsia="宋体" w:cs="宋体"/>
          <w:color w:val="auto"/>
          <w:sz w:val="24"/>
          <w:szCs w:val="32"/>
          <w:highlight w:val="none"/>
        </w:rPr>
      </w:pPr>
      <w:r>
        <w:rPr>
          <w:rFonts w:hint="eastAsia" w:ascii="宋体" w:hAnsi="宋体" w:cs="宋体"/>
          <w:color w:val="auto"/>
          <w:kern w:val="0"/>
          <w:sz w:val="28"/>
          <w:highlight w:val="none"/>
          <w:lang w:val="en-US" w:eastAsia="zh-CN"/>
        </w:rPr>
        <w:t>2024</w:t>
      </w:r>
      <w:r>
        <w:rPr>
          <w:rFonts w:hint="eastAsia" w:ascii="宋体" w:hAnsi="宋体" w:eastAsia="宋体" w:cs="宋体"/>
          <w:color w:val="auto"/>
          <w:kern w:val="0"/>
          <w:sz w:val="28"/>
          <w:highlight w:val="none"/>
        </w:rPr>
        <w:t>年</w:t>
      </w:r>
      <w:r>
        <w:rPr>
          <w:rFonts w:hint="eastAsia" w:ascii="宋体" w:hAnsi="宋体" w:cs="宋体"/>
          <w:color w:val="auto"/>
          <w:kern w:val="0"/>
          <w:sz w:val="28"/>
          <w:highlight w:val="none"/>
          <w:lang w:val="en-US" w:eastAsia="zh-CN"/>
        </w:rPr>
        <w:t>8</w:t>
      </w:r>
      <w:r>
        <w:rPr>
          <w:rFonts w:hint="eastAsia" w:ascii="宋体" w:hAnsi="宋体" w:eastAsia="宋体" w:cs="宋体"/>
          <w:color w:val="auto"/>
          <w:kern w:val="0"/>
          <w:sz w:val="28"/>
          <w:highlight w:val="none"/>
        </w:rPr>
        <w:t>月</w:t>
      </w:r>
    </w:p>
    <w:p w14:paraId="6F447F2A">
      <w:pPr>
        <w:shd w:val="clear" w:color="auto" w:fill="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3F91A2C3">
      <w:pPr>
        <w:shd w:val="clear" w:color="auto" w:fill="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39A9235B">
      <w:pPr>
        <w:shd w:val="clear" w:color="auto" w:fill="auto"/>
        <w:spacing w:line="360" w:lineRule="auto"/>
        <w:rPr>
          <w:rFonts w:hint="eastAsia" w:ascii="宋体" w:hAnsi="宋体" w:eastAsia="宋体" w:cs="宋体"/>
          <w:color w:val="auto"/>
          <w:sz w:val="28"/>
          <w:szCs w:val="28"/>
          <w:highlight w:val="none"/>
        </w:rPr>
      </w:pPr>
    </w:p>
    <w:p w14:paraId="0F9EB8D3">
      <w:pPr>
        <w:shd w:val="clear" w:color="auto" w:fill="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一、竞争性磋商公告</w:t>
      </w:r>
    </w:p>
    <w:p w14:paraId="10F921A9">
      <w:pPr>
        <w:shd w:val="clear" w:color="auto" w:fill="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二、供应商须知</w:t>
      </w:r>
    </w:p>
    <w:p w14:paraId="73AB3F9B">
      <w:pPr>
        <w:shd w:val="clear" w:color="auto" w:fill="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三、评审办法及评审标准  </w:t>
      </w:r>
    </w:p>
    <w:p w14:paraId="5E9973F6">
      <w:pPr>
        <w:shd w:val="clear" w:color="auto" w:fill="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四、项目需求</w:t>
      </w:r>
    </w:p>
    <w:p w14:paraId="0592F120">
      <w:pPr>
        <w:shd w:val="clear" w:color="auto" w:fill="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五、政府采购合同主要条款指引       </w:t>
      </w:r>
    </w:p>
    <w:p w14:paraId="340B3D9E">
      <w:pPr>
        <w:shd w:val="clear" w:color="auto" w:fill="auto"/>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六、响应文件格式附件</w:t>
      </w:r>
    </w:p>
    <w:p w14:paraId="2918B67C">
      <w:pPr>
        <w:shd w:val="clear" w:color="auto" w:fill="auto"/>
        <w:spacing w:line="360" w:lineRule="auto"/>
        <w:rPr>
          <w:rFonts w:hint="eastAsia" w:ascii="宋体" w:hAnsi="宋体" w:eastAsia="宋体" w:cs="宋体"/>
          <w:color w:val="auto"/>
          <w:sz w:val="24"/>
          <w:szCs w:val="32"/>
          <w:highlight w:val="none"/>
        </w:rPr>
      </w:pPr>
    </w:p>
    <w:p w14:paraId="0EF2B96B">
      <w:pPr>
        <w:shd w:val="clear" w:color="auto" w:fill="auto"/>
        <w:spacing w:line="360" w:lineRule="auto"/>
        <w:rPr>
          <w:rFonts w:hint="eastAsia" w:ascii="宋体" w:hAnsi="宋体" w:eastAsia="宋体" w:cs="宋体"/>
          <w:color w:val="auto"/>
          <w:sz w:val="24"/>
          <w:szCs w:val="32"/>
          <w:highlight w:val="none"/>
        </w:rPr>
      </w:pPr>
    </w:p>
    <w:p w14:paraId="0E695649">
      <w:pPr>
        <w:shd w:val="clear" w:color="auto" w:fill="auto"/>
        <w:spacing w:line="360" w:lineRule="auto"/>
        <w:rPr>
          <w:rFonts w:hint="eastAsia" w:ascii="宋体" w:hAnsi="宋体" w:eastAsia="宋体" w:cs="宋体"/>
          <w:color w:val="auto"/>
          <w:sz w:val="24"/>
          <w:szCs w:val="32"/>
          <w:highlight w:val="none"/>
        </w:rPr>
      </w:pPr>
    </w:p>
    <w:p w14:paraId="5306E220">
      <w:pPr>
        <w:shd w:val="clear" w:color="auto" w:fill="auto"/>
        <w:spacing w:line="360" w:lineRule="auto"/>
        <w:rPr>
          <w:rFonts w:hint="eastAsia" w:ascii="宋体" w:hAnsi="宋体" w:eastAsia="宋体" w:cs="宋体"/>
          <w:color w:val="auto"/>
          <w:sz w:val="24"/>
          <w:szCs w:val="32"/>
          <w:highlight w:val="none"/>
        </w:rPr>
      </w:pPr>
    </w:p>
    <w:p w14:paraId="0CDF78DA">
      <w:pPr>
        <w:shd w:val="clear" w:color="auto" w:fill="auto"/>
        <w:spacing w:line="360" w:lineRule="auto"/>
        <w:rPr>
          <w:rFonts w:hint="eastAsia" w:ascii="宋体" w:hAnsi="宋体" w:eastAsia="宋体" w:cs="宋体"/>
          <w:color w:val="auto"/>
          <w:sz w:val="24"/>
          <w:szCs w:val="32"/>
          <w:highlight w:val="none"/>
        </w:rPr>
      </w:pPr>
    </w:p>
    <w:p w14:paraId="3390FDD9">
      <w:pPr>
        <w:shd w:val="clear" w:color="auto" w:fill="auto"/>
        <w:spacing w:line="360" w:lineRule="auto"/>
        <w:rPr>
          <w:rFonts w:hint="eastAsia" w:ascii="宋体" w:hAnsi="宋体" w:eastAsia="宋体" w:cs="宋体"/>
          <w:color w:val="auto"/>
          <w:sz w:val="24"/>
          <w:szCs w:val="32"/>
          <w:highlight w:val="none"/>
        </w:rPr>
      </w:pPr>
    </w:p>
    <w:p w14:paraId="634D7260">
      <w:pPr>
        <w:shd w:val="clear" w:color="auto" w:fill="auto"/>
        <w:spacing w:line="360" w:lineRule="auto"/>
        <w:rPr>
          <w:rFonts w:hint="eastAsia" w:ascii="宋体" w:hAnsi="宋体" w:eastAsia="宋体" w:cs="宋体"/>
          <w:color w:val="auto"/>
          <w:sz w:val="24"/>
          <w:szCs w:val="32"/>
          <w:highlight w:val="none"/>
        </w:rPr>
      </w:pPr>
    </w:p>
    <w:p w14:paraId="2C9E471C">
      <w:pPr>
        <w:shd w:val="clear" w:color="auto" w:fill="auto"/>
        <w:spacing w:line="360" w:lineRule="auto"/>
        <w:rPr>
          <w:rFonts w:hint="eastAsia" w:ascii="宋体" w:hAnsi="宋体" w:eastAsia="宋体" w:cs="宋体"/>
          <w:color w:val="auto"/>
          <w:sz w:val="24"/>
          <w:szCs w:val="32"/>
          <w:highlight w:val="none"/>
        </w:rPr>
      </w:pPr>
    </w:p>
    <w:p w14:paraId="153A5AB2">
      <w:pPr>
        <w:shd w:val="clear" w:color="auto" w:fill="auto"/>
        <w:spacing w:line="360" w:lineRule="auto"/>
        <w:rPr>
          <w:rFonts w:hint="eastAsia" w:ascii="宋体" w:hAnsi="宋体" w:eastAsia="宋体" w:cs="宋体"/>
          <w:color w:val="auto"/>
          <w:sz w:val="24"/>
          <w:szCs w:val="32"/>
          <w:highlight w:val="none"/>
        </w:rPr>
      </w:pPr>
    </w:p>
    <w:p w14:paraId="0F3D9E4E">
      <w:pPr>
        <w:shd w:val="clear" w:color="auto" w:fill="auto"/>
        <w:spacing w:line="360" w:lineRule="auto"/>
        <w:rPr>
          <w:rFonts w:hint="eastAsia" w:ascii="宋体" w:hAnsi="宋体" w:eastAsia="宋体" w:cs="宋体"/>
          <w:color w:val="auto"/>
          <w:sz w:val="24"/>
          <w:szCs w:val="32"/>
          <w:highlight w:val="none"/>
        </w:rPr>
      </w:pPr>
    </w:p>
    <w:p w14:paraId="6C03CA63">
      <w:pPr>
        <w:shd w:val="clear" w:color="auto" w:fill="auto"/>
        <w:spacing w:line="360" w:lineRule="auto"/>
        <w:rPr>
          <w:rFonts w:hint="eastAsia" w:ascii="宋体" w:hAnsi="宋体" w:eastAsia="宋体" w:cs="宋体"/>
          <w:color w:val="auto"/>
          <w:sz w:val="24"/>
          <w:szCs w:val="32"/>
          <w:highlight w:val="none"/>
        </w:rPr>
      </w:pPr>
    </w:p>
    <w:p w14:paraId="647CE0C8">
      <w:pPr>
        <w:shd w:val="clear" w:color="auto" w:fill="auto"/>
        <w:spacing w:line="360" w:lineRule="auto"/>
        <w:rPr>
          <w:rFonts w:hint="eastAsia" w:ascii="宋体" w:hAnsi="宋体" w:eastAsia="宋体" w:cs="宋体"/>
          <w:color w:val="auto"/>
          <w:sz w:val="24"/>
          <w:szCs w:val="32"/>
          <w:highlight w:val="none"/>
        </w:rPr>
      </w:pPr>
    </w:p>
    <w:p w14:paraId="28A5A0AE">
      <w:pPr>
        <w:shd w:val="clear" w:color="auto" w:fill="auto"/>
        <w:spacing w:line="360" w:lineRule="auto"/>
        <w:rPr>
          <w:rFonts w:hint="eastAsia" w:ascii="宋体" w:hAnsi="宋体" w:eastAsia="宋体" w:cs="宋体"/>
          <w:color w:val="auto"/>
          <w:sz w:val="24"/>
          <w:szCs w:val="32"/>
          <w:highlight w:val="none"/>
        </w:rPr>
      </w:pPr>
    </w:p>
    <w:p w14:paraId="13362E4A">
      <w:pPr>
        <w:shd w:val="clear" w:color="auto" w:fill="auto"/>
        <w:spacing w:line="360" w:lineRule="auto"/>
        <w:rPr>
          <w:rFonts w:hint="eastAsia" w:ascii="宋体" w:hAnsi="宋体" w:eastAsia="宋体" w:cs="宋体"/>
          <w:color w:val="auto"/>
          <w:sz w:val="24"/>
          <w:szCs w:val="32"/>
          <w:highlight w:val="none"/>
        </w:rPr>
      </w:pPr>
    </w:p>
    <w:p w14:paraId="1FBDDF7F">
      <w:pPr>
        <w:shd w:val="clear" w:color="auto" w:fill="auto"/>
        <w:spacing w:line="360" w:lineRule="auto"/>
        <w:rPr>
          <w:rFonts w:hint="eastAsia" w:ascii="宋体" w:hAnsi="宋体" w:eastAsia="宋体" w:cs="宋体"/>
          <w:color w:val="auto"/>
          <w:sz w:val="24"/>
          <w:szCs w:val="32"/>
          <w:highlight w:val="none"/>
        </w:rPr>
      </w:pPr>
    </w:p>
    <w:p w14:paraId="53DEAD52">
      <w:pPr>
        <w:shd w:val="clear" w:color="auto" w:fill="auto"/>
        <w:spacing w:line="360" w:lineRule="auto"/>
        <w:rPr>
          <w:rFonts w:hint="eastAsia" w:ascii="宋体" w:hAnsi="宋体" w:eastAsia="宋体" w:cs="宋体"/>
          <w:color w:val="auto"/>
          <w:sz w:val="24"/>
          <w:szCs w:val="32"/>
          <w:highlight w:val="none"/>
        </w:rPr>
      </w:pPr>
    </w:p>
    <w:p w14:paraId="54E46311">
      <w:pPr>
        <w:shd w:val="clear" w:color="auto" w:fill="auto"/>
        <w:spacing w:line="360" w:lineRule="auto"/>
        <w:rPr>
          <w:rFonts w:hint="eastAsia" w:ascii="宋体" w:hAnsi="宋体" w:eastAsia="宋体" w:cs="宋体"/>
          <w:color w:val="auto"/>
          <w:sz w:val="24"/>
          <w:szCs w:val="32"/>
          <w:highlight w:val="none"/>
        </w:rPr>
      </w:pPr>
    </w:p>
    <w:p w14:paraId="474F23F9">
      <w:pPr>
        <w:shd w:val="clear" w:color="auto" w:fill="auto"/>
        <w:spacing w:line="360" w:lineRule="auto"/>
        <w:jc w:val="both"/>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column"/>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第一部分 竞争性磋商公告</w:t>
      </w:r>
    </w:p>
    <w:p w14:paraId="2CA0290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根据《中华人民共和国政府采购法》及财政部关于印发《政府采购竞争性磋商采购方式管理暂行办法》的通知（财库〔2014〕214 号）第三条：本项目属于按照招标投标法及其实施条例必须进行招标的工程建设项目以外的工程建设项目，可以采用竞争性磋商方式开展采购，</w:t>
      </w:r>
      <w:r>
        <w:rPr>
          <w:rFonts w:hint="eastAsia" w:ascii="宋体" w:hAnsi="宋体" w:cs="宋体"/>
          <w:b/>
          <w:bCs/>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受</w:t>
      </w:r>
      <w:r>
        <w:rPr>
          <w:rFonts w:hint="eastAsia" w:ascii="宋体" w:hAnsi="宋体" w:eastAsia="宋体" w:cs="宋体"/>
          <w:b/>
          <w:bCs/>
          <w:color w:val="auto"/>
          <w:sz w:val="24"/>
          <w:szCs w:val="32"/>
          <w:highlight w:val="none"/>
        </w:rPr>
        <w:t>台州市路桥区综合行政执法局</w:t>
      </w:r>
      <w:r>
        <w:rPr>
          <w:rFonts w:hint="eastAsia" w:ascii="宋体" w:hAnsi="宋体" w:eastAsia="宋体" w:cs="宋体"/>
          <w:color w:val="auto"/>
          <w:sz w:val="24"/>
          <w:szCs w:val="32"/>
          <w:highlight w:val="none"/>
        </w:rPr>
        <w:t>委托，现就其</w:t>
      </w:r>
      <w:r>
        <w:rPr>
          <w:rFonts w:hint="eastAsia" w:ascii="宋体" w:hAnsi="宋体" w:cs="宋体"/>
          <w:b/>
          <w:bCs/>
          <w:color w:val="auto"/>
          <w:sz w:val="24"/>
          <w:szCs w:val="32"/>
          <w:highlight w:val="none"/>
          <w:lang w:eastAsia="zh-CN"/>
        </w:rPr>
        <w:t>2024年路桥城区交通拥堵点位整治工程</w:t>
      </w:r>
      <w:r>
        <w:rPr>
          <w:rFonts w:hint="eastAsia" w:ascii="宋体" w:hAnsi="宋体" w:eastAsia="宋体" w:cs="宋体"/>
          <w:color w:val="auto"/>
          <w:sz w:val="24"/>
          <w:szCs w:val="32"/>
          <w:highlight w:val="none"/>
        </w:rPr>
        <w:t>进行竞争性磋商采购，欢迎合格供应商前来磋商。</w:t>
      </w:r>
    </w:p>
    <w:p w14:paraId="7C4B67F2">
      <w:pPr>
        <w:shd w:val="clear" w:color="auto" w:fill="auto"/>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rPr>
        <w:t>一、项目编号：</w:t>
      </w:r>
      <w:r>
        <w:rPr>
          <w:rFonts w:hint="eastAsia" w:ascii="宋体" w:hAnsi="宋体" w:cs="宋体"/>
          <w:color w:val="auto"/>
          <w:sz w:val="24"/>
          <w:szCs w:val="32"/>
          <w:highlight w:val="none"/>
          <w:lang w:eastAsia="zh-CN"/>
        </w:rPr>
        <w:t>ZJWS2024-LQ137</w:t>
      </w:r>
    </w:p>
    <w:p w14:paraId="6FB7D9A7">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二、磋商内容：</w:t>
      </w:r>
    </w:p>
    <w:tbl>
      <w:tblPr>
        <w:tblStyle w:val="30"/>
        <w:tblW w:w="865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954"/>
        <w:gridCol w:w="1090"/>
        <w:gridCol w:w="1563"/>
        <w:gridCol w:w="1208"/>
        <w:gridCol w:w="1092"/>
      </w:tblGrid>
      <w:tr w14:paraId="4A4A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50" w:type="dxa"/>
            <w:vAlign w:val="center"/>
          </w:tcPr>
          <w:p w14:paraId="24811518">
            <w:pPr>
              <w:shd w:val="clear" w:color="auto" w:fill="auto"/>
              <w:jc w:val="center"/>
              <w:rPr>
                <w:rFonts w:hint="eastAsia" w:ascii="宋体" w:hAnsi="宋体" w:eastAsia="宋体" w:cs="宋体"/>
                <w:b/>
                <w:color w:val="auto"/>
                <w:sz w:val="24"/>
                <w:highlight w:val="none"/>
              </w:rPr>
            </w:pPr>
            <w:bookmarkStart w:id="0" w:name="EBc3c9f0bc06b6413d849824fe98ba274c"/>
            <w:r>
              <w:rPr>
                <w:rFonts w:hint="eastAsia" w:ascii="宋体" w:hAnsi="宋体" w:eastAsia="宋体" w:cs="宋体"/>
                <w:b/>
                <w:color w:val="auto"/>
                <w:sz w:val="24"/>
                <w:highlight w:val="none"/>
              </w:rPr>
              <w:t>标段</w:t>
            </w:r>
          </w:p>
        </w:tc>
        <w:tc>
          <w:tcPr>
            <w:tcW w:w="2954" w:type="dxa"/>
            <w:vAlign w:val="center"/>
          </w:tcPr>
          <w:p w14:paraId="6C1FC186">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090" w:type="dxa"/>
            <w:vAlign w:val="center"/>
          </w:tcPr>
          <w:p w14:paraId="49DCA1F5">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 量</w:t>
            </w:r>
          </w:p>
        </w:tc>
        <w:tc>
          <w:tcPr>
            <w:tcW w:w="1563" w:type="dxa"/>
            <w:vAlign w:val="center"/>
          </w:tcPr>
          <w:p w14:paraId="2A68923C">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w:t>
            </w:r>
          </w:p>
        </w:tc>
        <w:tc>
          <w:tcPr>
            <w:tcW w:w="1208" w:type="dxa"/>
            <w:vAlign w:val="center"/>
          </w:tcPr>
          <w:p w14:paraId="3FBC38BB">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工期</w:t>
            </w:r>
          </w:p>
        </w:tc>
        <w:tc>
          <w:tcPr>
            <w:tcW w:w="1092" w:type="dxa"/>
            <w:vAlign w:val="center"/>
          </w:tcPr>
          <w:p w14:paraId="57FF28E3">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14CE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right"/>
        </w:trPr>
        <w:tc>
          <w:tcPr>
            <w:tcW w:w="750" w:type="dxa"/>
            <w:vAlign w:val="center"/>
          </w:tcPr>
          <w:p w14:paraId="76207846">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954" w:type="dxa"/>
            <w:vAlign w:val="center"/>
          </w:tcPr>
          <w:p w14:paraId="18EB75E0">
            <w:pPr>
              <w:shd w:val="clear" w:color="auto" w:fill="auto"/>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2024年路桥城区交通拥堵点位整治工程</w:t>
            </w:r>
          </w:p>
        </w:tc>
        <w:tc>
          <w:tcPr>
            <w:tcW w:w="1090" w:type="dxa"/>
            <w:vAlign w:val="center"/>
          </w:tcPr>
          <w:p w14:paraId="21E91BEF">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1项</w:t>
            </w:r>
          </w:p>
        </w:tc>
        <w:tc>
          <w:tcPr>
            <w:tcW w:w="1563" w:type="dxa"/>
            <w:vAlign w:val="center"/>
          </w:tcPr>
          <w:p w14:paraId="3220C1D6">
            <w:pPr>
              <w:shd w:val="clear" w:color="auto" w:fill="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2656708</w:t>
            </w:r>
            <w:r>
              <w:rPr>
                <w:rFonts w:hint="eastAsia" w:ascii="宋体" w:hAnsi="宋体" w:eastAsia="宋体" w:cs="宋体"/>
                <w:color w:val="auto"/>
                <w:sz w:val="24"/>
                <w:highlight w:val="none"/>
                <w:lang w:eastAsia="zh-CN"/>
              </w:rPr>
              <w:t>元</w:t>
            </w:r>
          </w:p>
        </w:tc>
        <w:tc>
          <w:tcPr>
            <w:tcW w:w="1208" w:type="dxa"/>
            <w:vAlign w:val="center"/>
          </w:tcPr>
          <w:p w14:paraId="4CBA15BD">
            <w:pPr>
              <w:shd w:val="clear" w:color="auto" w:fill="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60天</w:t>
            </w:r>
          </w:p>
        </w:tc>
        <w:tc>
          <w:tcPr>
            <w:tcW w:w="1092" w:type="dxa"/>
            <w:vAlign w:val="center"/>
          </w:tcPr>
          <w:p w14:paraId="5CFC088E">
            <w:pPr>
              <w:shd w:val="clear" w:color="auto" w:fill="auto"/>
              <w:jc w:val="center"/>
              <w:rPr>
                <w:rFonts w:hint="eastAsia" w:ascii="宋体" w:hAnsi="宋体" w:eastAsia="宋体" w:cs="宋体"/>
                <w:color w:val="auto"/>
                <w:sz w:val="24"/>
                <w:highlight w:val="none"/>
              </w:rPr>
            </w:pPr>
          </w:p>
        </w:tc>
      </w:tr>
      <w:bookmarkEnd w:id="0"/>
    </w:tbl>
    <w:p w14:paraId="0F9307B6">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三、合格磋商供应商的资格条件：</w:t>
      </w:r>
    </w:p>
    <w:p w14:paraId="43DDDE23">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（一）符合《中华人民共和国政府采购法》第二十二条规定的磋商供应商资格条件；</w:t>
      </w:r>
    </w:p>
    <w:p w14:paraId="52062AB2">
      <w:pPr>
        <w:shd w:val="clear" w:color="auto" w:fill="auto"/>
        <w:spacing w:line="360" w:lineRule="auto"/>
        <w:ind w:firstLine="480" w:firstLineChars="200"/>
        <w:rPr>
          <w:rFonts w:hint="eastAsia"/>
          <w:color w:val="auto"/>
          <w:highlight w:val="none"/>
        </w:rPr>
      </w:pPr>
      <w:r>
        <w:rPr>
          <w:rStyle w:val="37"/>
          <w:rFonts w:hint="eastAsia" w:ascii="宋体" w:hAnsi="宋体" w:eastAsia="宋体" w:cs="宋体"/>
          <w:b w:val="0"/>
          <w:i w:val="0"/>
          <w:caps w:val="0"/>
          <w:color w:val="auto"/>
          <w:spacing w:val="0"/>
          <w:w w:val="100"/>
          <w:kern w:val="2"/>
          <w:sz w:val="24"/>
          <w:szCs w:val="32"/>
          <w:highlight w:val="none"/>
          <w:lang w:val="en-US" w:eastAsia="zh-CN" w:bidi="ar-SA"/>
        </w:rPr>
        <w:t>（二）落实政府采购政策需满足的资格要求：本项目专门面向中小企业采购（须在资格证明文件里</w:t>
      </w:r>
      <w:r>
        <w:rPr>
          <w:rFonts w:hint="eastAsia" w:ascii="宋体" w:hAnsi="宋体" w:eastAsia="宋体" w:cs="宋体"/>
          <w:color w:val="auto"/>
          <w:sz w:val="24"/>
          <w:szCs w:val="24"/>
          <w:highlight w:val="none"/>
          <w:lang w:eastAsia="zh-CN"/>
        </w:rPr>
        <w:t>提供《中小企业声明函》）</w:t>
      </w:r>
    </w:p>
    <w:p w14:paraId="79D6F0B0">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cs="宋体"/>
          <w:color w:val="auto"/>
          <w:sz w:val="24"/>
          <w:szCs w:val="32"/>
          <w:highlight w:val="none"/>
          <w:lang w:val="en-US" w:eastAsia="zh-CN"/>
        </w:rPr>
        <w:t>三</w:t>
      </w:r>
      <w:r>
        <w:rPr>
          <w:rFonts w:hint="eastAsia" w:ascii="宋体" w:hAnsi="宋体" w:eastAsia="宋体" w:cs="宋体"/>
          <w:color w:val="auto"/>
          <w:sz w:val="24"/>
          <w:szCs w:val="32"/>
          <w:highlight w:val="none"/>
        </w:rPr>
        <w:t>）本项目供应商特定条件：</w:t>
      </w:r>
    </w:p>
    <w:p w14:paraId="04A084B9">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w:t>
      </w:r>
      <w:r>
        <w:rPr>
          <w:rFonts w:hint="eastAsia" w:ascii="宋体" w:hAnsi="宋体" w:eastAsia="宋体" w:cs="宋体"/>
          <w:color w:val="auto"/>
          <w:sz w:val="24"/>
          <w:szCs w:val="32"/>
          <w:highlight w:val="none"/>
          <w:lang w:val="en-US" w:eastAsia="zh-CN"/>
        </w:rPr>
        <w:t>具有市政工程施工总承包三级及以上资质；</w:t>
      </w:r>
    </w:p>
    <w:p w14:paraId="2E3C0713">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2、项目负责人具有全国注册建造师</w:t>
      </w:r>
      <w:r>
        <w:rPr>
          <w:rFonts w:hint="eastAsia" w:ascii="宋体" w:hAnsi="宋体" w:eastAsia="宋体" w:cs="宋体"/>
          <w:color w:val="auto"/>
          <w:sz w:val="24"/>
          <w:szCs w:val="32"/>
          <w:highlight w:val="none"/>
          <w:lang w:val="en-US" w:eastAsia="zh-CN"/>
        </w:rPr>
        <w:t>市政公用</w:t>
      </w:r>
      <w:r>
        <w:rPr>
          <w:rFonts w:hint="eastAsia" w:ascii="宋体" w:hAnsi="宋体" w:eastAsia="宋体" w:cs="宋体"/>
          <w:color w:val="auto"/>
          <w:sz w:val="24"/>
          <w:szCs w:val="32"/>
          <w:highlight w:val="none"/>
        </w:rPr>
        <w:t>工程专业二级及以上；</w:t>
      </w:r>
    </w:p>
    <w:p w14:paraId="204F4FA4">
      <w:pPr>
        <w:shd w:val="clear" w:color="auto" w:fill="auto"/>
        <w:spacing w:line="360" w:lineRule="auto"/>
        <w:ind w:firstLine="480" w:firstLineChars="200"/>
        <w:rPr>
          <w:rStyle w:val="37"/>
          <w:rFonts w:hint="eastAsia" w:ascii="宋体" w:hAnsi="宋体" w:eastAsia="宋体" w:cs="宋体"/>
          <w:b w:val="0"/>
          <w:i w:val="0"/>
          <w:caps w:val="0"/>
          <w:color w:val="auto"/>
          <w:spacing w:val="0"/>
          <w:w w:val="100"/>
          <w:kern w:val="2"/>
          <w:sz w:val="24"/>
          <w:szCs w:val="32"/>
          <w:highlight w:val="none"/>
          <w:lang w:val="en-US" w:eastAsia="zh-CN" w:bidi="ar-SA"/>
        </w:rPr>
      </w:pPr>
      <w:r>
        <w:rPr>
          <w:rFonts w:hint="eastAsia" w:ascii="宋体" w:hAnsi="宋体" w:eastAsia="宋体" w:cs="宋体"/>
          <w:color w:val="auto"/>
          <w:sz w:val="24"/>
          <w:szCs w:val="32"/>
          <w:highlight w:val="none"/>
        </w:rPr>
        <w:t>3、</w:t>
      </w:r>
      <w:r>
        <w:rPr>
          <w:rStyle w:val="37"/>
          <w:rFonts w:hint="eastAsia" w:ascii="宋体" w:hAnsi="宋体" w:eastAsia="宋体" w:cs="宋体"/>
          <w:b w:val="0"/>
          <w:i w:val="0"/>
          <w:caps w:val="0"/>
          <w:color w:val="auto"/>
          <w:spacing w:val="0"/>
          <w:w w:val="100"/>
          <w:kern w:val="2"/>
          <w:sz w:val="24"/>
          <w:szCs w:val="32"/>
          <w:highlight w:val="none"/>
          <w:lang w:val="en-US" w:eastAsia="zh-CN" w:bidi="ar-SA"/>
        </w:rPr>
        <w:t>本项目不接受联合体投标</w:t>
      </w:r>
      <w:r>
        <w:rPr>
          <w:rFonts w:hint="eastAsia" w:ascii="宋体" w:hAnsi="宋体" w:eastAsia="宋体" w:cs="宋体"/>
          <w:color w:val="auto"/>
          <w:sz w:val="24"/>
          <w:szCs w:val="32"/>
          <w:highlight w:val="none"/>
        </w:rPr>
        <w:t>。</w:t>
      </w:r>
    </w:p>
    <w:p w14:paraId="247C7D1F">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四、磋商文件获取的时间、方式：</w:t>
      </w:r>
    </w:p>
    <w:p w14:paraId="3034A0D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1、本项目磋商文件于“政府采购云平台”在线获取，不提供磋商文件纸质版。供应商获取磋商文件前应先完成“政府采购云平台”的账号注册。</w:t>
      </w:r>
    </w:p>
    <w:p w14:paraId="5CA1AF7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2、获取时间：自本公告发布之日起至响应文件递交截止时间止（以供应商完成获取磋商文件申请后下载磋商文件的时间为准）。</w:t>
      </w:r>
    </w:p>
    <w:p w14:paraId="64201072">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3、地点：</w:t>
      </w:r>
    </w:p>
    <w:p w14:paraId="310FA2C0">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http：//zfcg.czt.zj.gov.cn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w:t>
      </w:r>
    </w:p>
    <w:p w14:paraId="6BB4119E">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（2）供应商网上报名操作指南：“浙江政府采购网-办事指南-省采中心-网上报名”（http：//zfcg.czt.zj.gov.cn/bs_other/2018-03-30/12002.html）。</w:t>
      </w:r>
    </w:p>
    <w:p w14:paraId="75C93A6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2788C600">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特别提示：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5E3B25CB">
      <w:pPr>
        <w:shd w:val="clear" w:color="auto" w:fill="auto"/>
        <w:spacing w:line="360" w:lineRule="auto"/>
        <w:ind w:firstLine="480" w:firstLineChars="200"/>
        <w:rPr>
          <w:rFonts w:hint="eastAsia"/>
          <w:color w:val="auto"/>
          <w:highlight w:val="none"/>
        </w:rPr>
      </w:pPr>
      <w:r>
        <w:rPr>
          <w:rFonts w:hint="eastAsia" w:ascii="宋体" w:hAnsi="宋体" w:eastAsia="宋体" w:cs="宋体"/>
          <w:color w:val="auto"/>
          <w:sz w:val="24"/>
          <w:szCs w:val="32"/>
          <w:highlight w:val="none"/>
          <w:lang w:val="en-US" w:eastAsia="zh-CN"/>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725630A">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五、投标说明：</w:t>
      </w:r>
    </w:p>
    <w:p w14:paraId="0868FCC3">
      <w:pPr>
        <w:shd w:val="clear" w:color="auto" w:fill="auto"/>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1.本项目实行电子投标，供应商应按照本项目采购文件和政采云平台的要求编制、加密并递交响应文件。供应商在使用系统进行投标的过程中遇到涉及平台使用的任何问题，可致电政采云平台技术支持热线咨询，联系方式：400-881-7190。</w:t>
      </w:r>
    </w:p>
    <w:p w14:paraId="528DB419">
      <w:pPr>
        <w:shd w:val="clear" w:color="auto" w:fill="auto"/>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2.供应商通过政采云平台电子投标工具制作响应文件，电子投标工具请供应商自行前往浙江政府采购网下载并安装（下载网址：http：//www.zjzfcg.gov.cn/bidClientTemplate/2019-05-27/12946.html）。</w:t>
      </w:r>
    </w:p>
    <w:p w14:paraId="533D90FD">
      <w:pPr>
        <w:shd w:val="clear" w:color="auto" w:fill="auto"/>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3.供应商应在开标前完成CA数字证书办理。（办理流程详见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"http://www.zjzfcg.gov.cn/bidClientTemplate/2019-05-27/12945.html"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4"/>
          <w:highlight w:val="none"/>
          <w:u w:val="single"/>
        </w:rPr>
        <w:t>http：//www.zjzfcg.gov.cn/bidClientTemplate/2019-05-27/12945.html</w:t>
      </w:r>
      <w:r>
        <w:rPr>
          <w:rFonts w:hint="eastAsia" w:ascii="宋体" w:hAnsi="宋体" w:eastAsia="宋体" w:cs="宋体"/>
          <w:color w:val="auto"/>
          <w:kern w:val="0"/>
          <w:sz w:val="24"/>
          <w:highlight w:val="none"/>
          <w:u w:val="single"/>
        </w:rPr>
        <w:fldChar w:fldCharType="end"/>
      </w:r>
      <w:r>
        <w:rPr>
          <w:rFonts w:hint="eastAsia" w:ascii="宋体" w:hAnsi="宋体" w:eastAsia="宋体" w:cs="宋体"/>
          <w:color w:val="auto"/>
          <w:kern w:val="0"/>
          <w:sz w:val="24"/>
          <w:highlight w:val="none"/>
          <w:u w:val="single"/>
        </w:rPr>
        <w:t>，完成CA数字证书办理预计一周左右，请各供应商自行把握时间）</w:t>
      </w:r>
    </w:p>
    <w:p w14:paraId="58D64762">
      <w:pPr>
        <w:shd w:val="clear" w:color="auto" w:fill="auto"/>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4.供应商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截止时间后传输、递交的响应文件，将被拒收。</w:t>
      </w:r>
      <w:r>
        <w:rPr>
          <w:rFonts w:hint="eastAsia" w:ascii="宋体" w:hAnsi="宋体" w:eastAsia="宋体" w:cs="宋体"/>
          <w:color w:val="auto"/>
          <w:kern w:val="0"/>
          <w:sz w:val="24"/>
          <w:highlight w:val="none"/>
          <w:u w:val="single"/>
          <w:lang w:val="en-GB"/>
        </w:rPr>
        <w:t>在开标后规定的投标有效期内，供应商不能撤销响应文件。</w:t>
      </w:r>
    </w:p>
    <w:p w14:paraId="3A082624">
      <w:pPr>
        <w:shd w:val="clear" w:color="auto" w:fill="auto"/>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5.响应文件的组成、份数、密封、效力</w:t>
      </w:r>
    </w:p>
    <w:p w14:paraId="24A1F161">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本项目实行电子投标，供应商应准备电子响应文件、以介质（U盘）存储的数据电文形式、纸质备份响应文件三类：</w:t>
      </w:r>
    </w:p>
    <w:p w14:paraId="11B0467D">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5.1电子响应文件，按政采云平台项目采购--电子招投标操作指南及本采购文件要求编制。</w:t>
      </w:r>
    </w:p>
    <w:p w14:paraId="1D45A63D">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bookmarkStart w:id="1" w:name="_Hlk34638143"/>
      <w:r>
        <w:rPr>
          <w:rFonts w:hint="eastAsia" w:ascii="宋体" w:hAnsi="宋体" w:eastAsia="宋体" w:cs="宋体"/>
          <w:color w:val="auto"/>
          <w:sz w:val="24"/>
          <w:highlight w:val="none"/>
        </w:rPr>
        <w:t>纸质</w:t>
      </w:r>
      <w:bookmarkEnd w:id="1"/>
      <w:r>
        <w:rPr>
          <w:rFonts w:hint="eastAsia" w:ascii="宋体" w:hAnsi="宋体" w:eastAsia="宋体" w:cs="宋体"/>
          <w:color w:val="auto"/>
          <w:sz w:val="24"/>
          <w:highlight w:val="none"/>
        </w:rPr>
        <w:t>备份响应文件以纸质文件的形式编制，</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highlight w:val="none"/>
        </w:rPr>
        <w:t>。</w:t>
      </w:r>
    </w:p>
    <w:p w14:paraId="1BBC3D57">
      <w:pPr>
        <w:shd w:val="clear" w:color="auto" w:fill="auto"/>
        <w:spacing w:line="360" w:lineRule="auto"/>
        <w:ind w:firstLine="480" w:firstLineChars="200"/>
        <w:rPr>
          <w:rFonts w:hint="eastAsia" w:ascii="宋体" w:hAnsi="宋体" w:eastAsia="宋体" w:cs="宋体"/>
          <w:color w:val="auto"/>
          <w:sz w:val="24"/>
          <w:highlight w:val="none"/>
          <w:u w:val="single"/>
        </w:rPr>
      </w:pPr>
      <w:bookmarkStart w:id="2" w:name="_Hlk34639647"/>
      <w:r>
        <w:rPr>
          <w:rFonts w:hint="eastAsia" w:ascii="宋体" w:hAnsi="宋体" w:eastAsia="宋体" w:cs="宋体"/>
          <w:color w:val="auto"/>
          <w:sz w:val="24"/>
          <w:highlight w:val="none"/>
        </w:rPr>
        <w:t>5.3</w:t>
      </w:r>
      <w:r>
        <w:rPr>
          <w:rFonts w:hint="eastAsia" w:ascii="宋体" w:hAnsi="宋体" w:eastAsia="宋体" w:cs="宋体"/>
          <w:color w:val="auto"/>
          <w:sz w:val="24"/>
          <w:highlight w:val="none"/>
          <w:u w:val="single"/>
        </w:rPr>
        <w:t>磋商供应商在“政府采购云平台”完成“电子加密响应文件”的上传递交后，还可以在投标截止时间前递交以介质（U盘）存储的数据电文形式和纸质形式的“备份响应文件”，“备份响应文件”应当密封包装并在包装上标注投标项目名称、供应商名称并加盖公章。以介质（U盘）存储的数据电文形式和纸质形式的“备份响应文件”需分别密封，可采用以下两种方式其中一种送达（逾期送达或未密封将被拒收）：</w:t>
      </w:r>
    </w:p>
    <w:p w14:paraId="400457DB">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①在投标截止时间前送交到开标地点；</w:t>
      </w:r>
    </w:p>
    <w:p w14:paraId="2C91F0D9">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②采用邮寄方式，邮寄公司统一采用顺丰（包裹外包装上请注明单位、项目名称、联系电话等信息，以便代理机构作接收登记工作），邮寄接收截止时间为投标截止时间前（邮寄地址：</w:t>
      </w:r>
      <w:r>
        <w:rPr>
          <w:rFonts w:hint="eastAsia" w:ascii="宋体" w:hAnsi="宋体" w:cs="宋体"/>
          <w:color w:val="auto"/>
          <w:sz w:val="24"/>
          <w:highlight w:val="none"/>
          <w:lang w:eastAsia="zh-CN"/>
        </w:rPr>
        <w:t>浙江五石中正工程咨询有限公司</w:t>
      </w:r>
      <w:r>
        <w:rPr>
          <w:rFonts w:hint="eastAsia" w:ascii="宋体" w:hAnsi="宋体" w:eastAsia="宋体" w:cs="宋体"/>
          <w:color w:val="auto"/>
          <w:sz w:val="24"/>
          <w:highlight w:val="none"/>
        </w:rPr>
        <w:t>（</w:t>
      </w:r>
      <w:r>
        <w:rPr>
          <w:rFonts w:hint="eastAsia" w:ascii="宋体" w:hAnsi="宋体" w:cs="宋体"/>
          <w:color w:val="auto"/>
          <w:sz w:val="24"/>
          <w:highlight w:val="none"/>
        </w:rPr>
        <w:t>浙江省台州市椒江区东环大道576号二楼</w:t>
      </w:r>
      <w:r>
        <w:rPr>
          <w:rFonts w:hint="eastAsia" w:ascii="宋体" w:hAnsi="宋体" w:eastAsia="宋体" w:cs="宋体"/>
          <w:color w:val="auto"/>
          <w:sz w:val="24"/>
          <w:highlight w:val="none"/>
        </w:rPr>
        <w:t>，联系人：金老师，电话：0576-88781913））。</w:t>
      </w:r>
    </w:p>
    <w:p w14:paraId="36F74581">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通过“政府采购云平台”上传递交的“电子加密响应文件”无法按时解密，磋商供应商递交了备份响应文件的，以备份响应文件为依据，否则视为响应文件撤回。通过“政府采购云平台”上传递交的“电子加密响应文件”已按时解密的，“备份响应文件”自动失效。磋商供应商仅递交备份响应文件的，投标无效。</w:t>
      </w:r>
    </w:p>
    <w:bookmarkEnd w:id="2"/>
    <w:p w14:paraId="767045D0">
      <w:pPr>
        <w:shd w:val="clear" w:color="auto" w:fill="auto"/>
        <w:spacing w:line="360" w:lineRule="auto"/>
        <w:ind w:firstLine="480" w:firstLineChars="200"/>
        <w:rPr>
          <w:rFonts w:hint="eastAsia" w:ascii="宋体" w:hAnsi="宋体" w:eastAsia="宋体" w:cs="宋体"/>
          <w:color w:val="auto"/>
          <w:sz w:val="24"/>
          <w:highlight w:val="none"/>
          <w:u w:val="single"/>
        </w:rPr>
      </w:pPr>
      <w:bookmarkStart w:id="3" w:name="_Hlk34638256"/>
      <w:r>
        <w:rPr>
          <w:rFonts w:hint="eastAsia" w:ascii="宋体" w:hAnsi="宋体" w:eastAsia="宋体" w:cs="宋体"/>
          <w:color w:val="auto"/>
          <w:sz w:val="24"/>
          <w:highlight w:val="none"/>
          <w:u w:val="single"/>
        </w:rPr>
        <w:t>5.5响应文件启用顺序和效力：响应文件的启用，按先后顺位分别为</w:t>
      </w:r>
      <w:bookmarkStart w:id="4" w:name="_Hlk34637932"/>
      <w:r>
        <w:rPr>
          <w:rFonts w:hint="eastAsia" w:ascii="宋体" w:hAnsi="宋体" w:eastAsia="宋体" w:cs="宋体"/>
          <w:color w:val="auto"/>
          <w:sz w:val="24"/>
          <w:highlight w:val="none"/>
          <w:u w:val="single"/>
        </w:rPr>
        <w:t>电子</w:t>
      </w:r>
      <w:bookmarkEnd w:id="4"/>
      <w:r>
        <w:rPr>
          <w:rFonts w:hint="eastAsia" w:ascii="宋体" w:hAnsi="宋体" w:eastAsia="宋体" w:cs="宋体"/>
          <w:color w:val="auto"/>
          <w:sz w:val="24"/>
          <w:highlight w:val="none"/>
          <w:u w:val="single"/>
        </w:rPr>
        <w:t>响应文件、以介质（U盘）存储的数据电文形式的备份响应文件和纸质备份响应文件。</w:t>
      </w:r>
      <w:bookmarkStart w:id="5" w:name="_Hlk34637983"/>
      <w:r>
        <w:rPr>
          <w:rFonts w:hint="eastAsia" w:ascii="宋体" w:hAnsi="宋体" w:eastAsia="宋体" w:cs="宋体"/>
          <w:color w:val="auto"/>
          <w:sz w:val="24"/>
          <w:highlight w:val="none"/>
          <w:u w:val="single"/>
        </w:rPr>
        <w:t>全部供应商的</w:t>
      </w:r>
      <w:bookmarkStart w:id="6" w:name="_Hlk34638083"/>
      <w:r>
        <w:rPr>
          <w:rFonts w:hint="eastAsia" w:ascii="宋体" w:hAnsi="宋体" w:eastAsia="宋体" w:cs="宋体"/>
          <w:color w:val="auto"/>
          <w:sz w:val="24"/>
          <w:highlight w:val="none"/>
          <w:u w:val="single"/>
        </w:rPr>
        <w:t>电子响应文件均已按时解密的，</w:t>
      </w:r>
      <w:bookmarkEnd w:id="6"/>
      <w:r>
        <w:rPr>
          <w:rFonts w:hint="eastAsia" w:ascii="宋体" w:hAnsi="宋体" w:eastAsia="宋体" w:cs="宋体"/>
          <w:color w:val="auto"/>
          <w:sz w:val="24"/>
          <w:highlight w:val="none"/>
          <w:u w:val="single"/>
        </w:rPr>
        <w:t>备份响应文件自动失效，全部供应商的电子响应文件均无法按时解密的，</w:t>
      </w:r>
      <w:bookmarkStart w:id="7" w:name="_Hlk34638161"/>
      <w:r>
        <w:rPr>
          <w:rFonts w:hint="eastAsia" w:ascii="宋体" w:hAnsi="宋体" w:eastAsia="宋体" w:cs="宋体"/>
          <w:color w:val="auto"/>
          <w:sz w:val="24"/>
          <w:highlight w:val="none"/>
          <w:u w:val="single"/>
        </w:rPr>
        <w:t>启用纸质备份响应文件进行线下开评标。</w:t>
      </w:r>
      <w:bookmarkEnd w:id="7"/>
      <w:r>
        <w:rPr>
          <w:rFonts w:hint="eastAsia" w:ascii="宋体" w:hAnsi="宋体" w:eastAsia="宋体" w:cs="宋体"/>
          <w:color w:val="auto"/>
          <w:sz w:val="24"/>
          <w:highlight w:val="none"/>
          <w:u w:val="single"/>
        </w:rPr>
        <w:t>如果某位供应商的电子响应文件无法按时解密的，其响应文件为无效标，不启用纸质备份响应文件。</w:t>
      </w:r>
      <w:bookmarkEnd w:id="3"/>
      <w:bookmarkEnd w:id="5"/>
    </w:p>
    <w:p w14:paraId="1CF60631">
      <w:pPr>
        <w:shd w:val="clear" w:color="auto" w:fill="auto"/>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5.6▲未传输递交电子响应文件的，投标无效。</w:t>
      </w:r>
    </w:p>
    <w:p w14:paraId="28FDEF0D">
      <w:pPr>
        <w:shd w:val="clear" w:color="auto"/>
        <w:spacing w:line="360" w:lineRule="auto"/>
        <w:ind w:firstLine="482" w:firstLineChars="200"/>
        <w:rPr>
          <w:rFonts w:hint="default" w:ascii="宋体" w:hAnsi="宋体" w:eastAsia="宋体" w:cs="宋体"/>
          <w:color w:val="000000" w:themeColor="text1"/>
          <w:sz w:val="24"/>
          <w:szCs w:val="32"/>
          <w:highlight w:val="none"/>
          <w:lang w:val="en-US"/>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eastAsia="宋体" w:cs="宋体"/>
          <w:color w:val="000000" w:themeColor="text1"/>
          <w:sz w:val="24"/>
          <w:szCs w:val="32"/>
          <w:highlight w:val="none"/>
          <w:lang w:eastAsia="zh-CN"/>
          <w14:textFill>
            <w14:solidFill>
              <w14:schemeClr w14:val="tx1"/>
            </w14:solidFill>
          </w14:textFill>
        </w:rPr>
        <w:t>202</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lang w:eastAsia="zh-CN"/>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8</w:t>
      </w:r>
      <w:r>
        <w:rPr>
          <w:rFonts w:hint="eastAsia" w:ascii="宋体" w:hAnsi="宋体" w:eastAsia="宋体" w:cs="宋体"/>
          <w:color w:val="000000" w:themeColor="text1"/>
          <w:sz w:val="24"/>
          <w:szCs w:val="32"/>
          <w:highlight w:val="none"/>
          <w:lang w:eastAsia="zh-CN"/>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28</w:t>
      </w:r>
      <w:r>
        <w:rPr>
          <w:rFonts w:hint="eastAsia" w:ascii="宋体" w:hAnsi="宋体" w:eastAsia="宋体" w:cs="宋体"/>
          <w:color w:val="000000" w:themeColor="text1"/>
          <w:sz w:val="24"/>
          <w:szCs w:val="32"/>
          <w:highlight w:val="none"/>
          <w:lang w:eastAsia="zh-CN"/>
          <w14:textFill>
            <w14:solidFill>
              <w14:schemeClr w14:val="tx1"/>
            </w14:solidFill>
          </w14:textFill>
        </w:rPr>
        <w:t>日</w:t>
      </w:r>
      <w:r>
        <w:rPr>
          <w:rFonts w:hint="eastAsia" w:ascii="宋体" w:hAnsi="宋体" w:cs="宋体"/>
          <w:color w:val="000000" w:themeColor="text1"/>
          <w:sz w:val="24"/>
          <w:szCs w:val="32"/>
          <w:highlight w:val="none"/>
          <w:lang w:eastAsia="zh-CN"/>
          <w14:textFill>
            <w14:solidFill>
              <w14:schemeClr w14:val="tx1"/>
            </w14:solidFill>
          </w14:textFill>
        </w:rPr>
        <w:t>下</w:t>
      </w:r>
      <w:r>
        <w:rPr>
          <w:rFonts w:hint="eastAsia" w:ascii="宋体" w:hAnsi="宋体" w:eastAsia="宋体" w:cs="宋体"/>
          <w:color w:val="000000" w:themeColor="text1"/>
          <w:sz w:val="24"/>
          <w:szCs w:val="32"/>
          <w:highlight w:val="none"/>
          <w:lang w:eastAsia="zh-CN"/>
          <w14:textFill>
            <w14:solidFill>
              <w14:schemeClr w14:val="tx1"/>
            </w14:solidFill>
          </w14:textFill>
        </w:rPr>
        <w:t>午</w:t>
      </w:r>
      <w:r>
        <w:rPr>
          <w:rFonts w:hint="eastAsia" w:ascii="宋体" w:hAnsi="宋体" w:cs="宋体"/>
          <w:color w:val="000000" w:themeColor="text1"/>
          <w:sz w:val="24"/>
          <w:szCs w:val="32"/>
          <w:highlight w:val="none"/>
          <w:lang w:val="en-US" w:eastAsia="zh-CN"/>
          <w14:textFill>
            <w14:solidFill>
              <w14:schemeClr w14:val="tx1"/>
            </w14:solidFill>
          </w14:textFill>
        </w:rPr>
        <w:t>14</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30</w:t>
      </w:r>
    </w:p>
    <w:p w14:paraId="5445CA65">
      <w:pPr>
        <w:shd w:val="clear" w:color="auto"/>
        <w:spacing w:line="360" w:lineRule="auto"/>
        <w:ind w:firstLine="482"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七、投标及开标地址：</w:t>
      </w:r>
      <w:r>
        <w:rPr>
          <w:rFonts w:hint="eastAsia" w:ascii="宋体" w:hAnsi="宋体" w:cs="宋体"/>
          <w:color w:val="000000" w:themeColor="text1"/>
          <w:sz w:val="24"/>
          <w:szCs w:val="32"/>
          <w:highlight w:val="none"/>
          <w:lang w:val="en-US" w:eastAsia="zh-CN"/>
          <w14:textFill>
            <w14:solidFill>
              <w14:schemeClr w14:val="tx1"/>
            </w14:solidFill>
          </w14:textFill>
        </w:rPr>
        <w:t>政采云</w:t>
      </w:r>
      <w:r>
        <w:rPr>
          <w:rFonts w:hint="eastAsia" w:ascii="宋体" w:hAnsi="宋体" w:eastAsia="宋体" w:cs="宋体"/>
          <w:color w:val="000000" w:themeColor="text1"/>
          <w:sz w:val="24"/>
          <w:szCs w:val="32"/>
          <w:highlight w:val="none"/>
          <w14:textFill>
            <w14:solidFill>
              <w14:schemeClr w14:val="tx1"/>
            </w14:solidFill>
          </w14:textFill>
        </w:rPr>
        <w:t>。</w:t>
      </w:r>
    </w:p>
    <w:p w14:paraId="1A25773B">
      <w:pPr>
        <w:shd w:val="clear" w:color="auto" w:fill="auto"/>
        <w:spacing w:line="360" w:lineRule="auto"/>
        <w:ind w:firstLine="482" w:firstLineChars="200"/>
        <w:outlineLvl w:val="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八、相关注意事项：</w:t>
      </w:r>
    </w:p>
    <w:p w14:paraId="1C22D69A">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供应商如对采购文件有异议应按规定的时间提出，且应当在采购响应截止时间之前，逾期提出的，采购组织机构可不予受理、答复。</w:t>
      </w:r>
    </w:p>
    <w:p w14:paraId="1779C5CB">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900DB1">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2.根据财库[2016]125号《关于在政府采购活动中查询及使用信用记录有关问题的通知》要求，采购代理机构会对供应商信用记录进行查询并甄别。</w:t>
      </w:r>
    </w:p>
    <w:p w14:paraId="7CD0432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1）信用信息查询的截止时点：开标后评标前；</w:t>
      </w:r>
    </w:p>
    <w:p w14:paraId="3EBB7A5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www.creditchina.gov.cn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www.ccgp.gov.cn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www.zjzfcg.gov.cn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w:t>
      </w:r>
    </w:p>
    <w:p w14:paraId="268E50E2">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3）信用信息查询记录和证据留存具体方式：采购代理机构经办人将查询网页打印与其他项目相关文件一并保存；</w:t>
      </w:r>
    </w:p>
    <w:p w14:paraId="3C500A8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4）信用信息的使用规则：供应商存在不良信用记录的，其投标将被作为无效投标被拒绝。</w:t>
      </w:r>
    </w:p>
    <w:p w14:paraId="4FD9C26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3.不良信用记录指：被列入失信被执行人、重大税收违法案件当事人名单、政府采购严重违法失信行为记录名单或浙江政府采购网曝光台中尚在行政处罚期内的。</w:t>
      </w:r>
    </w:p>
    <w:p w14:paraId="432D1BDD">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4.开标时间后30分钟内，供应商须登录“政采云”平台，用“项目采购-开标评标”功能解密响应文件，供应商未按时解密或解密失败的，其上传的电子响应文件自动失效。电脑及CA解密设备自备。</w:t>
      </w:r>
    </w:p>
    <w:p w14:paraId="3A195E0A">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九、联系方式：</w:t>
      </w:r>
    </w:p>
    <w:p w14:paraId="2B7EB78B">
      <w:pPr>
        <w:shd w:val="clear" w:color="auto" w:fill="auto"/>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1、采购代理机构：</w:t>
      </w:r>
      <w:r>
        <w:rPr>
          <w:rFonts w:hint="eastAsia" w:ascii="宋体" w:hAnsi="宋体" w:cs="宋体"/>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w:t>
      </w:r>
    </w:p>
    <w:p w14:paraId="43F9AB7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项目负责人：徐名峰；联系电话：15088711407；</w:t>
      </w:r>
    </w:p>
    <w:p w14:paraId="1470F40B">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质疑接收人：</w:t>
      </w:r>
      <w:r>
        <w:rPr>
          <w:rFonts w:hint="eastAsia" w:ascii="宋体" w:hAnsi="宋体" w:cs="宋体"/>
          <w:color w:val="auto"/>
          <w:sz w:val="24"/>
          <w:szCs w:val="32"/>
          <w:highlight w:val="none"/>
          <w:lang w:val="en-US" w:eastAsia="zh-CN"/>
        </w:rPr>
        <w:t>徐少媚</w:t>
      </w:r>
      <w:r>
        <w:rPr>
          <w:rFonts w:hint="eastAsia" w:ascii="宋体" w:hAnsi="宋体" w:eastAsia="宋体" w:cs="宋体"/>
          <w:color w:val="auto"/>
          <w:sz w:val="24"/>
          <w:szCs w:val="32"/>
          <w:highlight w:val="none"/>
        </w:rPr>
        <w:t>；联系电话：</w:t>
      </w:r>
      <w:r>
        <w:rPr>
          <w:rFonts w:hint="eastAsia" w:ascii="宋体" w:hAnsi="宋体" w:cs="宋体"/>
          <w:color w:val="auto"/>
          <w:sz w:val="24"/>
          <w:szCs w:val="32"/>
          <w:highlight w:val="none"/>
          <w:lang w:eastAsia="zh-CN"/>
        </w:rPr>
        <w:t>0576-88781913</w:t>
      </w:r>
      <w:r>
        <w:rPr>
          <w:rFonts w:hint="eastAsia" w:ascii="宋体" w:hAnsi="宋体" w:eastAsia="宋体" w:cs="宋体"/>
          <w:color w:val="auto"/>
          <w:sz w:val="24"/>
          <w:szCs w:val="32"/>
          <w:highlight w:val="none"/>
        </w:rPr>
        <w:t>；</w:t>
      </w:r>
    </w:p>
    <w:p w14:paraId="4B21638A">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报名联系人：高女士；联系电话：0571-85334203；传真：0571-85342190；</w:t>
      </w:r>
    </w:p>
    <w:p w14:paraId="66B664B6">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地点：杭州市</w:t>
      </w:r>
      <w:r>
        <w:rPr>
          <w:rFonts w:hint="eastAsia" w:ascii="宋体" w:hAnsi="宋体" w:cs="宋体"/>
          <w:color w:val="auto"/>
          <w:sz w:val="24"/>
          <w:szCs w:val="32"/>
          <w:highlight w:val="none"/>
          <w:lang w:eastAsia="zh-CN"/>
        </w:rPr>
        <w:t>拱墅区</w:t>
      </w:r>
      <w:r>
        <w:rPr>
          <w:rFonts w:hint="eastAsia" w:ascii="宋体" w:hAnsi="宋体" w:eastAsia="宋体" w:cs="宋体"/>
          <w:color w:val="auto"/>
          <w:sz w:val="24"/>
          <w:szCs w:val="32"/>
          <w:highlight w:val="none"/>
        </w:rPr>
        <w:t>白石路318号中国（杭州）人力资源服务产业园北楼512室；</w:t>
      </w:r>
    </w:p>
    <w:p w14:paraId="6BA01E5E">
      <w:pPr>
        <w:shd w:val="clear" w:color="auto" w:fill="auto"/>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2、采购人：</w:t>
      </w:r>
      <w:r>
        <w:rPr>
          <w:rFonts w:hint="eastAsia" w:ascii="宋体" w:hAnsi="宋体" w:eastAsia="宋体" w:cs="宋体"/>
          <w:color w:val="auto"/>
          <w:sz w:val="24"/>
          <w:szCs w:val="32"/>
          <w:highlight w:val="none"/>
        </w:rPr>
        <w:t>台州市路桥区综合行政执法局；</w:t>
      </w:r>
    </w:p>
    <w:p w14:paraId="6D42815C">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项目联系人：</w:t>
      </w:r>
      <w:r>
        <w:rPr>
          <w:rFonts w:hint="eastAsia" w:ascii="宋体" w:hAnsi="宋体" w:cs="宋体"/>
          <w:color w:val="auto"/>
          <w:sz w:val="24"/>
          <w:szCs w:val="32"/>
          <w:highlight w:val="none"/>
          <w:lang w:val="en-US" w:eastAsia="zh-CN"/>
        </w:rPr>
        <w:t>李</w:t>
      </w:r>
      <w:r>
        <w:rPr>
          <w:rFonts w:hint="eastAsia" w:ascii="宋体" w:hAnsi="宋体" w:eastAsia="宋体" w:cs="宋体"/>
          <w:color w:val="auto"/>
          <w:sz w:val="24"/>
          <w:szCs w:val="32"/>
          <w:highlight w:val="none"/>
        </w:rPr>
        <w:t>先生；联系电话：</w:t>
      </w:r>
      <w:r>
        <w:rPr>
          <w:rFonts w:hint="eastAsia" w:ascii="宋体" w:hAnsi="宋体" w:eastAsia="宋体" w:cs="宋体"/>
          <w:color w:val="auto"/>
          <w:sz w:val="24"/>
          <w:szCs w:val="32"/>
          <w:highlight w:val="none"/>
          <w:lang w:eastAsia="zh-CN"/>
        </w:rPr>
        <w:t>0576-</w:t>
      </w:r>
      <w:r>
        <w:rPr>
          <w:rFonts w:hint="eastAsia" w:ascii="宋体" w:hAnsi="宋体" w:cs="宋体"/>
          <w:color w:val="auto"/>
          <w:sz w:val="24"/>
          <w:szCs w:val="32"/>
          <w:highlight w:val="none"/>
          <w:lang w:val="en-US" w:eastAsia="zh-CN"/>
        </w:rPr>
        <w:t>82466933</w:t>
      </w:r>
      <w:r>
        <w:rPr>
          <w:rFonts w:hint="eastAsia" w:ascii="宋体" w:hAnsi="宋体" w:eastAsia="宋体" w:cs="宋体"/>
          <w:color w:val="auto"/>
          <w:sz w:val="24"/>
          <w:szCs w:val="32"/>
          <w:highlight w:val="none"/>
        </w:rPr>
        <w:t>；</w:t>
      </w:r>
    </w:p>
    <w:p w14:paraId="487212FC">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质疑接收人：陈先生；联系电话：</w:t>
      </w:r>
      <w:r>
        <w:rPr>
          <w:rFonts w:hint="eastAsia" w:ascii="宋体" w:hAnsi="宋体" w:eastAsia="宋体" w:cs="宋体"/>
          <w:color w:val="auto"/>
          <w:sz w:val="24"/>
          <w:szCs w:val="32"/>
          <w:highlight w:val="none"/>
          <w:lang w:eastAsia="zh-CN"/>
        </w:rPr>
        <w:t>0576-82441263</w:t>
      </w:r>
      <w:r>
        <w:rPr>
          <w:rFonts w:hint="eastAsia" w:ascii="宋体" w:hAnsi="宋体" w:eastAsia="宋体" w:cs="宋体"/>
          <w:color w:val="auto"/>
          <w:sz w:val="24"/>
          <w:szCs w:val="32"/>
          <w:highlight w:val="none"/>
        </w:rPr>
        <w:t>；</w:t>
      </w:r>
    </w:p>
    <w:p w14:paraId="40C1B334">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地址：台州市路桥区腾达路1991号。</w:t>
      </w:r>
    </w:p>
    <w:p w14:paraId="6A4D9939">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3、同级政府采购监管管理部门：</w:t>
      </w:r>
      <w:r>
        <w:rPr>
          <w:rFonts w:hint="eastAsia" w:ascii="宋体" w:hAnsi="宋体" w:eastAsia="宋体" w:cs="宋体"/>
          <w:color w:val="auto"/>
          <w:sz w:val="24"/>
          <w:szCs w:val="32"/>
          <w:highlight w:val="none"/>
        </w:rPr>
        <w:t>台州市路桥区财政局监督绩效管理与采购监管科；</w:t>
      </w:r>
    </w:p>
    <w:p w14:paraId="5B6C0900">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联系人：吴女士；监督投诉电话：0576-82517851；</w:t>
      </w:r>
    </w:p>
    <w:p w14:paraId="28A8774B">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地址：台州市路桥区西路桥大道58号。</w:t>
      </w:r>
    </w:p>
    <w:p w14:paraId="34C1494C">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4、银行（中标项目贷款咨询）</w:t>
      </w:r>
    </w:p>
    <w:p w14:paraId="3ACE5463">
      <w:pPr>
        <w:shd w:val="clear" w:color="auto" w:fill="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中标人可根据项目情况及自身需求向以下银行申请企业贷款，利率从优。</w:t>
      </w:r>
    </w:p>
    <w:tbl>
      <w:tblPr>
        <w:tblStyle w:val="30"/>
        <w:tblW w:w="10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0"/>
        <w:gridCol w:w="5335"/>
        <w:gridCol w:w="1610"/>
        <w:gridCol w:w="1410"/>
        <w:gridCol w:w="1935"/>
      </w:tblGrid>
      <w:tr w14:paraId="6EF9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6EFF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5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FCCB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银 行 名 称</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2F5B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政采贷年利率</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A16B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联系人</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ED3F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联系电话</w:t>
            </w:r>
          </w:p>
        </w:tc>
      </w:tr>
      <w:tr w14:paraId="187BF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67E4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5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5F16E">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中国建设银行股份有限公司台州路桥支行</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2E0E4">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4.80%</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0DB2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徐剑鸿</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72C6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15167671223</w:t>
            </w:r>
          </w:p>
        </w:tc>
      </w:tr>
      <w:tr w14:paraId="2C382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040F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5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0F5F0">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中国工商银行股份有限公司台州路桥支行</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B409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3.8%起</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C39BF">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倪  昊</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D466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15968680259</w:t>
            </w:r>
          </w:p>
        </w:tc>
      </w:tr>
      <w:tr w14:paraId="1A76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1E75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5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A2F68">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中国农业银行股份有限公司台州路桥支行</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2E4F4">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3.85%起</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6035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丁道兵</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12B73">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13606668045</w:t>
            </w:r>
          </w:p>
        </w:tc>
      </w:tr>
      <w:tr w14:paraId="4ABE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AAB1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5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67254">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中国银行股份有限公司台州市路桥区支行</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8E14D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4%</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4B30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车  斌</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1E8E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13750661198</w:t>
            </w:r>
          </w:p>
        </w:tc>
      </w:tr>
      <w:tr w14:paraId="6BC6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D6DA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5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589EC">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台州银行股份有限公司</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D9B2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7.08%</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CFE0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黄红芹</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EB55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13968689000</w:t>
            </w:r>
          </w:p>
        </w:tc>
      </w:tr>
      <w:tr w14:paraId="60F2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2075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5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5E690">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浙江泰隆商业银行股份有限公司</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B3D1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7.08%</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8FB8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冯观凤</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E8A3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17858683988</w:t>
            </w:r>
          </w:p>
        </w:tc>
      </w:tr>
      <w:tr w14:paraId="6C76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E304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5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0B00C">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中国邮政储蓄银行股份有限公司台州市路桥区支行</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F18B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4.35%起</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BF95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沈丹华</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A2912">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13306566969</w:t>
            </w:r>
          </w:p>
        </w:tc>
      </w:tr>
      <w:tr w14:paraId="259A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4E63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5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E7BAD">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交通银行股份有限公司台州路桥支行</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2665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3.80%</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4D1A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刘鲁浙</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999C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15968662111</w:t>
            </w:r>
          </w:p>
        </w:tc>
      </w:tr>
      <w:tr w14:paraId="5289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89D6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9</w:t>
            </w:r>
          </w:p>
        </w:tc>
        <w:tc>
          <w:tcPr>
            <w:tcW w:w="5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7D2ED">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兴业银行股份有限公司台州路桥支行</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1C9AB">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4%起</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BC47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蒋  峰</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7A9E6">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13586088395</w:t>
            </w:r>
          </w:p>
        </w:tc>
      </w:tr>
      <w:tr w14:paraId="7B13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4854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w:t>
            </w:r>
          </w:p>
        </w:tc>
        <w:tc>
          <w:tcPr>
            <w:tcW w:w="5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3BA66">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中信银行股份有限公司台州路桥支行</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A492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4.15%起</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5D3F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曹筱婕</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CA07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18105768199</w:t>
            </w:r>
          </w:p>
        </w:tc>
      </w:tr>
      <w:tr w14:paraId="7B6C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E8C8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11</w:t>
            </w:r>
          </w:p>
        </w:tc>
        <w:tc>
          <w:tcPr>
            <w:tcW w:w="5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D678A">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浙商银行股份有限公司台州路桥小微企业专营支行</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1C6F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6.75%</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9AA8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庄道勇</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A5AB5">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13867611023</w:t>
            </w:r>
          </w:p>
        </w:tc>
      </w:tr>
      <w:tr w14:paraId="48EB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7B92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12</w:t>
            </w:r>
          </w:p>
        </w:tc>
        <w:tc>
          <w:tcPr>
            <w:tcW w:w="5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9DAA2">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广发银行股份有限公司台州路桥小微企业专营支行</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FFEA0">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5.65%</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2033A">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林  春</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F18BC">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13858687790</w:t>
            </w:r>
          </w:p>
        </w:tc>
      </w:tr>
      <w:tr w14:paraId="0747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F2C2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13</w:t>
            </w:r>
          </w:p>
        </w:tc>
        <w:tc>
          <w:tcPr>
            <w:tcW w:w="5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F1D92">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平安银行股份有限公司台州路桥小微企业专营支行</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F0B19">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7%</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A69B0">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李俊丽</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6EFA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15906861025</w:t>
            </w:r>
          </w:p>
        </w:tc>
      </w:tr>
      <w:tr w14:paraId="5264C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C3E9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14</w:t>
            </w:r>
          </w:p>
        </w:tc>
        <w:tc>
          <w:tcPr>
            <w:tcW w:w="5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E207D">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宁波银行股份有限公司台州路桥小微企业专营支行</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D8C48">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5%-6%</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2BCFD">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李诚杰</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D9561">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13395745558</w:t>
            </w:r>
          </w:p>
        </w:tc>
      </w:tr>
      <w:tr w14:paraId="126C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ECE4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15</w:t>
            </w:r>
          </w:p>
        </w:tc>
        <w:tc>
          <w:tcPr>
            <w:tcW w:w="5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1025E">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浙江台州路桥富民村镇银行股份有限公司</w:t>
            </w:r>
          </w:p>
        </w:tc>
        <w:tc>
          <w:tcPr>
            <w:tcW w:w="16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9F2C4">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7.80%</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D411E">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金根灵</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C92A7">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iCs w:val="0"/>
                <w:color w:val="auto"/>
                <w:kern w:val="0"/>
                <w:sz w:val="22"/>
                <w:szCs w:val="22"/>
                <w:highlight w:val="none"/>
                <w:u w:val="none"/>
                <w:lang w:val="en-US" w:eastAsia="zh-CN"/>
              </w:rPr>
              <w:t>13157608788</w:t>
            </w:r>
          </w:p>
        </w:tc>
      </w:tr>
    </w:tbl>
    <w:p w14:paraId="7F387C5D">
      <w:pPr>
        <w:pStyle w:val="3"/>
        <w:rPr>
          <w:rFonts w:hint="eastAsia"/>
          <w:color w:val="auto"/>
          <w:highlight w:val="none"/>
        </w:rPr>
      </w:pPr>
    </w:p>
    <w:p w14:paraId="7E263F56">
      <w:pPr>
        <w:shd w:val="clear" w:color="auto" w:fill="auto"/>
        <w:spacing w:line="360" w:lineRule="auto"/>
        <w:rPr>
          <w:rFonts w:hint="eastAsia" w:ascii="宋体" w:hAnsi="宋体" w:eastAsia="宋体" w:cs="宋体"/>
          <w:color w:val="auto"/>
          <w:sz w:val="24"/>
          <w:szCs w:val="32"/>
          <w:highlight w:val="none"/>
        </w:rPr>
      </w:pPr>
    </w:p>
    <w:p w14:paraId="16FC2CB1">
      <w:pPr>
        <w:shd w:val="clear" w:color="auto" w:fill="auto"/>
        <w:spacing w:line="360" w:lineRule="auto"/>
        <w:jc w:val="righ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浙江五石中正工程咨询有限公司</w:t>
      </w:r>
    </w:p>
    <w:p w14:paraId="136D6AD2">
      <w:pPr>
        <w:shd w:val="clear" w:color="auto" w:fill="auto"/>
        <w:spacing w:line="360" w:lineRule="auto"/>
        <w:ind w:firstLine="6240" w:firstLineChars="26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202</w:t>
      </w:r>
      <w:r>
        <w:rPr>
          <w:rFonts w:hint="eastAsia" w:ascii="宋体" w:hAnsi="宋体" w:cs="宋体"/>
          <w:color w:val="auto"/>
          <w:sz w:val="24"/>
          <w:szCs w:val="32"/>
          <w:highlight w:val="none"/>
          <w:lang w:val="en-US" w:eastAsia="zh-CN"/>
        </w:rPr>
        <w:t>4</w:t>
      </w:r>
      <w:r>
        <w:rPr>
          <w:rFonts w:hint="eastAsia" w:ascii="宋体" w:hAnsi="宋体" w:eastAsia="宋体" w:cs="宋体"/>
          <w:color w:val="auto"/>
          <w:sz w:val="24"/>
          <w:szCs w:val="32"/>
          <w:highlight w:val="none"/>
        </w:rPr>
        <w:t>年</w:t>
      </w:r>
      <w:r>
        <w:rPr>
          <w:rFonts w:hint="eastAsia" w:ascii="宋体" w:hAnsi="宋体" w:cs="宋体"/>
          <w:color w:val="auto"/>
          <w:sz w:val="24"/>
          <w:szCs w:val="32"/>
          <w:highlight w:val="none"/>
          <w:lang w:val="en-US" w:eastAsia="zh-CN"/>
        </w:rPr>
        <w:t>8</w:t>
      </w:r>
      <w:r>
        <w:rPr>
          <w:rFonts w:hint="eastAsia" w:ascii="宋体" w:hAnsi="宋体" w:eastAsia="宋体" w:cs="宋体"/>
          <w:color w:val="auto"/>
          <w:sz w:val="24"/>
          <w:szCs w:val="32"/>
          <w:highlight w:val="none"/>
        </w:rPr>
        <w:t>月</w:t>
      </w:r>
    </w:p>
    <w:p w14:paraId="7DAA88E1">
      <w:pPr>
        <w:shd w:val="clear" w:color="auto" w:fill="auto"/>
        <w:spacing w:line="360" w:lineRule="auto"/>
        <w:rPr>
          <w:rFonts w:hint="eastAsia" w:ascii="宋体" w:hAnsi="宋体" w:eastAsia="宋体" w:cs="宋体"/>
          <w:color w:val="auto"/>
          <w:sz w:val="24"/>
          <w:szCs w:val="32"/>
          <w:highlight w:val="none"/>
        </w:rPr>
      </w:pPr>
    </w:p>
    <w:p w14:paraId="4E348570">
      <w:pPr>
        <w:shd w:val="clear" w:color="auto" w:fill="auto"/>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r>
        <w:rPr>
          <w:rFonts w:hint="eastAsia" w:ascii="宋体" w:hAnsi="宋体" w:eastAsia="宋体" w:cs="宋体"/>
          <w:b/>
          <w:bCs/>
          <w:color w:val="auto"/>
          <w:sz w:val="36"/>
          <w:szCs w:val="44"/>
          <w:highlight w:val="none"/>
        </w:rPr>
        <w:t>第二部分 供应商须知</w:t>
      </w:r>
    </w:p>
    <w:p w14:paraId="7667A337">
      <w:pPr>
        <w:shd w:val="clear" w:color="auto" w:fill="auto"/>
        <w:spacing w:line="360" w:lineRule="auto"/>
        <w:ind w:firstLine="482" w:firstLineChars="200"/>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前附表</w:t>
      </w:r>
    </w:p>
    <w:tbl>
      <w:tblPr>
        <w:tblStyle w:val="30"/>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0"/>
        <w:gridCol w:w="1530"/>
        <w:gridCol w:w="7212"/>
      </w:tblGrid>
      <w:tr w14:paraId="10DF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 w:hRule="atLeast"/>
          <w:jc w:val="center"/>
        </w:trPr>
        <w:tc>
          <w:tcPr>
            <w:tcW w:w="740" w:type="dxa"/>
            <w:shd w:val="clear" w:color="auto" w:fill="auto"/>
            <w:vAlign w:val="center"/>
          </w:tcPr>
          <w:p w14:paraId="2E05BEBC">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530" w:type="dxa"/>
            <w:shd w:val="clear" w:color="auto" w:fill="auto"/>
            <w:vAlign w:val="center"/>
          </w:tcPr>
          <w:p w14:paraId="6E73B018">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7212" w:type="dxa"/>
            <w:shd w:val="clear" w:color="auto" w:fill="auto"/>
            <w:vAlign w:val="center"/>
          </w:tcPr>
          <w:p w14:paraId="47EEA721">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14:paraId="4DF2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jc w:val="center"/>
        </w:trPr>
        <w:tc>
          <w:tcPr>
            <w:tcW w:w="740" w:type="dxa"/>
            <w:shd w:val="clear" w:color="auto" w:fill="auto"/>
            <w:vAlign w:val="center"/>
          </w:tcPr>
          <w:p w14:paraId="0BE427B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30" w:type="dxa"/>
            <w:shd w:val="clear" w:color="auto" w:fill="auto"/>
            <w:vAlign w:val="center"/>
          </w:tcPr>
          <w:p w14:paraId="2B34684A">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供应商特定资格要求</w:t>
            </w:r>
          </w:p>
        </w:tc>
        <w:tc>
          <w:tcPr>
            <w:tcW w:w="7212" w:type="dxa"/>
            <w:shd w:val="clear" w:color="auto" w:fill="auto"/>
            <w:vAlign w:val="center"/>
          </w:tcPr>
          <w:p w14:paraId="66E7D3EB">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符合竞争性磋商公告资格要求的供应商。</w:t>
            </w:r>
          </w:p>
        </w:tc>
      </w:tr>
      <w:tr w14:paraId="6B1E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9" w:hRule="atLeast"/>
          <w:jc w:val="center"/>
        </w:trPr>
        <w:tc>
          <w:tcPr>
            <w:tcW w:w="740" w:type="dxa"/>
            <w:shd w:val="clear" w:color="auto" w:fill="auto"/>
            <w:vAlign w:val="center"/>
          </w:tcPr>
          <w:p w14:paraId="220C623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30" w:type="dxa"/>
            <w:shd w:val="clear" w:color="auto" w:fill="auto"/>
            <w:vAlign w:val="center"/>
          </w:tcPr>
          <w:p w14:paraId="1F962163">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现场踏勘</w:t>
            </w:r>
          </w:p>
        </w:tc>
        <w:tc>
          <w:tcPr>
            <w:tcW w:w="7212" w:type="dxa"/>
            <w:shd w:val="clear" w:color="auto" w:fill="auto"/>
            <w:vAlign w:val="center"/>
          </w:tcPr>
          <w:p w14:paraId="4F1D0B29">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各磋商供应商自行前往勘察现场和周围环境，所产生的费用由磋商供应商自理。</w:t>
            </w:r>
          </w:p>
        </w:tc>
      </w:tr>
      <w:tr w14:paraId="3DAC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740" w:type="dxa"/>
            <w:shd w:val="clear" w:color="auto" w:fill="auto"/>
            <w:vAlign w:val="center"/>
          </w:tcPr>
          <w:p w14:paraId="4BA83643">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30" w:type="dxa"/>
            <w:shd w:val="clear" w:color="auto" w:fill="auto"/>
            <w:vAlign w:val="center"/>
          </w:tcPr>
          <w:p w14:paraId="676B4017">
            <w:pPr>
              <w:shd w:val="clear" w:color="auto" w:fill="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磋商响应文件有效期</w:t>
            </w:r>
          </w:p>
        </w:tc>
        <w:tc>
          <w:tcPr>
            <w:tcW w:w="7212" w:type="dxa"/>
            <w:shd w:val="clear" w:color="auto" w:fill="auto"/>
            <w:vAlign w:val="center"/>
          </w:tcPr>
          <w:p w14:paraId="49C87FC9">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磋商响应有效期为磋商后90天，磋商响应有效期从提交磋商响应文件的截止之日起算。</w:t>
            </w:r>
          </w:p>
        </w:tc>
      </w:tr>
      <w:tr w14:paraId="7031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7" w:hRule="atLeast"/>
          <w:jc w:val="center"/>
        </w:trPr>
        <w:tc>
          <w:tcPr>
            <w:tcW w:w="740" w:type="dxa"/>
            <w:shd w:val="clear" w:color="auto" w:fill="auto"/>
            <w:vAlign w:val="center"/>
          </w:tcPr>
          <w:p w14:paraId="41338C34">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30" w:type="dxa"/>
            <w:shd w:val="clear" w:color="auto" w:fill="auto"/>
            <w:vAlign w:val="center"/>
          </w:tcPr>
          <w:p w14:paraId="311DF4AB">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磋商响应文件递交</w:t>
            </w:r>
          </w:p>
        </w:tc>
        <w:tc>
          <w:tcPr>
            <w:tcW w:w="7212" w:type="dxa"/>
            <w:shd w:val="clear" w:color="auto" w:fill="auto"/>
            <w:vAlign w:val="center"/>
          </w:tcPr>
          <w:p w14:paraId="74ED364B">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本项目实行电子投标，供应商应准备电子响应文件、以介质存储的数据电文形式的备份响应文件、纸质备份响应文件三类：</w:t>
            </w:r>
          </w:p>
          <w:p w14:paraId="5D6575AE">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1.电子响应文件，按政采云平台项目采购--电子招投标操作指南及本采购文件要求编制、递交。</w:t>
            </w:r>
          </w:p>
          <w:p w14:paraId="64F948B5">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2.以介质存储的数据电文形式的备份响应文件，按政采云平台项目采购-电子招投标操作指南中上传的电子响应文件格式，以U盘形式提供。数量为1份。</w:t>
            </w:r>
          </w:p>
          <w:p w14:paraId="0ED41C4F">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3.纸质备份响应文件以纸质文件的形式编制，</w:t>
            </w:r>
            <w:r>
              <w:rPr>
                <w:rFonts w:hint="eastAsia" w:ascii="宋体" w:hAnsi="宋体" w:eastAsia="宋体" w:cs="宋体"/>
                <w:b/>
                <w:bCs/>
                <w:color w:val="auto"/>
                <w:sz w:val="24"/>
                <w:highlight w:val="none"/>
              </w:rPr>
              <w:t>数量均为2份（正本一份，副本一份）</w:t>
            </w:r>
            <w:r>
              <w:rPr>
                <w:rFonts w:hint="eastAsia" w:ascii="宋体" w:hAnsi="宋体" w:eastAsia="宋体" w:cs="宋体"/>
                <w:color w:val="auto"/>
                <w:sz w:val="24"/>
                <w:highlight w:val="none"/>
              </w:rPr>
              <w:t>。</w:t>
            </w:r>
          </w:p>
          <w:p w14:paraId="1CC8C201">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文件启用顺序和效力：响应文件的启用，按先后顺位分别为电子响应文件、以U盘存储的数据电文形式的备份响应文件、纸质备份响应文件。顺位在先的响应文件已按时解密的，备份响应文件自动失效。在下一顺位的响应文件启用时，前一顺位的响应文件自动失效。</w:t>
            </w:r>
          </w:p>
          <w:p w14:paraId="704D10B7">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5.▲未传输递交电子响应文件的，投标无效。未按规定提供相应的备份响应文件，造成项目开评标活动无法进行下去的，投标无效。</w:t>
            </w:r>
          </w:p>
        </w:tc>
      </w:tr>
      <w:tr w14:paraId="6193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9" w:hRule="atLeast"/>
          <w:jc w:val="center"/>
        </w:trPr>
        <w:tc>
          <w:tcPr>
            <w:tcW w:w="740" w:type="dxa"/>
            <w:shd w:val="clear" w:color="auto" w:fill="auto"/>
            <w:vAlign w:val="center"/>
          </w:tcPr>
          <w:p w14:paraId="5C366D7B">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30" w:type="dxa"/>
            <w:shd w:val="clear" w:color="auto" w:fill="auto"/>
            <w:vAlign w:val="center"/>
          </w:tcPr>
          <w:p w14:paraId="65F83508">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磋商时间及地点</w:t>
            </w:r>
          </w:p>
        </w:tc>
        <w:tc>
          <w:tcPr>
            <w:tcW w:w="7212" w:type="dxa"/>
            <w:shd w:val="clear" w:color="auto" w:fill="auto"/>
            <w:vAlign w:val="center"/>
          </w:tcPr>
          <w:p w14:paraId="25F91459">
            <w:pPr>
              <w:shd w:val="clear" w:color="auto" w:fil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时间：北京时间</w:t>
            </w:r>
            <w:r>
              <w:rPr>
                <w:rFonts w:hint="eastAsia"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28</w:t>
            </w:r>
            <w:bookmarkStart w:id="559" w:name="_GoBack"/>
            <w:bookmarkEnd w:id="559"/>
            <w:r>
              <w:rPr>
                <w:rFonts w:hint="eastAsia" w:ascii="宋体" w:hAnsi="宋体" w:eastAsia="宋体" w:cs="宋体"/>
                <w:color w:val="auto"/>
                <w:sz w:val="24"/>
                <w:highlight w:val="none"/>
                <w:lang w:eastAsia="zh-CN"/>
              </w:rPr>
              <w:t>日</w:t>
            </w:r>
            <w:r>
              <w:rPr>
                <w:rFonts w:hint="eastAsia" w:ascii="宋体" w:hAnsi="宋体" w:cs="宋体"/>
                <w:color w:val="auto"/>
                <w:sz w:val="24"/>
                <w:highlight w:val="none"/>
                <w:lang w:eastAsia="zh-CN"/>
              </w:rPr>
              <w:t>下</w:t>
            </w:r>
            <w:r>
              <w:rPr>
                <w:rFonts w:hint="eastAsia" w:ascii="宋体" w:hAnsi="宋体" w:eastAsia="宋体" w:cs="宋体"/>
                <w:color w:val="auto"/>
                <w:sz w:val="24"/>
                <w:highlight w:val="none"/>
                <w:lang w:eastAsia="zh-CN"/>
              </w:rPr>
              <w:t>午</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30</w:t>
            </w:r>
          </w:p>
          <w:p w14:paraId="6690F2CF">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w:t>
            </w:r>
            <w:r>
              <w:rPr>
                <w:rFonts w:hint="eastAsia" w:ascii="宋体" w:hAnsi="宋体" w:cs="宋体"/>
                <w:color w:val="auto"/>
                <w:sz w:val="24"/>
                <w:highlight w:val="none"/>
                <w:lang w:val="en-US" w:eastAsia="zh-CN"/>
              </w:rPr>
              <w:t>政采云</w:t>
            </w:r>
            <w:r>
              <w:rPr>
                <w:rFonts w:hint="eastAsia" w:ascii="宋体" w:hAnsi="宋体" w:eastAsia="宋体" w:cs="宋体"/>
                <w:color w:val="auto"/>
                <w:sz w:val="24"/>
                <w:highlight w:val="none"/>
              </w:rPr>
              <w:t>。</w:t>
            </w:r>
          </w:p>
        </w:tc>
      </w:tr>
      <w:tr w14:paraId="0701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 w:hRule="atLeast"/>
          <w:jc w:val="center"/>
        </w:trPr>
        <w:tc>
          <w:tcPr>
            <w:tcW w:w="740" w:type="dxa"/>
            <w:shd w:val="clear" w:color="auto" w:fill="auto"/>
            <w:vAlign w:val="center"/>
          </w:tcPr>
          <w:p w14:paraId="443492A2">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30" w:type="dxa"/>
            <w:shd w:val="clear" w:color="auto" w:fill="auto"/>
            <w:vAlign w:val="center"/>
          </w:tcPr>
          <w:p w14:paraId="736A81F3">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7212" w:type="dxa"/>
            <w:shd w:val="clear" w:color="auto" w:fill="auto"/>
            <w:vAlign w:val="center"/>
          </w:tcPr>
          <w:p w14:paraId="1A14C752">
            <w:pPr>
              <w:shd w:val="clear" w:color="auto" w:fill="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供应商在签订合同前须交纳本项目履约保证金为合同金额的</w:t>
            </w:r>
            <w:r>
              <w:rPr>
                <w:rFonts w:hint="eastAsia" w:ascii="宋体" w:hAnsi="宋体" w:eastAsia="宋体" w:cs="宋体"/>
                <w:color w:val="auto"/>
                <w:sz w:val="24"/>
                <w:highlight w:val="none"/>
                <w:u w:val="single"/>
              </w:rPr>
              <w:t xml:space="preserve"> </w:t>
            </w:r>
            <w:r>
              <w:rPr>
                <w:rFonts w:hint="default" w:ascii="宋体" w:hAnsi="宋体" w:eastAsia="宋体" w:cs="宋体"/>
                <w:color w:val="auto"/>
                <w:sz w:val="24"/>
                <w:highlight w:val="none"/>
                <w:u w:val="single"/>
                <w:lang w:val="en-US"/>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（履约保证金可以采用保函、担保、</w:t>
            </w:r>
            <w:r>
              <w:rPr>
                <w:rFonts w:hint="eastAsia" w:ascii="宋体" w:hAnsi="宋体" w:eastAsia="宋体" w:cs="宋体"/>
                <w:color w:val="auto"/>
                <w:sz w:val="24"/>
                <w:highlight w:val="none"/>
                <w:lang w:eastAsia="zh-CN"/>
              </w:rPr>
              <w:t>保险、</w:t>
            </w:r>
            <w:r>
              <w:rPr>
                <w:rFonts w:hint="eastAsia" w:ascii="宋体" w:hAnsi="宋体" w:eastAsia="宋体" w:cs="宋体"/>
                <w:color w:val="auto"/>
                <w:sz w:val="24"/>
                <w:highlight w:val="none"/>
              </w:rPr>
              <w:t>转账等形式）</w:t>
            </w:r>
            <w:r>
              <w:rPr>
                <w:rFonts w:hint="eastAsia" w:ascii="宋体" w:hAnsi="宋体" w:cs="宋体"/>
                <w:color w:val="auto"/>
                <w:sz w:val="24"/>
                <w:highlight w:val="none"/>
                <w:lang w:val="en-US" w:eastAsia="zh-CN"/>
              </w:rPr>
              <w:t>履约保证金在项目完成通过验收后无息退还。</w:t>
            </w:r>
          </w:p>
        </w:tc>
      </w:tr>
      <w:tr w14:paraId="223D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jc w:val="center"/>
        </w:trPr>
        <w:tc>
          <w:tcPr>
            <w:tcW w:w="740" w:type="dxa"/>
            <w:shd w:val="clear" w:color="auto" w:fill="auto"/>
            <w:vAlign w:val="center"/>
          </w:tcPr>
          <w:p w14:paraId="1E1A455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530" w:type="dxa"/>
            <w:shd w:val="clear" w:color="auto" w:fill="auto"/>
            <w:vAlign w:val="center"/>
          </w:tcPr>
          <w:p w14:paraId="2241B8C1">
            <w:pPr>
              <w:shd w:val="clear" w:color="auto" w:fill="auto"/>
              <w:ind w:left="1"/>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样品及演示</w:t>
            </w:r>
          </w:p>
        </w:tc>
        <w:tc>
          <w:tcPr>
            <w:tcW w:w="7212" w:type="dxa"/>
            <w:shd w:val="clear" w:color="auto" w:fill="auto"/>
            <w:vAlign w:val="center"/>
          </w:tcPr>
          <w:p w14:paraId="4FC1A07E">
            <w:pPr>
              <w:shd w:val="clear" w:color="auto" w:fill="auto"/>
              <w:ind w:left="1"/>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无要求。</w:t>
            </w:r>
          </w:p>
        </w:tc>
      </w:tr>
      <w:tr w14:paraId="159C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jc w:val="center"/>
        </w:trPr>
        <w:tc>
          <w:tcPr>
            <w:tcW w:w="740" w:type="dxa"/>
            <w:shd w:val="clear" w:color="auto" w:fill="auto"/>
            <w:vAlign w:val="center"/>
          </w:tcPr>
          <w:p w14:paraId="432F32D3">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530" w:type="dxa"/>
            <w:shd w:val="clear" w:color="auto" w:fill="auto"/>
            <w:vAlign w:val="center"/>
          </w:tcPr>
          <w:p w14:paraId="7A045811">
            <w:pPr>
              <w:shd w:val="clear" w:color="auto" w:fill="auto"/>
              <w:ind w:left="1"/>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节能环保</w:t>
            </w:r>
          </w:p>
        </w:tc>
        <w:tc>
          <w:tcPr>
            <w:tcW w:w="7212" w:type="dxa"/>
            <w:shd w:val="clear" w:color="auto" w:fill="auto"/>
            <w:vAlign w:val="center"/>
          </w:tcPr>
          <w:p w14:paraId="41DED04C">
            <w:pPr>
              <w:shd w:val="clear" w:color="auto" w:fill="auto"/>
              <w:ind w:left="1"/>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符合国家相关规定。</w:t>
            </w:r>
          </w:p>
        </w:tc>
      </w:tr>
      <w:tr w14:paraId="5697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 w:hRule="atLeast"/>
          <w:jc w:val="center"/>
        </w:trPr>
        <w:tc>
          <w:tcPr>
            <w:tcW w:w="740" w:type="dxa"/>
            <w:shd w:val="clear" w:color="auto" w:fill="auto"/>
            <w:vAlign w:val="center"/>
          </w:tcPr>
          <w:p w14:paraId="7590DE6C">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530" w:type="dxa"/>
            <w:shd w:val="clear" w:color="auto" w:fill="auto"/>
            <w:vAlign w:val="center"/>
          </w:tcPr>
          <w:p w14:paraId="4ABEA3EE">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实质性条款</w:t>
            </w:r>
          </w:p>
        </w:tc>
        <w:tc>
          <w:tcPr>
            <w:tcW w:w="7212" w:type="dxa"/>
            <w:shd w:val="clear" w:color="auto" w:fill="auto"/>
            <w:vAlign w:val="center"/>
          </w:tcPr>
          <w:p w14:paraId="74814DB4">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带“</w:t>
            </w:r>
            <w:r>
              <w:rPr>
                <w:rFonts w:hint="eastAsia" w:ascii="宋体" w:hAnsi="宋体" w:eastAsia="宋体" w:cs="宋体"/>
                <w:color w:val="auto"/>
                <w:sz w:val="24"/>
                <w:highlight w:val="none"/>
              </w:rPr>
              <w:t>▲”的条款是实质性条款，磋商响应文件须做出实质性响应，否则终止磋商。</w:t>
            </w:r>
          </w:p>
        </w:tc>
      </w:tr>
      <w:tr w14:paraId="4C09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1"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60E39409">
            <w:pPr>
              <w:snapToGrid/>
              <w:spacing w:before="0" w:beforeAutospacing="0" w:after="0" w:afterAutospacing="0" w:line="240" w:lineRule="auto"/>
              <w:jc w:val="center"/>
              <w:textAlignment w:val="baseline"/>
              <w:rPr>
                <w:rFonts w:hint="eastAsia" w:ascii="宋体" w:hAnsi="宋体" w:eastAsia="宋体" w:cs="宋体"/>
                <w:color w:val="auto"/>
                <w:sz w:val="24"/>
                <w:highlight w:val="none"/>
              </w:rPr>
            </w:pPr>
            <w:r>
              <w:rPr>
                <w:rStyle w:val="37"/>
                <w:rFonts w:hint="eastAsia" w:ascii="宋体" w:hAnsi="宋体" w:eastAsia="宋体" w:cs="宋体"/>
                <w:b w:val="0"/>
                <w:i w:val="0"/>
                <w:caps w:val="0"/>
                <w:color w:val="auto"/>
                <w:spacing w:val="0"/>
                <w:w w:val="100"/>
                <w:kern w:val="2"/>
                <w:sz w:val="24"/>
                <w:szCs w:val="24"/>
                <w:highlight w:val="none"/>
                <w:lang w:val="en-US" w:eastAsia="zh-CN" w:bidi="ar-SA"/>
              </w:rPr>
              <w:t>1</w:t>
            </w:r>
            <w:r>
              <w:rPr>
                <w:rStyle w:val="37"/>
                <w:rFonts w:hint="eastAsia" w:ascii="宋体" w:hAnsi="宋体" w:cs="宋体"/>
                <w:b w:val="0"/>
                <w:i w:val="0"/>
                <w:caps w:val="0"/>
                <w:color w:val="auto"/>
                <w:spacing w:val="0"/>
                <w:w w:val="100"/>
                <w:kern w:val="2"/>
                <w:sz w:val="24"/>
                <w:szCs w:val="24"/>
                <w:highlight w:val="none"/>
                <w:lang w:val="en-US" w:eastAsia="zh-CN" w:bidi="ar-SA"/>
              </w:rPr>
              <w:t>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215E023C">
            <w:pPr>
              <w:snapToGrid/>
              <w:spacing w:before="0" w:beforeAutospacing="0" w:after="0" w:afterAutospacing="0" w:line="240" w:lineRule="auto"/>
              <w:jc w:val="center"/>
              <w:textAlignment w:val="baseline"/>
              <w:rPr>
                <w:rFonts w:hint="eastAsia" w:ascii="宋体" w:hAnsi="宋体" w:eastAsia="宋体" w:cs="宋体"/>
                <w:color w:val="auto"/>
                <w:sz w:val="24"/>
                <w:highlight w:val="none"/>
              </w:rPr>
            </w:pPr>
            <w:r>
              <w:rPr>
                <w:rFonts w:hint="eastAsia" w:ascii="宋体" w:hAnsi="宋体" w:cs="宋体"/>
                <w:color w:val="auto"/>
                <w:sz w:val="24"/>
                <w:highlight w:val="none"/>
              </w:rPr>
              <w:t>中小企业划分标准所属行业</w:t>
            </w:r>
          </w:p>
        </w:tc>
        <w:tc>
          <w:tcPr>
            <w:tcW w:w="7212" w:type="dxa"/>
            <w:tcBorders>
              <w:top w:val="single" w:color="auto" w:sz="4" w:space="0"/>
              <w:left w:val="single" w:color="auto" w:sz="4" w:space="0"/>
              <w:bottom w:val="single" w:color="auto" w:sz="4" w:space="0"/>
              <w:right w:val="single" w:color="auto" w:sz="4" w:space="0"/>
            </w:tcBorders>
            <w:shd w:val="clear" w:color="auto" w:fill="auto"/>
            <w:vAlign w:val="center"/>
          </w:tcPr>
          <w:p w14:paraId="5C3A1DFA">
            <w:pPr>
              <w:snapToGrid/>
              <w:spacing w:before="0" w:beforeAutospacing="0" w:after="0" w:afterAutospacing="0" w:line="240" w:lineRule="auto"/>
              <w:jc w:val="both"/>
              <w:textAlignment w:val="baseline"/>
              <w:rPr>
                <w:rFonts w:hint="eastAsia" w:ascii="宋体" w:hAnsi="宋体" w:eastAsia="宋体" w:cs="宋体"/>
                <w:color w:val="auto"/>
                <w:sz w:val="24"/>
                <w:highlight w:val="none"/>
              </w:rPr>
            </w:pPr>
            <w:r>
              <w:rPr>
                <w:rStyle w:val="37"/>
                <w:rFonts w:hint="eastAsia" w:ascii="宋体" w:hAnsi="宋体" w:cs="宋体"/>
                <w:b w:val="0"/>
                <w:i w:val="0"/>
                <w:caps w:val="0"/>
                <w:color w:val="auto"/>
                <w:spacing w:val="0"/>
                <w:w w:val="100"/>
                <w:kern w:val="2"/>
                <w:sz w:val="24"/>
                <w:szCs w:val="24"/>
                <w:highlight w:val="none"/>
                <w:lang w:val="en-US" w:eastAsia="zh-CN" w:bidi="ar-SA"/>
              </w:rPr>
              <w:t>建筑业</w:t>
            </w:r>
            <w:r>
              <w:rPr>
                <w:rStyle w:val="37"/>
                <w:rFonts w:hint="eastAsia" w:ascii="宋体" w:hAnsi="宋体" w:eastAsia="宋体" w:cs="宋体"/>
                <w:b w:val="0"/>
                <w:i w:val="0"/>
                <w:caps w:val="0"/>
                <w:color w:val="auto"/>
                <w:spacing w:val="0"/>
                <w:w w:val="100"/>
                <w:kern w:val="2"/>
                <w:sz w:val="24"/>
                <w:szCs w:val="24"/>
                <w:highlight w:val="none"/>
                <w:lang w:val="en-US" w:eastAsia="zh-CN" w:bidi="ar-SA"/>
              </w:rPr>
              <w:t>。</w:t>
            </w:r>
          </w:p>
        </w:tc>
      </w:tr>
    </w:tbl>
    <w:p w14:paraId="0F7593F4">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注：以上内容如有变化将另行书面通知。如通知其中某一内容发生变化，其余未提及的将不作变动。</w:t>
      </w:r>
    </w:p>
    <w:p w14:paraId="11705607">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 、总  则</w:t>
      </w:r>
    </w:p>
    <w:p w14:paraId="5A76E0B6">
      <w:pPr>
        <w:shd w:val="clear" w:color="auto" w:fill="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 适用范围</w:t>
      </w:r>
    </w:p>
    <w:p w14:paraId="172B42D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本磋商文件适用于本次项目的磋商、评审、确定成交供应商、验收、合同履约、付款等行为（法律、法规另有规定的，从其规定）。</w:t>
      </w:r>
    </w:p>
    <w:p w14:paraId="32C8030F">
      <w:pPr>
        <w:shd w:val="clear" w:color="auto" w:fill="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（二）定义</w:t>
      </w:r>
    </w:p>
    <w:p w14:paraId="33D3D8A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1、“采购组织机构”：是指采购人委托组织磋商的采购代理机构。</w:t>
      </w:r>
    </w:p>
    <w:p w14:paraId="3CC46627">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2、采购人：是指委托采购代理机构采购本次项目的国家机关、事业单位和团体组织。</w:t>
      </w:r>
    </w:p>
    <w:p w14:paraId="20F2A75A">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3、磋商供应商：是指向采购组织机构提交磋商响应文件的单位或个人。</w:t>
      </w:r>
    </w:p>
    <w:p w14:paraId="6C0F21C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4、服务：是指除货物和工程以外的政府采购对象，包括各类专业服务、信息网络开发服务、金融保险服务、运输服务，以及维修与维护服务等。</w:t>
      </w:r>
    </w:p>
    <w:p w14:paraId="36806481">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5、“书面形式”包括信函、传真等。</w:t>
      </w:r>
    </w:p>
    <w:p w14:paraId="35FE0C30">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6、“▲”系指实质性要求条款。</w:t>
      </w:r>
    </w:p>
    <w:p w14:paraId="7C320019">
      <w:pPr>
        <w:shd w:val="clear" w:color="auto" w:fill="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（三）磋商费用</w:t>
      </w:r>
    </w:p>
    <w:p w14:paraId="6CD33EAC">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不论磋商结果如何，供应商均应自行承担所有与磋商有关的全部费用（磋商文件有相关规定除外）。</w:t>
      </w:r>
    </w:p>
    <w:p w14:paraId="170357D6">
      <w:pPr>
        <w:shd w:val="clear" w:color="auto" w:fill="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（四）特别说明</w:t>
      </w:r>
    </w:p>
    <w:p w14:paraId="29EA0E21">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1、供应商磋商所使用的资格、信誉、荣誉与企业认证必须为本法人所拥有。供应商磋商所使用的采购项目实施人员必须为本法人员工（指必须为本法人或控股公司正式员工）。</w:t>
      </w:r>
    </w:p>
    <w:p w14:paraId="5C6B9008">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99F1182">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3、供应商不得相互串通磋商报价，不得妨碍其他供应商的公平竞争，不得损害采购人或其他供应商的合法权益，供应商不得以向采购人、磋商小组成员行贿或者采取其他不正当手段谋取成交。</w:t>
      </w:r>
    </w:p>
    <w:p w14:paraId="7E12C11D">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4、为采购项目提供整体设计、规范编制或者项目管理、监理、检测等服务的供应商，不得再参加该采购项目的其他采购活动。</w:t>
      </w:r>
    </w:p>
    <w:p w14:paraId="589D528E">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5、磋商响应文件（即响应文件）格式中的表格式样可以根据项目差别做适当调整，但应当保持表格样式基本形态不变。</w:t>
      </w:r>
    </w:p>
    <w:p w14:paraId="683B524A">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6、单位负责人为同一人或者存在直接控股、管理关系的不同供应商，不得参加同一合同项下的政府采购活动。</w:t>
      </w:r>
    </w:p>
    <w:p w14:paraId="28FFF9E5">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7、本项目不允许分包</w:t>
      </w:r>
      <w:r>
        <w:rPr>
          <w:rFonts w:hint="eastAsia" w:ascii="宋体" w:hAnsi="宋体" w:eastAsia="宋体" w:cs="宋体"/>
          <w:color w:val="auto"/>
          <w:sz w:val="24"/>
          <w:highlight w:val="none"/>
        </w:rPr>
        <w:t>。</w:t>
      </w:r>
    </w:p>
    <w:p w14:paraId="6E116D9F">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二、磋商响应文件</w:t>
      </w:r>
    </w:p>
    <w:p w14:paraId="2D24FCF4">
      <w:pPr>
        <w:shd w:val="clear" w:color="auto" w:fill="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（一）磋商响应文件的组成</w:t>
      </w:r>
    </w:p>
    <w:p w14:paraId="7AAC780D">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供应商应仔细阅读磋商采购文件的所有内容，按磋商采购文件的要求，详细编制磋商响应文件。</w:t>
      </w:r>
      <w:r>
        <w:rPr>
          <w:rFonts w:hint="eastAsia" w:ascii="宋体" w:hAnsi="宋体" w:eastAsia="宋体" w:cs="宋体"/>
          <w:color w:val="auto"/>
          <w:sz w:val="24"/>
          <w:szCs w:val="32"/>
          <w:highlight w:val="none"/>
          <w:lang w:val="zh-CN"/>
        </w:rPr>
        <w:t>【特别提示：如有要求提供资料原件的，原件另行包装，并与磋商响应文件一起提交，磋商响应截止时间后所有原件不予接收。资料原件也可以用与原件相符的公证原件替代】</w:t>
      </w:r>
    </w:p>
    <w:p w14:paraId="2913A300">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w:t>
      </w:r>
      <w:r>
        <w:rPr>
          <w:rFonts w:hint="eastAsia" w:ascii="宋体" w:hAnsi="宋体" w:eastAsia="宋体" w:cs="宋体"/>
          <w:b/>
          <w:bCs/>
          <w:color w:val="auto"/>
          <w:sz w:val="24"/>
          <w:szCs w:val="32"/>
          <w:highlight w:val="none"/>
        </w:rPr>
        <w:t>1、资格证明内容的组成：</w:t>
      </w:r>
    </w:p>
    <w:p w14:paraId="010B0A6D">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（1）磋商声明书；</w:t>
      </w:r>
    </w:p>
    <w:p w14:paraId="53CC418E">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（2）授权委托书（法定代表人（单位负责人）亲自办理磋商响应事宜的，则无需提交）；</w:t>
      </w:r>
    </w:p>
    <w:p w14:paraId="6F3FF172">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0ACE0D0D">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1F354BD7">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64F512CE">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（6）具备履行合同所必需的设备和专业技术能力的证明材料（根据项目性质提供）；</w:t>
      </w:r>
    </w:p>
    <w:p w14:paraId="69143162">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（7）参加政府采购活动前三年内，在经营活动中没有重大违法记录（承诺函）；</w:t>
      </w:r>
    </w:p>
    <w:p w14:paraId="2D76EE04">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（8）提供采购公告中符合供应商特定条件的有效资质证书复印件（投标供应商特定条件中有要求的必须提供），以及需要说明的其他资料。</w:t>
      </w:r>
    </w:p>
    <w:p w14:paraId="7427969C">
      <w:pPr>
        <w:spacing w:line="360" w:lineRule="auto"/>
        <w:ind w:firstLine="480" w:firstLineChars="200"/>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中小企业声明函</w:t>
      </w:r>
      <w:r>
        <w:rPr>
          <w:rFonts w:hint="eastAsia" w:ascii="宋体" w:hAnsi="宋体" w:cs="宋体"/>
          <w:color w:val="auto"/>
          <w:sz w:val="24"/>
          <w:szCs w:val="32"/>
          <w:highlight w:val="none"/>
          <w:lang w:eastAsia="zh-CN"/>
        </w:rPr>
        <w:t>。</w:t>
      </w:r>
    </w:p>
    <w:p w14:paraId="05DC01EC">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2、商务与技术内容的组成：</w:t>
      </w:r>
    </w:p>
    <w:p w14:paraId="0CC487CB">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（1）供应商情况介绍。</w:t>
      </w:r>
    </w:p>
    <w:p w14:paraId="794179A1">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（2）磋商响应方案描述：</w:t>
      </w:r>
    </w:p>
    <w:p w14:paraId="59D1FA6D">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A.施工方案。</w:t>
      </w:r>
    </w:p>
    <w:p w14:paraId="4FF0FE8F">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B.项目质量目标及保证措施。</w:t>
      </w:r>
    </w:p>
    <w:p w14:paraId="1265D4D5">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C.劳动力投入及工期计划</w:t>
      </w:r>
    </w:p>
    <w:p w14:paraId="3917A7BB">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D.施工难点要求和解决措施</w:t>
      </w:r>
    </w:p>
    <w:p w14:paraId="50E04EEF">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E.施工机械设备和周转材料。</w:t>
      </w:r>
    </w:p>
    <w:p w14:paraId="116C32D2">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（3）磋商响应描述及相关资料：</w:t>
      </w:r>
    </w:p>
    <w:p w14:paraId="2BB205F1">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A.商务及技术响应表。</w:t>
      </w:r>
    </w:p>
    <w:p w14:paraId="611FFBE9">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（4）近三年来类似项目的成功案例（供应商类似项目实施情况一览表、合同复印件及其相应的发票、用户验收报告等；</w:t>
      </w:r>
    </w:p>
    <w:p w14:paraId="42DF2E7A">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rPr>
        <w:t>）供应商认为需要提供的其他资料（包括可能影响供应商商务与技术内容评分的各类证明材料）。</w:t>
      </w:r>
    </w:p>
    <w:p w14:paraId="6A7DCA97">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6</w:t>
      </w:r>
      <w:r>
        <w:rPr>
          <w:rFonts w:hint="eastAsia" w:ascii="宋体" w:hAnsi="宋体" w:eastAsia="宋体" w:cs="宋体"/>
          <w:color w:val="auto"/>
          <w:sz w:val="24"/>
          <w:szCs w:val="32"/>
          <w:highlight w:val="none"/>
        </w:rPr>
        <w:t>）售后服务描述及承诺：</w:t>
      </w:r>
    </w:p>
    <w:p w14:paraId="5BD916E4">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A.距采购人最近的服务网点详细介绍（包括地理位置、资质资格、技术力量、服务内容及联系电话等）。</w:t>
      </w:r>
    </w:p>
    <w:p w14:paraId="7D2D5433">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B.针对本项目的售后服务措施及承诺（售后技术服务方案、人员配备、故障响应时间、技术培训方案等）。</w:t>
      </w:r>
    </w:p>
    <w:p w14:paraId="532E2C0E">
      <w:pPr>
        <w:shd w:val="clear" w:color="auto" w:fill="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3、报价内容的组成</w:t>
      </w:r>
    </w:p>
    <w:p w14:paraId="7FA0B07B">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（1）报价内容由首次报价一览表，以及供应商认为其他需要说明的内容组成。</w:t>
      </w:r>
    </w:p>
    <w:p w14:paraId="476EB3B9">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zh-CN"/>
        </w:rPr>
        <w:t>）总报价应当包括合同包含的所有风险责任等各项费用及不可预见费等所需的全部费用。</w:t>
      </w:r>
    </w:p>
    <w:p w14:paraId="6B58F79C">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cs="宋体"/>
          <w:color w:val="auto"/>
          <w:sz w:val="24"/>
          <w:szCs w:val="32"/>
          <w:highlight w:val="none"/>
          <w:lang w:val="en-US" w:eastAsia="zh-CN"/>
        </w:rPr>
        <w:t>3</w:t>
      </w:r>
      <w:r>
        <w:rPr>
          <w:rFonts w:hint="eastAsia" w:ascii="宋体" w:hAnsi="宋体" w:eastAsia="宋体" w:cs="宋体"/>
          <w:color w:val="auto"/>
          <w:sz w:val="24"/>
          <w:szCs w:val="32"/>
          <w:highlight w:val="none"/>
        </w:rPr>
        <w:t>）相关报价表需打印或用不退色的墨水填写， 磋商响应报价表不得涂改和增删，如有错漏必须修改，修改处须由同一签署人签字或盖章。由于字迹模糊或表达不清引起的后果由供应商负责。</w:t>
      </w:r>
    </w:p>
    <w:p w14:paraId="1D2D04DC">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（5）报价有关表格应按磋商采购文件中相关附表格式填写。</w:t>
      </w:r>
    </w:p>
    <w:p w14:paraId="5005BA46">
      <w:pPr>
        <w:shd w:val="clear" w:color="auto" w:fill="auto"/>
        <w:spacing w:line="360" w:lineRule="auto"/>
        <w:ind w:firstLine="241" w:firstLineChars="100"/>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rPr>
        <w:t>（二）磋商响应文件的制作、封装及递交要求</w:t>
      </w:r>
    </w:p>
    <w:p w14:paraId="66638AB7">
      <w:pPr>
        <w:shd w:val="clear" w:color="auto" w:fill="auto"/>
        <w:spacing w:line="360" w:lineRule="auto"/>
        <w:ind w:firstLine="482" w:firstLineChars="200"/>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1、磋商响应文件的制作要求</w:t>
      </w:r>
    </w:p>
    <w:p w14:paraId="4C6811E2">
      <w:pPr>
        <w:shd w:val="clear" w:color="auto" w:fill="auto"/>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.1本项目通过“政府采购云平台（www.zcygov.cn）”实行在线投标响应（电子投标）。供应商应通过“政采云电子交易客户端”，并按照本</w:t>
      </w:r>
      <w:r>
        <w:rPr>
          <w:rFonts w:hint="eastAsia" w:ascii="宋体" w:hAnsi="宋体" w:eastAsia="宋体" w:cs="宋体"/>
          <w:color w:val="auto"/>
          <w:sz w:val="24"/>
          <w:szCs w:val="32"/>
          <w:highlight w:val="none"/>
          <w:lang w:val="zh-CN"/>
        </w:rPr>
        <w:t>磋商</w:t>
      </w:r>
      <w:r>
        <w:rPr>
          <w:rFonts w:hint="eastAsia" w:ascii="宋体" w:hAnsi="宋体" w:eastAsia="宋体" w:cs="宋体"/>
          <w:color w:val="auto"/>
          <w:sz w:val="24"/>
          <w:szCs w:val="32"/>
          <w:highlight w:val="none"/>
          <w:lang w:val="en-GB"/>
        </w:rPr>
        <w:t>文件和“政府采购云平台”的要求编制并加密</w:t>
      </w:r>
      <w:r>
        <w:rPr>
          <w:rFonts w:hint="eastAsia" w:ascii="宋体" w:hAnsi="宋体" w:eastAsia="宋体" w:cs="宋体"/>
          <w:color w:val="auto"/>
          <w:sz w:val="24"/>
          <w:szCs w:val="32"/>
          <w:highlight w:val="none"/>
          <w:lang w:val="zh-CN"/>
        </w:rPr>
        <w:t>磋商响应文件</w:t>
      </w:r>
      <w:r>
        <w:rPr>
          <w:rFonts w:hint="eastAsia" w:ascii="宋体" w:hAnsi="宋体" w:eastAsia="宋体" w:cs="宋体"/>
          <w:color w:val="auto"/>
          <w:sz w:val="24"/>
          <w:szCs w:val="32"/>
          <w:highlight w:val="none"/>
          <w:lang w:val="en-GB"/>
        </w:rPr>
        <w:t>。</w:t>
      </w:r>
    </w:p>
    <w:p w14:paraId="08F8BB96">
      <w:pPr>
        <w:shd w:val="clear" w:color="auto" w:fill="auto"/>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zh-CN"/>
        </w:rPr>
        <w:t>1.2各供应商在编制磋商响应文件时请按照磋商文件第六部分规定的格式进行，</w:t>
      </w:r>
      <w:r>
        <w:rPr>
          <w:rFonts w:hint="eastAsia" w:ascii="宋体" w:hAnsi="宋体" w:eastAsia="宋体" w:cs="宋体"/>
          <w:color w:val="auto"/>
          <w:sz w:val="24"/>
          <w:szCs w:val="32"/>
          <w:highlight w:val="none"/>
          <w:lang w:val="en-GB"/>
        </w:rPr>
        <w:t>并按格式要求在指定位置根据要求进行签章，否则视为未提供，未提供格式的，请各供应商自行拟定格式。</w:t>
      </w:r>
    </w:p>
    <w:p w14:paraId="196FBDBF">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1.3 供应商应对所提供的全部资料的真实性承担法律责任，磋商响应文件内容中有要求盖章或签字的地方，必须加盖磋商供应商的公章以及法定代表人（单位负责人）或授权委托代理人的盖章或签字，其中所有证书类文件提供的复印件必须全部加盖单位公章且必须在有效期内的。</w:t>
      </w:r>
    </w:p>
    <w:p w14:paraId="75FEC749">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1.4磋商响应文件以及磋商供应商与采购组织机构就有关磋商事宜的所有来往函电，均应以中文汉语书写。除签字、盖章、专用名称等特殊情形外，以中文汉语以外的文字表述的磋商响应文件视同未提供。</w:t>
      </w:r>
    </w:p>
    <w:p w14:paraId="05489102">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1.5 若磋商供应商不按采购文件的要求提供资格审查材料，其风险由磋商供应商自行承担。</w:t>
      </w:r>
    </w:p>
    <w:p w14:paraId="3E85258D">
      <w:pPr>
        <w:shd w:val="clear" w:color="auto" w:fill="auto"/>
        <w:spacing w:line="360" w:lineRule="auto"/>
        <w:ind w:firstLine="482" w:firstLineChars="200"/>
        <w:jc w:val="left"/>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2、提供纸质响应文件要求：见《前附表》</w:t>
      </w:r>
    </w:p>
    <w:p w14:paraId="0392DCC8">
      <w:pPr>
        <w:shd w:val="clear" w:color="auto" w:fill="auto"/>
        <w:spacing w:line="360" w:lineRule="auto"/>
        <w:ind w:firstLine="482" w:firstLineChars="200"/>
        <w:jc w:val="left"/>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3、响应文件的签章</w:t>
      </w:r>
    </w:p>
    <w:p w14:paraId="2C9D92C3">
      <w:pPr>
        <w:shd w:val="clear" w:color="auto" w:fill="auto"/>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zh-CN"/>
        </w:rPr>
        <w:t>磋商响应</w:t>
      </w:r>
      <w:r>
        <w:rPr>
          <w:rFonts w:hint="eastAsia" w:ascii="宋体" w:hAnsi="宋体" w:eastAsia="宋体" w:cs="宋体"/>
          <w:color w:val="auto"/>
          <w:sz w:val="24"/>
          <w:szCs w:val="32"/>
          <w:highlight w:val="none"/>
          <w:lang w:val="en-GB"/>
        </w:rPr>
        <w:t>文件按照</w:t>
      </w:r>
      <w:r>
        <w:rPr>
          <w:rFonts w:hint="eastAsia" w:ascii="宋体" w:hAnsi="宋体" w:eastAsia="宋体" w:cs="宋体"/>
          <w:color w:val="auto"/>
          <w:sz w:val="24"/>
          <w:szCs w:val="32"/>
          <w:highlight w:val="none"/>
          <w:lang w:val="zh-CN"/>
        </w:rPr>
        <w:t>磋商</w:t>
      </w:r>
      <w:r>
        <w:rPr>
          <w:rFonts w:hint="eastAsia" w:ascii="宋体" w:hAnsi="宋体" w:eastAsia="宋体" w:cs="宋体"/>
          <w:color w:val="auto"/>
          <w:sz w:val="24"/>
          <w:szCs w:val="32"/>
          <w:highlight w:val="none"/>
          <w:lang w:val="en-GB"/>
        </w:rPr>
        <w:t>文件第六部分格式要求进行签署、盖章。供应商的响应文件未按照</w:t>
      </w:r>
      <w:r>
        <w:rPr>
          <w:rFonts w:hint="eastAsia" w:ascii="宋体" w:hAnsi="宋体" w:eastAsia="宋体" w:cs="宋体"/>
          <w:color w:val="auto"/>
          <w:sz w:val="24"/>
          <w:szCs w:val="32"/>
          <w:highlight w:val="none"/>
          <w:lang w:val="zh-CN"/>
        </w:rPr>
        <w:t>磋商</w:t>
      </w:r>
      <w:r>
        <w:rPr>
          <w:rFonts w:hint="eastAsia" w:ascii="宋体" w:hAnsi="宋体" w:eastAsia="宋体" w:cs="宋体"/>
          <w:color w:val="auto"/>
          <w:sz w:val="24"/>
          <w:szCs w:val="32"/>
          <w:highlight w:val="none"/>
          <w:lang w:val="en-GB"/>
        </w:rPr>
        <w:t>文件要求签署、盖章的，其投标无效；其中电子响应文件中所须加盖公章部分均采用CA签章，并根据《政府采购项目电子交易管理操作指南-供应商》及本采购文件规定的格式和顺序编制电子响应文件并进行关联定位。</w:t>
      </w:r>
    </w:p>
    <w:p w14:paraId="4DB3B795">
      <w:pPr>
        <w:shd w:val="clear" w:color="auto" w:fill="auto"/>
        <w:spacing w:line="360" w:lineRule="auto"/>
        <w:ind w:firstLine="482" w:firstLineChars="200"/>
        <w:jc w:val="left"/>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4、备份响应文件的密封与标志</w:t>
      </w:r>
    </w:p>
    <w:p w14:paraId="699E0E05">
      <w:pPr>
        <w:shd w:val="clear" w:color="auto" w:fill="auto"/>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4.1备份响应文件须密封包装。没有密封包装的响应文件，将被拒收。</w:t>
      </w:r>
    </w:p>
    <w:p w14:paraId="15A15151">
      <w:pPr>
        <w:shd w:val="clear" w:color="auto" w:fill="auto"/>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4.2备份响应文件包装封面物应写明项目名称、供应商名称（联合体投标的，包装物封面需注明联合体投标，并注明联合体成员各方的名称和联合体协议中约定的牵头人的名称）。</w:t>
      </w:r>
    </w:p>
    <w:p w14:paraId="692E1B46">
      <w:pPr>
        <w:shd w:val="clear" w:color="auto" w:fill="auto"/>
        <w:spacing w:line="360" w:lineRule="auto"/>
        <w:ind w:firstLine="482" w:firstLineChars="200"/>
        <w:jc w:val="left"/>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5、磋商响应文件的上传和递交</w:t>
      </w:r>
    </w:p>
    <w:p w14:paraId="3D076274">
      <w:pPr>
        <w:shd w:val="clear" w:color="auto" w:fill="auto"/>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5.1“磋商响应文件”的上传、递交：见</w:t>
      </w:r>
      <w:r>
        <w:rPr>
          <w:rFonts w:hint="eastAsia" w:ascii="宋体" w:hAnsi="宋体" w:eastAsia="宋体" w:cs="宋体"/>
          <w:color w:val="auto"/>
          <w:sz w:val="24"/>
          <w:szCs w:val="32"/>
          <w:highlight w:val="none"/>
          <w:lang w:val="zh-CN"/>
        </w:rPr>
        <w:t>竞争性磋商公告及</w:t>
      </w:r>
      <w:r>
        <w:rPr>
          <w:rFonts w:hint="eastAsia" w:ascii="宋体" w:hAnsi="宋体" w:eastAsia="宋体" w:cs="宋体"/>
          <w:color w:val="auto"/>
          <w:sz w:val="24"/>
          <w:szCs w:val="32"/>
          <w:highlight w:val="none"/>
          <w:lang w:val="en-GB"/>
        </w:rPr>
        <w:t>《前附表》。▲未传输递交电子响应文件的，投标无效。</w:t>
      </w:r>
    </w:p>
    <w:p w14:paraId="7E541909">
      <w:pPr>
        <w:shd w:val="clear" w:color="auto" w:fill="auto"/>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5.</w:t>
      </w:r>
      <w:r>
        <w:rPr>
          <w:rFonts w:hint="eastAsia" w:ascii="宋体" w:hAnsi="宋体" w:eastAsia="宋体" w:cs="宋体"/>
          <w:color w:val="auto"/>
          <w:sz w:val="24"/>
          <w:szCs w:val="32"/>
          <w:highlight w:val="none"/>
          <w:lang w:val="zh-CN"/>
        </w:rPr>
        <w:t>2</w:t>
      </w:r>
      <w:r>
        <w:rPr>
          <w:rFonts w:hint="eastAsia" w:ascii="宋体" w:hAnsi="宋体" w:eastAsia="宋体" w:cs="宋体"/>
          <w:color w:val="auto"/>
          <w:sz w:val="24"/>
          <w:szCs w:val="32"/>
          <w:highlight w:val="none"/>
          <w:lang w:val="en-GB"/>
        </w:rPr>
        <w:t>供应商应当在投标截止时间将以介质存储的数据电文形式的备份磋商响应文件和纸质备份磋商响应文件分别密封送交到招标公告规定的投标地点。</w:t>
      </w:r>
    </w:p>
    <w:p w14:paraId="5DE81C44">
      <w:pPr>
        <w:shd w:val="clear" w:color="auto" w:fill="auto"/>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▲未按规定提供相应的备份磋商响应文件，造成项目开评标活动无法进行下去的，投标无效。采购机构将拒绝接受逾期送达的磋商响应文件。</w:t>
      </w:r>
    </w:p>
    <w:p w14:paraId="58C549A9">
      <w:pPr>
        <w:shd w:val="clear" w:color="auto" w:fill="auto"/>
        <w:spacing w:line="360" w:lineRule="auto"/>
        <w:ind w:firstLine="482" w:firstLineChars="200"/>
        <w:jc w:val="left"/>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6、响应文件的补充、修改、撤回</w:t>
      </w:r>
    </w:p>
    <w:p w14:paraId="5FB915B9">
      <w:pPr>
        <w:shd w:val="clear" w:color="auto" w:fill="auto"/>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6.1供应商应当在投标截止时间前完成电子响应文件的上传、递交，并可以补充、修改或者撤回响应文件。补充或者修改响应文件的，应当先行撤回原文件，补充、修改后重新上传、递交。投标截止时间前未完成上传、递交的，视为撤回响应文件。投标截止时间后递交的响应文件，“政府采购云平台”将予以拒收。</w:t>
      </w:r>
    </w:p>
    <w:p w14:paraId="6D7F3FDA">
      <w:pPr>
        <w:shd w:val="clear" w:color="auto" w:fill="auto"/>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6.</w:t>
      </w:r>
      <w:r>
        <w:rPr>
          <w:rFonts w:hint="eastAsia" w:ascii="宋体" w:hAnsi="宋体" w:eastAsia="宋体" w:cs="宋体"/>
          <w:color w:val="auto"/>
          <w:sz w:val="24"/>
          <w:szCs w:val="32"/>
          <w:highlight w:val="none"/>
          <w:lang w:val="zh-CN"/>
        </w:rPr>
        <w:t>2</w:t>
      </w:r>
      <w:r>
        <w:rPr>
          <w:rFonts w:hint="eastAsia" w:ascii="宋体" w:hAnsi="宋体" w:eastAsia="宋体" w:cs="宋体"/>
          <w:color w:val="auto"/>
          <w:sz w:val="24"/>
          <w:szCs w:val="32"/>
          <w:highlight w:val="none"/>
          <w:lang w:val="en-GB"/>
        </w:rPr>
        <w:t>投标截止时间后，磋商供应商不得撤回、修改响应文件。</w:t>
      </w:r>
    </w:p>
    <w:p w14:paraId="64D766A4">
      <w:pPr>
        <w:shd w:val="clear" w:color="auto" w:fill="auto"/>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zh-CN"/>
        </w:rPr>
        <w:t>6.3</w:t>
      </w:r>
      <w:r>
        <w:rPr>
          <w:rFonts w:hint="eastAsia" w:ascii="宋体" w:hAnsi="宋体" w:eastAsia="宋体" w:cs="宋体"/>
          <w:color w:val="auto"/>
          <w:sz w:val="24"/>
          <w:szCs w:val="32"/>
          <w:highlight w:val="none"/>
          <w:lang w:val="en-GB"/>
        </w:rPr>
        <w:t>在开标后规定的投标有效期内，供应商不能撤销响应文件。</w:t>
      </w:r>
    </w:p>
    <w:p w14:paraId="011F61BB">
      <w:pPr>
        <w:shd w:val="clear" w:color="auto" w:fill="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（三）磋商响应文件的有效期</w:t>
      </w:r>
    </w:p>
    <w:p w14:paraId="3FAF5C57">
      <w:pPr>
        <w:shd w:val="clear" w:color="auto" w:fill="auto"/>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zh-CN"/>
        </w:rPr>
        <w:t>1、</w:t>
      </w:r>
      <w:r>
        <w:rPr>
          <w:rFonts w:hint="eastAsia" w:ascii="宋体" w:hAnsi="宋体" w:eastAsia="宋体" w:cs="宋体"/>
          <w:color w:val="auto"/>
          <w:sz w:val="24"/>
          <w:szCs w:val="32"/>
          <w:highlight w:val="none"/>
          <w:lang w:val="en-GB"/>
        </w:rPr>
        <w:t>自磋商响应截止日起90天磋商响应文件应保持有效。有效期不足的磋商响应文件将被拒绝。</w:t>
      </w:r>
    </w:p>
    <w:p w14:paraId="21850A6F">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2、在特殊情况下，采购人可与磋商供应商协商延长磋商响应文件的有效期，这种要求和答复均以书面形式进行。</w:t>
      </w:r>
    </w:p>
    <w:p w14:paraId="35958CBB">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3、成交供应商的磋商响应文件自磋商之日起至合同履行完毕均应保持有效。</w:t>
      </w:r>
    </w:p>
    <w:p w14:paraId="71B66A0A">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三、磋商</w:t>
      </w:r>
    </w:p>
    <w:p w14:paraId="47EE4973">
      <w:pPr>
        <w:shd w:val="clear" w:color="auto" w:fill="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（一）磋商程序</w:t>
      </w:r>
    </w:p>
    <w:p w14:paraId="4E63707C">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1、采购组织机构将在“磋商公告”规定的时间和地点进行磋商，磋商采购会议由采购组织机构工作人员主持。</w:t>
      </w:r>
    </w:p>
    <w:p w14:paraId="616E6CB6">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主持人宣布磋商采购会议开始，介绍磋商现场的人员情况，宣读提交磋商响应文件的供应商名单、磋商纪律、应当回避的情形等注意事项，组织供应商签署不存在影响公平竞争的《政府采购活动现场确认声明书》。</w:t>
      </w:r>
    </w:p>
    <w:p w14:paraId="55F2BE6C">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3、向各供应商发出电子加密响应文件【开始解密】通知，由供应商按磋商文件规定的时间内自行进行响应文件解密。磋商响应文件的制作和解密应使用同一个数字证书，否则将可能解密失败。</w:t>
      </w:r>
    </w:p>
    <w:p w14:paraId="21D895A1">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4、采购组织机构点击【开启标书信息】，开启标书成功后进入开标流程。</w:t>
      </w:r>
    </w:p>
    <w:p w14:paraId="07EBA4D2">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5、本项目原则上采用电子评审方法，若因政采云平台原因无法读取或电子开评标无法正常进行，采购代理机构将开启所有供应商递交的纸质备份响应文件，以完成开、评标，电子响应文件及以介质存储的数据电文形式的备份响应文件自动失效。</w:t>
      </w:r>
    </w:p>
    <w:p w14:paraId="1E204C1F">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6、磋商小组必须按照客观、公正、审慎的原则，根据磋商文件规定的评审程序、评审方法和评审标准进行独立评审。未实质性响应磋商文件的响应文件按无效响应处理，磋商小组应当告知提交响应文件的供应商。</w:t>
      </w:r>
    </w:p>
    <w:p w14:paraId="47554711">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7、磋商小组所有成员集中与单一供应商分别进行磋商，并给予所有参加磋商的供应商平等的磋商机会。</w:t>
      </w:r>
    </w:p>
    <w:p w14:paraId="1A57A204">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8、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当及时以书面形式同时通知所有参加磋商的供应商。供应商应当按照磋商文件的变动情况和磋商小组的要求重新提交响应文件，并由其法定代表人（单位负责人）或授权委托代理人签字或者加盖公章。</w:t>
      </w:r>
    </w:p>
    <w:p w14:paraId="370A12EE">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 xml:space="preserve">9、磋商文件能够详细列明采购标的技术、服务要求的，磋商结束后，磋商小组将要求所有实质性响应的供应商在规定时间内提交最后报价，最后报价是供应商响应文件的有效组成部分。 </w:t>
      </w:r>
    </w:p>
    <w:p w14:paraId="1518FA5F">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10、经磋商确定最终采购需求和提交最后报价的供应商后，由磋商小组采用综合评分法对提交最后报价的供应商的响应文件和最后报价进行综合评分。</w:t>
      </w:r>
    </w:p>
    <w:p w14:paraId="4A21A01A">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11、磋商小组根据综合评分情况，按照评审得分由高到低顺序确定预成交供应商，编写评审报告。</w:t>
      </w:r>
    </w:p>
    <w:p w14:paraId="7C937C5A">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12、采购组织机构对磋商小组专家成员进行评价；</w:t>
      </w:r>
    </w:p>
    <w:p w14:paraId="348EFD1B">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13、主持人到磋商采购会现场宣布磋商结果（含技术得分、最后报价、报价得分及总得分），磋商采购会议结束。</w:t>
      </w:r>
    </w:p>
    <w:p w14:paraId="13F7F7A9">
      <w:pPr>
        <w:shd w:val="clear" w:color="auto" w:fill="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（二）澄清问题的形式</w:t>
      </w:r>
    </w:p>
    <w:p w14:paraId="196F24DF">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磋商供应商的澄清、说明或者补正应当采用书面形式，并加盖公章，或者由法定代理人或其授权的代表签字，并不得超出磋商响应文件的范围或者改变磋商响应文件的实质性内容。</w:t>
      </w:r>
    </w:p>
    <w:p w14:paraId="65B616FF">
      <w:pPr>
        <w:shd w:val="clear" w:color="auto" w:fill="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（三）错误修正</w:t>
      </w:r>
    </w:p>
    <w:p w14:paraId="3F1BAC14">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磋商响应文件报价出现前后不一致的，除磋商采购文件另有规定外，按照下列规定修正：</w:t>
      </w:r>
    </w:p>
    <w:p w14:paraId="63082B92">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1、磋商响应文件中首次报价一览表内容与磋商响应文件中相应内容不一致的，以首次报价一览表为准；</w:t>
      </w:r>
    </w:p>
    <w:p w14:paraId="329749BE">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2、大写金额和小写金额不一致的，以大写金额为准；</w:t>
      </w:r>
    </w:p>
    <w:p w14:paraId="2D2BFAC7">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3、单价金额小数点或者百分比有明显错位的，以首次报价一览表的总价为准，并修改单价；</w:t>
      </w:r>
    </w:p>
    <w:p w14:paraId="3E1448DB">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4、总价金额与按单价汇总金额不一致的，以单价金额计算结果为准。</w:t>
      </w:r>
    </w:p>
    <w:p w14:paraId="78AAC534">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同时出现两种以上不一致的，按照前款规定的顺序修正。修正应当采用书面形式，并加盖公章，或者由法定代表人（单位负责人）或其授权的代表签字。修正后的报价经磋商供应商确认后产生约束力，磋商供应商不确认的，将终止磋商。</w:t>
      </w:r>
    </w:p>
    <w:p w14:paraId="34CE24CC">
      <w:pPr>
        <w:shd w:val="clear" w:color="auto" w:fill="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（四）磋商供应商存在下列情况之一的，响应无效，终止磋商</w:t>
      </w:r>
    </w:p>
    <w:p w14:paraId="0F6941F8">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1、磋商响应文件中的商务与技术内容中的供应货物出现重大偏差的；</w:t>
      </w:r>
    </w:p>
    <w:p w14:paraId="312AC90F">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2、不具备磋商采购文件中规定的资格要求的。</w:t>
      </w:r>
    </w:p>
    <w:p w14:paraId="1573E329">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3、磋商响应文件含有采购人不能接受的附加条件的。</w:t>
      </w:r>
    </w:p>
    <w:p w14:paraId="3886DFC1">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4、供应商代表人未能出具身份证明或与法定代表人（单位负责人）授权委托人身份不符的；</w:t>
      </w:r>
    </w:p>
    <w:p w14:paraId="2EDEEAA5">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5、磋商小组认为供应商的报价明显低于其他通过符合性审查供应商的报价，有可能影响诚信履约的，应当要求其在评审现场合理的时间内提供书面说明，必要时提交相关证明材料；供应商不能证明其报价合理性的，磋商小组应当与其终止磋商。</w:t>
      </w:r>
    </w:p>
    <w:p w14:paraId="6CD7E255">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6、报价超过磋商采购文件中规定的预算金额/最高限价。</w:t>
      </w:r>
    </w:p>
    <w:p w14:paraId="693AA478">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7、磋商参数未如实填写，完全复制粘贴磋商采购参数的。</w:t>
      </w:r>
    </w:p>
    <w:p w14:paraId="4EC9821D">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8、磋商响应文件提供虚假材料的。</w:t>
      </w:r>
    </w:p>
    <w:p w14:paraId="355EE8D6">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9、不同供应商的磋商响应文件由同一单位或者个人编制；</w:t>
      </w:r>
    </w:p>
    <w:p w14:paraId="2772726A">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10、不同供应商委托同一单位或者个人办理磋商事宜；</w:t>
      </w:r>
    </w:p>
    <w:p w14:paraId="47513FA3">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11、不同供应商的磋商响应文件载明的项目管理成员或者联系人员为同一人；</w:t>
      </w:r>
    </w:p>
    <w:p w14:paraId="194E6DFA">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12、不同供应商的磋商响应文件异常一致或者报价呈规律性差异；</w:t>
      </w:r>
    </w:p>
    <w:p w14:paraId="0B44AC2A">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13、不同供应商的磋商响应文件相互混装；</w:t>
      </w:r>
    </w:p>
    <w:p w14:paraId="184D5A4F">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14、不同供应商的磋商保证金从同一单位或者个人的账户转出；</w:t>
      </w:r>
    </w:p>
    <w:p w14:paraId="0BD0D1A5">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15、不符合法律、法规和磋商采购文件中规定的其他实质性要求的（磋商采购文件中打“▲”内容及被拒绝的条款）。</w:t>
      </w:r>
    </w:p>
    <w:p w14:paraId="3F61324C">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16、未传输递交电子响应文件的或者未按规定提供相应的备份响应文件，造成项目开评标活动无法进行下去的。</w:t>
      </w:r>
    </w:p>
    <w:p w14:paraId="34E8FB67">
      <w:pPr>
        <w:shd w:val="clear" w:color="auto" w:fill="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（五）有下列情况之一的，本次磋商终止。</w:t>
      </w:r>
    </w:p>
    <w:p w14:paraId="1A546C54">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1、出现影响采购公正的违法、违规行为的；</w:t>
      </w:r>
    </w:p>
    <w:p w14:paraId="07853791">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 xml:space="preserve">2、磋商小组发现磋商文件存在歧义、重大缺陷导致评审工作无法进行，或者磋商文件内容违反国家有关强制性规定的； </w:t>
      </w:r>
    </w:p>
    <w:p w14:paraId="4904A543">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3、因重大变故，采购任务取消的；</w:t>
      </w:r>
    </w:p>
    <w:p w14:paraId="2B362088">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4、法律、法规和磋商文件规定的其他导致评审结果无效的。</w:t>
      </w:r>
    </w:p>
    <w:p w14:paraId="7D0E0D39">
      <w:pPr>
        <w:shd w:val="clear" w:color="auto" w:fill="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（六）磋商原则和方法</w:t>
      </w:r>
    </w:p>
    <w:p w14:paraId="7598B250">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63A396AE">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2、磋商办法。具体磋商内容及评分标准等详见《三、评审办法及评审标准》。</w:t>
      </w:r>
    </w:p>
    <w:p w14:paraId="1138ABA3">
      <w:pPr>
        <w:shd w:val="clear" w:color="auto" w:fill="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（七）评审过程的监控</w:t>
      </w:r>
    </w:p>
    <w:p w14:paraId="460C47A9">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本项目评审过程实行全程录音、录像监控，政府采购监管部门视情进行现场监督，供应商在评审过程中所进行的试图影响评审结果的不公正活动，可能导致其被拒绝磋商。</w:t>
      </w:r>
    </w:p>
    <w:p w14:paraId="00A00FCD">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四、磋商结果确定</w:t>
      </w:r>
    </w:p>
    <w:p w14:paraId="06199405">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109B176">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2、发布成交结果公告。采购组织机构应当在成交供应商确定后2个工作日内，在省级以上财政部门指定的政府采购信息发布媒体及相关网站上公告成交结果，并将磋商文件随同公告。</w:t>
      </w:r>
    </w:p>
    <w:p w14:paraId="417BE8DF">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3、发出成交通知书。采购组织机构在发布成交结果同时，向成交供应商发出成交通知书。</w:t>
      </w:r>
    </w:p>
    <w:p w14:paraId="2C6A5B4C">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610ED85D">
      <w:pPr>
        <w:spacing w:line="360" w:lineRule="auto"/>
        <w:ind w:firstLine="480" w:firstLineChars="200"/>
        <w:rPr>
          <w:rFonts w:hint="eastAsia" w:ascii="宋体" w:hAnsi="宋体" w:cs="宋体"/>
          <w:color w:val="auto"/>
          <w:sz w:val="24"/>
          <w:szCs w:val="32"/>
          <w:highlight w:val="none"/>
        </w:rPr>
      </w:pPr>
      <w:r>
        <w:rPr>
          <w:rFonts w:hint="eastAsia" w:ascii="宋体" w:hAnsi="宋体" w:eastAsia="宋体" w:cs="宋体"/>
          <w:color w:val="auto"/>
          <w:sz w:val="24"/>
          <w:szCs w:val="32"/>
          <w:highlight w:val="none"/>
        </w:rPr>
        <w:t>5、代理费用：</w:t>
      </w:r>
      <w:r>
        <w:rPr>
          <w:rFonts w:hint="eastAsia" w:ascii="宋体" w:hAnsi="宋体" w:cs="宋体"/>
          <w:color w:val="auto"/>
          <w:sz w:val="24"/>
          <w:szCs w:val="32"/>
          <w:highlight w:val="none"/>
        </w:rPr>
        <w:t>按照下列表格中类别标准向中标单位收取招标代理费，中标方须在中标通知书发出5日内一次性付清。（户名：</w:t>
      </w:r>
      <w:r>
        <w:rPr>
          <w:rFonts w:hint="eastAsia" w:ascii="宋体" w:hAnsi="宋体" w:cs="宋体"/>
          <w:color w:val="auto"/>
          <w:sz w:val="24"/>
          <w:szCs w:val="32"/>
          <w:highlight w:val="none"/>
          <w:lang w:eastAsia="zh-CN"/>
        </w:rPr>
        <w:t>浙江五石中正工程咨询有限公司</w:t>
      </w:r>
      <w:r>
        <w:rPr>
          <w:rFonts w:hint="eastAsia" w:ascii="宋体" w:hAnsi="宋体" w:cs="宋体"/>
          <w:color w:val="auto"/>
          <w:sz w:val="24"/>
          <w:szCs w:val="32"/>
          <w:highlight w:val="none"/>
        </w:rPr>
        <w:t>；账号：1202003209900014176；开户银行：中国工商银行杭州市潮王路支行）财务电话：0571-88271625。</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14:paraId="6DE8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370657FA">
            <w:pP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noWrap w:val="0"/>
            <w:vAlign w:val="center"/>
          </w:tcPr>
          <w:p w14:paraId="45C79A79">
            <w:pP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640" w:type="dxa"/>
            <w:noWrap w:val="0"/>
            <w:vAlign w:val="center"/>
          </w:tcPr>
          <w:p w14:paraId="070D05BA">
            <w:pP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2119" w:type="dxa"/>
            <w:noWrap w:val="0"/>
            <w:vAlign w:val="center"/>
          </w:tcPr>
          <w:p w14:paraId="77BDA63B">
            <w:pP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3C58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344A34E6">
            <w:pP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777" w:type="dxa"/>
            <w:noWrap w:val="0"/>
            <w:vAlign w:val="center"/>
          </w:tcPr>
          <w:p w14:paraId="7A57E542">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640" w:type="dxa"/>
            <w:noWrap w:val="0"/>
            <w:vAlign w:val="center"/>
          </w:tcPr>
          <w:p w14:paraId="4E3A49CD">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2119" w:type="dxa"/>
            <w:noWrap w:val="0"/>
            <w:vAlign w:val="center"/>
          </w:tcPr>
          <w:p w14:paraId="4CF93B61">
            <w:pP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122C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5D7FB63D">
            <w:pP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777" w:type="dxa"/>
            <w:noWrap w:val="0"/>
            <w:vAlign w:val="center"/>
          </w:tcPr>
          <w:p w14:paraId="016A303E">
            <w:pP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640" w:type="dxa"/>
            <w:noWrap w:val="0"/>
            <w:vAlign w:val="center"/>
          </w:tcPr>
          <w:p w14:paraId="162E27F3">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2119" w:type="dxa"/>
            <w:noWrap w:val="0"/>
            <w:vAlign w:val="center"/>
          </w:tcPr>
          <w:p w14:paraId="6AFE37DE">
            <w:pP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3BB3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57AE0DEE">
            <w:pP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777" w:type="dxa"/>
            <w:noWrap w:val="0"/>
            <w:vAlign w:val="center"/>
          </w:tcPr>
          <w:p w14:paraId="0E847D4B">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640" w:type="dxa"/>
            <w:noWrap w:val="0"/>
            <w:vAlign w:val="center"/>
          </w:tcPr>
          <w:p w14:paraId="32114F60">
            <w:pP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2119" w:type="dxa"/>
            <w:noWrap w:val="0"/>
            <w:vAlign w:val="center"/>
          </w:tcPr>
          <w:p w14:paraId="6FBBFDFC">
            <w:pP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14:paraId="0611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629B02F7">
            <w:pP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777" w:type="dxa"/>
            <w:noWrap w:val="0"/>
            <w:vAlign w:val="center"/>
          </w:tcPr>
          <w:p w14:paraId="343F3401">
            <w:pP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640" w:type="dxa"/>
            <w:noWrap w:val="0"/>
            <w:vAlign w:val="center"/>
          </w:tcPr>
          <w:p w14:paraId="5C58879A">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2119" w:type="dxa"/>
            <w:noWrap w:val="0"/>
            <w:vAlign w:val="center"/>
          </w:tcPr>
          <w:p w14:paraId="21A2A3A0">
            <w:pP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14:paraId="765F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5CA74B48">
            <w:pP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777" w:type="dxa"/>
            <w:noWrap w:val="0"/>
            <w:vAlign w:val="center"/>
          </w:tcPr>
          <w:p w14:paraId="0A44CECE">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640" w:type="dxa"/>
            <w:noWrap w:val="0"/>
            <w:vAlign w:val="center"/>
          </w:tcPr>
          <w:p w14:paraId="7A2D0DA0">
            <w:pP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2119" w:type="dxa"/>
            <w:noWrap w:val="0"/>
            <w:vAlign w:val="center"/>
          </w:tcPr>
          <w:p w14:paraId="54726546">
            <w:pP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14:paraId="012D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2A1F101A">
            <w:pP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777" w:type="dxa"/>
            <w:noWrap w:val="0"/>
            <w:vAlign w:val="center"/>
          </w:tcPr>
          <w:p w14:paraId="1C6251D3">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640" w:type="dxa"/>
            <w:noWrap w:val="0"/>
            <w:vAlign w:val="center"/>
          </w:tcPr>
          <w:p w14:paraId="5520720E">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2119" w:type="dxa"/>
            <w:noWrap w:val="0"/>
            <w:vAlign w:val="center"/>
          </w:tcPr>
          <w:p w14:paraId="6B1C18F9">
            <w:pPr>
              <w:jc w:val="center"/>
              <w:rPr>
                <w:rFonts w:hint="eastAsia" w:ascii="宋体" w:hAnsi="宋体" w:cs="宋体"/>
                <w:color w:val="auto"/>
                <w:sz w:val="24"/>
                <w:highlight w:val="none"/>
              </w:rPr>
            </w:pPr>
            <w:r>
              <w:rPr>
                <w:rFonts w:hint="eastAsia" w:ascii="宋体" w:hAnsi="宋体" w:cs="宋体"/>
                <w:color w:val="auto"/>
                <w:sz w:val="24"/>
                <w:highlight w:val="none"/>
              </w:rPr>
              <w:t>0.05%</w:t>
            </w:r>
          </w:p>
        </w:tc>
      </w:tr>
    </w:tbl>
    <w:p w14:paraId="1653EF79">
      <w:pPr>
        <w:shd w:val="clear" w:color="auto" w:fill="auto"/>
        <w:spacing w:line="360" w:lineRule="auto"/>
        <w:ind w:firstLine="480" w:firstLineChars="200"/>
        <w:rPr>
          <w:rFonts w:hint="eastAsia" w:ascii="宋体" w:hAnsi="宋体" w:eastAsia="宋体" w:cs="宋体"/>
          <w:color w:val="auto"/>
          <w:sz w:val="24"/>
          <w:szCs w:val="32"/>
          <w:highlight w:val="none"/>
        </w:rPr>
      </w:pPr>
    </w:p>
    <w:p w14:paraId="1252ED5B">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五、合同签订及公告</w:t>
      </w:r>
    </w:p>
    <w:p w14:paraId="1E543169">
      <w:pPr>
        <w:shd w:val="clear" w:color="auto" w:fill="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（一）签订合同</w:t>
      </w:r>
    </w:p>
    <w:p w14:paraId="4B82D447">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1、采购人应当自成交通知书发出之日起</w:t>
      </w:r>
      <w:r>
        <w:rPr>
          <w:rFonts w:hint="eastAsia" w:ascii="宋体" w:hAnsi="宋体" w:cs="宋体"/>
          <w:color w:val="auto"/>
          <w:sz w:val="24"/>
          <w:szCs w:val="32"/>
          <w:highlight w:val="none"/>
          <w:lang w:val="en-US" w:eastAsia="zh-CN"/>
        </w:rPr>
        <w:t>30天</w:t>
      </w:r>
      <w:r>
        <w:rPr>
          <w:rFonts w:hint="eastAsia" w:ascii="宋体" w:hAnsi="宋体" w:eastAsia="宋体" w:cs="宋体"/>
          <w:color w:val="auto"/>
          <w:sz w:val="24"/>
          <w:szCs w:val="32"/>
          <w:highlight w:val="none"/>
          <w:lang w:val="zh-CN"/>
        </w:rPr>
        <w:t>内，按照磋商采购文件确定的合同文本以及采购标的、采购金额、采购数量和服务要求等事项签订政府采购合同。</w:t>
      </w:r>
    </w:p>
    <w:p w14:paraId="068991E0">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2、采购人不得向成交供应商提出超出磋商文件以外的任何要求作为签订合同的条件，不得与成交供应商订立背离磋商文件确定的合同文本以及采购标的、采购金额、采购数量和服务要求等实质性内容的协议。</w:t>
      </w:r>
    </w:p>
    <w:p w14:paraId="14A14BF1">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3、成交供应商无故拖延、拒签合同的，磋商保证金将不予退还并取消成交资格。</w:t>
      </w:r>
    </w:p>
    <w:p w14:paraId="33D3CC9A">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做出处理。</w:t>
      </w:r>
    </w:p>
    <w:p w14:paraId="42203943">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5、询问或者质疑事项可能影响成交结果的，采购人应当暂停签订合同，已经签订合同的，应当中止履行合同（成交结果的质疑期为成交结果公告期限届满之日起七个工作日）。</w:t>
      </w:r>
    </w:p>
    <w:p w14:paraId="7F8F92FA">
      <w:pPr>
        <w:shd w:val="clear" w:color="auto" w:fill="auto"/>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（二）合同公告及备案</w:t>
      </w:r>
    </w:p>
    <w:p w14:paraId="60558C39">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1、采购人应当自政府采购合同签订之日起2个工作日内，在省级以上财政部门指定的政府采购信息发布媒体及相关网站上公告。</w:t>
      </w:r>
    </w:p>
    <w:p w14:paraId="18B384B4">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zh-CN"/>
        </w:rPr>
        <w:t>2、采购人应当自政府采购合同签订之日起7个工作日内，将政府采购合同副本报同级人民政府财政部门备案以及采购组织机构存档。</w:t>
      </w:r>
    </w:p>
    <w:p w14:paraId="2690CA4A">
      <w:pPr>
        <w:shd w:val="clear" w:color="auto" w:fill="auto"/>
        <w:spacing w:line="360" w:lineRule="auto"/>
        <w:ind w:firstLine="480" w:firstLineChars="200"/>
        <w:rPr>
          <w:rFonts w:hint="eastAsia" w:ascii="宋体" w:hAnsi="宋体" w:eastAsia="宋体" w:cs="宋体"/>
          <w:color w:val="auto"/>
          <w:sz w:val="24"/>
          <w:szCs w:val="32"/>
          <w:highlight w:val="none"/>
        </w:rPr>
      </w:pPr>
    </w:p>
    <w:p w14:paraId="4024368E">
      <w:pPr>
        <w:shd w:val="clear" w:color="auto" w:fill="auto"/>
        <w:spacing w:line="360" w:lineRule="auto"/>
        <w:ind w:firstLine="1807" w:firstLineChars="500"/>
        <w:jc w:val="both"/>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r>
        <w:rPr>
          <w:rFonts w:hint="eastAsia" w:ascii="宋体" w:hAnsi="宋体" w:eastAsia="宋体" w:cs="宋体"/>
          <w:b/>
          <w:bCs/>
          <w:color w:val="auto"/>
          <w:sz w:val="36"/>
          <w:szCs w:val="44"/>
          <w:highlight w:val="none"/>
        </w:rPr>
        <w:t>第三部分 评审办法及评审标准</w:t>
      </w:r>
    </w:p>
    <w:p w14:paraId="2B35A0C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一、采购组织机构将组织磋商小组，磋商小组由3人以上单数组成，对供应商提供的磋商响应文件进行综合评审。   </w:t>
      </w:r>
    </w:p>
    <w:p w14:paraId="035A05C7">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二、本次磋商项目的评审方法为</w:t>
      </w:r>
      <w:r>
        <w:rPr>
          <w:rFonts w:hint="eastAsia" w:ascii="宋体" w:hAnsi="宋体" w:eastAsia="宋体" w:cs="宋体"/>
          <w:b/>
          <w:bCs/>
          <w:color w:val="auto"/>
          <w:sz w:val="24"/>
          <w:szCs w:val="32"/>
          <w:highlight w:val="none"/>
        </w:rPr>
        <w:t>综合评分法</w:t>
      </w:r>
      <w:r>
        <w:rPr>
          <w:rFonts w:hint="eastAsia" w:ascii="宋体" w:hAnsi="宋体" w:eastAsia="宋体" w:cs="宋体"/>
          <w:color w:val="auto"/>
          <w:sz w:val="24"/>
          <w:szCs w:val="32"/>
          <w:highlight w:val="none"/>
        </w:rPr>
        <w:t>，总计100分。</w:t>
      </w:r>
    </w:p>
    <w:p w14:paraId="06638C0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（一）商务与技术文件中的客观分由磋商小组讨论后统一打分；其余在规定的分值内单独评定打分。</w:t>
      </w:r>
    </w:p>
    <w:p w14:paraId="039C6C35">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（二）各磋商供应商商务与技术文件得分按照磋商小组成员的独立评分结果汇总后的算术平均分计算，计算公式为：</w:t>
      </w:r>
    </w:p>
    <w:p w14:paraId="02877DB2">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商务与技术文件得分=磋商小组所有成员评分合计数/磋商小组组成人员数。</w:t>
      </w:r>
    </w:p>
    <w:p w14:paraId="5BFE82AE">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（三）综合评分法中的价格分统一采用低价优先法计算，即满足磋商文件要求通过一轮磋商且最后报价最低的供应商的价格作为磋商基准价，其报价得满分。其他供应商的价格分统一按照下列公式计算：</w:t>
      </w:r>
    </w:p>
    <w:p w14:paraId="480A7A37">
      <w:pPr>
        <w:shd w:val="clear" w:color="auto" w:fill="auto"/>
        <w:spacing w:line="360" w:lineRule="auto"/>
        <w:ind w:firstLine="482" w:firstLineChars="200"/>
        <w:rPr>
          <w:rFonts w:hint="eastAsia" w:ascii="宋体" w:hAnsi="宋体" w:eastAsia="宋体" w:cs="宋体"/>
          <w:b/>
          <w:bCs/>
          <w:color w:val="auto"/>
          <w:sz w:val="24"/>
          <w:szCs w:val="32"/>
          <w:highlight w:val="none"/>
          <w:u w:val="single"/>
        </w:rPr>
      </w:pPr>
      <w:r>
        <w:rPr>
          <w:rFonts w:hint="eastAsia" w:ascii="宋体" w:hAnsi="宋体" w:eastAsia="宋体" w:cs="宋体"/>
          <w:b/>
          <w:bCs/>
          <w:color w:val="auto"/>
          <w:sz w:val="24"/>
          <w:szCs w:val="32"/>
          <w:highlight w:val="none"/>
          <w:u w:val="single"/>
        </w:rPr>
        <w:t>投标报价得分=（评标基准价/投标报价）×30%×100 。</w:t>
      </w:r>
    </w:p>
    <w:p w14:paraId="09D47072">
      <w:pPr>
        <w:snapToGrid/>
        <w:spacing w:before="0" w:beforeAutospacing="0" w:after="0" w:afterAutospacing="0" w:line="360" w:lineRule="auto"/>
        <w:ind w:firstLine="480" w:firstLineChars="200"/>
        <w:jc w:val="both"/>
        <w:textAlignment w:val="baseline"/>
        <w:rPr>
          <w:rStyle w:val="37"/>
          <w:rFonts w:hint="eastAsia" w:ascii="宋体" w:hAnsi="宋体" w:eastAsia="宋体" w:cs="宋体"/>
          <w:b w:val="0"/>
          <w:i w:val="0"/>
          <w:caps w:val="0"/>
          <w:color w:val="auto"/>
          <w:spacing w:val="0"/>
          <w:w w:val="100"/>
          <w:kern w:val="2"/>
          <w:sz w:val="24"/>
          <w:szCs w:val="32"/>
          <w:highlight w:val="none"/>
          <w:lang w:val="zh-CN" w:eastAsia="zh-CN" w:bidi="ar-SA"/>
        </w:rPr>
      </w:pPr>
      <w:r>
        <w:rPr>
          <w:rStyle w:val="37"/>
          <w:rFonts w:hint="eastAsia" w:ascii="宋体" w:hAnsi="宋体" w:eastAsia="宋体" w:cs="宋体"/>
          <w:b w:val="0"/>
          <w:i w:val="0"/>
          <w:caps w:val="0"/>
          <w:color w:val="auto"/>
          <w:spacing w:val="0"/>
          <w:w w:val="100"/>
          <w:kern w:val="2"/>
          <w:sz w:val="24"/>
          <w:szCs w:val="32"/>
          <w:highlight w:val="none"/>
          <w:lang w:val="zh-CN" w:eastAsia="zh-CN" w:bidi="ar-SA"/>
        </w:rPr>
        <w:t>（五）政府采购政策及优惠：</w:t>
      </w:r>
    </w:p>
    <w:p w14:paraId="703C930E">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本项目专门面向中小企业采购，价格评审时，</w:t>
      </w:r>
      <w:r>
        <w:rPr>
          <w:rFonts w:hint="eastAsia" w:ascii="宋体" w:hAnsi="宋体" w:cs="宋体"/>
          <w:color w:val="auto"/>
          <w:kern w:val="0"/>
          <w:sz w:val="24"/>
          <w:highlight w:val="none"/>
          <w:lang w:val="en-US" w:eastAsia="zh-CN"/>
        </w:rPr>
        <w:t>中</w:t>
      </w:r>
      <w:r>
        <w:rPr>
          <w:rFonts w:hint="eastAsia" w:ascii="宋体" w:hAnsi="宋体" w:eastAsia="宋体" w:cs="宋体"/>
          <w:color w:val="auto"/>
          <w:kern w:val="0"/>
          <w:sz w:val="24"/>
          <w:highlight w:val="none"/>
        </w:rPr>
        <w:t>小微企业的投标价格不做扣除。</w:t>
      </w:r>
    </w:p>
    <w:p w14:paraId="0C281192">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注：得分以系统计算为准，保留2位小数。</w:t>
      </w:r>
    </w:p>
    <w:p w14:paraId="326DE02F">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11040839">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四、如综合得分相同，投标报价低者为先；如综合得分且投标报价相同的，服务类采购项目根据综合实力信誉较高者为先。</w:t>
      </w:r>
    </w:p>
    <w:p w14:paraId="40C9643F">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五、提供相同品牌产品的不同投标人参加同一合同项下投标的，按一家供应商认定：</w:t>
      </w:r>
    </w:p>
    <w:p w14:paraId="738C3427">
      <w:pPr>
        <w:shd w:val="clear" w:color="auto" w:fill="auto"/>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38E66EB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34ED5A36">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六</w:t>
      </w:r>
      <w:r>
        <w:rPr>
          <w:rFonts w:hint="eastAsia" w:ascii="宋体" w:hAnsi="宋体" w:eastAsia="宋体" w:cs="宋体"/>
          <w:color w:val="auto"/>
          <w:sz w:val="24"/>
          <w:szCs w:val="32"/>
          <w:highlight w:val="none"/>
        </w:rPr>
        <w:t>、本次评分具体分值细化条款如下表</w:t>
      </w:r>
      <w:r>
        <w:rPr>
          <w:rFonts w:hint="eastAsia" w:ascii="宋体" w:hAnsi="宋体" w:eastAsia="宋体" w:cs="宋体"/>
          <w:color w:val="auto"/>
          <w:sz w:val="24"/>
          <w:szCs w:val="32"/>
          <w:highlight w:val="none"/>
          <w:lang w:val="zh-CN"/>
        </w:rPr>
        <w:t>：</w:t>
      </w:r>
    </w:p>
    <w:tbl>
      <w:tblPr>
        <w:tblStyle w:val="30"/>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05"/>
        <w:gridCol w:w="6195"/>
        <w:gridCol w:w="780"/>
      </w:tblGrid>
      <w:tr w14:paraId="78FB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07" w:type="dxa"/>
            <w:vAlign w:val="center"/>
          </w:tcPr>
          <w:p w14:paraId="343276AE">
            <w:pPr>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05" w:type="dxa"/>
            <w:vAlign w:val="center"/>
          </w:tcPr>
          <w:p w14:paraId="7034973D">
            <w:pPr>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评分内容</w:t>
            </w:r>
          </w:p>
        </w:tc>
        <w:tc>
          <w:tcPr>
            <w:tcW w:w="6195" w:type="dxa"/>
            <w:vAlign w:val="center"/>
          </w:tcPr>
          <w:p w14:paraId="08308D19">
            <w:pPr>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评分细则</w:t>
            </w:r>
          </w:p>
        </w:tc>
        <w:tc>
          <w:tcPr>
            <w:tcW w:w="780" w:type="dxa"/>
            <w:vAlign w:val="center"/>
          </w:tcPr>
          <w:p w14:paraId="04C971F8">
            <w:pPr>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分值</w:t>
            </w:r>
          </w:p>
        </w:tc>
      </w:tr>
      <w:tr w14:paraId="7D07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7" w:type="dxa"/>
            <w:vMerge w:val="restart"/>
            <w:vAlign w:val="center"/>
          </w:tcPr>
          <w:p w14:paraId="1DC1502A">
            <w:pPr>
              <w:shd w:val="clear" w:color="auto" w:fill="auto"/>
              <w:spacing w:line="360" w:lineRule="auto"/>
              <w:ind w:left="360" w:right="6" w:hanging="360" w:hangingChars="1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05" w:type="dxa"/>
            <w:vMerge w:val="restart"/>
            <w:vAlign w:val="center"/>
          </w:tcPr>
          <w:p w14:paraId="57CC0F6A">
            <w:pPr>
              <w:shd w:val="clear" w:color="auto" w:fill="auto"/>
              <w:spacing w:line="360" w:lineRule="auto"/>
              <w:ind w:left="-50"/>
              <w:jc w:val="center"/>
              <w:rPr>
                <w:rFonts w:hint="eastAsia" w:ascii="宋体" w:hAnsi="宋体" w:eastAsia="宋体" w:cs="宋体"/>
                <w:b/>
                <w:bCs/>
                <w:color w:val="auto"/>
                <w:sz w:val="24"/>
                <w:highlight w:val="none"/>
                <w:shd w:val="clear" w:color="auto" w:fill="CCCCCC"/>
              </w:rPr>
            </w:pPr>
            <w:r>
              <w:rPr>
                <w:rFonts w:hint="eastAsia" w:ascii="宋体" w:hAnsi="宋体" w:eastAsia="宋体" w:cs="宋体"/>
                <w:color w:val="auto"/>
                <w:sz w:val="24"/>
                <w:highlight w:val="none"/>
              </w:rPr>
              <w:t>施工方案</w:t>
            </w:r>
          </w:p>
        </w:tc>
        <w:tc>
          <w:tcPr>
            <w:tcW w:w="6195" w:type="dxa"/>
            <w:vAlign w:val="center"/>
          </w:tcPr>
          <w:p w14:paraId="15FE6DBD">
            <w:pPr>
              <w:shd w:val="clear" w:color="auto" w:fill="auto"/>
              <w:spacing w:line="360" w:lineRule="auto"/>
              <w:ind w:left="-50"/>
              <w:rPr>
                <w:rFonts w:hint="eastAsia" w:ascii="宋体" w:hAnsi="宋体" w:eastAsia="宋体" w:cs="宋体"/>
                <w:b/>
                <w:color w:val="auto"/>
                <w:sz w:val="24"/>
                <w:highlight w:val="none"/>
              </w:rPr>
            </w:pPr>
            <w:r>
              <w:rPr>
                <w:rFonts w:hint="eastAsia" w:ascii="宋体" w:hAnsi="宋体" w:eastAsia="宋体" w:cs="宋体"/>
                <w:color w:val="auto"/>
                <w:sz w:val="24"/>
                <w:highlight w:val="none"/>
              </w:rPr>
              <w:t>①针对本项目的专项施工方案打分</w:t>
            </w:r>
            <w:r>
              <w:rPr>
                <w:rFonts w:hint="eastAsia" w:ascii="宋体" w:hAnsi="宋体" w:eastAsia="宋体" w:cs="宋体"/>
                <w:color w:val="auto"/>
                <w:kern w:val="0"/>
                <w:sz w:val="24"/>
                <w:highlight w:val="none"/>
              </w:rPr>
              <w:t>。方案内容详尽，结合实际、具有针对性得4-6分；方案内容齐全，缺乏针对性得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-3.9分；</w:t>
            </w:r>
            <w:r>
              <w:rPr>
                <w:rFonts w:hint="eastAsia" w:ascii="宋体" w:hAnsi="宋体" w:eastAsia="宋体" w:cs="宋体"/>
                <w:color w:val="auto"/>
                <w:kern w:val="0"/>
                <w:sz w:val="24"/>
                <w:highlight w:val="none"/>
              </w:rPr>
              <w:t>方案内容不齐，内容空泛得0-</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.9分。</w:t>
            </w:r>
          </w:p>
        </w:tc>
        <w:tc>
          <w:tcPr>
            <w:tcW w:w="780" w:type="dxa"/>
            <w:vAlign w:val="center"/>
          </w:tcPr>
          <w:p w14:paraId="7DF03C74">
            <w:pPr>
              <w:shd w:val="clear" w:color="auto" w:fill="auto"/>
              <w:spacing w:line="360" w:lineRule="auto"/>
              <w:ind w:left="-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r>
      <w:tr w14:paraId="0FBA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7" w:type="dxa"/>
            <w:vMerge w:val="continue"/>
            <w:vAlign w:val="center"/>
          </w:tcPr>
          <w:p w14:paraId="781ABE38">
            <w:pPr>
              <w:shd w:val="clear" w:color="auto" w:fill="auto"/>
              <w:spacing w:line="360" w:lineRule="auto"/>
              <w:ind w:left="360" w:right="6" w:hanging="360" w:hangingChars="150"/>
              <w:jc w:val="center"/>
              <w:rPr>
                <w:rFonts w:hint="eastAsia" w:ascii="宋体" w:hAnsi="宋体" w:eastAsia="宋体" w:cs="宋体"/>
                <w:color w:val="auto"/>
                <w:sz w:val="24"/>
                <w:highlight w:val="none"/>
              </w:rPr>
            </w:pPr>
          </w:p>
        </w:tc>
        <w:tc>
          <w:tcPr>
            <w:tcW w:w="1305" w:type="dxa"/>
            <w:vMerge w:val="continue"/>
            <w:vAlign w:val="center"/>
          </w:tcPr>
          <w:p w14:paraId="60D49C8D">
            <w:pPr>
              <w:shd w:val="clear" w:color="auto" w:fill="auto"/>
              <w:spacing w:line="360" w:lineRule="auto"/>
              <w:ind w:left="-50"/>
              <w:jc w:val="center"/>
              <w:rPr>
                <w:rFonts w:hint="eastAsia" w:ascii="宋体" w:hAnsi="宋体" w:eastAsia="宋体" w:cs="宋体"/>
                <w:color w:val="auto"/>
                <w:sz w:val="24"/>
                <w:highlight w:val="none"/>
              </w:rPr>
            </w:pPr>
          </w:p>
        </w:tc>
        <w:tc>
          <w:tcPr>
            <w:tcW w:w="6195" w:type="dxa"/>
            <w:vAlign w:val="center"/>
          </w:tcPr>
          <w:p w14:paraId="49F45C36">
            <w:pPr>
              <w:shd w:val="clear" w:color="auto" w:fill="auto"/>
              <w:spacing w:line="360" w:lineRule="auto"/>
              <w:ind w:left="-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②安全生产保证措施打分</w:t>
            </w:r>
            <w:r>
              <w:rPr>
                <w:rFonts w:hint="eastAsia" w:ascii="宋体" w:hAnsi="宋体" w:eastAsia="宋体" w:cs="宋体"/>
                <w:color w:val="auto"/>
                <w:kern w:val="0"/>
                <w:sz w:val="24"/>
                <w:highlight w:val="none"/>
              </w:rPr>
              <w:t>。方案内容详尽，结合实际、具有针对性得4-6分；方案内容齐全，缺乏针对性得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-3.9分；</w:t>
            </w:r>
            <w:r>
              <w:rPr>
                <w:rFonts w:hint="eastAsia" w:ascii="宋体" w:hAnsi="宋体" w:eastAsia="宋体" w:cs="宋体"/>
                <w:color w:val="auto"/>
                <w:kern w:val="0"/>
                <w:sz w:val="24"/>
                <w:highlight w:val="none"/>
              </w:rPr>
              <w:t>方案内容不齐，内容空泛得0-</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.9分</w:t>
            </w:r>
            <w:r>
              <w:rPr>
                <w:rFonts w:hint="eastAsia" w:ascii="宋体" w:hAnsi="宋体" w:cs="宋体"/>
                <w:color w:val="auto"/>
                <w:kern w:val="0"/>
                <w:sz w:val="24"/>
                <w:highlight w:val="none"/>
                <w:lang w:eastAsia="zh-CN"/>
              </w:rPr>
              <w:t>。</w:t>
            </w:r>
          </w:p>
        </w:tc>
        <w:tc>
          <w:tcPr>
            <w:tcW w:w="780" w:type="dxa"/>
            <w:vAlign w:val="center"/>
          </w:tcPr>
          <w:p w14:paraId="38410338">
            <w:pPr>
              <w:shd w:val="clear" w:color="auto" w:fill="auto"/>
              <w:spacing w:line="360" w:lineRule="auto"/>
              <w:ind w:left="-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r>
      <w:tr w14:paraId="34CD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vMerge w:val="continue"/>
            <w:vAlign w:val="center"/>
          </w:tcPr>
          <w:p w14:paraId="5519D8E0">
            <w:pPr>
              <w:shd w:val="clear" w:color="auto" w:fill="auto"/>
              <w:spacing w:line="360" w:lineRule="auto"/>
              <w:ind w:left="360" w:right="6" w:hanging="360" w:hangingChars="150"/>
              <w:jc w:val="center"/>
              <w:rPr>
                <w:rFonts w:hint="eastAsia" w:ascii="宋体" w:hAnsi="宋体" w:eastAsia="宋体" w:cs="宋体"/>
                <w:color w:val="auto"/>
                <w:sz w:val="24"/>
                <w:highlight w:val="none"/>
              </w:rPr>
            </w:pPr>
          </w:p>
        </w:tc>
        <w:tc>
          <w:tcPr>
            <w:tcW w:w="1305" w:type="dxa"/>
            <w:vMerge w:val="continue"/>
            <w:vAlign w:val="center"/>
          </w:tcPr>
          <w:p w14:paraId="1C5E30FA">
            <w:pPr>
              <w:shd w:val="clear" w:color="auto" w:fill="auto"/>
              <w:spacing w:line="360" w:lineRule="auto"/>
              <w:ind w:left="-50"/>
              <w:jc w:val="center"/>
              <w:rPr>
                <w:rFonts w:hint="eastAsia" w:ascii="宋体" w:hAnsi="宋体" w:eastAsia="宋体" w:cs="宋体"/>
                <w:color w:val="auto"/>
                <w:sz w:val="24"/>
                <w:highlight w:val="none"/>
              </w:rPr>
            </w:pPr>
          </w:p>
        </w:tc>
        <w:tc>
          <w:tcPr>
            <w:tcW w:w="6195" w:type="dxa"/>
            <w:vAlign w:val="center"/>
          </w:tcPr>
          <w:p w14:paraId="548BE7A3">
            <w:pPr>
              <w:shd w:val="clear" w:color="auto" w:fill="auto"/>
              <w:spacing w:line="360" w:lineRule="auto"/>
              <w:ind w:left="-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③文明施工保证措施打分</w:t>
            </w:r>
            <w:r>
              <w:rPr>
                <w:rFonts w:hint="eastAsia" w:ascii="宋体" w:hAnsi="宋体" w:eastAsia="宋体" w:cs="宋体"/>
                <w:color w:val="auto"/>
                <w:kern w:val="0"/>
                <w:sz w:val="24"/>
                <w:highlight w:val="none"/>
              </w:rPr>
              <w:t>。方案内容详尽，结合实际、具有针对性得4-6分；方案内容齐全，缺乏针对性得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-3.9分；方案内容不齐，</w:t>
            </w:r>
            <w:r>
              <w:rPr>
                <w:rFonts w:hint="eastAsia" w:ascii="宋体" w:hAnsi="宋体" w:eastAsia="宋体" w:cs="宋体"/>
                <w:color w:val="auto"/>
                <w:kern w:val="0"/>
                <w:sz w:val="24"/>
                <w:highlight w:val="none"/>
              </w:rPr>
              <w:t>内容空泛得0-</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.9分</w:t>
            </w:r>
            <w:r>
              <w:rPr>
                <w:rFonts w:hint="eastAsia" w:ascii="宋体" w:hAnsi="宋体" w:cs="宋体"/>
                <w:color w:val="auto"/>
                <w:kern w:val="0"/>
                <w:sz w:val="24"/>
                <w:highlight w:val="none"/>
                <w:lang w:eastAsia="zh-CN"/>
              </w:rPr>
              <w:t>。</w:t>
            </w:r>
          </w:p>
        </w:tc>
        <w:tc>
          <w:tcPr>
            <w:tcW w:w="780" w:type="dxa"/>
            <w:vAlign w:val="center"/>
          </w:tcPr>
          <w:p w14:paraId="7A958D2F">
            <w:pPr>
              <w:shd w:val="clear" w:color="auto" w:fill="auto"/>
              <w:spacing w:line="360" w:lineRule="auto"/>
              <w:ind w:left="-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r>
      <w:tr w14:paraId="65E6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7" w:type="dxa"/>
            <w:vMerge w:val="continue"/>
            <w:vAlign w:val="center"/>
          </w:tcPr>
          <w:p w14:paraId="0732D378">
            <w:pPr>
              <w:shd w:val="clear" w:color="auto" w:fill="auto"/>
              <w:spacing w:line="360" w:lineRule="auto"/>
              <w:ind w:left="360" w:right="6" w:hanging="360" w:hangingChars="150"/>
              <w:jc w:val="center"/>
              <w:rPr>
                <w:rFonts w:hint="eastAsia" w:ascii="宋体" w:hAnsi="宋体" w:eastAsia="宋体" w:cs="宋体"/>
                <w:color w:val="auto"/>
                <w:sz w:val="24"/>
                <w:highlight w:val="none"/>
              </w:rPr>
            </w:pPr>
          </w:p>
        </w:tc>
        <w:tc>
          <w:tcPr>
            <w:tcW w:w="1305" w:type="dxa"/>
            <w:vMerge w:val="continue"/>
            <w:vAlign w:val="center"/>
          </w:tcPr>
          <w:p w14:paraId="251051EE">
            <w:pPr>
              <w:shd w:val="clear" w:color="auto" w:fill="auto"/>
              <w:spacing w:line="360" w:lineRule="auto"/>
              <w:ind w:left="-50"/>
              <w:jc w:val="center"/>
              <w:rPr>
                <w:rFonts w:hint="eastAsia" w:ascii="宋体" w:hAnsi="宋体" w:eastAsia="宋体" w:cs="宋体"/>
                <w:color w:val="auto"/>
                <w:sz w:val="24"/>
                <w:highlight w:val="none"/>
              </w:rPr>
            </w:pPr>
          </w:p>
        </w:tc>
        <w:tc>
          <w:tcPr>
            <w:tcW w:w="6195" w:type="dxa"/>
            <w:vAlign w:val="center"/>
          </w:tcPr>
          <w:p w14:paraId="25DB48E6">
            <w:pPr>
              <w:shd w:val="clear" w:color="auto" w:fill="auto"/>
              <w:spacing w:line="360" w:lineRule="auto"/>
              <w:ind w:left="-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④环境保护保证措施打分</w:t>
            </w:r>
            <w:r>
              <w:rPr>
                <w:rFonts w:hint="eastAsia" w:ascii="宋体" w:hAnsi="宋体" w:eastAsia="宋体" w:cs="宋体"/>
                <w:color w:val="auto"/>
                <w:kern w:val="0"/>
                <w:sz w:val="24"/>
                <w:highlight w:val="none"/>
              </w:rPr>
              <w:t>。方案内容详尽，结合实际、具有针对性得4-6分；方案内容齐全，缺乏针对性得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-3.9分；</w:t>
            </w:r>
            <w:r>
              <w:rPr>
                <w:rFonts w:hint="eastAsia" w:ascii="宋体" w:hAnsi="宋体" w:eastAsia="宋体" w:cs="宋体"/>
                <w:color w:val="auto"/>
                <w:kern w:val="0"/>
                <w:sz w:val="24"/>
                <w:highlight w:val="none"/>
              </w:rPr>
              <w:t>方案内容不齐，内容空泛得0-</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.9分</w:t>
            </w:r>
            <w:r>
              <w:rPr>
                <w:rFonts w:hint="eastAsia" w:ascii="宋体" w:hAnsi="宋体" w:cs="宋体"/>
                <w:color w:val="auto"/>
                <w:kern w:val="0"/>
                <w:sz w:val="24"/>
                <w:highlight w:val="none"/>
                <w:lang w:eastAsia="zh-CN"/>
              </w:rPr>
              <w:t>。</w:t>
            </w:r>
          </w:p>
        </w:tc>
        <w:tc>
          <w:tcPr>
            <w:tcW w:w="780" w:type="dxa"/>
            <w:vAlign w:val="center"/>
          </w:tcPr>
          <w:p w14:paraId="27293976">
            <w:pPr>
              <w:shd w:val="clear" w:color="auto" w:fill="auto"/>
              <w:spacing w:line="360" w:lineRule="auto"/>
              <w:ind w:left="-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r>
      <w:tr w14:paraId="5E92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07" w:type="dxa"/>
            <w:vAlign w:val="center"/>
          </w:tcPr>
          <w:p w14:paraId="5959F0DF">
            <w:pPr>
              <w:shd w:val="clear" w:color="auto" w:fill="auto"/>
              <w:spacing w:line="360" w:lineRule="auto"/>
              <w:ind w:left="360" w:right="6" w:hanging="360" w:hangingChars="1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05" w:type="dxa"/>
            <w:vAlign w:val="center"/>
          </w:tcPr>
          <w:p w14:paraId="6669E7F1">
            <w:pPr>
              <w:shd w:val="clear" w:color="auto" w:fill="auto"/>
              <w:spacing w:line="360" w:lineRule="auto"/>
              <w:ind w:left="-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项目质量目标及</w:t>
            </w:r>
          </w:p>
          <w:p w14:paraId="3679872E">
            <w:pPr>
              <w:shd w:val="clear" w:color="auto" w:fill="auto"/>
              <w:spacing w:line="360" w:lineRule="auto"/>
              <w:ind w:left="-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保证措施</w:t>
            </w:r>
          </w:p>
        </w:tc>
        <w:tc>
          <w:tcPr>
            <w:tcW w:w="6195" w:type="dxa"/>
            <w:vAlign w:val="center"/>
          </w:tcPr>
          <w:p w14:paraId="3E3D7993">
            <w:pPr>
              <w:shd w:val="clear" w:color="auto" w:fill="auto"/>
              <w:tabs>
                <w:tab w:val="left" w:pos="629"/>
              </w:tabs>
              <w:spacing w:line="360" w:lineRule="auto"/>
              <w:ind w:left="-5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质量目标明确情况，保证措施可行性、科学性情况打分</w:t>
            </w:r>
            <w:r>
              <w:rPr>
                <w:rFonts w:hint="eastAsia" w:ascii="宋体" w:hAnsi="宋体" w:eastAsia="宋体" w:cs="宋体"/>
                <w:color w:val="auto"/>
                <w:kern w:val="0"/>
                <w:sz w:val="24"/>
                <w:highlight w:val="none"/>
              </w:rPr>
              <w:t>。质量保证目标明确，保证措施结合实际、具有针对性得4-6分；方案内容齐全，缺乏针对性得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-3.9分；</w:t>
            </w:r>
            <w:r>
              <w:rPr>
                <w:rFonts w:hint="eastAsia" w:ascii="宋体" w:hAnsi="宋体" w:eastAsia="宋体" w:cs="宋体"/>
                <w:color w:val="auto"/>
                <w:kern w:val="0"/>
                <w:sz w:val="24"/>
                <w:highlight w:val="none"/>
              </w:rPr>
              <w:t>方案内容不齐，内容空泛得0-</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.9分。</w:t>
            </w:r>
          </w:p>
        </w:tc>
        <w:tc>
          <w:tcPr>
            <w:tcW w:w="780" w:type="dxa"/>
            <w:vAlign w:val="center"/>
          </w:tcPr>
          <w:p w14:paraId="489C91C6">
            <w:pPr>
              <w:shd w:val="clear" w:color="auto" w:fill="auto"/>
              <w:spacing w:line="360" w:lineRule="auto"/>
              <w:ind w:left="-50" w:right="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r>
      <w:tr w14:paraId="62CA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Merge w:val="restart"/>
            <w:vAlign w:val="center"/>
          </w:tcPr>
          <w:p w14:paraId="3821CC68">
            <w:pPr>
              <w:shd w:val="clear" w:color="auto" w:fill="auto"/>
              <w:spacing w:line="360" w:lineRule="auto"/>
              <w:ind w:left="360" w:right="6" w:hanging="360" w:hangingChars="1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305" w:type="dxa"/>
            <w:vMerge w:val="restart"/>
            <w:vAlign w:val="center"/>
          </w:tcPr>
          <w:p w14:paraId="614D8905">
            <w:pPr>
              <w:shd w:val="clear" w:color="auto" w:fill="auto"/>
              <w:spacing w:line="360" w:lineRule="auto"/>
              <w:ind w:left="-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劳动力投入及工期计划</w:t>
            </w:r>
          </w:p>
        </w:tc>
        <w:tc>
          <w:tcPr>
            <w:tcW w:w="6195" w:type="dxa"/>
            <w:vAlign w:val="center"/>
          </w:tcPr>
          <w:p w14:paraId="693B513F">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劳动力的投入及工期计划进度打分</w:t>
            </w:r>
            <w:r>
              <w:rPr>
                <w:rFonts w:hint="eastAsia" w:ascii="宋体" w:hAnsi="宋体" w:eastAsia="宋体" w:cs="宋体"/>
                <w:color w:val="auto"/>
                <w:kern w:val="0"/>
                <w:sz w:val="24"/>
                <w:highlight w:val="none"/>
              </w:rPr>
              <w:t>。有明确的劳动力投入及工期进度，劳动力投入多且工期计划科学合理得4-6分；有较明确的劳动力投入及工期进度表得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-3.9分；</w:t>
            </w:r>
            <w:r>
              <w:rPr>
                <w:rFonts w:hint="eastAsia" w:ascii="宋体" w:hAnsi="宋体" w:eastAsia="宋体" w:cs="宋体"/>
                <w:color w:val="auto"/>
                <w:kern w:val="0"/>
                <w:sz w:val="24"/>
                <w:highlight w:val="none"/>
              </w:rPr>
              <w:t>方案内容不齐，内容空泛得0-</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.9分。</w:t>
            </w:r>
          </w:p>
        </w:tc>
        <w:tc>
          <w:tcPr>
            <w:tcW w:w="780" w:type="dxa"/>
            <w:vAlign w:val="center"/>
          </w:tcPr>
          <w:p w14:paraId="26474320">
            <w:pPr>
              <w:shd w:val="clear" w:color="auto" w:fill="auto"/>
              <w:spacing w:line="360" w:lineRule="auto"/>
              <w:ind w:left="-50" w:right="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r>
      <w:tr w14:paraId="5607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7" w:type="dxa"/>
            <w:vMerge w:val="continue"/>
            <w:vAlign w:val="center"/>
          </w:tcPr>
          <w:p w14:paraId="11AD6E2E">
            <w:pPr>
              <w:shd w:val="clear" w:color="auto" w:fill="auto"/>
              <w:spacing w:line="360" w:lineRule="auto"/>
              <w:ind w:left="360" w:right="6" w:hanging="360" w:hangingChars="150"/>
              <w:jc w:val="center"/>
              <w:rPr>
                <w:rFonts w:hint="eastAsia" w:ascii="宋体" w:hAnsi="宋体" w:eastAsia="宋体" w:cs="宋体"/>
                <w:color w:val="auto"/>
                <w:sz w:val="24"/>
                <w:highlight w:val="none"/>
              </w:rPr>
            </w:pPr>
          </w:p>
        </w:tc>
        <w:tc>
          <w:tcPr>
            <w:tcW w:w="1305" w:type="dxa"/>
            <w:vMerge w:val="continue"/>
            <w:vAlign w:val="center"/>
          </w:tcPr>
          <w:p w14:paraId="7DC7EF15">
            <w:pPr>
              <w:shd w:val="clear" w:color="auto" w:fill="auto"/>
              <w:spacing w:line="360" w:lineRule="auto"/>
              <w:ind w:left="-50"/>
              <w:jc w:val="center"/>
              <w:rPr>
                <w:rFonts w:hint="eastAsia" w:ascii="宋体" w:hAnsi="宋体" w:eastAsia="宋体" w:cs="宋体"/>
                <w:color w:val="auto"/>
                <w:sz w:val="24"/>
                <w:highlight w:val="none"/>
              </w:rPr>
            </w:pPr>
          </w:p>
        </w:tc>
        <w:tc>
          <w:tcPr>
            <w:tcW w:w="6195" w:type="dxa"/>
            <w:vAlign w:val="center"/>
          </w:tcPr>
          <w:p w14:paraId="7001AE23">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工期进度保证措施有效、合理情况打分</w:t>
            </w:r>
            <w:r>
              <w:rPr>
                <w:rFonts w:hint="eastAsia" w:ascii="宋体" w:hAnsi="宋体" w:eastAsia="宋体" w:cs="宋体"/>
                <w:color w:val="auto"/>
                <w:kern w:val="0"/>
                <w:sz w:val="24"/>
                <w:highlight w:val="none"/>
              </w:rPr>
              <w:t>。有明确的工期保障措施，措施科学合理得4-6分；有较明确的工期工期保障措施表得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-3.9分；</w:t>
            </w:r>
            <w:r>
              <w:rPr>
                <w:rFonts w:hint="eastAsia" w:ascii="宋体" w:hAnsi="宋体" w:eastAsia="宋体" w:cs="宋体"/>
                <w:color w:val="auto"/>
                <w:kern w:val="0"/>
                <w:sz w:val="24"/>
                <w:highlight w:val="none"/>
              </w:rPr>
              <w:t>工期保障措施不够明确，内容空泛得0-</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.9分。</w:t>
            </w:r>
          </w:p>
        </w:tc>
        <w:tc>
          <w:tcPr>
            <w:tcW w:w="780" w:type="dxa"/>
            <w:vAlign w:val="center"/>
          </w:tcPr>
          <w:p w14:paraId="570DB4A8">
            <w:pPr>
              <w:shd w:val="clear" w:color="auto" w:fill="auto"/>
              <w:spacing w:line="360" w:lineRule="auto"/>
              <w:ind w:left="-50" w:right="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r>
      <w:tr w14:paraId="6814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07" w:type="dxa"/>
            <w:vMerge w:val="restart"/>
            <w:vAlign w:val="center"/>
          </w:tcPr>
          <w:p w14:paraId="0F92218A">
            <w:pPr>
              <w:shd w:val="clear" w:color="auto" w:fill="auto"/>
              <w:spacing w:line="360" w:lineRule="auto"/>
              <w:ind w:left="360" w:right="6" w:hanging="360" w:hangingChars="1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305" w:type="dxa"/>
            <w:vMerge w:val="restart"/>
            <w:vAlign w:val="center"/>
          </w:tcPr>
          <w:p w14:paraId="1693A8DE">
            <w:pPr>
              <w:shd w:val="clear" w:color="auto" w:fill="auto"/>
              <w:spacing w:line="360" w:lineRule="auto"/>
              <w:ind w:left="-50"/>
              <w:jc w:val="center"/>
              <w:rPr>
                <w:rFonts w:hint="eastAsia" w:ascii="宋体" w:hAnsi="宋体" w:eastAsia="宋体" w:cs="宋体"/>
                <w:b/>
                <w:color w:val="auto"/>
                <w:sz w:val="24"/>
                <w:highlight w:val="none"/>
              </w:rPr>
            </w:pPr>
            <w:r>
              <w:rPr>
                <w:rFonts w:hint="eastAsia" w:ascii="宋体" w:hAnsi="宋体" w:eastAsia="宋体" w:cs="宋体"/>
                <w:snapToGrid w:val="0"/>
                <w:color w:val="auto"/>
                <w:sz w:val="24"/>
                <w:highlight w:val="none"/>
              </w:rPr>
              <w:t>施工难点要点和解决措施</w:t>
            </w:r>
          </w:p>
        </w:tc>
        <w:tc>
          <w:tcPr>
            <w:tcW w:w="6195" w:type="dxa"/>
            <w:vAlign w:val="center"/>
          </w:tcPr>
          <w:p w14:paraId="23B423C3">
            <w:pPr>
              <w:shd w:val="clear" w:color="auto" w:fill="auto"/>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本项目施工难点和要点分析打分</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有清晰详尽得重难点分析得3-5分，有较明确得重难点</w:t>
            </w:r>
            <w:r>
              <w:rPr>
                <w:rFonts w:hint="eastAsia" w:ascii="宋体" w:hAnsi="宋体" w:cs="宋体"/>
                <w:color w:val="auto"/>
                <w:sz w:val="24"/>
                <w:highlight w:val="none"/>
                <w:lang w:val="en-US" w:eastAsia="zh-CN"/>
              </w:rPr>
              <w:t>分析</w:t>
            </w:r>
            <w:r>
              <w:rPr>
                <w:rFonts w:hint="eastAsia" w:ascii="宋体" w:hAnsi="宋体" w:eastAsia="宋体" w:cs="宋体"/>
                <w:color w:val="auto"/>
                <w:sz w:val="24"/>
                <w:highlight w:val="none"/>
              </w:rPr>
              <w:t>，但内容不够详尽得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方案内容不明确，内容粗略得0-0.9分。</w:t>
            </w:r>
          </w:p>
        </w:tc>
        <w:tc>
          <w:tcPr>
            <w:tcW w:w="780" w:type="dxa"/>
            <w:vAlign w:val="center"/>
          </w:tcPr>
          <w:p w14:paraId="56110C68">
            <w:pPr>
              <w:shd w:val="clear" w:color="auto" w:fill="auto"/>
              <w:spacing w:line="360" w:lineRule="auto"/>
              <w:ind w:left="-50" w:right="3"/>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5分</w:t>
            </w:r>
          </w:p>
        </w:tc>
      </w:tr>
      <w:tr w14:paraId="5BA6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7" w:type="dxa"/>
            <w:vMerge w:val="continue"/>
            <w:vAlign w:val="center"/>
          </w:tcPr>
          <w:p w14:paraId="3EB67504">
            <w:pPr>
              <w:shd w:val="clear" w:color="auto" w:fill="auto"/>
              <w:spacing w:line="360" w:lineRule="auto"/>
              <w:ind w:left="360" w:right="6" w:hanging="360" w:hangingChars="150"/>
              <w:jc w:val="center"/>
              <w:rPr>
                <w:rFonts w:hint="eastAsia" w:ascii="宋体" w:hAnsi="宋体" w:eastAsia="宋体" w:cs="宋体"/>
                <w:color w:val="auto"/>
                <w:sz w:val="24"/>
                <w:highlight w:val="none"/>
              </w:rPr>
            </w:pPr>
          </w:p>
        </w:tc>
        <w:tc>
          <w:tcPr>
            <w:tcW w:w="1305" w:type="dxa"/>
            <w:vMerge w:val="continue"/>
            <w:vAlign w:val="center"/>
          </w:tcPr>
          <w:p w14:paraId="648210AA">
            <w:pPr>
              <w:shd w:val="clear" w:color="auto" w:fill="auto"/>
              <w:spacing w:line="360" w:lineRule="auto"/>
              <w:ind w:left="-50"/>
              <w:jc w:val="center"/>
              <w:rPr>
                <w:rFonts w:hint="eastAsia" w:ascii="宋体" w:hAnsi="宋体" w:eastAsia="宋体" w:cs="宋体"/>
                <w:snapToGrid w:val="0"/>
                <w:color w:val="auto"/>
                <w:sz w:val="24"/>
                <w:highlight w:val="none"/>
              </w:rPr>
            </w:pPr>
          </w:p>
        </w:tc>
        <w:tc>
          <w:tcPr>
            <w:tcW w:w="6195" w:type="dxa"/>
            <w:vAlign w:val="center"/>
          </w:tcPr>
          <w:p w14:paraId="55F42846">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针对本项目施工难点和要点采取的方案、处理措施和建议打分</w:t>
            </w:r>
            <w:r>
              <w:rPr>
                <w:rFonts w:hint="eastAsia" w:ascii="宋体" w:hAnsi="宋体" w:eastAsia="宋体" w:cs="宋体"/>
                <w:color w:val="auto"/>
                <w:kern w:val="0"/>
                <w:sz w:val="24"/>
                <w:highlight w:val="none"/>
              </w:rPr>
              <w:t>。针对难点要点提供针对性强得解决措施得3-5分，有较明确的解决措施，但缺乏针对性得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-2.9分</w:t>
            </w:r>
            <w:r>
              <w:rPr>
                <w:rFonts w:hint="eastAsia" w:ascii="宋体" w:hAnsi="宋体" w:cs="宋体"/>
                <w:color w:val="auto"/>
                <w:kern w:val="0"/>
                <w:sz w:val="24"/>
                <w:highlight w:val="none"/>
                <w:lang w:eastAsia="zh-CN"/>
              </w:rPr>
              <w:t>，</w:t>
            </w:r>
            <w:r>
              <w:rPr>
                <w:rFonts w:hint="eastAsia" w:ascii="宋体" w:hAnsi="宋体" w:cs="宋体"/>
                <w:color w:val="auto"/>
                <w:sz w:val="24"/>
                <w:highlight w:val="none"/>
                <w:lang w:val="en-US" w:eastAsia="zh-CN"/>
              </w:rPr>
              <w:t>方案内容不明确，内容粗略得0-0.9分。</w:t>
            </w:r>
          </w:p>
        </w:tc>
        <w:tc>
          <w:tcPr>
            <w:tcW w:w="780" w:type="dxa"/>
            <w:vAlign w:val="center"/>
          </w:tcPr>
          <w:p w14:paraId="26467EFE">
            <w:pPr>
              <w:shd w:val="clear" w:color="auto" w:fill="auto"/>
              <w:spacing w:line="360" w:lineRule="auto"/>
              <w:ind w:left="-50" w:right="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r>
      <w:tr w14:paraId="74A3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07" w:type="dxa"/>
            <w:vAlign w:val="center"/>
          </w:tcPr>
          <w:p w14:paraId="298FF987">
            <w:pPr>
              <w:shd w:val="clear" w:color="auto" w:fill="auto"/>
              <w:spacing w:line="360" w:lineRule="auto"/>
              <w:ind w:left="360" w:right="6" w:hanging="360" w:hangingChars="1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305" w:type="dxa"/>
            <w:vAlign w:val="center"/>
          </w:tcPr>
          <w:p w14:paraId="33A75E21">
            <w:pPr>
              <w:shd w:val="clear" w:color="auto" w:fill="auto"/>
              <w:spacing w:line="360" w:lineRule="auto"/>
              <w:ind w:left="-50"/>
              <w:jc w:val="center"/>
              <w:rPr>
                <w:rFonts w:hint="eastAsia" w:ascii="宋体" w:hAnsi="宋体" w:eastAsia="宋体" w:cs="宋体"/>
                <w:bCs/>
                <w:color w:val="auto"/>
                <w:kern w:val="28"/>
                <w:sz w:val="24"/>
                <w:highlight w:val="none"/>
              </w:rPr>
            </w:pPr>
            <w:r>
              <w:rPr>
                <w:rFonts w:hint="eastAsia" w:ascii="宋体" w:hAnsi="宋体" w:eastAsia="宋体" w:cs="宋体"/>
                <w:color w:val="auto"/>
                <w:sz w:val="24"/>
                <w:highlight w:val="none"/>
              </w:rPr>
              <w:t>施工机械设备和周转材料</w:t>
            </w:r>
          </w:p>
        </w:tc>
        <w:tc>
          <w:tcPr>
            <w:tcW w:w="6195" w:type="dxa"/>
            <w:vAlign w:val="center"/>
          </w:tcPr>
          <w:p w14:paraId="3A07EB06">
            <w:pPr>
              <w:shd w:val="clear" w:color="auto" w:fill="auto"/>
              <w:spacing w:line="37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根据施工机械设备及周转材料的合理性，是否满足本项目需求打分</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方案内容</w:t>
            </w:r>
            <w:r>
              <w:rPr>
                <w:rFonts w:hint="eastAsia" w:ascii="宋体" w:hAnsi="宋体" w:eastAsia="宋体" w:cs="宋体"/>
                <w:color w:val="auto"/>
                <w:kern w:val="0"/>
                <w:sz w:val="24"/>
                <w:highlight w:val="none"/>
              </w:rPr>
              <w:t>明确，</w:t>
            </w:r>
            <w:r>
              <w:rPr>
                <w:rFonts w:hint="eastAsia" w:ascii="宋体" w:hAnsi="宋体" w:eastAsia="宋体" w:cs="宋体"/>
                <w:color w:val="auto"/>
                <w:sz w:val="24"/>
                <w:highlight w:val="none"/>
              </w:rPr>
              <w:t>施工机械设备及周转材料</w:t>
            </w:r>
            <w:r>
              <w:rPr>
                <w:rFonts w:hint="eastAsia" w:ascii="宋体" w:hAnsi="宋体" w:eastAsia="宋体" w:cs="宋体"/>
                <w:color w:val="auto"/>
                <w:kern w:val="0"/>
                <w:sz w:val="24"/>
                <w:highlight w:val="none"/>
              </w:rPr>
              <w:t>结合实际、具有针对性得4-6分；方案内容齐全，缺乏针对性得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-3.9分；</w:t>
            </w:r>
            <w:r>
              <w:rPr>
                <w:rFonts w:hint="eastAsia" w:ascii="宋体" w:hAnsi="宋体" w:eastAsia="宋体" w:cs="宋体"/>
                <w:color w:val="auto"/>
                <w:kern w:val="0"/>
                <w:sz w:val="24"/>
                <w:highlight w:val="none"/>
              </w:rPr>
              <w:t>方案内容不齐，内容空泛得0-</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.9分。</w:t>
            </w:r>
          </w:p>
        </w:tc>
        <w:tc>
          <w:tcPr>
            <w:tcW w:w="780" w:type="dxa"/>
            <w:vAlign w:val="center"/>
          </w:tcPr>
          <w:p w14:paraId="65980AAE">
            <w:pPr>
              <w:shd w:val="clear" w:color="auto" w:fill="auto"/>
              <w:spacing w:line="360" w:lineRule="auto"/>
              <w:ind w:left="-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r>
      <w:tr w14:paraId="7C8D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7" w:type="dxa"/>
            <w:vMerge w:val="restart"/>
            <w:vAlign w:val="center"/>
          </w:tcPr>
          <w:p w14:paraId="26D9863D">
            <w:pPr>
              <w:shd w:val="clear" w:color="auto" w:fill="auto"/>
              <w:spacing w:line="360" w:lineRule="auto"/>
              <w:ind w:left="360" w:right="6" w:hanging="360" w:hangingChars="1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305" w:type="dxa"/>
            <w:vMerge w:val="restart"/>
            <w:vAlign w:val="center"/>
          </w:tcPr>
          <w:p w14:paraId="0A765D0F">
            <w:pPr>
              <w:shd w:val="clear" w:color="auto" w:fill="auto"/>
              <w:spacing w:line="360" w:lineRule="auto"/>
              <w:ind w:left="-50"/>
              <w:jc w:val="center"/>
              <w:rPr>
                <w:rFonts w:hint="eastAsia" w:ascii="宋体" w:hAnsi="宋体" w:eastAsia="宋体" w:cs="宋体"/>
                <w:color w:val="auto"/>
                <w:sz w:val="24"/>
                <w:highlight w:val="none"/>
              </w:rPr>
            </w:pPr>
            <w:r>
              <w:rPr>
                <w:rFonts w:hint="eastAsia" w:ascii="宋体" w:hAnsi="宋体" w:eastAsia="宋体" w:cs="宋体"/>
                <w:bCs/>
                <w:color w:val="auto"/>
                <w:kern w:val="28"/>
                <w:sz w:val="24"/>
                <w:highlight w:val="none"/>
              </w:rPr>
              <w:t>售后服务承诺及相关保证措施</w:t>
            </w:r>
          </w:p>
        </w:tc>
        <w:tc>
          <w:tcPr>
            <w:tcW w:w="6195" w:type="dxa"/>
            <w:vAlign w:val="center"/>
          </w:tcPr>
          <w:p w14:paraId="3329A29E">
            <w:pPr>
              <w:shd w:val="clear" w:color="auto" w:fill="auto"/>
              <w:spacing w:line="360" w:lineRule="auto"/>
              <w:rPr>
                <w:rFonts w:hint="eastAsia" w:ascii="宋体" w:hAnsi="宋体" w:eastAsia="宋体" w:cs="宋体"/>
                <w:bCs/>
                <w:color w:val="auto"/>
                <w:kern w:val="28"/>
                <w:sz w:val="24"/>
                <w:highlight w:val="none"/>
              </w:rPr>
            </w:pPr>
            <w:r>
              <w:rPr>
                <w:rFonts w:hint="eastAsia" w:ascii="宋体" w:hAnsi="宋体" w:eastAsia="宋体" w:cs="宋体"/>
                <w:bCs/>
                <w:color w:val="auto"/>
                <w:kern w:val="28"/>
                <w:sz w:val="24"/>
                <w:highlight w:val="none"/>
              </w:rPr>
              <w:t>针对本项目服务响应的便利性描述及承诺</w:t>
            </w:r>
            <w:r>
              <w:rPr>
                <w:rFonts w:hint="eastAsia" w:ascii="宋体" w:hAnsi="宋体" w:eastAsia="宋体" w:cs="宋体"/>
                <w:color w:val="auto"/>
                <w:sz w:val="24"/>
                <w:highlight w:val="none"/>
              </w:rPr>
              <w:t>打分</w:t>
            </w:r>
            <w:r>
              <w:rPr>
                <w:rFonts w:hint="eastAsia" w:ascii="宋体" w:hAnsi="宋体" w:eastAsia="宋体" w:cs="宋体"/>
                <w:color w:val="auto"/>
                <w:kern w:val="0"/>
                <w:sz w:val="24"/>
                <w:highlight w:val="none"/>
              </w:rPr>
              <w:t>。服务响应描述详细、结合项目实际且承诺内容切实可行得4-6分，有较明确的服务响应描述，基本符合项目得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-3.9分。</w:t>
            </w:r>
            <w:r>
              <w:rPr>
                <w:rFonts w:hint="eastAsia" w:ascii="宋体" w:hAnsi="宋体" w:cs="宋体"/>
                <w:color w:val="auto"/>
                <w:sz w:val="24"/>
                <w:highlight w:val="none"/>
                <w:lang w:val="en-US" w:eastAsia="zh-CN"/>
              </w:rPr>
              <w:t>方案内容不明确，内容粗略得0-0.9分。</w:t>
            </w:r>
          </w:p>
        </w:tc>
        <w:tc>
          <w:tcPr>
            <w:tcW w:w="780" w:type="dxa"/>
            <w:vAlign w:val="center"/>
          </w:tcPr>
          <w:p w14:paraId="56B11C0F">
            <w:pPr>
              <w:shd w:val="clear" w:color="auto" w:fill="auto"/>
              <w:spacing w:line="360" w:lineRule="auto"/>
              <w:ind w:left="-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r>
      <w:tr w14:paraId="0118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07" w:type="dxa"/>
            <w:vMerge w:val="continue"/>
            <w:vAlign w:val="center"/>
          </w:tcPr>
          <w:p w14:paraId="2AAE81E5">
            <w:pPr>
              <w:shd w:val="clear" w:color="auto" w:fill="auto"/>
              <w:spacing w:line="360" w:lineRule="auto"/>
              <w:ind w:left="360" w:right="6" w:hanging="360" w:hangingChars="150"/>
              <w:jc w:val="center"/>
              <w:rPr>
                <w:rFonts w:hint="eastAsia" w:ascii="宋体" w:hAnsi="宋体" w:eastAsia="宋体" w:cs="宋体"/>
                <w:color w:val="auto"/>
                <w:sz w:val="24"/>
                <w:highlight w:val="none"/>
              </w:rPr>
            </w:pPr>
          </w:p>
        </w:tc>
        <w:tc>
          <w:tcPr>
            <w:tcW w:w="1305" w:type="dxa"/>
            <w:vMerge w:val="continue"/>
            <w:vAlign w:val="center"/>
          </w:tcPr>
          <w:p w14:paraId="4403B010">
            <w:pPr>
              <w:shd w:val="clear" w:color="auto" w:fill="auto"/>
              <w:spacing w:line="360" w:lineRule="auto"/>
              <w:ind w:left="-50"/>
              <w:jc w:val="center"/>
              <w:rPr>
                <w:rFonts w:hint="eastAsia" w:ascii="宋体" w:hAnsi="宋体" w:eastAsia="宋体" w:cs="宋体"/>
                <w:bCs/>
                <w:color w:val="auto"/>
                <w:kern w:val="28"/>
                <w:sz w:val="24"/>
                <w:highlight w:val="none"/>
              </w:rPr>
            </w:pPr>
          </w:p>
        </w:tc>
        <w:tc>
          <w:tcPr>
            <w:tcW w:w="6195" w:type="dxa"/>
            <w:vAlign w:val="center"/>
          </w:tcPr>
          <w:p w14:paraId="3B003CD1">
            <w:pPr>
              <w:shd w:val="clear" w:color="auto" w:fill="auto"/>
              <w:spacing w:line="360" w:lineRule="auto"/>
              <w:rPr>
                <w:rFonts w:hint="eastAsia" w:ascii="宋体" w:hAnsi="宋体" w:eastAsia="宋体" w:cs="宋体"/>
                <w:bCs/>
                <w:color w:val="auto"/>
                <w:kern w:val="28"/>
                <w:sz w:val="24"/>
                <w:highlight w:val="none"/>
              </w:rPr>
            </w:pPr>
            <w:r>
              <w:rPr>
                <w:rFonts w:hint="eastAsia" w:ascii="宋体" w:hAnsi="宋体" w:eastAsia="宋体" w:cs="宋体"/>
                <w:bCs/>
                <w:color w:val="auto"/>
                <w:kern w:val="28"/>
                <w:sz w:val="24"/>
                <w:highlight w:val="none"/>
              </w:rPr>
              <w:t>项目保修方案及具体措施、承诺</w:t>
            </w:r>
            <w:r>
              <w:rPr>
                <w:rFonts w:hint="eastAsia" w:ascii="宋体" w:hAnsi="宋体" w:eastAsia="宋体" w:cs="宋体"/>
                <w:color w:val="auto"/>
                <w:sz w:val="24"/>
                <w:highlight w:val="none"/>
              </w:rPr>
              <w:t>打分</w:t>
            </w:r>
            <w:r>
              <w:rPr>
                <w:rFonts w:hint="eastAsia" w:ascii="宋体" w:hAnsi="宋体" w:eastAsia="宋体" w:cs="宋体"/>
                <w:color w:val="auto"/>
                <w:kern w:val="0"/>
                <w:sz w:val="24"/>
                <w:highlight w:val="none"/>
              </w:rPr>
              <w:t>。保修方案内容详细、切实可行得4-6分，保修方案较明确，较容易实施得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-3.9分。</w:t>
            </w:r>
            <w:r>
              <w:rPr>
                <w:rFonts w:hint="eastAsia" w:ascii="宋体" w:hAnsi="宋体" w:cs="宋体"/>
                <w:color w:val="auto"/>
                <w:sz w:val="24"/>
                <w:highlight w:val="none"/>
                <w:lang w:val="en-US" w:eastAsia="zh-CN"/>
              </w:rPr>
              <w:t>方案内容不明确，内容粗略得0-0.9分。</w:t>
            </w:r>
          </w:p>
        </w:tc>
        <w:tc>
          <w:tcPr>
            <w:tcW w:w="780" w:type="dxa"/>
            <w:vAlign w:val="center"/>
          </w:tcPr>
          <w:p w14:paraId="1DAF6955">
            <w:pPr>
              <w:shd w:val="clear" w:color="auto" w:fill="auto"/>
              <w:spacing w:line="360" w:lineRule="auto"/>
              <w:ind w:left="-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r>
    </w:tbl>
    <w:p w14:paraId="22ADF20D">
      <w:pPr>
        <w:shd w:val="clear" w:color="auto" w:fill="auto"/>
        <w:spacing w:line="360" w:lineRule="auto"/>
        <w:ind w:firstLine="480" w:firstLineChars="200"/>
        <w:rPr>
          <w:rFonts w:hint="eastAsia" w:ascii="宋体" w:hAnsi="宋体" w:eastAsia="宋体" w:cs="宋体"/>
          <w:color w:val="auto"/>
          <w:sz w:val="24"/>
          <w:szCs w:val="32"/>
          <w:highlight w:val="none"/>
        </w:rPr>
      </w:pPr>
    </w:p>
    <w:p w14:paraId="176FD5B3">
      <w:pPr>
        <w:shd w:val="clear" w:color="auto" w:fill="auto"/>
        <w:spacing w:line="360" w:lineRule="auto"/>
        <w:ind w:firstLine="480" w:firstLineChars="200"/>
        <w:rPr>
          <w:rFonts w:hint="eastAsia" w:ascii="宋体" w:hAnsi="宋体" w:eastAsia="宋体" w:cs="宋体"/>
          <w:color w:val="auto"/>
          <w:sz w:val="24"/>
          <w:szCs w:val="32"/>
          <w:highlight w:val="none"/>
        </w:rPr>
      </w:pPr>
    </w:p>
    <w:p w14:paraId="7E6BB667">
      <w:pPr>
        <w:shd w:val="clear" w:color="auto" w:fill="auto"/>
        <w:spacing w:line="360" w:lineRule="auto"/>
        <w:ind w:firstLine="480" w:firstLineChars="200"/>
        <w:rPr>
          <w:rFonts w:hint="eastAsia" w:ascii="宋体" w:hAnsi="宋体" w:eastAsia="宋体" w:cs="宋体"/>
          <w:color w:val="auto"/>
          <w:sz w:val="24"/>
          <w:szCs w:val="32"/>
          <w:highlight w:val="none"/>
        </w:rPr>
      </w:pPr>
    </w:p>
    <w:p w14:paraId="3C80D619">
      <w:pPr>
        <w:shd w:val="clear" w:color="auto" w:fill="auto"/>
        <w:spacing w:line="360" w:lineRule="auto"/>
        <w:ind w:firstLine="480" w:firstLineChars="200"/>
        <w:rPr>
          <w:rFonts w:hint="eastAsia" w:ascii="宋体" w:hAnsi="宋体" w:eastAsia="宋体" w:cs="宋体"/>
          <w:color w:val="auto"/>
          <w:sz w:val="24"/>
          <w:szCs w:val="32"/>
          <w:highlight w:val="none"/>
        </w:rPr>
      </w:pPr>
    </w:p>
    <w:p w14:paraId="5327702E">
      <w:pPr>
        <w:shd w:val="clear" w:color="auto" w:fill="auto"/>
        <w:spacing w:line="360" w:lineRule="auto"/>
        <w:ind w:firstLine="480" w:firstLineChars="200"/>
        <w:rPr>
          <w:rFonts w:hint="eastAsia" w:ascii="宋体" w:hAnsi="宋体" w:eastAsia="宋体" w:cs="宋体"/>
          <w:color w:val="auto"/>
          <w:sz w:val="24"/>
          <w:szCs w:val="32"/>
          <w:highlight w:val="none"/>
        </w:rPr>
      </w:pPr>
    </w:p>
    <w:p w14:paraId="6C0D43D5">
      <w:pPr>
        <w:shd w:val="clear" w:color="auto" w:fill="auto"/>
        <w:spacing w:line="360" w:lineRule="auto"/>
        <w:ind w:firstLine="480" w:firstLineChars="200"/>
        <w:rPr>
          <w:rFonts w:hint="eastAsia" w:ascii="宋体" w:hAnsi="宋体" w:eastAsia="宋体" w:cs="宋体"/>
          <w:color w:val="auto"/>
          <w:sz w:val="24"/>
          <w:szCs w:val="32"/>
          <w:highlight w:val="none"/>
        </w:rPr>
      </w:pPr>
    </w:p>
    <w:p w14:paraId="057A1F2A">
      <w:pPr>
        <w:shd w:val="clear" w:color="auto" w:fill="auto"/>
        <w:spacing w:line="360" w:lineRule="auto"/>
        <w:ind w:firstLine="480" w:firstLineChars="200"/>
        <w:rPr>
          <w:rFonts w:hint="eastAsia" w:ascii="宋体" w:hAnsi="宋体" w:eastAsia="宋体" w:cs="宋体"/>
          <w:color w:val="auto"/>
          <w:sz w:val="24"/>
          <w:szCs w:val="32"/>
          <w:highlight w:val="none"/>
        </w:rPr>
      </w:pPr>
    </w:p>
    <w:p w14:paraId="1F7E6F58">
      <w:pPr>
        <w:shd w:val="clear" w:color="auto" w:fill="auto"/>
        <w:spacing w:line="360" w:lineRule="auto"/>
        <w:rPr>
          <w:rFonts w:hint="eastAsia" w:ascii="宋体" w:hAnsi="宋体" w:eastAsia="宋体" w:cs="宋体"/>
          <w:color w:val="auto"/>
          <w:sz w:val="24"/>
          <w:szCs w:val="32"/>
          <w:highlight w:val="none"/>
        </w:rPr>
      </w:pPr>
    </w:p>
    <w:p w14:paraId="6F542C6D">
      <w:pPr>
        <w:shd w:val="clear" w:color="auto" w:fill="auto"/>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r>
        <w:rPr>
          <w:rFonts w:hint="eastAsia" w:ascii="宋体" w:hAnsi="宋体" w:eastAsia="宋体" w:cs="宋体"/>
          <w:b/>
          <w:bCs/>
          <w:color w:val="auto"/>
          <w:sz w:val="36"/>
          <w:szCs w:val="44"/>
          <w:highlight w:val="none"/>
        </w:rPr>
        <w:t>第四部分 项目需求</w:t>
      </w:r>
    </w:p>
    <w:p w14:paraId="427B4834">
      <w:pPr>
        <w:shd w:val="clear" w:color="auto" w:fill="auto"/>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一、磋商项目一览表</w:t>
      </w:r>
    </w:p>
    <w:p w14:paraId="23B6249F">
      <w:pPr>
        <w:shd w:val="clear" w:color="auto" w:fill="auto"/>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本次磋商共</w:t>
      </w:r>
      <w:r>
        <w:rPr>
          <w:rFonts w:hint="eastAsia" w:ascii="宋体" w:hAnsi="宋体" w:eastAsia="宋体" w:cs="宋体"/>
          <w:color w:val="auto"/>
          <w:sz w:val="24"/>
          <w:highlight w:val="none"/>
          <w:u w:val="single"/>
        </w:rPr>
        <w:t xml:space="preserve"> 1 </w:t>
      </w:r>
      <w:r>
        <w:rPr>
          <w:rFonts w:hint="eastAsia" w:ascii="宋体" w:hAnsi="宋体" w:eastAsia="宋体" w:cs="宋体"/>
          <w:color w:val="auto"/>
          <w:sz w:val="24"/>
          <w:highlight w:val="none"/>
        </w:rPr>
        <w:t>个标段，具体内容如下表：</w:t>
      </w:r>
    </w:p>
    <w:tbl>
      <w:tblPr>
        <w:tblStyle w:val="30"/>
        <w:tblW w:w="889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638"/>
        <w:gridCol w:w="1011"/>
        <w:gridCol w:w="1816"/>
        <w:gridCol w:w="1708"/>
        <w:gridCol w:w="955"/>
      </w:tblGrid>
      <w:tr w14:paraId="350D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right"/>
        </w:trPr>
        <w:tc>
          <w:tcPr>
            <w:tcW w:w="768" w:type="dxa"/>
            <w:vAlign w:val="center"/>
          </w:tcPr>
          <w:p w14:paraId="4F9B813B">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标段</w:t>
            </w:r>
          </w:p>
        </w:tc>
        <w:tc>
          <w:tcPr>
            <w:tcW w:w="2638" w:type="dxa"/>
            <w:vAlign w:val="center"/>
          </w:tcPr>
          <w:p w14:paraId="03B933F0">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011" w:type="dxa"/>
            <w:vAlign w:val="center"/>
          </w:tcPr>
          <w:p w14:paraId="137723F1">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 量</w:t>
            </w:r>
          </w:p>
        </w:tc>
        <w:tc>
          <w:tcPr>
            <w:tcW w:w="1816" w:type="dxa"/>
            <w:vAlign w:val="center"/>
          </w:tcPr>
          <w:p w14:paraId="03F0A575">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w:t>
            </w:r>
          </w:p>
        </w:tc>
        <w:tc>
          <w:tcPr>
            <w:tcW w:w="1708" w:type="dxa"/>
            <w:vAlign w:val="center"/>
          </w:tcPr>
          <w:p w14:paraId="2B7CD54D">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工期</w:t>
            </w:r>
          </w:p>
        </w:tc>
        <w:tc>
          <w:tcPr>
            <w:tcW w:w="955" w:type="dxa"/>
            <w:vAlign w:val="center"/>
          </w:tcPr>
          <w:p w14:paraId="6E22577A">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7220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right"/>
        </w:trPr>
        <w:tc>
          <w:tcPr>
            <w:tcW w:w="768" w:type="dxa"/>
            <w:vAlign w:val="center"/>
          </w:tcPr>
          <w:p w14:paraId="02B38EE7">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638" w:type="dxa"/>
            <w:vAlign w:val="center"/>
          </w:tcPr>
          <w:p w14:paraId="4CE34EBB">
            <w:pPr>
              <w:shd w:val="clear" w:color="auto" w:fill="auto"/>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2024年路桥城区交通拥堵点位整治工程</w:t>
            </w:r>
          </w:p>
        </w:tc>
        <w:tc>
          <w:tcPr>
            <w:tcW w:w="1011" w:type="dxa"/>
            <w:vAlign w:val="center"/>
          </w:tcPr>
          <w:p w14:paraId="477A70DA">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1项</w:t>
            </w:r>
          </w:p>
        </w:tc>
        <w:tc>
          <w:tcPr>
            <w:tcW w:w="1816" w:type="dxa"/>
            <w:vAlign w:val="center"/>
          </w:tcPr>
          <w:p w14:paraId="16EF42B0">
            <w:pPr>
              <w:shd w:val="clear" w:color="auto" w:fill="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2656708</w:t>
            </w:r>
            <w:r>
              <w:rPr>
                <w:rFonts w:hint="eastAsia" w:ascii="宋体" w:hAnsi="宋体" w:eastAsia="宋体" w:cs="宋体"/>
                <w:color w:val="auto"/>
                <w:sz w:val="24"/>
                <w:highlight w:val="none"/>
                <w:lang w:eastAsia="zh-CN"/>
              </w:rPr>
              <w:t>元</w:t>
            </w:r>
          </w:p>
        </w:tc>
        <w:tc>
          <w:tcPr>
            <w:tcW w:w="1708" w:type="dxa"/>
            <w:vAlign w:val="center"/>
          </w:tcPr>
          <w:p w14:paraId="072685E3">
            <w:pPr>
              <w:shd w:val="clear" w:color="auto" w:fill="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60天</w:t>
            </w:r>
          </w:p>
        </w:tc>
        <w:tc>
          <w:tcPr>
            <w:tcW w:w="955" w:type="dxa"/>
            <w:vAlign w:val="center"/>
          </w:tcPr>
          <w:p w14:paraId="0509B674">
            <w:pPr>
              <w:shd w:val="clear" w:color="auto" w:fill="auto"/>
              <w:jc w:val="center"/>
              <w:rPr>
                <w:rFonts w:hint="eastAsia" w:ascii="宋体" w:hAnsi="宋体" w:eastAsia="宋体" w:cs="宋体"/>
                <w:color w:val="auto"/>
                <w:sz w:val="24"/>
                <w:highlight w:val="none"/>
              </w:rPr>
            </w:pPr>
          </w:p>
        </w:tc>
      </w:tr>
    </w:tbl>
    <w:p w14:paraId="1320DA32">
      <w:pPr>
        <w:numPr>
          <w:ilvl w:val="0"/>
          <w:numId w:val="0"/>
        </w:numPr>
        <w:shd w:val="clear" w:color="auto" w:fill="auto"/>
        <w:spacing w:line="360" w:lineRule="auto"/>
        <w:jc w:val="left"/>
        <w:outlineLvl w:val="1"/>
        <w:rPr>
          <w:rFonts w:hint="eastAsia" w:ascii="宋体" w:hAnsi="宋体" w:eastAsia="宋体" w:cs="宋体"/>
          <w:b/>
          <w:bCs/>
          <w:color w:val="auto"/>
          <w:sz w:val="24"/>
          <w:highlight w:val="none"/>
        </w:rPr>
      </w:pPr>
      <w:bookmarkStart w:id="8" w:name="_Toc29040"/>
      <w:r>
        <w:rPr>
          <w:rFonts w:hint="eastAsia" w:ascii="宋体" w:hAnsi="宋体" w:eastAsia="宋体" w:cs="宋体"/>
          <w:b/>
          <w:bCs/>
          <w:color w:val="auto"/>
          <w:sz w:val="24"/>
          <w:highlight w:val="none"/>
          <w:lang w:val="en-US" w:eastAsia="zh-CN"/>
        </w:rPr>
        <w:t>注：如出现预算漏项或于市场价有出入时，必须按设计图纸施工，最高价格不超过预算价，结算时不予调整。</w:t>
      </w:r>
    </w:p>
    <w:p w14:paraId="4134A7B2">
      <w:pPr>
        <w:numPr>
          <w:ilvl w:val="0"/>
          <w:numId w:val="2"/>
        </w:numPr>
        <w:shd w:val="clear" w:color="auto" w:fill="auto"/>
        <w:spacing w:line="360" w:lineRule="auto"/>
        <w:jc w:val="left"/>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工程概况</w:t>
      </w:r>
    </w:p>
    <w:p w14:paraId="5ED3567E">
      <w:pPr>
        <w:shd w:val="clear" w:color="auto" w:fill="auto"/>
        <w:spacing w:line="360" w:lineRule="auto"/>
        <w:ind w:firstLine="480" w:firstLineChars="200"/>
        <w:rPr>
          <w:rFonts w:hint="eastAsia" w:ascii="宋体" w:hAnsi="宋体" w:eastAsia="宋体" w:cs="宋体"/>
          <w:color w:val="auto"/>
          <w:highlight w:val="none"/>
        </w:rPr>
      </w:pPr>
      <w:r>
        <w:rPr>
          <w:rFonts w:hint="eastAsia" w:ascii="宋体" w:hAnsi="宋体" w:cs="宋体"/>
          <w:color w:val="auto"/>
          <w:sz w:val="24"/>
          <w:highlight w:val="none"/>
          <w:lang w:eastAsia="zh-CN"/>
        </w:rPr>
        <w:t>2024年路桥城区交通拥堵点位整治工程</w:t>
      </w:r>
      <w:r>
        <w:rPr>
          <w:rFonts w:hint="eastAsia" w:ascii="宋体" w:hAnsi="宋体" w:eastAsia="宋体" w:cs="宋体"/>
          <w:color w:val="auto"/>
          <w:sz w:val="24"/>
          <w:highlight w:val="none"/>
        </w:rPr>
        <w:t>主要</w:t>
      </w:r>
      <w:r>
        <w:rPr>
          <w:rFonts w:hint="eastAsia" w:ascii="宋体" w:hAnsi="宋体" w:eastAsia="宋体" w:cs="宋体"/>
          <w:color w:val="auto"/>
          <w:sz w:val="24"/>
          <w:highlight w:val="none"/>
          <w:lang w:val="en-US" w:eastAsia="zh-CN"/>
        </w:rPr>
        <w:t>工作内容</w:t>
      </w:r>
      <w:r>
        <w:rPr>
          <w:rFonts w:hint="eastAsia" w:ascii="宋体" w:hAnsi="宋体" w:eastAsia="宋体" w:cs="宋体"/>
          <w:color w:val="auto"/>
          <w:sz w:val="24"/>
          <w:highlight w:val="none"/>
        </w:rPr>
        <w:t>包括红线范围内道路工程，</w:t>
      </w:r>
      <w:r>
        <w:rPr>
          <w:rFonts w:hint="eastAsia" w:ascii="宋体" w:hAnsi="宋体" w:eastAsia="宋体" w:cs="宋体"/>
          <w:color w:val="auto"/>
          <w:sz w:val="24"/>
          <w:highlight w:val="none"/>
          <w:lang w:eastAsia="zh-CN"/>
        </w:rPr>
        <w:t>路灯移位、绿化移除、排水</w:t>
      </w:r>
      <w:r>
        <w:rPr>
          <w:rFonts w:hint="eastAsia" w:ascii="宋体" w:hAnsi="宋体" w:eastAsia="宋体" w:cs="宋体"/>
          <w:color w:val="auto"/>
          <w:sz w:val="24"/>
          <w:highlight w:val="none"/>
        </w:rPr>
        <w:t>工程</w:t>
      </w:r>
      <w:r>
        <w:rPr>
          <w:rFonts w:hint="eastAsia" w:ascii="宋体" w:hAnsi="宋体" w:eastAsia="宋体" w:cs="宋体"/>
          <w:color w:val="auto"/>
          <w:sz w:val="24"/>
          <w:highlight w:val="none"/>
          <w:lang w:eastAsia="zh-CN"/>
        </w:rPr>
        <w:t>、道路交通工程</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lang w:val="en-US" w:eastAsia="zh-CN"/>
        </w:rPr>
        <w:t>施工</w:t>
      </w:r>
      <w:r>
        <w:rPr>
          <w:rFonts w:hint="eastAsia" w:ascii="宋体" w:hAnsi="宋体" w:eastAsia="宋体" w:cs="宋体"/>
          <w:color w:val="auto"/>
          <w:sz w:val="24"/>
          <w:highlight w:val="none"/>
        </w:rPr>
        <w:t>图纸为准）</w:t>
      </w:r>
    </w:p>
    <w:p w14:paraId="4372848F">
      <w:pPr>
        <w:shd w:val="clear" w:color="auto" w:fill="auto"/>
        <w:spacing w:line="360" w:lineRule="auto"/>
        <w:jc w:val="left"/>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三、技术要求</w:t>
      </w:r>
      <w:bookmarkEnd w:id="8"/>
    </w:p>
    <w:p w14:paraId="051D969E">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施工技术要求</w:t>
      </w:r>
      <w:r>
        <w:rPr>
          <w:rFonts w:hint="eastAsia" w:ascii="宋体" w:hAnsi="宋体" w:eastAsia="宋体" w:cs="宋体"/>
          <w:color w:val="auto"/>
          <w:sz w:val="24"/>
          <w:highlight w:val="none"/>
        </w:rPr>
        <w:t xml:space="preserve">：详见施工图纸 </w:t>
      </w:r>
    </w:p>
    <w:p w14:paraId="5E49DC74">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2、所提供的货物须具有“产品合格证明”、“材料质检报告”、“质保承诺（售后承诺）”。</w:t>
      </w:r>
    </w:p>
    <w:p w14:paraId="5E2E4E18">
      <w:pPr>
        <w:shd w:val="clear" w:color="auto" w:fill="auto"/>
        <w:spacing w:line="360" w:lineRule="auto"/>
        <w:jc w:val="left"/>
        <w:outlineLvl w:val="1"/>
        <w:rPr>
          <w:rFonts w:hint="eastAsia" w:ascii="宋体" w:hAnsi="宋体" w:eastAsia="宋体" w:cs="宋体"/>
          <w:b/>
          <w:bCs/>
          <w:color w:val="auto"/>
          <w:sz w:val="24"/>
          <w:highlight w:val="none"/>
        </w:rPr>
      </w:pPr>
      <w:bookmarkStart w:id="9" w:name="_Toc5709"/>
      <w:r>
        <w:rPr>
          <w:rFonts w:hint="eastAsia" w:ascii="宋体" w:hAnsi="宋体" w:eastAsia="宋体" w:cs="宋体"/>
          <w:b/>
          <w:bCs/>
          <w:color w:val="auto"/>
          <w:sz w:val="24"/>
          <w:highlight w:val="none"/>
        </w:rPr>
        <w:t>四、施工要求</w:t>
      </w:r>
      <w:bookmarkEnd w:id="9"/>
    </w:p>
    <w:p w14:paraId="778A875A">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1、本工程施工严格按照规范要求进行施工，达到各项拟定的设计指标，确保工程质量达到国家合格验收标准。</w:t>
      </w:r>
    </w:p>
    <w:p w14:paraId="47E78AB4">
      <w:pPr>
        <w:shd w:val="clear" w:color="auto" w:fill="auto"/>
        <w:spacing w:line="360" w:lineRule="auto"/>
        <w:ind w:left="963" w:leftChars="203" w:hanging="537" w:hangingChars="224"/>
        <w:rPr>
          <w:rFonts w:hint="eastAsia" w:ascii="宋体" w:hAnsi="宋体" w:eastAsia="宋体" w:cs="宋体"/>
          <w:color w:val="auto"/>
          <w:sz w:val="24"/>
          <w:highlight w:val="none"/>
        </w:rPr>
      </w:pPr>
      <w:r>
        <w:rPr>
          <w:rFonts w:hint="eastAsia" w:ascii="宋体" w:hAnsi="宋体" w:eastAsia="宋体" w:cs="宋体"/>
          <w:color w:val="auto"/>
          <w:sz w:val="24"/>
          <w:highlight w:val="none"/>
        </w:rPr>
        <w:t>2、安全文明施工，</w:t>
      </w:r>
      <w:r>
        <w:rPr>
          <w:rFonts w:hint="eastAsia" w:ascii="宋体" w:hAnsi="宋体" w:eastAsia="宋体" w:cs="宋体"/>
          <w:color w:val="auto"/>
          <w:sz w:val="24"/>
          <w:highlight w:val="none"/>
          <w:lang w:val="en-US" w:eastAsia="zh-CN"/>
        </w:rPr>
        <w:t>材料</w:t>
      </w:r>
      <w:r>
        <w:rPr>
          <w:rFonts w:hint="eastAsia" w:ascii="宋体" w:hAnsi="宋体" w:eastAsia="宋体" w:cs="宋体"/>
          <w:color w:val="auto"/>
          <w:sz w:val="24"/>
          <w:highlight w:val="none"/>
        </w:rPr>
        <w:t>堆放规范有序，不可占用车行道、人行道、压踏绿</w:t>
      </w:r>
    </w:p>
    <w:p w14:paraId="3BA3BE2F">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化带。</w:t>
      </w:r>
    </w:p>
    <w:p w14:paraId="73D5D0C3">
      <w:pPr>
        <w:numPr>
          <w:ilvl w:val="0"/>
          <w:numId w:val="3"/>
        </w:numPr>
        <w:shd w:val="clear" w:color="auto" w:fill="auto"/>
        <w:spacing w:line="360" w:lineRule="auto"/>
        <w:ind w:left="963" w:leftChars="203" w:hanging="537" w:hangingChars="224"/>
        <w:rPr>
          <w:rFonts w:hint="eastAsia" w:ascii="宋体" w:hAnsi="宋体" w:eastAsia="宋体" w:cs="宋体"/>
          <w:color w:val="auto"/>
          <w:sz w:val="24"/>
          <w:highlight w:val="none"/>
        </w:rPr>
      </w:pPr>
      <w:r>
        <w:rPr>
          <w:rFonts w:hint="eastAsia" w:ascii="宋体" w:hAnsi="宋体" w:eastAsia="宋体" w:cs="宋体"/>
          <w:color w:val="auto"/>
          <w:sz w:val="24"/>
          <w:highlight w:val="none"/>
        </w:rPr>
        <w:t>施工现场必须设立施工提示牌，且做好交通安全组织措施工作。</w:t>
      </w:r>
    </w:p>
    <w:p w14:paraId="4088B39E">
      <w:pPr>
        <w:numPr>
          <w:ilvl w:val="0"/>
          <w:numId w:val="3"/>
        </w:numPr>
        <w:shd w:val="clear" w:color="auto" w:fill="auto"/>
        <w:spacing w:line="360" w:lineRule="auto"/>
        <w:ind w:left="963" w:leftChars="203" w:hanging="537" w:hangingChars="224"/>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中标人必须重视安全工作，作业时着反光背心、戴安全帽，确保不出安</w:t>
      </w:r>
    </w:p>
    <w:p w14:paraId="217FF1EB">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全责任事故。如发生安全责任事故，由中标人承担一切责任及损失。</w:t>
      </w:r>
    </w:p>
    <w:p w14:paraId="6A63F68C">
      <w:pPr>
        <w:shd w:val="clear" w:color="auto" w:fill="auto"/>
        <w:spacing w:line="360" w:lineRule="auto"/>
        <w:jc w:val="left"/>
        <w:outlineLvl w:val="1"/>
        <w:rPr>
          <w:rFonts w:hint="eastAsia" w:ascii="宋体" w:hAnsi="宋体" w:eastAsia="宋体" w:cs="宋体"/>
          <w:b/>
          <w:bCs/>
          <w:color w:val="auto"/>
          <w:sz w:val="24"/>
          <w:highlight w:val="none"/>
        </w:rPr>
      </w:pPr>
      <w:bookmarkStart w:id="10" w:name="_Toc5724"/>
      <w:r>
        <w:rPr>
          <w:rFonts w:hint="eastAsia" w:ascii="宋体" w:hAnsi="宋体" w:eastAsia="宋体" w:cs="宋体"/>
          <w:b/>
          <w:bCs/>
          <w:color w:val="auto"/>
          <w:sz w:val="24"/>
          <w:highlight w:val="none"/>
        </w:rPr>
        <w:t>五、</w:t>
      </w:r>
      <w:bookmarkEnd w:id="10"/>
      <w:r>
        <w:rPr>
          <w:rFonts w:hint="eastAsia" w:ascii="宋体" w:hAnsi="宋体" w:eastAsia="宋体" w:cs="宋体"/>
          <w:b/>
          <w:bCs/>
          <w:color w:val="auto"/>
          <w:sz w:val="24"/>
          <w:highlight w:val="none"/>
        </w:rPr>
        <w:t>商务表</w:t>
      </w:r>
    </w:p>
    <w:tbl>
      <w:tblPr>
        <w:tblStyle w:val="30"/>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2"/>
        <w:gridCol w:w="8486"/>
      </w:tblGrid>
      <w:tr w14:paraId="77CEA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631D69EC">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486" w:type="dxa"/>
            <w:tcBorders>
              <w:top w:val="single" w:color="auto" w:sz="4" w:space="0"/>
              <w:left w:val="single" w:color="auto" w:sz="4" w:space="0"/>
              <w:bottom w:val="single" w:color="auto" w:sz="4" w:space="0"/>
              <w:right w:val="single" w:color="auto" w:sz="4" w:space="0"/>
            </w:tcBorders>
            <w:vAlign w:val="center"/>
          </w:tcPr>
          <w:p w14:paraId="49269607">
            <w:pPr>
              <w:shd w:val="clear" w:color="auto" w:fill="auto"/>
              <w:tabs>
                <w:tab w:val="left" w:pos="884"/>
              </w:tabs>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预付款：合同生效及具备实施条件后7个工作日内预付</w:t>
            </w:r>
            <w:r>
              <w:rPr>
                <w:rFonts w:hint="eastAsia" w:ascii="宋体" w:hAnsi="宋体" w:cs="宋体"/>
                <w:color w:val="auto"/>
                <w:sz w:val="24"/>
                <w:highlight w:val="none"/>
                <w:lang w:val="en-US" w:eastAsia="zh-CN"/>
              </w:rPr>
              <w:t>合同金额40</w:t>
            </w:r>
            <w:r>
              <w:rPr>
                <w:rFonts w:hint="eastAsia" w:ascii="宋体" w:hAnsi="宋体" w:eastAsia="宋体" w:cs="宋体"/>
                <w:color w:val="auto"/>
                <w:sz w:val="24"/>
                <w:highlight w:val="none"/>
                <w:lang w:val="en-US" w:eastAsia="zh-CN"/>
              </w:rPr>
              <w:t>%作为预付款。</w:t>
            </w:r>
          </w:p>
          <w:p w14:paraId="5D0F274C">
            <w:pPr>
              <w:shd w:val="clear" w:color="auto" w:fill="auto"/>
              <w:tabs>
                <w:tab w:val="left" w:pos="884"/>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进度款</w:t>
            </w:r>
            <w:r>
              <w:rPr>
                <w:rFonts w:hint="eastAsia" w:ascii="宋体" w:hAnsi="宋体" w:eastAsia="宋体" w:cs="宋体"/>
                <w:color w:val="auto"/>
                <w:sz w:val="24"/>
                <w:highlight w:val="none"/>
              </w:rPr>
              <w:t>付款方法：发包人向承包人支付当期按12.1、12.3款计量工程量价款的</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工程价款（不含预付款）。人工、材料市场价格调整引起合同价款调整，在完成专用条款第11.1条约定的调整节点后，计入该节点所在当期工程进度款；工程变更、索赔、现场签证等办理完毕的，计入当期工程进度款。</w:t>
            </w:r>
          </w:p>
          <w:p w14:paraId="54291124">
            <w:pPr>
              <w:shd w:val="clear" w:color="auto" w:fill="auto"/>
              <w:tabs>
                <w:tab w:val="left" w:pos="884"/>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合同范围内的施工内容施工完成，参建各方（建设、监理、施工、勘察、设计单位等）对工程验收并签署工程质量合格文件后，支付至进度款审核汇总的合同价格的90%（包含已支付的40%预付款）</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审计结算后，出具审计报告后支付至审计价款的</w:t>
            </w: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tc>
      </w:tr>
      <w:tr w14:paraId="6C792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27642074">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486" w:type="dxa"/>
            <w:tcBorders>
              <w:top w:val="single" w:color="auto" w:sz="4" w:space="0"/>
              <w:left w:val="single" w:color="auto" w:sz="4" w:space="0"/>
              <w:bottom w:val="single" w:color="auto" w:sz="4" w:space="0"/>
              <w:right w:val="single" w:color="auto" w:sz="4" w:space="0"/>
            </w:tcBorders>
            <w:vAlign w:val="center"/>
          </w:tcPr>
          <w:p w14:paraId="6E84FDC9">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交货地点/货物安装及送达现场：</w:t>
            </w:r>
            <w:r>
              <w:rPr>
                <w:rFonts w:hint="eastAsia" w:ascii="宋体" w:hAnsi="宋体" w:eastAsia="宋体" w:cs="宋体"/>
                <w:color w:val="auto"/>
                <w:sz w:val="24"/>
                <w:highlight w:val="none"/>
              </w:rPr>
              <w:t>业主指定。</w:t>
            </w:r>
          </w:p>
          <w:p w14:paraId="7DB6638B">
            <w:pPr>
              <w:shd w:val="clear" w:color="auto" w:fill="auto"/>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工期：</w:t>
            </w:r>
            <w:r>
              <w:rPr>
                <w:rFonts w:hint="eastAsia" w:ascii="宋体" w:hAnsi="宋体" w:eastAsia="宋体" w:cs="宋体"/>
                <w:color w:val="auto"/>
                <w:sz w:val="24"/>
                <w:highlight w:val="none"/>
                <w:lang w:val="en-US" w:eastAsia="zh-CN"/>
              </w:rPr>
              <w:t>60天</w:t>
            </w:r>
            <w:r>
              <w:rPr>
                <w:rFonts w:hint="eastAsia" w:ascii="宋体" w:hAnsi="宋体" w:eastAsia="宋体" w:cs="宋体"/>
                <w:color w:val="auto"/>
                <w:sz w:val="24"/>
                <w:highlight w:val="none"/>
              </w:rPr>
              <w:t>。</w:t>
            </w:r>
          </w:p>
        </w:tc>
      </w:tr>
      <w:tr w14:paraId="31887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2D40224">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486" w:type="dxa"/>
            <w:tcBorders>
              <w:top w:val="single" w:color="auto" w:sz="4" w:space="0"/>
              <w:left w:val="single" w:color="auto" w:sz="4" w:space="0"/>
              <w:bottom w:val="single" w:color="auto" w:sz="4" w:space="0"/>
              <w:right w:val="single" w:color="auto" w:sz="4" w:space="0"/>
            </w:tcBorders>
            <w:vAlign w:val="center"/>
          </w:tcPr>
          <w:p w14:paraId="6729F727">
            <w:pPr>
              <w:shd w:val="clear" w:color="auto" w:fill="auto"/>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质量要求：</w:t>
            </w:r>
            <w:r>
              <w:rPr>
                <w:rFonts w:hint="eastAsia" w:ascii="宋体" w:hAnsi="宋体" w:eastAsia="宋体" w:cs="宋体"/>
                <w:color w:val="auto"/>
                <w:sz w:val="24"/>
                <w:highlight w:val="none"/>
              </w:rPr>
              <w:t>国家施工验收规范合格。</w:t>
            </w:r>
          </w:p>
        </w:tc>
      </w:tr>
      <w:tr w14:paraId="12B27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6923398E">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486" w:type="dxa"/>
            <w:tcBorders>
              <w:top w:val="single" w:color="auto" w:sz="4" w:space="0"/>
              <w:left w:val="single" w:color="auto" w:sz="4" w:space="0"/>
              <w:bottom w:val="single" w:color="auto" w:sz="4" w:space="0"/>
              <w:right w:val="single" w:color="auto" w:sz="4" w:space="0"/>
            </w:tcBorders>
            <w:vAlign w:val="center"/>
          </w:tcPr>
          <w:p w14:paraId="24DF83FA">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质量保证期（或保修期限）：</w:t>
            </w:r>
            <w:r>
              <w:rPr>
                <w:rFonts w:hint="eastAsia" w:ascii="宋体" w:hAnsi="宋体" w:eastAsia="宋体" w:cs="宋体"/>
                <w:color w:val="auto"/>
                <w:sz w:val="24"/>
                <w:highlight w:val="none"/>
              </w:rPr>
              <w:t>自验收合格之日起不少于1年。</w:t>
            </w:r>
          </w:p>
        </w:tc>
      </w:tr>
      <w:tr w14:paraId="5DB7A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07179EAE">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486" w:type="dxa"/>
            <w:tcBorders>
              <w:top w:val="single" w:color="auto" w:sz="4" w:space="0"/>
              <w:left w:val="single" w:color="auto" w:sz="4" w:space="0"/>
              <w:bottom w:val="single" w:color="auto" w:sz="4" w:space="0"/>
              <w:right w:val="single" w:color="auto" w:sz="4" w:space="0"/>
            </w:tcBorders>
            <w:vAlign w:val="center"/>
          </w:tcPr>
          <w:p w14:paraId="6476A124">
            <w:pPr>
              <w:shd w:val="clear" w:color="auto" w:fill="auto"/>
              <w:tabs>
                <w:tab w:val="left" w:pos="625"/>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售后服务响应或后期服务：</w:t>
            </w:r>
          </w:p>
          <w:p w14:paraId="2825D773">
            <w:pPr>
              <w:shd w:val="clear" w:color="auto" w:fill="auto"/>
              <w:tabs>
                <w:tab w:val="left" w:pos="278"/>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1、接到招标人通知后2个工作日内进行售后维护。</w:t>
            </w:r>
          </w:p>
          <w:p w14:paraId="551CC1B1">
            <w:pPr>
              <w:shd w:val="clear" w:color="auto" w:fill="auto"/>
              <w:tabs>
                <w:tab w:val="left" w:pos="278"/>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2、因人为因素出现的破损不在免费保修范围内。</w:t>
            </w:r>
          </w:p>
        </w:tc>
      </w:tr>
      <w:tr w14:paraId="7F145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4DF2A4C7">
            <w:pPr>
              <w:shd w:val="clear" w:color="auto" w:fill="auto"/>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8486" w:type="dxa"/>
            <w:tcBorders>
              <w:top w:val="single" w:color="auto" w:sz="4" w:space="0"/>
              <w:left w:val="single" w:color="auto" w:sz="4" w:space="0"/>
              <w:bottom w:val="single" w:color="auto" w:sz="4" w:space="0"/>
              <w:right w:val="single" w:color="auto" w:sz="4" w:space="0"/>
            </w:tcBorders>
            <w:vAlign w:val="center"/>
          </w:tcPr>
          <w:p w14:paraId="553A8BA3">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合同价格形式</w:t>
            </w:r>
          </w:p>
          <w:p w14:paraId="1082DAF9">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本合同价款采用第</w:t>
            </w:r>
            <w:r>
              <w:rPr>
                <w:rFonts w:hint="eastAsia" w:ascii="宋体" w:hAnsi="宋体" w:eastAsia="宋体" w:cs="宋体"/>
                <w:color w:val="auto"/>
                <w:sz w:val="24"/>
                <w:highlight w:val="none"/>
                <w:u w:val="single"/>
              </w:rPr>
              <w:t xml:space="preserve">  1  </w:t>
            </w:r>
            <w:r>
              <w:rPr>
                <w:rFonts w:hint="eastAsia" w:ascii="宋体" w:hAnsi="宋体" w:eastAsia="宋体" w:cs="宋体"/>
                <w:color w:val="auto"/>
                <w:sz w:val="24"/>
                <w:highlight w:val="none"/>
              </w:rPr>
              <w:t>种方式  其他价格形式</w:t>
            </w:r>
            <w:r>
              <w:rPr>
                <w:rFonts w:hint="eastAsia" w:ascii="宋体" w:hAnsi="宋体" w:eastAsia="宋体" w:cs="宋体"/>
                <w:color w:val="auto"/>
                <w:sz w:val="24"/>
                <w:highlight w:val="none"/>
                <w:u w:val="single"/>
              </w:rPr>
              <w:t xml:space="preserve">（固定结算率） </w:t>
            </w:r>
            <w:r>
              <w:rPr>
                <w:rFonts w:hint="eastAsia" w:ascii="宋体" w:hAnsi="宋体" w:eastAsia="宋体" w:cs="宋体"/>
                <w:color w:val="auto"/>
                <w:sz w:val="24"/>
                <w:highlight w:val="none"/>
              </w:rPr>
              <w:t>确定。</w:t>
            </w:r>
          </w:p>
          <w:p w14:paraId="1AAF73BF">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1．单价合同。</w:t>
            </w:r>
          </w:p>
          <w:p w14:paraId="4305B37C">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（一）本工程投标结算率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%（即投标总报价/招标控制价*100%）一次性包定。工程结算价＝工程总造价（按本节12.1规定编制）×结算率（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2F96A2">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（二）工程总造价按以下要求编制：</w:t>
            </w:r>
          </w:p>
          <w:p w14:paraId="34167CB9">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（1）招标控制价编制依据；</w:t>
            </w:r>
          </w:p>
          <w:p w14:paraId="0557D31A">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（2）招标控制价中的综合单价（暂定价除外）、人材机单价、管理费费率、利润率、规费费率和税金税率；</w:t>
            </w:r>
          </w:p>
          <w:p w14:paraId="20E792C5">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（3）招标控制价中的施工组织措施项目内容及对应费率；</w:t>
            </w:r>
          </w:p>
          <w:p w14:paraId="06CBF00E">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（4）管理费、利润、施工组织措施费、规费的取费基数为定额人工费和定额机械费之和；</w:t>
            </w:r>
          </w:p>
          <w:p w14:paraId="53086C4D">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（5）分部分项工程量清单漏项或非承包人原因的工程变更，造成增加新的工程量清单项目，综合单价按本节12.1风险范围以外综合单价调整方法规定编制；</w:t>
            </w:r>
          </w:p>
          <w:p w14:paraId="49861AAC">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（6）计日工综合单价[工数经发包人签证，综合结算单价（含税金、规费等其他费用）] 技术工（260）元/工日、普工（180）元/工日，点工部分工程结算时不作下浮。</w:t>
            </w:r>
          </w:p>
          <w:p w14:paraId="1D7D5A46">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（三）其他可能发生的费用，投标报价时综合考虑，工程结算时不另行计取：</w:t>
            </w:r>
          </w:p>
          <w:p w14:paraId="319F3C43">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6E18A6BE">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b.实际施工中可能发生街道管理费、干扰费、环保费、占道押金等其它管理费。</w:t>
            </w:r>
          </w:p>
          <w:p w14:paraId="797552A5">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风险费用的计算方法：已包含在合同价内。</w:t>
            </w:r>
          </w:p>
          <w:p w14:paraId="3D01E6D4">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风险范围以外合同价格的调整方法：</w:t>
            </w:r>
          </w:p>
          <w:p w14:paraId="2082E894">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（1）工程量按照专用条款12.3.1条规定，由承包人计量，发包人及其委托的相关机构审核。</w:t>
            </w:r>
          </w:p>
          <w:p w14:paraId="715A84D3">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（2）因市场价格波动引起的调整按本合同专用条款第11.1款的约定调整。</w:t>
            </w:r>
          </w:p>
          <w:p w14:paraId="411E161B">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（3）因发包人提供的工程量清单项目工程数量计算偏差或工程变更引起的工程量增加，综合单价的确定按专用条款10.4.1条执行。</w:t>
            </w:r>
          </w:p>
          <w:p w14:paraId="4D4EC300">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发包人提供的工程量清单项目漏项、错项、工程变更引起的新增项目、工程量清单项目特征局部变更，与已标价工程量清单项目不同或相类似项目，其综合单价的确定方法按本合同专用条款10.4.1条约定调整。</w:t>
            </w:r>
          </w:p>
          <w:p w14:paraId="41B5B543">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（5）因非承包人原因的分部分项工程量清单漏项、错项、工程变更及清单工程量增减等，引起措施项目内容、工程数量发生变化，则调整措施项目费用：</w:t>
            </w:r>
          </w:p>
          <w:p w14:paraId="478DB0BD">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a、采用综合单价计价的按专用条款第10.4.1条计算综合单价。</w:t>
            </w:r>
          </w:p>
          <w:p w14:paraId="11F0515B">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b、计量单位采用以“项”计价的措施项目，工程量清单项目及工程数量变化引起措施变动部分重新组价。</w:t>
            </w:r>
          </w:p>
          <w:p w14:paraId="7CD4D811">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c、施工组织措施项目，按合同约定的费率内容调整措施费用计算基数。</w:t>
            </w:r>
          </w:p>
          <w:p w14:paraId="36F86A6A">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（6）未在投标价中包含的专项施工方案的施工及论证费用，根据施工现场实际参照合同专用条款10.4.1款约定方法确定或签证。</w:t>
            </w:r>
          </w:p>
        </w:tc>
      </w:tr>
    </w:tbl>
    <w:p w14:paraId="1A1AF4F9">
      <w:pPr>
        <w:shd w:val="clear" w:color="auto" w:fill="auto"/>
        <w:spacing w:line="360" w:lineRule="auto"/>
        <w:jc w:val="left"/>
        <w:rPr>
          <w:rFonts w:hint="eastAsia" w:ascii="宋体" w:hAnsi="宋体" w:eastAsia="宋体" w:cs="宋体"/>
          <w:color w:val="auto"/>
          <w:sz w:val="24"/>
          <w:szCs w:val="32"/>
          <w:highlight w:val="none"/>
        </w:rPr>
      </w:pPr>
    </w:p>
    <w:p w14:paraId="7261E752">
      <w:pPr>
        <w:shd w:val="clear" w:color="auto" w:fill="auto"/>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r>
        <w:rPr>
          <w:rFonts w:hint="eastAsia" w:ascii="宋体" w:hAnsi="宋体" w:eastAsia="宋体" w:cs="宋体"/>
          <w:b/>
          <w:bCs/>
          <w:color w:val="auto"/>
          <w:sz w:val="36"/>
          <w:szCs w:val="44"/>
          <w:highlight w:val="none"/>
        </w:rPr>
        <w:t>第五部分 政府采购合同主要条款指引</w:t>
      </w:r>
    </w:p>
    <w:p w14:paraId="6E072669">
      <w:pPr>
        <w:shd w:val="clear" w:color="auto" w:fill="auto"/>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合同文本采用《建设工程施工合同（示范文本）》（GF-2017-0201）。</w:t>
      </w:r>
    </w:p>
    <w:p w14:paraId="36C98DF9">
      <w:pPr>
        <w:shd w:val="clear" w:color="auto" w:fill="auto"/>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合同通用条款采用《建设工程施工合同（示范文本）》的通用条款（GF-2017-0201）。</w:t>
      </w:r>
    </w:p>
    <w:p w14:paraId="740AA322">
      <w:pPr>
        <w:shd w:val="clear" w:color="auto" w:fill="auto"/>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合同专用条款中的主要条款将由招标人(发包人)与中标人(承包人)根据投标文件签订。</w:t>
      </w:r>
    </w:p>
    <w:p w14:paraId="69692BF1">
      <w:pPr>
        <w:pStyle w:val="77"/>
        <w:shd w:val="clear" w:color="auto" w:fill="auto"/>
        <w:jc w:val="center"/>
        <w:rPr>
          <w:rStyle w:val="79"/>
          <w:rFonts w:hint="eastAsia" w:ascii="宋体" w:hAnsi="宋体" w:eastAsia="宋体" w:cs="宋体"/>
          <w:b/>
          <w:bCs w:val="0"/>
          <w:color w:val="auto"/>
          <w:sz w:val="28"/>
          <w:szCs w:val="28"/>
          <w:highlight w:val="none"/>
        </w:rPr>
      </w:pPr>
      <w:bookmarkStart w:id="11" w:name="_Toc17725"/>
      <w:bookmarkStart w:id="12" w:name="_Toc531162031"/>
      <w:bookmarkStart w:id="13" w:name="_Toc16070"/>
    </w:p>
    <w:p w14:paraId="017B2B1D">
      <w:pPr>
        <w:pStyle w:val="77"/>
        <w:shd w:val="clear" w:color="auto" w:fill="auto"/>
        <w:jc w:val="center"/>
        <w:rPr>
          <w:rFonts w:hint="eastAsia" w:ascii="宋体" w:hAnsi="宋体" w:eastAsia="宋体" w:cs="宋体"/>
          <w:color w:val="auto"/>
          <w:sz w:val="32"/>
          <w:szCs w:val="32"/>
          <w:highlight w:val="none"/>
        </w:rPr>
      </w:pPr>
      <w:r>
        <w:rPr>
          <w:rStyle w:val="79"/>
          <w:rFonts w:hint="eastAsia" w:ascii="宋体" w:hAnsi="宋体" w:eastAsia="宋体" w:cs="宋体"/>
          <w:b/>
          <w:bCs w:val="0"/>
          <w:color w:val="auto"/>
          <w:sz w:val="28"/>
          <w:szCs w:val="28"/>
          <w:highlight w:val="none"/>
        </w:rPr>
        <w:t>第一部分　　合同协议书</w:t>
      </w:r>
      <w:bookmarkEnd w:id="11"/>
      <w:bookmarkEnd w:id="12"/>
      <w:bookmarkEnd w:id="13"/>
    </w:p>
    <w:p w14:paraId="7B90F964">
      <w:pPr>
        <w:shd w:val="clear" w:color="auto" w:fill="auto"/>
        <w:spacing w:line="360" w:lineRule="auto"/>
        <w:rPr>
          <w:rFonts w:hint="eastAsia" w:ascii="宋体" w:hAnsi="宋体" w:eastAsia="宋体" w:cs="宋体"/>
          <w:color w:val="auto"/>
          <w:sz w:val="24"/>
          <w:highlight w:val="none"/>
          <w:u w:val="single"/>
        </w:rPr>
      </w:pPr>
    </w:p>
    <w:p w14:paraId="66266B05">
      <w:pPr>
        <w:pageBreakBefore w:val="0"/>
        <w:widowControl w:val="0"/>
        <w:shd w:val="clear" w:color="auto" w:fill="auto"/>
        <w:kinsoku/>
        <w:wordWrap/>
        <w:overflowPunct/>
        <w:topLinePunct w:val="0"/>
        <w:bidi w:val="0"/>
        <w:snapToGrid/>
        <w:spacing w:line="340" w:lineRule="exact"/>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lang w:eastAsia="zh-CN"/>
        </w:rPr>
        <w:t>台州市路桥区综合行政执法局</w:t>
      </w:r>
    </w:p>
    <w:p w14:paraId="10940283">
      <w:pPr>
        <w:pageBreakBefore w:val="0"/>
        <w:widowControl w:val="0"/>
        <w:shd w:val="clear" w:color="auto" w:fill="auto"/>
        <w:kinsoku/>
        <w:wordWrap/>
        <w:overflowPunct/>
        <w:topLinePunct w:val="0"/>
        <w:bidi w:val="0"/>
        <w:snapToGrid/>
        <w:spacing w:line="340" w:lineRule="exact"/>
        <w:textAlignment w:val="auto"/>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        </w:t>
      </w:r>
    </w:p>
    <w:p w14:paraId="53DBC990">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中华人民共和国民法典</w:t>
      </w:r>
      <w:r>
        <w:rPr>
          <w:rFonts w:hint="eastAsia" w:ascii="宋体" w:hAnsi="宋体" w:eastAsia="宋体" w:cs="宋体"/>
          <w:color w:val="auto"/>
          <w:szCs w:val="21"/>
          <w:highlight w:val="none"/>
        </w:rPr>
        <w:t>》、《中华人民共和国建筑法》及有关法律规定，遵循平等、自愿、公平和诚实信用的原则，双方就</w:t>
      </w:r>
      <w:r>
        <w:rPr>
          <w:rFonts w:hint="eastAsia" w:ascii="宋体" w:hAnsi="宋体" w:cs="宋体"/>
          <w:color w:val="auto"/>
          <w:szCs w:val="21"/>
          <w:highlight w:val="none"/>
          <w:u w:val="single"/>
          <w:lang w:eastAsia="zh-CN"/>
        </w:rPr>
        <w:t>2024年路桥城区交通拥堵点位整治工程</w:t>
      </w:r>
      <w:r>
        <w:rPr>
          <w:rFonts w:hint="eastAsia" w:ascii="宋体" w:hAnsi="宋体" w:eastAsia="宋体" w:cs="宋体"/>
          <w:color w:val="auto"/>
          <w:szCs w:val="21"/>
          <w:highlight w:val="none"/>
        </w:rPr>
        <w:t>施工及有关事项协商一致，共同达成如下协议：</w:t>
      </w:r>
    </w:p>
    <w:p w14:paraId="35727A64">
      <w:pPr>
        <w:pStyle w:val="8"/>
        <w:pageBreakBefore w:val="0"/>
        <w:widowControl w:val="0"/>
        <w:shd w:val="clear" w:color="auto" w:fill="auto"/>
        <w:kinsoku/>
        <w:wordWrap/>
        <w:overflowPunct/>
        <w:topLinePunct w:val="0"/>
        <w:bidi w:val="0"/>
        <w:snapToGrid/>
        <w:spacing w:before="0" w:after="0" w:line="340" w:lineRule="exac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14" w:name="_Toc351203481"/>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一、工程概况</w:t>
      </w:r>
      <w:bookmarkEnd w:id="14"/>
    </w:p>
    <w:p w14:paraId="08201921">
      <w:pPr>
        <w:pageBreakBefore w:val="0"/>
        <w:widowControl w:val="0"/>
        <w:shd w:val="clear" w:color="auto" w:fill="auto"/>
        <w:kinsoku/>
        <w:wordWrap/>
        <w:overflowPunct/>
        <w:topLinePunct w:val="0"/>
        <w:bidi w:val="0"/>
        <w:snapToGrid/>
        <w:spacing w:line="340" w:lineRule="exact"/>
        <w:ind w:firstLine="411" w:firstLineChars="196"/>
        <w:textAlignment w:val="auto"/>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eastAsia="zh-CN"/>
        </w:rPr>
        <w:t>2024年路桥城区交通拥堵点位整治工程</w:t>
      </w:r>
      <w:r>
        <w:rPr>
          <w:rFonts w:hint="eastAsia" w:ascii="宋体" w:hAnsi="宋体" w:eastAsia="宋体" w:cs="宋体"/>
          <w:color w:val="auto"/>
          <w:sz w:val="21"/>
          <w:szCs w:val="21"/>
          <w:highlight w:val="none"/>
        </w:rPr>
        <w:t xml:space="preserve"> </w:t>
      </w:r>
    </w:p>
    <w:p w14:paraId="4ADE0834">
      <w:pPr>
        <w:pageBreakBefore w:val="0"/>
        <w:widowControl w:val="0"/>
        <w:shd w:val="clear" w:color="auto" w:fill="auto"/>
        <w:kinsoku/>
        <w:wordWrap/>
        <w:overflowPunct/>
        <w:topLinePunct w:val="0"/>
        <w:bidi w:val="0"/>
        <w:snapToGrid/>
        <w:spacing w:line="340" w:lineRule="exact"/>
        <w:ind w:firstLine="411" w:firstLineChars="196"/>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lang w:eastAsia="zh-CN"/>
        </w:rPr>
        <w:t>位于台州市路桥区</w:t>
      </w:r>
    </w:p>
    <w:p w14:paraId="2136EF62">
      <w:pPr>
        <w:pageBreakBefore w:val="0"/>
        <w:widowControl w:val="0"/>
        <w:shd w:val="clear" w:color="auto" w:fill="auto"/>
        <w:kinsoku/>
        <w:wordWrap/>
        <w:overflowPunct/>
        <w:topLinePunct w:val="0"/>
        <w:bidi w:val="0"/>
        <w:snapToGrid/>
        <w:spacing w:line="3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2EFDC059">
      <w:pPr>
        <w:pageBreakBefore w:val="0"/>
        <w:widowControl w:val="0"/>
        <w:shd w:val="clear" w:color="auto" w:fill="auto"/>
        <w:kinsoku/>
        <w:wordWrap/>
        <w:overflowPunct/>
        <w:topLinePunct w:val="0"/>
        <w:bidi w:val="0"/>
        <w:snapToGrid/>
        <w:spacing w:line="3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lang w:eastAsia="zh-CN"/>
        </w:rPr>
        <w:t>自筹</w:t>
      </w:r>
      <w:r>
        <w:rPr>
          <w:rFonts w:hint="eastAsia" w:ascii="宋体" w:hAnsi="宋体" w:eastAsia="宋体" w:cs="宋体"/>
          <w:color w:val="auto"/>
          <w:sz w:val="21"/>
          <w:szCs w:val="21"/>
          <w:highlight w:val="none"/>
          <w:u w:val="single"/>
        </w:rPr>
        <w:t xml:space="preserve">100%  </w:t>
      </w:r>
      <w:r>
        <w:rPr>
          <w:rFonts w:hint="eastAsia" w:ascii="宋体" w:hAnsi="宋体" w:eastAsia="宋体" w:cs="宋体"/>
          <w:bCs/>
          <w:color w:val="auto"/>
          <w:sz w:val="21"/>
          <w:szCs w:val="21"/>
          <w:highlight w:val="none"/>
        </w:rPr>
        <w:t xml:space="preserve"> </w:t>
      </w:r>
    </w:p>
    <w:p w14:paraId="10164FBC">
      <w:pPr>
        <w:pStyle w:val="80"/>
        <w:pageBreakBefore w:val="0"/>
        <w:widowControl w:val="0"/>
        <w:shd w:val="clear" w:color="auto" w:fill="auto"/>
        <w:kinsoku/>
        <w:wordWrap/>
        <w:overflowPunct/>
        <w:topLinePunct w:val="0"/>
        <w:bidi w:val="0"/>
        <w:snapToGrid/>
        <w:spacing w:line="340" w:lineRule="exact"/>
        <w:ind w:firstLine="480"/>
        <w:jc w:val="left"/>
        <w:textAlignment w:val="auto"/>
        <w:rPr>
          <w:rFonts w:hint="eastAsia" w:ascii="宋体" w:hAnsi="宋体" w:eastAsia="宋体" w:cs="宋体"/>
          <w:color w:val="auto"/>
          <w:w w:val="85"/>
          <w:sz w:val="21"/>
          <w:szCs w:val="21"/>
          <w:highlight w:val="none"/>
          <w:lang w:val="en-US" w:eastAsia="zh-CN"/>
        </w:rPr>
      </w:pPr>
      <w:r>
        <w:rPr>
          <w:rFonts w:hint="eastAsia" w:ascii="宋体" w:hAnsi="宋体" w:eastAsia="宋体" w:cs="宋体"/>
          <w:bCs/>
          <w:color w:val="auto"/>
          <w:sz w:val="21"/>
          <w:szCs w:val="21"/>
          <w:highlight w:val="none"/>
        </w:rPr>
        <w:t>5．工程内容：</w:t>
      </w:r>
      <w:r>
        <w:rPr>
          <w:rFonts w:hint="eastAsia" w:ascii="宋体" w:hAnsi="宋体" w:eastAsia="宋体" w:cs="宋体"/>
          <w:bCs/>
          <w:color w:val="auto"/>
          <w:kern w:val="2"/>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lang w:val="en-US" w:eastAsia="zh-CN"/>
        </w:rPr>
        <w:t xml:space="preserve">红线范围内道路工程，路灯移位、绿化移除、排水工程、道路交通工程。   </w:t>
      </w:r>
    </w:p>
    <w:p w14:paraId="7133ECDC">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6．工程承包范围：</w:t>
      </w:r>
      <w:r>
        <w:rPr>
          <w:rFonts w:hint="eastAsia" w:ascii="宋体" w:hAnsi="宋体" w:eastAsia="宋体" w:cs="宋体"/>
          <w:color w:val="auto"/>
          <w:sz w:val="21"/>
          <w:szCs w:val="21"/>
          <w:highlight w:val="none"/>
          <w:u w:val="single"/>
          <w:lang w:val="en-US" w:eastAsia="zh-CN"/>
        </w:rPr>
        <w:t xml:space="preserve"> 招标范围为招标人提供的施工图纸及预算书中所包含的全部工程内容。具体内容见招标人提供的工程量清单及编制说明</w:t>
      </w:r>
      <w:r>
        <w:rPr>
          <w:rFonts w:hint="eastAsia" w:ascii="宋体" w:hAnsi="宋体" w:eastAsia="宋体" w:cs="宋体"/>
          <w:color w:val="auto"/>
          <w:sz w:val="21"/>
          <w:szCs w:val="21"/>
          <w:highlight w:val="none"/>
          <w:u w:val="single"/>
        </w:rPr>
        <w:t>。</w:t>
      </w:r>
      <w:bookmarkStart w:id="15" w:name="_Toc351203482"/>
    </w:p>
    <w:p w14:paraId="7A048F88">
      <w:pPr>
        <w:pStyle w:val="8"/>
        <w:pageBreakBefore w:val="0"/>
        <w:widowControl w:val="0"/>
        <w:shd w:val="clear" w:color="auto" w:fill="auto"/>
        <w:kinsoku/>
        <w:wordWrap/>
        <w:overflowPunct/>
        <w:topLinePunct w:val="0"/>
        <w:bidi w:val="0"/>
        <w:snapToGrid/>
        <w:spacing w:before="0" w:after="0" w:line="340" w:lineRule="exact"/>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二、合同工期</w:t>
      </w:r>
      <w:bookmarkEnd w:id="15"/>
    </w:p>
    <w:p w14:paraId="7016CDAD">
      <w:pPr>
        <w:shd w:val="clear" w:color="auto" w:fill="auto"/>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A964C7A">
      <w:pPr>
        <w:shd w:val="clear" w:color="auto" w:fill="auto"/>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9C02B3D">
      <w:pPr>
        <w:shd w:val="clear" w:color="auto" w:fill="auto"/>
        <w:spacing w:line="360" w:lineRule="exact"/>
        <w:ind w:left="210" w:leftChars="10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14:paraId="091910BB">
      <w:pPr>
        <w:pStyle w:val="4"/>
        <w:pageBreakBefore w:val="0"/>
        <w:widowControl w:val="0"/>
        <w:shd w:val="clear" w:color="auto" w:fill="auto"/>
        <w:kinsoku/>
        <w:wordWrap/>
        <w:overflowPunct/>
        <w:topLinePunct w:val="0"/>
        <w:bidi w:val="0"/>
        <w:snapToGrid/>
        <w:spacing w:after="0" w:line="340" w:lineRule="exact"/>
        <w:ind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sz w:val="21"/>
          <w:szCs w:val="21"/>
          <w:highlight w:val="none"/>
        </w:rPr>
        <w:t>形象进度工期要求：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 xml:space="preserve"> </w:t>
      </w:r>
    </w:p>
    <w:p w14:paraId="5F896B2D">
      <w:pPr>
        <w:pStyle w:val="8"/>
        <w:pageBreakBefore w:val="0"/>
        <w:widowControl w:val="0"/>
        <w:shd w:val="clear" w:color="auto" w:fill="auto"/>
        <w:kinsoku/>
        <w:wordWrap/>
        <w:overflowPunct/>
        <w:topLinePunct w:val="0"/>
        <w:bidi w:val="0"/>
        <w:snapToGrid/>
        <w:spacing w:before="0" w:after="0" w:line="340" w:lineRule="exac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16" w:name="_Toc351203483"/>
      <w:r>
        <w:rPr>
          <w:rFonts w:hint="eastAsia" w:ascii="宋体" w:hAnsi="宋体" w:eastAsia="宋体" w:cs="宋体"/>
          <w:b w:val="0"/>
          <w:color w:val="auto"/>
          <w:sz w:val="21"/>
          <w:szCs w:val="21"/>
          <w:highlight w:val="none"/>
        </w:rPr>
        <w:t>三、质量标准</w:t>
      </w:r>
      <w:bookmarkEnd w:id="16"/>
    </w:p>
    <w:p w14:paraId="4902C1FD">
      <w:pPr>
        <w:pageBreakBefore w:val="0"/>
        <w:widowControl w:val="0"/>
        <w:shd w:val="clear" w:color="auto" w:fill="auto"/>
        <w:kinsoku/>
        <w:wordWrap/>
        <w:overflowPunct/>
        <w:topLinePunct w:val="0"/>
        <w:bidi w:val="0"/>
        <w:snapToGrid/>
        <w:spacing w:line="340" w:lineRule="exact"/>
        <w:ind w:firstLine="45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color w:val="auto"/>
          <w:szCs w:val="21"/>
          <w:highlight w:val="none"/>
          <w:u w:val="single"/>
        </w:rPr>
        <w:t xml:space="preserve">  合格  </w:t>
      </w:r>
      <w:r>
        <w:rPr>
          <w:rFonts w:hint="eastAsia" w:ascii="宋体" w:hAnsi="宋体" w:eastAsia="宋体" w:cs="宋体"/>
          <w:color w:val="auto"/>
          <w:szCs w:val="21"/>
          <w:highlight w:val="none"/>
        </w:rPr>
        <w:t>标准。</w:t>
      </w:r>
    </w:p>
    <w:p w14:paraId="376280BB">
      <w:pPr>
        <w:pStyle w:val="8"/>
        <w:pageBreakBefore w:val="0"/>
        <w:widowControl w:val="0"/>
        <w:shd w:val="clear" w:color="auto" w:fill="auto"/>
        <w:kinsoku/>
        <w:wordWrap/>
        <w:overflowPunct/>
        <w:topLinePunct w:val="0"/>
        <w:bidi w:val="0"/>
        <w:snapToGrid/>
        <w:spacing w:before="0" w:after="0" w:line="340" w:lineRule="exac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17" w:name="_Toc351203484"/>
      <w:r>
        <w:rPr>
          <w:rFonts w:hint="eastAsia" w:ascii="宋体" w:hAnsi="宋体" w:eastAsia="宋体" w:cs="宋体"/>
          <w:b w:val="0"/>
          <w:color w:val="auto"/>
          <w:sz w:val="21"/>
          <w:szCs w:val="21"/>
          <w:highlight w:val="none"/>
        </w:rPr>
        <w:t>四、签约合同价与合同价格形式</w:t>
      </w:r>
      <w:bookmarkEnd w:id="17"/>
      <w:r>
        <w:rPr>
          <w:rFonts w:hint="eastAsia" w:ascii="宋体" w:hAnsi="宋体" w:eastAsia="宋体" w:cs="宋体"/>
          <w:b w:val="0"/>
          <w:color w:val="auto"/>
          <w:sz w:val="21"/>
          <w:szCs w:val="21"/>
          <w:highlight w:val="none"/>
        </w:rPr>
        <w:tab/>
      </w:r>
    </w:p>
    <w:p w14:paraId="59C084AF">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14:paraId="2158BBD1">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52D4C2F2">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2．合同价格形式：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1"/>
          <w:szCs w:val="21"/>
          <w:highlight w:val="none"/>
          <w:u w:val="single"/>
        </w:rPr>
        <w:t>其他价格形式</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固定结算率</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11969E2">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3．发包人向承包人支付工程价款及其他应当支付的款项均须汇入承包人合同协议书中的银行账户，并开具增值税专用发票。</w:t>
      </w:r>
    </w:p>
    <w:p w14:paraId="74B38159">
      <w:pPr>
        <w:pageBreakBefore w:val="0"/>
        <w:widowControl w:val="0"/>
        <w:shd w:val="clear" w:color="auto" w:fill="auto"/>
        <w:kinsoku/>
        <w:wordWrap/>
        <w:overflowPunct/>
        <w:topLinePunct w:val="0"/>
        <w:bidi w:val="0"/>
        <w:snapToGrid/>
        <w:spacing w:line="340" w:lineRule="exact"/>
        <w:ind w:firstLine="352" w:firstLineChars="168"/>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根据《关于全面推开营业税改征增值税试点的通知》（</w:t>
      </w:r>
      <w:r>
        <w:rPr>
          <w:rFonts w:hint="eastAsia" w:ascii="宋体" w:hAnsi="宋体" w:eastAsia="宋体" w:cs="宋体"/>
          <w:bCs/>
          <w:color w:val="auto"/>
          <w:szCs w:val="21"/>
          <w:highlight w:val="none"/>
          <w:shd w:val="clear" w:color="auto" w:fill="FFFFFF"/>
        </w:rPr>
        <w:t>财税〔2016〕36号</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rPr>
        <w:t>、《住房城乡建设部办公厅关于调整建设工程计价依据增值税税率的通知》（建办标〔2018〕20号）、《关于调整增值税税率的通知》（财税〔2018〕32号）</w:t>
      </w:r>
      <w:r>
        <w:rPr>
          <w:rFonts w:hint="eastAsia" w:ascii="宋体" w:hAnsi="宋体" w:eastAsia="宋体" w:cs="宋体"/>
          <w:color w:val="auto"/>
          <w:szCs w:val="21"/>
          <w:highlight w:val="none"/>
          <w:shd w:val="clear" w:color="auto" w:fill="FFFFFF"/>
        </w:rPr>
        <w:t>等有关规定，承包人完成本合同项下应税行为的计税方式按</w:t>
      </w:r>
      <w:r>
        <w:rPr>
          <w:rFonts w:hint="eastAsia" w:ascii="宋体" w:hAnsi="宋体" w:eastAsia="宋体" w:cs="宋体"/>
          <w:color w:val="auto"/>
          <w:szCs w:val="21"/>
          <w:highlight w:val="none"/>
        </w:rPr>
        <w:t>以下第</w:t>
      </w:r>
      <w:r>
        <w:rPr>
          <w:rFonts w:hint="eastAsia" w:ascii="宋体" w:hAnsi="宋体" w:eastAsia="宋体" w:cs="宋体"/>
          <w:color w:val="auto"/>
          <w:szCs w:val="21"/>
          <w:highlight w:val="none"/>
          <w:u w:val="single"/>
          <w:shd w:val="clear" w:color="auto" w:fill="FFFFFF"/>
        </w:rPr>
        <w:t xml:space="preserve">  1  </w:t>
      </w:r>
      <w:r>
        <w:rPr>
          <w:rFonts w:hint="eastAsia" w:ascii="宋体" w:hAnsi="宋体" w:eastAsia="宋体" w:cs="宋体"/>
          <w:color w:val="auto"/>
          <w:szCs w:val="21"/>
          <w:highlight w:val="none"/>
          <w:shd w:val="clear" w:color="auto" w:fill="FFFFFF"/>
        </w:rPr>
        <w:t>种方法，并与</w:t>
      </w:r>
      <w:r>
        <w:rPr>
          <w:rFonts w:hint="eastAsia" w:ascii="宋体" w:hAnsi="宋体" w:eastAsia="宋体" w:cs="宋体"/>
          <w:color w:val="auto"/>
          <w:szCs w:val="21"/>
          <w:highlight w:val="none"/>
        </w:rPr>
        <w:t>工程计价时采用的计税方法一致。</w:t>
      </w:r>
    </w:p>
    <w:p w14:paraId="710531C8">
      <w:pPr>
        <w:pageBreakBefore w:val="0"/>
        <w:widowControl w:val="0"/>
        <w:shd w:val="clear" w:color="auto" w:fill="auto"/>
        <w:kinsoku/>
        <w:wordWrap/>
        <w:overflowPunct/>
        <w:topLinePunct w:val="0"/>
        <w:bidi w:val="0"/>
        <w:snapToGrid/>
        <w:spacing w:line="340" w:lineRule="exact"/>
        <w:ind w:firstLine="352" w:firstLineChars="168"/>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（1）一般计税方法。</w:t>
      </w:r>
    </w:p>
    <w:p w14:paraId="4192B4CE">
      <w:pPr>
        <w:pageBreakBefore w:val="0"/>
        <w:widowControl w:val="0"/>
        <w:shd w:val="clear" w:color="auto" w:fill="auto"/>
        <w:kinsoku/>
        <w:wordWrap/>
        <w:overflowPunct/>
        <w:topLinePunct w:val="0"/>
        <w:bidi w:val="0"/>
        <w:snapToGrid/>
        <w:spacing w:line="340" w:lineRule="exact"/>
        <w:ind w:firstLine="352" w:firstLineChars="168"/>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（2）本工程为</w:t>
      </w:r>
      <w:r>
        <w:rPr>
          <w:rFonts w:hint="eastAsia" w:ascii="宋体" w:hAnsi="宋体" w:eastAsia="宋体" w:cs="宋体"/>
          <w:color w:val="auto"/>
          <w:szCs w:val="21"/>
          <w:highlight w:val="none"/>
          <w:u w:val="single"/>
        </w:rPr>
        <w:t xml:space="preserve">   甲供   </w:t>
      </w:r>
      <w:r>
        <w:rPr>
          <w:rFonts w:hint="eastAsia" w:ascii="宋体" w:hAnsi="宋体" w:eastAsia="宋体" w:cs="宋体"/>
          <w:color w:val="auto"/>
          <w:szCs w:val="21"/>
          <w:highlight w:val="none"/>
        </w:rPr>
        <w:t>工程，</w:t>
      </w:r>
      <w:r>
        <w:rPr>
          <w:rFonts w:hint="eastAsia" w:ascii="宋体" w:hAnsi="宋体" w:eastAsia="宋体" w:cs="宋体"/>
          <w:color w:val="auto"/>
          <w:szCs w:val="21"/>
          <w:highlight w:val="none"/>
          <w:shd w:val="clear" w:color="auto" w:fill="FFFFFF"/>
        </w:rPr>
        <w:t>按简易计税方法。</w:t>
      </w:r>
    </w:p>
    <w:p w14:paraId="29E4437C">
      <w:pPr>
        <w:pStyle w:val="8"/>
        <w:pageBreakBefore w:val="0"/>
        <w:widowControl w:val="0"/>
        <w:shd w:val="clear" w:color="auto" w:fill="auto"/>
        <w:kinsoku/>
        <w:wordWrap/>
        <w:overflowPunct/>
        <w:topLinePunct w:val="0"/>
        <w:bidi w:val="0"/>
        <w:snapToGrid/>
        <w:spacing w:before="0" w:after="0" w:line="340" w:lineRule="exact"/>
        <w:textAlignment w:val="auto"/>
        <w:rPr>
          <w:rFonts w:hint="eastAsia" w:ascii="宋体" w:hAnsi="宋体" w:eastAsia="宋体" w:cs="宋体"/>
          <w:b w:val="0"/>
          <w:color w:val="auto"/>
          <w:sz w:val="21"/>
          <w:szCs w:val="21"/>
          <w:highlight w:val="none"/>
        </w:rPr>
      </w:pPr>
      <w:r>
        <w:rPr>
          <w:rFonts w:hint="eastAsia" w:ascii="宋体" w:hAnsi="宋体" w:eastAsia="宋体" w:cs="宋体"/>
          <w:bCs w:val="0"/>
          <w:color w:val="auto"/>
          <w:sz w:val="21"/>
          <w:szCs w:val="21"/>
          <w:highlight w:val="none"/>
        </w:rPr>
        <w:t xml:space="preserve">    </w:t>
      </w:r>
      <w:bookmarkStart w:id="18" w:name="_Toc351203485"/>
      <w:r>
        <w:rPr>
          <w:rFonts w:hint="eastAsia" w:ascii="宋体" w:hAnsi="宋体" w:eastAsia="宋体" w:cs="宋体"/>
          <w:b w:val="0"/>
          <w:color w:val="auto"/>
          <w:sz w:val="21"/>
          <w:szCs w:val="21"/>
          <w:highlight w:val="none"/>
        </w:rPr>
        <w:t>五、</w:t>
      </w:r>
      <w:bookmarkEnd w:id="18"/>
      <w:r>
        <w:rPr>
          <w:rFonts w:hint="eastAsia" w:ascii="宋体" w:hAnsi="宋体" w:eastAsia="宋体" w:cs="宋体"/>
          <w:b w:val="0"/>
          <w:color w:val="auto"/>
          <w:sz w:val="21"/>
          <w:szCs w:val="21"/>
          <w:highlight w:val="none"/>
        </w:rPr>
        <w:t>项目经理</w:t>
      </w:r>
    </w:p>
    <w:p w14:paraId="18243D4B">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5FC8F3F">
      <w:pPr>
        <w:pStyle w:val="8"/>
        <w:pageBreakBefore w:val="0"/>
        <w:widowControl w:val="0"/>
        <w:shd w:val="clear" w:color="auto" w:fill="auto"/>
        <w:kinsoku/>
        <w:wordWrap/>
        <w:overflowPunct/>
        <w:topLinePunct w:val="0"/>
        <w:bidi w:val="0"/>
        <w:snapToGrid/>
        <w:spacing w:before="0" w:after="0" w:line="340" w:lineRule="exac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19" w:name="_Toc351203486"/>
      <w:r>
        <w:rPr>
          <w:rFonts w:hint="eastAsia" w:ascii="宋体" w:hAnsi="宋体" w:eastAsia="宋体" w:cs="宋体"/>
          <w:b w:val="0"/>
          <w:color w:val="auto"/>
          <w:sz w:val="21"/>
          <w:szCs w:val="21"/>
          <w:highlight w:val="none"/>
        </w:rPr>
        <w:t>六、合同文件构成</w:t>
      </w:r>
      <w:bookmarkEnd w:id="19"/>
    </w:p>
    <w:p w14:paraId="502AC2BD">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本协议书与下列文件一起构成合同文件：</w:t>
      </w:r>
    </w:p>
    <w:p w14:paraId="70253178">
      <w:pPr>
        <w:pageBreakBefore w:val="0"/>
        <w:widowControl w:val="0"/>
        <w:shd w:val="clear" w:color="auto" w:fill="auto"/>
        <w:kinsoku/>
        <w:wordWrap/>
        <w:overflowPunct/>
        <w:topLinePunct w:val="0"/>
        <w:autoSpaceDE w:val="0"/>
        <w:autoSpaceDN w:val="0"/>
        <w:bidi w:val="0"/>
        <w:adjustRightInd w:val="0"/>
        <w:snapToGrid/>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（1）中标通知书（如果有）；</w:t>
      </w:r>
    </w:p>
    <w:p w14:paraId="488370D3">
      <w:pPr>
        <w:pageBreakBefore w:val="0"/>
        <w:widowControl w:val="0"/>
        <w:shd w:val="clear" w:color="auto" w:fill="auto"/>
        <w:kinsoku/>
        <w:wordWrap/>
        <w:overflowPunct/>
        <w:topLinePunct w:val="0"/>
        <w:autoSpaceDE w:val="0"/>
        <w:autoSpaceDN w:val="0"/>
        <w:bidi w:val="0"/>
        <w:adjustRightInd w:val="0"/>
        <w:snapToGrid/>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（2）投标函及其附录（如果有）；</w:t>
      </w:r>
    </w:p>
    <w:p w14:paraId="0D865D28">
      <w:pPr>
        <w:pageBreakBefore w:val="0"/>
        <w:widowControl w:val="0"/>
        <w:shd w:val="clear" w:color="auto" w:fill="auto"/>
        <w:kinsoku/>
        <w:wordWrap/>
        <w:overflowPunct/>
        <w:topLinePunct w:val="0"/>
        <w:autoSpaceDE w:val="0"/>
        <w:autoSpaceDN w:val="0"/>
        <w:bidi w:val="0"/>
        <w:adjustRightInd w:val="0"/>
        <w:snapToGrid/>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14:paraId="03B5E3EB">
      <w:pPr>
        <w:pageBreakBefore w:val="0"/>
        <w:widowControl w:val="0"/>
        <w:shd w:val="clear" w:color="auto" w:fill="auto"/>
        <w:kinsoku/>
        <w:wordWrap/>
        <w:overflowPunct/>
        <w:topLinePunct w:val="0"/>
        <w:autoSpaceDE w:val="0"/>
        <w:autoSpaceDN w:val="0"/>
        <w:bidi w:val="0"/>
        <w:adjustRightInd w:val="0"/>
        <w:snapToGrid/>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14:paraId="40D5ABE0">
      <w:pPr>
        <w:pageBreakBefore w:val="0"/>
        <w:widowControl w:val="0"/>
        <w:shd w:val="clear" w:color="auto" w:fill="auto"/>
        <w:kinsoku/>
        <w:wordWrap/>
        <w:overflowPunct/>
        <w:topLinePunct w:val="0"/>
        <w:autoSpaceDE w:val="0"/>
        <w:autoSpaceDN w:val="0"/>
        <w:bidi w:val="0"/>
        <w:adjustRightInd w:val="0"/>
        <w:snapToGrid/>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（5）技术标准和要求；</w:t>
      </w:r>
    </w:p>
    <w:p w14:paraId="3B3C01E1">
      <w:pPr>
        <w:pageBreakBefore w:val="0"/>
        <w:widowControl w:val="0"/>
        <w:shd w:val="clear" w:color="auto" w:fill="auto"/>
        <w:kinsoku/>
        <w:wordWrap/>
        <w:overflowPunct/>
        <w:topLinePunct w:val="0"/>
        <w:autoSpaceDE w:val="0"/>
        <w:autoSpaceDN w:val="0"/>
        <w:bidi w:val="0"/>
        <w:adjustRightInd w:val="0"/>
        <w:snapToGrid/>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（6）图纸；</w:t>
      </w:r>
    </w:p>
    <w:p w14:paraId="4C9A70C0">
      <w:pPr>
        <w:pageBreakBefore w:val="0"/>
        <w:widowControl w:val="0"/>
        <w:shd w:val="clear" w:color="auto" w:fill="auto"/>
        <w:kinsoku/>
        <w:wordWrap/>
        <w:overflowPunct/>
        <w:topLinePunct w:val="0"/>
        <w:autoSpaceDE w:val="0"/>
        <w:autoSpaceDN w:val="0"/>
        <w:bidi w:val="0"/>
        <w:adjustRightInd w:val="0"/>
        <w:snapToGrid/>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（7）已标价工程量清单或预算书；</w:t>
      </w:r>
    </w:p>
    <w:p w14:paraId="08C6B6B0">
      <w:pPr>
        <w:pageBreakBefore w:val="0"/>
        <w:widowControl w:val="0"/>
        <w:shd w:val="clear" w:color="auto" w:fill="auto"/>
        <w:kinsoku/>
        <w:wordWrap/>
        <w:overflowPunct/>
        <w:topLinePunct w:val="0"/>
        <w:autoSpaceDE w:val="0"/>
        <w:autoSpaceDN w:val="0"/>
        <w:bidi w:val="0"/>
        <w:adjustRightInd w:val="0"/>
        <w:snapToGrid/>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14:paraId="3E071A3D">
      <w:pPr>
        <w:pageBreakBefore w:val="0"/>
        <w:widowControl w:val="0"/>
        <w:shd w:val="clear" w:color="auto" w:fill="auto"/>
        <w:kinsoku/>
        <w:wordWrap/>
        <w:overflowPunct/>
        <w:topLinePunct w:val="0"/>
        <w:autoSpaceDE w:val="0"/>
        <w:autoSpaceDN w:val="0"/>
        <w:bidi w:val="0"/>
        <w:adjustRightInd w:val="0"/>
        <w:snapToGrid/>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14:paraId="200CFB3D">
      <w:pPr>
        <w:pageBreakBefore w:val="0"/>
        <w:widowControl w:val="0"/>
        <w:shd w:val="clear" w:color="auto" w:fill="auto"/>
        <w:kinsoku/>
        <w:wordWrap/>
        <w:overflowPunct/>
        <w:topLinePunct w:val="0"/>
        <w:autoSpaceDE w:val="0"/>
        <w:autoSpaceDN w:val="0"/>
        <w:bidi w:val="0"/>
        <w:adjustRightInd w:val="0"/>
        <w:snapToGrid/>
        <w:spacing w:line="3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2DDE2214">
      <w:pPr>
        <w:pStyle w:val="8"/>
        <w:pageBreakBefore w:val="0"/>
        <w:widowControl w:val="0"/>
        <w:shd w:val="clear" w:color="auto" w:fill="auto"/>
        <w:kinsoku/>
        <w:wordWrap/>
        <w:overflowPunct/>
        <w:topLinePunct w:val="0"/>
        <w:bidi w:val="0"/>
        <w:snapToGrid/>
        <w:spacing w:before="0" w:after="0" w:line="340" w:lineRule="exact"/>
        <w:ind w:firstLine="315" w:firstLineChars="15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七、创优目标</w:t>
      </w:r>
    </w:p>
    <w:p w14:paraId="0E502047">
      <w:pPr>
        <w:pageBreakBefore w:val="0"/>
        <w:widowControl w:val="0"/>
        <w:shd w:val="clear" w:color="auto" w:fill="auto"/>
        <w:kinsoku/>
        <w:wordWrap/>
        <w:overflowPunct/>
        <w:topLinePunct w:val="0"/>
        <w:autoSpaceDE w:val="0"/>
        <w:autoSpaceDN w:val="0"/>
        <w:bidi w:val="0"/>
        <w:adjustRightInd w:val="0"/>
        <w:snapToGrid/>
        <w:spacing w:line="3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工程质量创</w:t>
      </w:r>
      <w:r>
        <w:rPr>
          <w:rFonts w:hint="eastAsia" w:ascii="宋体" w:hAnsi="宋体" w:eastAsia="宋体" w:cs="宋体"/>
          <w:color w:val="auto"/>
          <w:szCs w:val="21"/>
          <w:highlight w:val="none"/>
          <w:u w:val="single"/>
        </w:rPr>
        <w:t xml:space="preserve"> / 。</w:t>
      </w:r>
    </w:p>
    <w:p w14:paraId="2310E10C">
      <w:pPr>
        <w:pageBreakBefore w:val="0"/>
        <w:widowControl w:val="0"/>
        <w:shd w:val="clear" w:color="auto" w:fill="auto"/>
        <w:kinsoku/>
        <w:wordWrap/>
        <w:overflowPunct/>
        <w:topLinePunct w:val="0"/>
        <w:autoSpaceDE w:val="0"/>
        <w:autoSpaceDN w:val="0"/>
        <w:bidi w:val="0"/>
        <w:adjustRightInd w:val="0"/>
        <w:snapToGrid/>
        <w:spacing w:line="3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安全文明施工创</w:t>
      </w:r>
      <w:r>
        <w:rPr>
          <w:rFonts w:hint="eastAsia" w:ascii="宋体" w:hAnsi="宋体" w:eastAsia="宋体" w:cs="宋体"/>
          <w:color w:val="auto"/>
          <w:szCs w:val="21"/>
          <w:highlight w:val="none"/>
          <w:u w:val="single"/>
        </w:rPr>
        <w:t xml:space="preserve"> / 。</w:t>
      </w:r>
    </w:p>
    <w:p w14:paraId="1634EF8A">
      <w:pPr>
        <w:pStyle w:val="8"/>
        <w:pageBreakBefore w:val="0"/>
        <w:widowControl w:val="0"/>
        <w:shd w:val="clear" w:color="auto" w:fill="auto"/>
        <w:kinsoku/>
        <w:wordWrap/>
        <w:overflowPunct/>
        <w:topLinePunct w:val="0"/>
        <w:bidi w:val="0"/>
        <w:snapToGrid/>
        <w:spacing w:before="0" w:after="0" w:line="3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20" w:name="_Toc351203487"/>
      <w:r>
        <w:rPr>
          <w:rFonts w:hint="eastAsia" w:ascii="宋体" w:hAnsi="宋体" w:eastAsia="宋体" w:cs="宋体"/>
          <w:b w:val="0"/>
          <w:color w:val="auto"/>
          <w:sz w:val="21"/>
          <w:szCs w:val="21"/>
          <w:highlight w:val="none"/>
        </w:rPr>
        <w:t>八、承诺</w:t>
      </w:r>
      <w:bookmarkEnd w:id="20"/>
    </w:p>
    <w:p w14:paraId="23C75D91">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1．发包人承诺按照法律规定履行项目审批手续、筹集工程建设资金并按照合同约定的期限和方式支付合同价款。</w:t>
      </w:r>
    </w:p>
    <w:p w14:paraId="326ED26C">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6599D23B">
      <w:pPr>
        <w:pageBreakBefore w:val="0"/>
        <w:widowControl w:val="0"/>
        <w:shd w:val="clear" w:color="auto" w:fill="auto"/>
        <w:tabs>
          <w:tab w:val="left" w:pos="0"/>
        </w:tabs>
        <w:kinsoku/>
        <w:wordWrap/>
        <w:overflowPunct/>
        <w:topLinePunct w:val="0"/>
        <w:bidi w:val="0"/>
        <w:snapToGrid/>
        <w:spacing w:line="3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 xml:space="preserve">3. </w:t>
      </w:r>
      <w:r>
        <w:rPr>
          <w:rFonts w:hint="eastAsia" w:ascii="宋体" w:hAnsi="宋体" w:eastAsia="宋体" w:cs="宋体"/>
          <w:color w:val="auto"/>
          <w:kern w:val="0"/>
          <w:szCs w:val="21"/>
          <w:highlight w:val="none"/>
        </w:rPr>
        <w:t>承包人</w:t>
      </w:r>
      <w:r>
        <w:rPr>
          <w:rFonts w:hint="eastAsia" w:ascii="宋体" w:hAnsi="宋体" w:eastAsia="宋体" w:cs="宋体"/>
          <w:bCs/>
          <w:color w:val="auto"/>
          <w:szCs w:val="21"/>
          <w:highlight w:val="none"/>
        </w:rPr>
        <w:t>承诺</w:t>
      </w:r>
      <w:r>
        <w:rPr>
          <w:rFonts w:hint="eastAsia" w:ascii="宋体" w:hAnsi="宋体" w:eastAsia="宋体" w:cs="宋体"/>
          <w:color w:val="auto"/>
          <w:kern w:val="0"/>
          <w:szCs w:val="21"/>
          <w:highlight w:val="none"/>
        </w:rPr>
        <w:t>不拖欠工人工资，因拖欠工资造成的一切后果，均由承包人承担，发包人有权将应拔付的工程款，先代付工资。</w:t>
      </w:r>
    </w:p>
    <w:p w14:paraId="077FF3DF">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4．发包人和承包人通过招投标形式签订合同的，双方理解并承诺不再就同一工程另行签订与合同实质性内容相背离的协议。另行签订的协议不能作为结算依据。</w:t>
      </w:r>
    </w:p>
    <w:p w14:paraId="360800C8">
      <w:pPr>
        <w:pageBreakBefore w:val="0"/>
        <w:widowControl w:val="0"/>
        <w:shd w:val="clear" w:color="auto" w:fill="auto"/>
        <w:kinsoku/>
        <w:wordWrap/>
        <w:overflowPunct/>
        <w:topLinePunct w:val="0"/>
        <w:bidi w:val="0"/>
        <w:snapToGrid/>
        <w:spacing w:line="340" w:lineRule="exact"/>
        <w:textAlignment w:val="auto"/>
        <w:rPr>
          <w:rFonts w:hint="eastAsia" w:ascii="宋体" w:hAnsi="宋体" w:eastAsia="宋体" w:cs="宋体"/>
          <w:bCs/>
          <w:color w:val="auto"/>
          <w:szCs w:val="21"/>
          <w:highlight w:val="none"/>
        </w:rPr>
      </w:pPr>
      <w:bookmarkStart w:id="21" w:name="_Toc351203488"/>
      <w:r>
        <w:rPr>
          <w:rFonts w:hint="eastAsia" w:ascii="宋体" w:hAnsi="宋体" w:eastAsia="宋体" w:cs="宋体"/>
          <w:color w:val="auto"/>
          <w:szCs w:val="21"/>
          <w:highlight w:val="none"/>
        </w:rPr>
        <w:t xml:space="preserve">    九、词语含义</w:t>
      </w:r>
      <w:bookmarkEnd w:id="21"/>
    </w:p>
    <w:p w14:paraId="03BCB4F6">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本协议书中词语含义与第二部分通用合同条款中赋予的含义相同。</w:t>
      </w:r>
    </w:p>
    <w:p w14:paraId="2BC51EEF">
      <w:pPr>
        <w:pStyle w:val="8"/>
        <w:pageBreakBefore w:val="0"/>
        <w:widowControl w:val="0"/>
        <w:shd w:val="clear" w:color="auto" w:fill="auto"/>
        <w:kinsoku/>
        <w:wordWrap/>
        <w:overflowPunct/>
        <w:topLinePunct w:val="0"/>
        <w:bidi w:val="0"/>
        <w:snapToGrid/>
        <w:spacing w:before="0" w:after="0" w:line="340" w:lineRule="exac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2" w:name="_Toc351203489"/>
      <w:r>
        <w:rPr>
          <w:rFonts w:hint="eastAsia" w:ascii="宋体" w:hAnsi="宋体" w:eastAsia="宋体" w:cs="宋体"/>
          <w:b w:val="0"/>
          <w:color w:val="auto"/>
          <w:sz w:val="21"/>
          <w:szCs w:val="21"/>
          <w:highlight w:val="none"/>
        </w:rPr>
        <w:t>十、签订时间</w:t>
      </w:r>
      <w:bookmarkEnd w:id="22"/>
    </w:p>
    <w:p w14:paraId="3ED004E7">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日签订。</w:t>
      </w:r>
    </w:p>
    <w:p w14:paraId="45BAC662">
      <w:pPr>
        <w:pStyle w:val="8"/>
        <w:pageBreakBefore w:val="0"/>
        <w:widowControl w:val="0"/>
        <w:shd w:val="clear" w:color="auto" w:fill="auto"/>
        <w:kinsoku/>
        <w:wordWrap/>
        <w:overflowPunct/>
        <w:topLinePunct w:val="0"/>
        <w:bidi w:val="0"/>
        <w:snapToGrid/>
        <w:spacing w:before="0" w:after="0" w:line="340" w:lineRule="exac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3" w:name="_Toc351203490"/>
      <w:r>
        <w:rPr>
          <w:rFonts w:hint="eastAsia" w:ascii="宋体" w:hAnsi="宋体" w:eastAsia="宋体" w:cs="宋体"/>
          <w:b w:val="0"/>
          <w:color w:val="auto"/>
          <w:sz w:val="21"/>
          <w:szCs w:val="21"/>
          <w:highlight w:val="none"/>
        </w:rPr>
        <w:t>十一、签订地点</w:t>
      </w:r>
      <w:bookmarkEnd w:id="23"/>
    </w:p>
    <w:p w14:paraId="5B0F02C5">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签订。</w:t>
      </w:r>
    </w:p>
    <w:p w14:paraId="3F3A7D9A">
      <w:pPr>
        <w:pStyle w:val="8"/>
        <w:pageBreakBefore w:val="0"/>
        <w:widowControl w:val="0"/>
        <w:shd w:val="clear" w:color="auto" w:fill="auto"/>
        <w:kinsoku/>
        <w:wordWrap/>
        <w:overflowPunct/>
        <w:topLinePunct w:val="0"/>
        <w:bidi w:val="0"/>
        <w:snapToGrid/>
        <w:spacing w:before="0" w:after="0" w:line="340" w:lineRule="exac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4" w:name="_Toc351203491"/>
      <w:r>
        <w:rPr>
          <w:rFonts w:hint="eastAsia" w:ascii="宋体" w:hAnsi="宋体" w:eastAsia="宋体" w:cs="宋体"/>
          <w:b w:val="0"/>
          <w:color w:val="auto"/>
          <w:sz w:val="21"/>
          <w:szCs w:val="21"/>
          <w:highlight w:val="none"/>
        </w:rPr>
        <w:t>十二、补充协议</w:t>
      </w:r>
      <w:bookmarkEnd w:id="24"/>
    </w:p>
    <w:p w14:paraId="24BB8461">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14:paraId="22073962">
      <w:pPr>
        <w:pStyle w:val="8"/>
        <w:pageBreakBefore w:val="0"/>
        <w:widowControl w:val="0"/>
        <w:shd w:val="clear" w:color="auto" w:fill="auto"/>
        <w:kinsoku/>
        <w:wordWrap/>
        <w:overflowPunct/>
        <w:topLinePunct w:val="0"/>
        <w:bidi w:val="0"/>
        <w:snapToGrid/>
        <w:spacing w:before="0" w:after="0" w:line="340" w:lineRule="exac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5" w:name="_Toc351203492"/>
      <w:r>
        <w:rPr>
          <w:rFonts w:hint="eastAsia" w:ascii="宋体" w:hAnsi="宋体" w:eastAsia="宋体" w:cs="宋体"/>
          <w:b w:val="0"/>
          <w:color w:val="auto"/>
          <w:sz w:val="21"/>
          <w:szCs w:val="21"/>
          <w:highlight w:val="none"/>
        </w:rPr>
        <w:t>十三、合同生效</w:t>
      </w:r>
      <w:bookmarkEnd w:id="25"/>
    </w:p>
    <w:p w14:paraId="617E7406">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本合同自</w:t>
      </w:r>
      <w:r>
        <w:rPr>
          <w:rFonts w:hint="eastAsia" w:ascii="宋体" w:hAnsi="宋体" w:eastAsia="宋体" w:cs="宋体"/>
          <w:bCs/>
          <w:color w:val="auto"/>
          <w:szCs w:val="21"/>
          <w:highlight w:val="none"/>
          <w:u w:val="single"/>
        </w:rPr>
        <w:t>双方法定代表人或委托代理人签字并加盖公章后生效。</w:t>
      </w:r>
    </w:p>
    <w:p w14:paraId="6811A134">
      <w:pPr>
        <w:pStyle w:val="8"/>
        <w:pageBreakBefore w:val="0"/>
        <w:widowControl w:val="0"/>
        <w:shd w:val="clear" w:color="auto" w:fill="auto"/>
        <w:kinsoku/>
        <w:wordWrap/>
        <w:overflowPunct/>
        <w:topLinePunct w:val="0"/>
        <w:bidi w:val="0"/>
        <w:snapToGrid/>
        <w:spacing w:before="0" w:after="0" w:line="340" w:lineRule="exac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6" w:name="_Toc351203493"/>
      <w:r>
        <w:rPr>
          <w:rFonts w:hint="eastAsia" w:ascii="宋体" w:hAnsi="宋体" w:eastAsia="宋体" w:cs="宋体"/>
          <w:b w:val="0"/>
          <w:color w:val="auto"/>
          <w:sz w:val="21"/>
          <w:szCs w:val="21"/>
          <w:highlight w:val="none"/>
        </w:rPr>
        <w:t>十四、合同份数</w:t>
      </w:r>
      <w:bookmarkEnd w:id="26"/>
    </w:p>
    <w:p w14:paraId="272A1763">
      <w:pPr>
        <w:pageBreakBefore w:val="0"/>
        <w:widowControl w:val="0"/>
        <w:shd w:val="clear" w:color="auto" w:fill="auto"/>
        <w:kinsoku/>
        <w:wordWrap/>
        <w:overflowPunct/>
        <w:topLinePunct w:val="0"/>
        <w:bidi w:val="0"/>
        <w:snapToGrid/>
        <w:spacing w:line="3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本合同一式</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份，均具有同等法律效力，发包人执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份，承包人执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w:t>
      </w:r>
    </w:p>
    <w:p w14:paraId="7E677EC5">
      <w:pPr>
        <w:shd w:val="clear" w:color="auto" w:fill="auto"/>
        <w:spacing w:line="360" w:lineRule="exact"/>
        <w:rPr>
          <w:rFonts w:hint="eastAsia" w:ascii="宋体" w:hAnsi="宋体" w:eastAsia="宋体" w:cs="宋体"/>
          <w:bCs/>
          <w:color w:val="auto"/>
          <w:szCs w:val="21"/>
          <w:highlight w:val="none"/>
        </w:rPr>
      </w:pPr>
    </w:p>
    <w:tbl>
      <w:tblPr>
        <w:tblStyle w:val="30"/>
        <w:tblW w:w="0" w:type="auto"/>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020"/>
        <w:gridCol w:w="4058"/>
      </w:tblGrid>
      <w:tr w14:paraId="6D7EC7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53" w:hRule="atLeast"/>
        </w:trPr>
        <w:tc>
          <w:tcPr>
            <w:tcW w:w="4020" w:type="dxa"/>
            <w:tcBorders>
              <w:right w:val="single" w:color="auto" w:sz="4" w:space="0"/>
            </w:tcBorders>
          </w:tcPr>
          <w:p w14:paraId="7424826D">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w:t>
            </w:r>
          </w:p>
          <w:p w14:paraId="5571154A">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p>
          <w:p w14:paraId="301DFCD7">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或委托代理人(签字)：</w:t>
            </w:r>
          </w:p>
          <w:p w14:paraId="4B0AE958">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p w14:paraId="75E97B7F">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6A4AA86A">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67B1D521">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4AB8BB8D">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p w14:paraId="480ED13C">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p w14:paraId="0FC95EBC">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p w14:paraId="51CC2CFD">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p>
          <w:p w14:paraId="5DCBA5BF">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p w14:paraId="49B92579">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p>
        </w:tc>
        <w:tc>
          <w:tcPr>
            <w:tcW w:w="4058" w:type="dxa"/>
          </w:tcPr>
          <w:p w14:paraId="5A019CA0">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承包人：（公章）</w:t>
            </w:r>
          </w:p>
          <w:p w14:paraId="62542A3D">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p>
          <w:p w14:paraId="6DC16095">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或委托代理人(签字)：</w:t>
            </w:r>
          </w:p>
          <w:p w14:paraId="5C67153F">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p w14:paraId="51ED2813">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14:paraId="674E51B6">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13F658D1">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42E899E2">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p w14:paraId="2855AD22">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p w14:paraId="449C3CAE">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p w14:paraId="20F16A33">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p>
          <w:p w14:paraId="69CC26A1">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p w14:paraId="70169B37">
            <w:pPr>
              <w:shd w:val="clear" w:color="auto" w:fill="auto"/>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p>
        </w:tc>
      </w:tr>
    </w:tbl>
    <w:p w14:paraId="7FD566E3">
      <w:pPr>
        <w:shd w:val="clear" w:color="auto" w:fill="auto"/>
        <w:spacing w:line="360" w:lineRule="exact"/>
        <w:rPr>
          <w:rFonts w:hint="eastAsia" w:ascii="宋体" w:hAnsi="宋体" w:eastAsia="宋体" w:cs="宋体"/>
          <w:b/>
          <w:color w:val="auto"/>
          <w:szCs w:val="21"/>
          <w:highlight w:val="none"/>
        </w:rPr>
      </w:pPr>
    </w:p>
    <w:p w14:paraId="0CC098C4">
      <w:pPr>
        <w:shd w:val="clear" w:color="auto" w:fill="auto"/>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63F5C08">
      <w:pPr>
        <w:pStyle w:val="77"/>
        <w:shd w:val="clear" w:color="auto" w:fill="auto"/>
        <w:jc w:val="center"/>
        <w:outlineLvl w:val="9"/>
        <w:rPr>
          <w:rFonts w:hint="eastAsia" w:ascii="宋体" w:hAnsi="宋体" w:eastAsia="宋体" w:cs="宋体"/>
          <w:color w:val="auto"/>
          <w:sz w:val="32"/>
          <w:szCs w:val="32"/>
          <w:highlight w:val="none"/>
        </w:rPr>
      </w:pPr>
      <w:bookmarkStart w:id="27" w:name="_Toc531162032"/>
    </w:p>
    <w:p w14:paraId="013435ED">
      <w:pPr>
        <w:pStyle w:val="77"/>
        <w:shd w:val="clear" w:color="auto" w:fill="auto"/>
        <w:jc w:val="center"/>
        <w:rPr>
          <w:rFonts w:hint="eastAsia" w:ascii="宋体" w:hAnsi="宋体" w:eastAsia="宋体" w:cs="宋体"/>
          <w:color w:val="auto"/>
          <w:sz w:val="32"/>
          <w:szCs w:val="32"/>
          <w:highlight w:val="none"/>
        </w:rPr>
      </w:pPr>
      <w:bookmarkStart w:id="28" w:name="_Toc13504"/>
      <w:bookmarkStart w:id="29" w:name="_Toc25356"/>
      <w:r>
        <w:rPr>
          <w:rStyle w:val="79"/>
          <w:rFonts w:hint="eastAsia" w:ascii="宋体" w:hAnsi="宋体" w:eastAsia="宋体" w:cs="宋体"/>
          <w:b/>
          <w:bCs w:val="0"/>
          <w:color w:val="auto"/>
          <w:sz w:val="28"/>
          <w:szCs w:val="28"/>
          <w:highlight w:val="none"/>
        </w:rPr>
        <w:br w:type="page"/>
      </w:r>
      <w:r>
        <w:rPr>
          <w:rStyle w:val="79"/>
          <w:rFonts w:hint="eastAsia" w:ascii="宋体" w:hAnsi="宋体" w:eastAsia="宋体" w:cs="宋体"/>
          <w:b/>
          <w:bCs w:val="0"/>
          <w:color w:val="auto"/>
          <w:sz w:val="28"/>
          <w:szCs w:val="28"/>
          <w:highlight w:val="none"/>
        </w:rPr>
        <w:t>第二部分   通用合同条款（略）</w:t>
      </w:r>
      <w:bookmarkEnd w:id="27"/>
      <w:bookmarkEnd w:id="28"/>
      <w:bookmarkEnd w:id="29"/>
    </w:p>
    <w:p w14:paraId="79EF0B23">
      <w:pPr>
        <w:pStyle w:val="5"/>
        <w:shd w:val="clear" w:color="auto" w:fill="auto"/>
        <w:spacing w:before="0" w:after="0" w:line="360" w:lineRule="auto"/>
        <w:jc w:val="center"/>
        <w:rPr>
          <w:rFonts w:hint="eastAsia" w:ascii="宋体" w:hAnsi="宋体" w:eastAsia="宋体" w:cs="宋体"/>
          <w:color w:val="auto"/>
          <w:sz w:val="32"/>
          <w:szCs w:val="32"/>
          <w:highlight w:val="none"/>
        </w:rPr>
      </w:pPr>
      <w:bookmarkStart w:id="30" w:name="_Toc531162033"/>
      <w:bookmarkStart w:id="31" w:name="_Toc25906"/>
      <w:bookmarkStart w:id="32" w:name="_Toc5931"/>
      <w:bookmarkStart w:id="33" w:name="_Toc278377207"/>
      <w:bookmarkStart w:id="34" w:name="_Toc267919286"/>
      <w:bookmarkStart w:id="35" w:name="_Toc394573947"/>
      <w:bookmarkStart w:id="36" w:name="_Toc351203652"/>
      <w:r>
        <w:rPr>
          <w:rStyle w:val="79"/>
          <w:rFonts w:hint="eastAsia" w:ascii="宋体" w:hAnsi="宋体" w:eastAsia="宋体" w:cs="宋体"/>
          <w:b/>
          <w:bCs/>
          <w:color w:val="auto"/>
          <w:kern w:val="2"/>
          <w:sz w:val="28"/>
          <w:szCs w:val="28"/>
          <w:highlight w:val="none"/>
        </w:rPr>
        <w:t>第三部分　　专用合同条款</w:t>
      </w:r>
      <w:bookmarkEnd w:id="30"/>
      <w:bookmarkEnd w:id="31"/>
      <w:bookmarkEnd w:id="32"/>
      <w:bookmarkEnd w:id="33"/>
      <w:bookmarkEnd w:id="34"/>
      <w:bookmarkEnd w:id="35"/>
    </w:p>
    <w:p w14:paraId="1C362EFE">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bookmarkStart w:id="37" w:name="_Toc351203633"/>
      <w:r>
        <w:rPr>
          <w:rFonts w:hint="eastAsia" w:ascii="宋体" w:hAnsi="宋体" w:eastAsia="宋体" w:cs="宋体"/>
          <w:b w:val="0"/>
          <w:color w:val="auto"/>
          <w:sz w:val="21"/>
          <w:szCs w:val="21"/>
          <w:highlight w:val="none"/>
        </w:rPr>
        <w:t>1</w:t>
      </w:r>
      <w:bookmarkStart w:id="38" w:name="_Toc296944495"/>
      <w:bookmarkStart w:id="39" w:name="_Toc296890984"/>
      <w:bookmarkStart w:id="40" w:name="_Toc297120456"/>
      <w:bookmarkStart w:id="41" w:name="_Toc297048342"/>
      <w:bookmarkStart w:id="42" w:name="_Toc296891196"/>
      <w:bookmarkStart w:id="43" w:name="_Toc296503156"/>
      <w:bookmarkStart w:id="44" w:name="_Toc292559866"/>
      <w:bookmarkStart w:id="45" w:name="_Toc296347155"/>
      <w:bookmarkStart w:id="46" w:name="_Toc296346657"/>
      <w:bookmarkStart w:id="47" w:name="_Toc292559361"/>
      <w:r>
        <w:rPr>
          <w:rFonts w:hint="eastAsia" w:ascii="宋体" w:hAnsi="宋体" w:eastAsia="宋体" w:cs="宋体"/>
          <w:b w:val="0"/>
          <w:color w:val="auto"/>
          <w:sz w:val="21"/>
          <w:szCs w:val="21"/>
          <w:highlight w:val="none"/>
        </w:rPr>
        <w:t>. 一般约定</w:t>
      </w:r>
      <w:bookmarkEnd w:id="37"/>
    </w:p>
    <w:bookmarkEnd w:id="38"/>
    <w:bookmarkEnd w:id="39"/>
    <w:bookmarkEnd w:id="40"/>
    <w:bookmarkEnd w:id="41"/>
    <w:bookmarkEnd w:id="42"/>
    <w:bookmarkEnd w:id="43"/>
    <w:bookmarkEnd w:id="44"/>
    <w:bookmarkEnd w:id="45"/>
    <w:bookmarkEnd w:id="46"/>
    <w:bookmarkEnd w:id="47"/>
    <w:p w14:paraId="4E1A5FE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词语定义</w:t>
      </w:r>
    </w:p>
    <w:p w14:paraId="71AF409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1.1.1合同</w:t>
      </w:r>
    </w:p>
    <w:p w14:paraId="3D1E1E8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1.1.1.10其他合同文件包括：</w:t>
      </w:r>
      <w:r>
        <w:rPr>
          <w:rFonts w:hint="eastAsia" w:ascii="宋体" w:hAnsi="宋体" w:eastAsia="宋体" w:cs="宋体"/>
          <w:color w:val="auto"/>
          <w:kern w:val="0"/>
          <w:sz w:val="21"/>
          <w:szCs w:val="21"/>
          <w:highlight w:val="none"/>
          <w:u w:val="single"/>
        </w:rPr>
        <w:t>工程招标文件、《路桥区加强政府投资项目工程变更联系单管理若干规定（试行）》（路政办发[2011]76号）、《关于进一步加强政府投资项目工程变更联系单管理规定的通知》（路政办发[2013]68号）、除投标函及其附录和已标价工程量清单或预算书外的其它投标文件、</w:t>
      </w:r>
      <w:r>
        <w:rPr>
          <w:rFonts w:hint="eastAsia" w:ascii="宋体" w:hAnsi="宋体" w:eastAsia="宋体" w:cs="宋体"/>
          <w:color w:val="auto"/>
          <w:sz w:val="21"/>
          <w:szCs w:val="21"/>
          <w:highlight w:val="none"/>
          <w:u w:val="single"/>
        </w:rPr>
        <w:t>补充协议、补充条款、施工总承包工作质量管理及考核办法、有关工程洽商、变更、合同履行过程中经双方确认的会议纪要、</w:t>
      </w:r>
      <w:r>
        <w:rPr>
          <w:rFonts w:hint="eastAsia" w:ascii="宋体" w:hAnsi="宋体" w:eastAsia="宋体" w:cs="宋体"/>
          <w:color w:val="auto"/>
          <w:kern w:val="0"/>
          <w:sz w:val="21"/>
          <w:szCs w:val="21"/>
          <w:highlight w:val="none"/>
          <w:u w:val="single"/>
        </w:rPr>
        <w:t>经批准的施工组织设计、专项施工方案</w:t>
      </w:r>
      <w:r>
        <w:rPr>
          <w:rFonts w:hint="eastAsia" w:ascii="宋体" w:hAnsi="宋体" w:eastAsia="宋体" w:cs="宋体"/>
          <w:color w:val="auto"/>
          <w:sz w:val="21"/>
          <w:szCs w:val="21"/>
          <w:highlight w:val="none"/>
          <w:u w:val="single"/>
        </w:rPr>
        <w:t>等</w:t>
      </w:r>
      <w:r>
        <w:rPr>
          <w:rFonts w:hint="eastAsia" w:ascii="宋体" w:hAnsi="宋体" w:eastAsia="宋体" w:cs="宋体"/>
          <w:color w:val="auto"/>
          <w:kern w:val="0"/>
          <w:szCs w:val="21"/>
          <w:highlight w:val="none"/>
        </w:rPr>
        <w:t>。</w:t>
      </w:r>
    </w:p>
    <w:p w14:paraId="0A9B59D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合同当事人及其他相关方</w:t>
      </w:r>
    </w:p>
    <w:p w14:paraId="55A6572A">
      <w:pPr>
        <w:pageBreakBefore w:val="0"/>
        <w:shd w:val="clear" w:color="auto" w:fill="auto"/>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1.1.2.4</w:t>
      </w:r>
      <w:r>
        <w:rPr>
          <w:rFonts w:hint="eastAsia" w:ascii="宋体" w:hAnsi="宋体" w:eastAsia="宋体" w:cs="宋体"/>
          <w:color w:val="auto"/>
          <w:sz w:val="21"/>
          <w:szCs w:val="21"/>
          <w:highlight w:val="none"/>
        </w:rPr>
        <w:t>监理人：</w:t>
      </w:r>
      <w:r>
        <w:rPr>
          <w:rFonts w:hint="eastAsia" w:ascii="宋体" w:hAnsi="宋体" w:eastAsia="宋体" w:cs="宋体"/>
          <w:color w:val="auto"/>
          <w:sz w:val="21"/>
          <w:szCs w:val="21"/>
          <w:highlight w:val="none"/>
          <w:u w:val="single"/>
        </w:rPr>
        <w:t>以发包人书面通知为准。</w:t>
      </w:r>
    </w:p>
    <w:p w14:paraId="719F928F">
      <w:pPr>
        <w:pageBreakBefore w:val="0"/>
        <w:shd w:val="clear" w:color="auto" w:fill="auto"/>
        <w:kinsoku/>
        <w:wordWrap/>
        <w:overflowPunct/>
        <w:topLinePunct w:val="0"/>
        <w:bidi w:val="0"/>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1.1.2.5 设计人：</w:t>
      </w:r>
      <w:r>
        <w:rPr>
          <w:rFonts w:hint="eastAsia" w:ascii="宋体" w:hAnsi="宋体" w:eastAsia="宋体" w:cs="宋体"/>
          <w:color w:val="auto"/>
          <w:sz w:val="21"/>
          <w:szCs w:val="21"/>
          <w:highlight w:val="none"/>
          <w:u w:val="single"/>
          <w:lang w:val="en-US" w:eastAsia="zh-CN"/>
        </w:rPr>
        <w:t xml:space="preserve">                    。</w:t>
      </w:r>
    </w:p>
    <w:p w14:paraId="2597C41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工程和设备</w:t>
      </w:r>
    </w:p>
    <w:p w14:paraId="4F958BF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1.1.3.7 作为施工现场组成部分的其他场所包括：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  </w:t>
      </w:r>
    </w:p>
    <w:p w14:paraId="2F92589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1.1.3.9 永久占地包括：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   </w:t>
      </w:r>
    </w:p>
    <w:p w14:paraId="3722D07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1.1.3.10 临时占地包括：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   </w:t>
      </w:r>
    </w:p>
    <w:p w14:paraId="41F0BCD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1.3法律</w:t>
      </w:r>
    </w:p>
    <w:p w14:paraId="682CBC61">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适用于合同的其他规范性文件：</w:t>
      </w:r>
      <w:r>
        <w:rPr>
          <w:rFonts w:hint="eastAsia" w:ascii="宋体" w:hAnsi="宋体" w:eastAsia="宋体" w:cs="宋体"/>
          <w:color w:val="auto"/>
          <w:szCs w:val="21"/>
          <w:highlight w:val="none"/>
          <w:u w:val="single"/>
        </w:rPr>
        <w:t>《建设工程工程量清单计价规范》（GB50500-2013） ，《市政工程工程量计算规范》(GB50857-2013)，《浙江省市政工程预算定额》（2018版），《浙江省</w:t>
      </w:r>
      <w:r>
        <w:rPr>
          <w:rFonts w:hint="eastAsia" w:ascii="宋体" w:hAnsi="宋体" w:eastAsia="宋体" w:cs="宋体"/>
          <w:color w:val="auto"/>
          <w:szCs w:val="21"/>
          <w:highlight w:val="none"/>
          <w:u w:val="single"/>
          <w:lang w:val="en-US" w:eastAsia="zh-CN"/>
        </w:rPr>
        <w:t>安装</w:t>
      </w:r>
      <w:r>
        <w:rPr>
          <w:rFonts w:hint="eastAsia" w:ascii="宋体" w:hAnsi="宋体" w:eastAsia="宋体" w:cs="宋体"/>
          <w:color w:val="auto"/>
          <w:szCs w:val="21"/>
          <w:highlight w:val="none"/>
          <w:u w:val="single"/>
        </w:rPr>
        <w:t>工程预算定额》（2018版）</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《浙江省</w:t>
      </w:r>
      <w:r>
        <w:rPr>
          <w:rFonts w:hint="eastAsia" w:ascii="宋体" w:hAnsi="宋体" w:eastAsia="宋体" w:cs="宋体"/>
          <w:color w:val="auto"/>
          <w:szCs w:val="21"/>
          <w:highlight w:val="none"/>
          <w:u w:val="single"/>
          <w:lang w:val="en-US" w:eastAsia="zh-CN"/>
        </w:rPr>
        <w:t>园林绿化及仿古建筑</w:t>
      </w:r>
      <w:r>
        <w:rPr>
          <w:rFonts w:hint="eastAsia" w:ascii="宋体" w:hAnsi="宋体" w:eastAsia="宋体" w:cs="宋体"/>
          <w:color w:val="auto"/>
          <w:szCs w:val="21"/>
          <w:highlight w:val="none"/>
          <w:u w:val="single"/>
        </w:rPr>
        <w:t>工程预算定额》（2018版）</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《浙江省建设工程计价规则》（201</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）等工程所在地现行的有关工程造价方面规定</w:t>
      </w:r>
      <w:r>
        <w:rPr>
          <w:rFonts w:hint="eastAsia" w:ascii="宋体" w:hAnsi="宋体" w:eastAsia="宋体" w:cs="宋体"/>
          <w:color w:val="auto"/>
          <w:szCs w:val="21"/>
          <w:highlight w:val="none"/>
        </w:rPr>
        <w:t>。</w:t>
      </w:r>
    </w:p>
    <w:p w14:paraId="4E84E6A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标准和规范</w:t>
      </w:r>
    </w:p>
    <w:p w14:paraId="5D5755D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1.4.1适用于工程的标准规范包括：</w:t>
      </w:r>
      <w:r>
        <w:rPr>
          <w:rFonts w:hint="eastAsia" w:ascii="宋体" w:hAnsi="宋体" w:eastAsia="宋体" w:cs="宋体"/>
          <w:color w:val="auto"/>
          <w:szCs w:val="21"/>
          <w:highlight w:val="none"/>
          <w:u w:val="single"/>
        </w:rPr>
        <w:t>按现行的国家、省、市施工验收规范、质量评定标准及有关规定。合同工期内的标准、规范，招标文件中的技术要求等</w:t>
      </w:r>
      <w:r>
        <w:rPr>
          <w:rFonts w:hint="eastAsia" w:ascii="宋体" w:hAnsi="宋体" w:eastAsia="宋体" w:cs="宋体"/>
          <w:color w:val="auto"/>
          <w:szCs w:val="21"/>
          <w:highlight w:val="none"/>
        </w:rPr>
        <w:t>。</w:t>
      </w:r>
    </w:p>
    <w:p w14:paraId="664A23EE">
      <w:pPr>
        <w:pageBreakBefore w:val="0"/>
        <w:shd w:val="clear" w:color="auto" w:fill="auto"/>
        <w:kinsoku/>
        <w:wordWrap/>
        <w:overflowPunct/>
        <w:topLinePunct w:val="0"/>
        <w:bidi w:val="0"/>
        <w:spacing w:line="360" w:lineRule="exact"/>
        <w:ind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Cs w:val="21"/>
          <w:highlight w:val="none"/>
        </w:rPr>
        <w:t>1.4.2 发包人提供国外标准、规范的名称：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发包人不提供，由</w:t>
      </w:r>
      <w:r>
        <w:rPr>
          <w:rFonts w:hint="eastAsia" w:ascii="宋体" w:hAnsi="宋体" w:eastAsia="宋体" w:cs="宋体"/>
          <w:color w:val="auto"/>
          <w:sz w:val="21"/>
          <w:szCs w:val="21"/>
          <w:highlight w:val="none"/>
          <w:u w:val="single"/>
          <w:lang w:eastAsia="zh-CN"/>
        </w:rPr>
        <w:t>承包人</w:t>
      </w:r>
      <w:r>
        <w:rPr>
          <w:rFonts w:hint="eastAsia" w:ascii="宋体" w:hAnsi="宋体" w:eastAsia="宋体" w:cs="宋体"/>
          <w:color w:val="auto"/>
          <w:sz w:val="21"/>
          <w:szCs w:val="21"/>
          <w:highlight w:val="none"/>
          <w:u w:val="single"/>
        </w:rPr>
        <w:t>自行解决</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FC0F344">
      <w:pPr>
        <w:pageBreakBefore w:val="0"/>
        <w:shd w:val="clear" w:color="auto" w:fill="auto"/>
        <w:kinsoku/>
        <w:wordWrap/>
        <w:overflowPunct/>
        <w:topLinePunct w:val="0"/>
        <w:bidi w:val="0"/>
        <w:spacing w:line="36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发包人提供国外标准、规范的份数：</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622B6DDC">
      <w:pPr>
        <w:pageBreakBefore w:val="0"/>
        <w:shd w:val="clear" w:color="auto" w:fill="auto"/>
        <w:kinsoku/>
        <w:wordWrap/>
        <w:overflowPunct/>
        <w:topLinePunct w:val="0"/>
        <w:bidi w:val="0"/>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发包人提供国外标准、规范的名称：</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6E2DF8E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1.4.3发包人对工程的技术标准和功能要求的特殊要求：</w:t>
      </w:r>
      <w:r>
        <w:rPr>
          <w:rFonts w:hint="eastAsia" w:ascii="宋体" w:hAnsi="宋体" w:eastAsia="宋体" w:cs="宋体"/>
          <w:color w:val="auto"/>
          <w:szCs w:val="21"/>
          <w:highlight w:val="none"/>
          <w:u w:val="single"/>
        </w:rPr>
        <w:t>国家没有相应标准、规范且不使用国外标准、规范时，按发包人和承包人商定的方案施工</w:t>
      </w:r>
      <w:r>
        <w:rPr>
          <w:rFonts w:hint="eastAsia" w:ascii="宋体" w:hAnsi="宋体" w:eastAsia="宋体" w:cs="宋体"/>
          <w:color w:val="auto"/>
          <w:szCs w:val="21"/>
          <w:highlight w:val="none"/>
        </w:rPr>
        <w:t>。</w:t>
      </w:r>
    </w:p>
    <w:p w14:paraId="31C2B06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合同文件的优先顺序</w:t>
      </w:r>
    </w:p>
    <w:p w14:paraId="533A907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合同文件组成及优先顺序为：</w:t>
      </w:r>
      <w:r>
        <w:rPr>
          <w:rFonts w:hint="eastAsia" w:ascii="宋体" w:hAnsi="宋体" w:eastAsia="宋体" w:cs="宋体"/>
          <w:color w:val="auto"/>
          <w:szCs w:val="21"/>
          <w:highlight w:val="none"/>
          <w:u w:val="single"/>
        </w:rPr>
        <w:t>按合同通用条款。</w:t>
      </w:r>
    </w:p>
    <w:p w14:paraId="39C0CFA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图纸和承包人文件</w:t>
      </w:r>
      <w:r>
        <w:rPr>
          <w:rFonts w:hint="eastAsia" w:ascii="宋体" w:hAnsi="宋体" w:eastAsia="宋体" w:cs="宋体"/>
          <w:color w:val="auto"/>
          <w:szCs w:val="21"/>
          <w:highlight w:val="none"/>
        </w:rPr>
        <w:tab/>
      </w:r>
    </w:p>
    <w:p w14:paraId="3ADA2BF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图纸的提供</w:t>
      </w:r>
    </w:p>
    <w:p w14:paraId="1CA1E1C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发包人向承包人提供图纸的期限：</w:t>
      </w:r>
      <w:r>
        <w:rPr>
          <w:rFonts w:hint="eastAsia" w:ascii="宋体" w:hAnsi="宋体" w:eastAsia="宋体" w:cs="宋体"/>
          <w:color w:val="auto"/>
          <w:szCs w:val="21"/>
          <w:highlight w:val="none"/>
          <w:u w:val="single"/>
        </w:rPr>
        <w:t>开工日期14天前</w:t>
      </w:r>
      <w:r>
        <w:rPr>
          <w:rFonts w:hint="eastAsia" w:ascii="宋体" w:hAnsi="宋体" w:eastAsia="宋体" w:cs="宋体"/>
          <w:color w:val="auto"/>
          <w:szCs w:val="21"/>
          <w:highlight w:val="none"/>
        </w:rPr>
        <w:t>；</w:t>
      </w:r>
    </w:p>
    <w:p w14:paraId="30DECBF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发包人向承包人提供图纸的数量：</w:t>
      </w:r>
      <w:r>
        <w:rPr>
          <w:rFonts w:hint="eastAsia" w:ascii="宋体" w:hAnsi="宋体" w:eastAsia="宋体" w:cs="宋体"/>
          <w:color w:val="auto"/>
          <w:szCs w:val="21"/>
          <w:highlight w:val="none"/>
          <w:u w:val="single"/>
        </w:rPr>
        <w:t>纸质施工图〔    〕套并附目录清单及与其一致的电子版施工图。</w:t>
      </w:r>
    </w:p>
    <w:p w14:paraId="26E976C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发包人向承包人提供图纸的内容：</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p w14:paraId="37A1327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承包人文件</w:t>
      </w:r>
    </w:p>
    <w:p w14:paraId="301BD58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需要由承包人提供的文件，包括：</w:t>
      </w:r>
      <w:r>
        <w:rPr>
          <w:rFonts w:hint="eastAsia" w:ascii="宋体" w:hAnsi="宋体" w:eastAsia="宋体" w:cs="宋体"/>
          <w:b/>
          <w:bCs/>
          <w:color w:val="auto"/>
          <w:szCs w:val="21"/>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r>
        <w:rPr>
          <w:rFonts w:hint="eastAsia" w:ascii="宋体" w:hAnsi="宋体" w:eastAsia="宋体" w:cs="宋体"/>
          <w:color w:val="auto"/>
          <w:szCs w:val="21"/>
          <w:highlight w:val="none"/>
          <w:u w:val="single"/>
        </w:rPr>
        <w:t>。</w:t>
      </w:r>
    </w:p>
    <w:p w14:paraId="2350707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承包人提供的文件的期限为：</w:t>
      </w:r>
      <w:r>
        <w:rPr>
          <w:rFonts w:hint="eastAsia" w:ascii="宋体" w:hAnsi="宋体" w:eastAsia="宋体" w:cs="宋体"/>
          <w:color w:val="auto"/>
          <w:szCs w:val="21"/>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eastAsia="宋体" w:cs="宋体"/>
          <w:color w:val="auto"/>
          <w:szCs w:val="21"/>
          <w:highlight w:val="none"/>
        </w:rPr>
        <w:t>；</w:t>
      </w:r>
    </w:p>
    <w:p w14:paraId="40CCC36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承包人提供的文件的数量为：</w:t>
      </w:r>
      <w:r>
        <w:rPr>
          <w:rFonts w:hint="eastAsia" w:ascii="宋体" w:hAnsi="宋体" w:eastAsia="宋体" w:cs="宋体"/>
          <w:color w:val="auto"/>
          <w:szCs w:val="21"/>
          <w:highlight w:val="none"/>
          <w:u w:val="single"/>
        </w:rPr>
        <w:t xml:space="preserve">   按发包人要求     </w:t>
      </w:r>
      <w:r>
        <w:rPr>
          <w:rFonts w:hint="eastAsia" w:ascii="宋体" w:hAnsi="宋体" w:eastAsia="宋体" w:cs="宋体"/>
          <w:color w:val="auto"/>
          <w:szCs w:val="21"/>
          <w:highlight w:val="none"/>
        </w:rPr>
        <w:t>；</w:t>
      </w:r>
    </w:p>
    <w:p w14:paraId="77107E9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承包人提供的文件的形式为：</w:t>
      </w:r>
      <w:r>
        <w:rPr>
          <w:rFonts w:hint="eastAsia" w:ascii="宋体" w:hAnsi="宋体" w:eastAsia="宋体" w:cs="宋体"/>
          <w:color w:val="auto"/>
          <w:szCs w:val="21"/>
          <w:highlight w:val="none"/>
          <w:u w:val="single"/>
        </w:rPr>
        <w:t xml:space="preserve">纸质及电子版本        </w:t>
      </w:r>
      <w:r>
        <w:rPr>
          <w:rFonts w:hint="eastAsia" w:ascii="宋体" w:hAnsi="宋体" w:eastAsia="宋体" w:cs="宋体"/>
          <w:color w:val="auto"/>
          <w:szCs w:val="21"/>
          <w:highlight w:val="none"/>
        </w:rPr>
        <w:t>；</w:t>
      </w:r>
    </w:p>
    <w:p w14:paraId="7F0E29B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发包人审批承包人文件的期限：</w:t>
      </w:r>
      <w:r>
        <w:rPr>
          <w:rFonts w:hint="eastAsia" w:ascii="宋体" w:hAnsi="宋体" w:eastAsia="宋体" w:cs="宋体"/>
          <w:color w:val="auto"/>
          <w:szCs w:val="21"/>
          <w:highlight w:val="none"/>
          <w:u w:val="single"/>
        </w:rPr>
        <w:t>收到相应文件后7天内 </w:t>
      </w:r>
      <w:r>
        <w:rPr>
          <w:rFonts w:hint="eastAsia" w:ascii="宋体" w:hAnsi="宋体" w:eastAsia="宋体" w:cs="宋体"/>
          <w:color w:val="auto"/>
          <w:szCs w:val="21"/>
          <w:highlight w:val="none"/>
        </w:rPr>
        <w:t>。</w:t>
      </w:r>
    </w:p>
    <w:p w14:paraId="1676712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 现场图纸准备</w:t>
      </w:r>
    </w:p>
    <w:p w14:paraId="3795420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关于现场图纸准备的约定：</w:t>
      </w:r>
      <w:r>
        <w:rPr>
          <w:rFonts w:hint="eastAsia" w:ascii="宋体" w:hAnsi="宋体" w:eastAsia="宋体" w:cs="宋体"/>
          <w:color w:val="auto"/>
          <w:szCs w:val="21"/>
          <w:highlight w:val="none"/>
          <w:u w:val="single"/>
        </w:rPr>
        <w:t>由监理人在现场保管一套完整施工图，供发包人、监理人及有关人员进行工程检查等活动时使用</w:t>
      </w:r>
      <w:r>
        <w:rPr>
          <w:rFonts w:hint="eastAsia" w:ascii="宋体" w:hAnsi="宋体" w:eastAsia="宋体" w:cs="宋体"/>
          <w:color w:val="auto"/>
          <w:szCs w:val="21"/>
          <w:highlight w:val="none"/>
        </w:rPr>
        <w:t>。</w:t>
      </w:r>
    </w:p>
    <w:p w14:paraId="4CCA4E5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 联络</w:t>
      </w:r>
    </w:p>
    <w:p w14:paraId="0C28945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1.7.1发包人和承包人应当在</w:t>
      </w:r>
      <w:r>
        <w:rPr>
          <w:rFonts w:hint="eastAsia" w:ascii="宋体" w:hAnsi="宋体" w:eastAsia="宋体" w:cs="宋体"/>
          <w:color w:val="auto"/>
          <w:szCs w:val="21"/>
          <w:highlight w:val="none"/>
          <w:u w:val="single"/>
        </w:rPr>
        <w:t xml:space="preserve">7  </w:t>
      </w:r>
      <w:r>
        <w:rPr>
          <w:rFonts w:hint="eastAsia" w:ascii="宋体" w:hAnsi="宋体" w:eastAsia="宋体" w:cs="宋体"/>
          <w:color w:val="auto"/>
          <w:kern w:val="0"/>
          <w:szCs w:val="21"/>
          <w:highlight w:val="none"/>
        </w:rPr>
        <w:t>天内将与合同有关的通知、批准、证明、证书、指示、指令、要求、请求、同意、意见、确定和决定等书面函件送达对方当事人。</w:t>
      </w:r>
    </w:p>
    <w:p w14:paraId="6EB2470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 发包人接收文件的地点：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51CACFE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发包人指定的接收人为：</w:t>
      </w:r>
      <w:r>
        <w:rPr>
          <w:rFonts w:hint="eastAsia" w:ascii="宋体" w:hAnsi="宋体" w:eastAsia="宋体" w:cs="宋体"/>
          <w:color w:val="auto"/>
          <w:szCs w:val="21"/>
          <w:highlight w:val="none"/>
          <w:u w:val="single"/>
        </w:rPr>
        <w:t>（2人以上及联系电话）</w:t>
      </w:r>
      <w:r>
        <w:rPr>
          <w:rFonts w:hint="eastAsia" w:ascii="宋体" w:hAnsi="宋体" w:eastAsia="宋体" w:cs="宋体"/>
          <w:color w:val="auto"/>
          <w:kern w:val="0"/>
          <w:szCs w:val="21"/>
          <w:highlight w:val="none"/>
        </w:rPr>
        <w:t>。</w:t>
      </w:r>
    </w:p>
    <w:p w14:paraId="320F606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承包人接收文件的地点：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623C47F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承包人指定的接收人为：</w:t>
      </w:r>
      <w:r>
        <w:rPr>
          <w:rFonts w:hint="eastAsia" w:ascii="宋体" w:hAnsi="宋体" w:eastAsia="宋体" w:cs="宋体"/>
          <w:color w:val="auto"/>
          <w:szCs w:val="21"/>
          <w:highlight w:val="none"/>
          <w:u w:val="single"/>
        </w:rPr>
        <w:t xml:space="preserve">（2人以上及联系电话） </w:t>
      </w:r>
      <w:r>
        <w:rPr>
          <w:rFonts w:hint="eastAsia" w:ascii="宋体" w:hAnsi="宋体" w:eastAsia="宋体" w:cs="宋体"/>
          <w:color w:val="auto"/>
          <w:kern w:val="0"/>
          <w:szCs w:val="21"/>
          <w:highlight w:val="none"/>
        </w:rPr>
        <w:t>。</w:t>
      </w:r>
    </w:p>
    <w:p w14:paraId="0EE2200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监理人接收文件的地点：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2630E91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监理人指定的接收人为：</w:t>
      </w:r>
      <w:r>
        <w:rPr>
          <w:rFonts w:hint="eastAsia" w:ascii="宋体" w:hAnsi="宋体" w:eastAsia="宋体" w:cs="宋体"/>
          <w:color w:val="auto"/>
          <w:szCs w:val="21"/>
          <w:highlight w:val="none"/>
          <w:u w:val="single"/>
        </w:rPr>
        <w:t>（2人以上及联系电话） </w:t>
      </w:r>
      <w:r>
        <w:rPr>
          <w:rFonts w:hint="eastAsia" w:ascii="宋体" w:hAnsi="宋体" w:eastAsia="宋体" w:cs="宋体"/>
          <w:color w:val="auto"/>
          <w:kern w:val="0"/>
          <w:szCs w:val="21"/>
          <w:highlight w:val="none"/>
        </w:rPr>
        <w:t>。</w:t>
      </w:r>
    </w:p>
    <w:p w14:paraId="1FDDFF1D">
      <w:pPr>
        <w:pageBreakBefore w:val="0"/>
        <w:shd w:val="clear" w:color="auto" w:fill="auto"/>
        <w:kinsoku/>
        <w:wordWrap/>
        <w:overflowPunct/>
        <w:topLinePunct w:val="0"/>
        <w:bidi w:val="0"/>
        <w:adjustRightInd/>
        <w:snapToGrid/>
        <w:spacing w:line="330" w:lineRule="exact"/>
        <w:ind w:left="0" w:leftChars="0"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发包人、承包人、监理人的文件接收地址、接收人（含联系电话）发生变动的，应提前3天通知各方。</w:t>
      </w:r>
    </w:p>
    <w:p w14:paraId="277A64B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 交通运输</w:t>
      </w:r>
    </w:p>
    <w:p w14:paraId="1FB93A2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48" w:name="_Toc318581155"/>
      <w:bookmarkStart w:id="49" w:name="_Toc300934943"/>
      <w:bookmarkStart w:id="50" w:name="_Toc303539100"/>
      <w:bookmarkStart w:id="51" w:name="_Toc304295521"/>
      <w:bookmarkStart w:id="52" w:name="_Toc312677986"/>
      <w:r>
        <w:rPr>
          <w:rFonts w:hint="eastAsia" w:ascii="宋体" w:hAnsi="宋体" w:eastAsia="宋体" w:cs="宋体"/>
          <w:color w:val="auto"/>
          <w:szCs w:val="21"/>
          <w:highlight w:val="none"/>
        </w:rPr>
        <w:t>.10.1 出入现场的权利</w:t>
      </w:r>
    </w:p>
    <w:p w14:paraId="0EB9942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关于出入现场的权利的约定：</w:t>
      </w:r>
      <w:r>
        <w:rPr>
          <w:rFonts w:hint="eastAsia" w:ascii="宋体" w:hAnsi="宋体" w:eastAsia="宋体" w:cs="宋体"/>
          <w:color w:val="auto"/>
          <w:szCs w:val="21"/>
          <w:highlight w:val="none"/>
          <w:u w:val="single"/>
        </w:rPr>
        <w:t>按合同通用条款，可视工程实际双方再补充约定</w:t>
      </w:r>
      <w:r>
        <w:rPr>
          <w:rFonts w:hint="eastAsia" w:ascii="宋体" w:hAnsi="宋体" w:eastAsia="宋体" w:cs="宋体"/>
          <w:color w:val="auto"/>
          <w:szCs w:val="21"/>
          <w:highlight w:val="none"/>
        </w:rPr>
        <w:t>。</w:t>
      </w:r>
    </w:p>
    <w:bookmarkEnd w:id="48"/>
    <w:bookmarkEnd w:id="49"/>
    <w:bookmarkEnd w:id="50"/>
    <w:bookmarkEnd w:id="51"/>
    <w:bookmarkEnd w:id="52"/>
    <w:p w14:paraId="0EFA341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53" w:name="_Toc303539101"/>
      <w:bookmarkStart w:id="54" w:name="_Toc304295522"/>
      <w:bookmarkStart w:id="55" w:name="_Toc318581156"/>
      <w:bookmarkStart w:id="56" w:name="_Toc312677987"/>
      <w:bookmarkStart w:id="57" w:name="_Toc300934944"/>
      <w:r>
        <w:rPr>
          <w:rFonts w:hint="eastAsia" w:ascii="宋体" w:hAnsi="宋体" w:eastAsia="宋体" w:cs="宋体"/>
          <w:color w:val="auto"/>
          <w:szCs w:val="21"/>
          <w:highlight w:val="none"/>
        </w:rPr>
        <w:t>.10.3 场内交通</w:t>
      </w:r>
    </w:p>
    <w:p w14:paraId="4874BC3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关于场外交通和场内交通的边界的约定：</w:t>
      </w:r>
      <w:r>
        <w:rPr>
          <w:rFonts w:hint="eastAsia" w:ascii="宋体" w:hAnsi="宋体" w:eastAsia="宋体" w:cs="宋体"/>
          <w:i/>
          <w:color w:val="auto"/>
          <w:kern w:val="0"/>
          <w:szCs w:val="21"/>
          <w:highlight w:val="none"/>
          <w:u w:val="single"/>
        </w:rPr>
        <w:t xml:space="preserve"> </w:t>
      </w:r>
      <w:r>
        <w:rPr>
          <w:rFonts w:hint="eastAsia" w:ascii="宋体" w:hAnsi="宋体" w:eastAsia="宋体" w:cs="宋体"/>
          <w:color w:val="auto"/>
          <w:sz w:val="21"/>
          <w:szCs w:val="21"/>
          <w:highlight w:val="none"/>
          <w:u w:val="single"/>
        </w:rPr>
        <w:t>发包人提供的施工条件为现状，承包人自行组织现场踏勘了解。由承包人自行在投标报价中综合考虑，结算时不另行计取费用。</w:t>
      </w:r>
      <w:r>
        <w:rPr>
          <w:rFonts w:hint="eastAsia" w:ascii="宋体" w:hAnsi="宋体" w:eastAsia="宋体" w:cs="宋体"/>
          <w:i/>
          <w:color w:val="auto"/>
          <w:kern w:val="0"/>
          <w:szCs w:val="21"/>
          <w:highlight w:val="none"/>
          <w:u w:val="single"/>
        </w:rPr>
        <w:t xml:space="preserve"> </w:t>
      </w:r>
      <w:r>
        <w:rPr>
          <w:rFonts w:hint="eastAsia" w:ascii="宋体" w:hAnsi="宋体" w:eastAsia="宋体" w:cs="宋体"/>
          <w:color w:val="auto"/>
          <w:szCs w:val="21"/>
          <w:highlight w:val="none"/>
        </w:rPr>
        <w:t>。</w:t>
      </w:r>
    </w:p>
    <w:p w14:paraId="781DC95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kern w:val="0"/>
          <w:szCs w:val="21"/>
          <w:highlight w:val="none"/>
          <w:u w:val="single"/>
        </w:rPr>
        <w:t>发包人提供的场内交通条件为现状，承包人自行组织现场踏勘</w:t>
      </w:r>
      <w:r>
        <w:rPr>
          <w:rFonts w:hint="eastAsia" w:ascii="宋体" w:hAnsi="宋体" w:eastAsia="宋体" w:cs="宋体"/>
          <w:color w:val="auto"/>
          <w:szCs w:val="21"/>
          <w:highlight w:val="none"/>
        </w:rPr>
        <w:t>。</w:t>
      </w:r>
      <w:bookmarkEnd w:id="53"/>
      <w:bookmarkEnd w:id="54"/>
      <w:bookmarkEnd w:id="55"/>
      <w:bookmarkEnd w:id="56"/>
      <w:bookmarkEnd w:id="57"/>
      <w:bookmarkStart w:id="58" w:name="_Toc318581157"/>
    </w:p>
    <w:p w14:paraId="6C6B0C5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1.10.4超大件和超重件的运输</w:t>
      </w:r>
    </w:p>
    <w:p w14:paraId="4D74879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运输超大件或超重件所需的道路和桥梁临时加固改造费用和其他有关费用</w:t>
      </w:r>
      <w:r>
        <w:rPr>
          <w:rFonts w:hint="eastAsia" w:ascii="宋体" w:hAnsi="宋体" w:eastAsia="宋体" w:cs="宋体"/>
          <w:color w:val="auto"/>
          <w:kern w:val="0"/>
          <w:szCs w:val="21"/>
          <w:highlight w:val="none"/>
          <w:u w:val="single"/>
        </w:rPr>
        <w:t>已包含在签约合同价中，由承包人承担</w:t>
      </w:r>
      <w:r>
        <w:rPr>
          <w:rFonts w:hint="eastAsia" w:ascii="宋体" w:hAnsi="宋体" w:eastAsia="宋体" w:cs="宋体"/>
          <w:color w:val="auto"/>
          <w:szCs w:val="21"/>
          <w:highlight w:val="none"/>
          <w:u w:val="single"/>
        </w:rPr>
        <w:t>。</w:t>
      </w:r>
    </w:p>
    <w:bookmarkEnd w:id="58"/>
    <w:p w14:paraId="5668F56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知识产权</w:t>
      </w:r>
    </w:p>
    <w:p w14:paraId="129D3D1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按合同通用条款</w:t>
      </w:r>
      <w:r>
        <w:rPr>
          <w:rFonts w:hint="eastAsia" w:ascii="宋体" w:hAnsi="宋体" w:eastAsia="宋体" w:cs="宋体"/>
          <w:color w:val="auto"/>
          <w:szCs w:val="21"/>
          <w:highlight w:val="none"/>
        </w:rPr>
        <w:t>。</w:t>
      </w:r>
    </w:p>
    <w:p w14:paraId="0FDAA49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 xml:space="preserve"> 按合同通用条款</w:t>
      </w:r>
      <w:r>
        <w:rPr>
          <w:rFonts w:hint="eastAsia" w:ascii="宋体" w:hAnsi="宋体" w:eastAsia="宋体" w:cs="宋体"/>
          <w:color w:val="auto"/>
          <w:szCs w:val="21"/>
          <w:highlight w:val="none"/>
        </w:rPr>
        <w:t>。</w:t>
      </w:r>
    </w:p>
    <w:p w14:paraId="37B2B66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关于承包人为实施工程所编制文件的著作权的归属：</w:t>
      </w:r>
      <w:r>
        <w:rPr>
          <w:rFonts w:hint="eastAsia" w:ascii="宋体" w:hAnsi="宋体" w:eastAsia="宋体" w:cs="宋体"/>
          <w:color w:val="auto"/>
          <w:szCs w:val="21"/>
          <w:highlight w:val="none"/>
          <w:u w:val="single"/>
        </w:rPr>
        <w:t xml:space="preserve"> 发包人</w:t>
      </w:r>
      <w:r>
        <w:rPr>
          <w:rFonts w:hint="eastAsia" w:ascii="宋体" w:hAnsi="宋体" w:eastAsia="宋体" w:cs="宋体"/>
          <w:color w:val="auto"/>
          <w:szCs w:val="21"/>
          <w:highlight w:val="none"/>
        </w:rPr>
        <w:t>。</w:t>
      </w:r>
    </w:p>
    <w:p w14:paraId="04F830A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按合同通用条款</w:t>
      </w:r>
      <w:r>
        <w:rPr>
          <w:rFonts w:hint="eastAsia" w:ascii="宋体" w:hAnsi="宋体" w:eastAsia="宋体" w:cs="宋体"/>
          <w:color w:val="auto"/>
          <w:szCs w:val="21"/>
          <w:highlight w:val="none"/>
        </w:rPr>
        <w:t>。</w:t>
      </w:r>
    </w:p>
    <w:p w14:paraId="7FDD40F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1.11.4 承包人在施工过程中所采用的专利、专有技术、技术秘密的使用费的承担方式：</w:t>
      </w:r>
      <w:r>
        <w:rPr>
          <w:rFonts w:hint="eastAsia" w:ascii="宋体" w:hAnsi="宋体" w:eastAsia="宋体" w:cs="宋体"/>
          <w:color w:val="auto"/>
          <w:szCs w:val="21"/>
          <w:highlight w:val="none"/>
          <w:u w:val="single"/>
        </w:rPr>
        <w:t>包含在签约合同价内</w:t>
      </w:r>
      <w:r>
        <w:rPr>
          <w:rFonts w:hint="eastAsia" w:ascii="宋体" w:hAnsi="宋体" w:eastAsia="宋体" w:cs="宋体"/>
          <w:color w:val="auto"/>
          <w:kern w:val="0"/>
          <w:szCs w:val="21"/>
          <w:highlight w:val="none"/>
        </w:rPr>
        <w:t>。</w:t>
      </w:r>
    </w:p>
    <w:p w14:paraId="1447BBF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1.13工程量清单错误的修正</w:t>
      </w:r>
    </w:p>
    <w:p w14:paraId="6E76F5B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出现工程量清单错误时，是否调整合同价格：</w:t>
      </w:r>
      <w:r>
        <w:rPr>
          <w:rFonts w:hint="eastAsia" w:ascii="宋体" w:hAnsi="宋体" w:eastAsia="宋体" w:cs="宋体"/>
          <w:b/>
          <w:bCs/>
          <w:color w:val="auto"/>
          <w:szCs w:val="21"/>
          <w:highlight w:val="none"/>
          <w:u w:val="single"/>
        </w:rPr>
        <w:t xml:space="preserve">工程量清单特征描述不符引起造价变化的子目及工程量清单漏项子目按专用条款10.4.1（2）（3）（4）条约定调整合同价格 </w:t>
      </w:r>
      <w:r>
        <w:rPr>
          <w:rFonts w:hint="eastAsia" w:ascii="宋体" w:hAnsi="宋体" w:eastAsia="宋体" w:cs="宋体"/>
          <w:b/>
          <w:bCs/>
          <w:color w:val="auto"/>
          <w:kern w:val="0"/>
          <w:szCs w:val="21"/>
          <w:highlight w:val="none"/>
        </w:rPr>
        <w:t>。</w:t>
      </w:r>
    </w:p>
    <w:p w14:paraId="6B2C448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允许调整合同价格的工程量偏差范围：</w:t>
      </w:r>
      <w:r>
        <w:rPr>
          <w:rFonts w:hint="eastAsia" w:ascii="宋体" w:hAnsi="宋体" w:eastAsia="宋体" w:cs="宋体"/>
          <w:b/>
          <w:bCs/>
          <w:color w:val="auto"/>
          <w:szCs w:val="21"/>
          <w:highlight w:val="none"/>
          <w:u w:val="single"/>
        </w:rPr>
        <w:t>因招标工程量清单中的工程量</w:t>
      </w:r>
      <w:r>
        <w:rPr>
          <w:rFonts w:hint="eastAsia" w:ascii="宋体" w:hAnsi="宋体" w:eastAsia="宋体" w:cs="宋体"/>
          <w:b/>
          <w:bCs/>
          <w:color w:val="auto"/>
          <w:szCs w:val="21"/>
          <w:highlight w:val="none"/>
          <w:u w:val="single"/>
          <w:lang w:val="zh-CN"/>
        </w:rPr>
        <w:t>计算偏差或工程变更等引起的</w:t>
      </w:r>
      <w:r>
        <w:rPr>
          <w:rFonts w:hint="eastAsia" w:ascii="宋体" w:hAnsi="宋体" w:eastAsia="宋体" w:cs="宋体"/>
          <w:b/>
          <w:bCs/>
          <w:color w:val="auto"/>
          <w:szCs w:val="21"/>
          <w:highlight w:val="none"/>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r>
        <w:rPr>
          <w:rFonts w:hint="eastAsia" w:ascii="宋体" w:hAnsi="宋体" w:eastAsia="宋体" w:cs="宋体"/>
          <w:color w:val="auto"/>
          <w:szCs w:val="21"/>
          <w:highlight w:val="none"/>
          <w:u w:val="single"/>
        </w:rPr>
        <w:t>。</w:t>
      </w:r>
    </w:p>
    <w:p w14:paraId="692086B9">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bookmarkStart w:id="59" w:name="_Toc351203634"/>
      <w:r>
        <w:rPr>
          <w:rFonts w:hint="eastAsia" w:ascii="宋体" w:hAnsi="宋体" w:eastAsia="宋体" w:cs="宋体"/>
          <w:b w:val="0"/>
          <w:color w:val="auto"/>
          <w:sz w:val="21"/>
          <w:szCs w:val="21"/>
          <w:highlight w:val="none"/>
        </w:rPr>
        <w:t>2</w:t>
      </w:r>
      <w:bookmarkStart w:id="60" w:name="_Toc297048343"/>
      <w:bookmarkStart w:id="61" w:name="_Toc297120457"/>
      <w:bookmarkStart w:id="62" w:name="_Toc292559867"/>
      <w:bookmarkStart w:id="63" w:name="_Toc296890985"/>
      <w:bookmarkStart w:id="64" w:name="_Toc296891197"/>
      <w:bookmarkStart w:id="65" w:name="_Toc296346658"/>
      <w:bookmarkStart w:id="66" w:name="_Toc296347156"/>
      <w:bookmarkStart w:id="67" w:name="_Toc296944496"/>
      <w:bookmarkStart w:id="68" w:name="_Toc292559362"/>
      <w:bookmarkStart w:id="69" w:name="_Toc296503157"/>
      <w:r>
        <w:rPr>
          <w:rFonts w:hint="eastAsia" w:ascii="宋体" w:hAnsi="宋体" w:eastAsia="宋体" w:cs="宋体"/>
          <w:b w:val="0"/>
          <w:color w:val="auto"/>
          <w:sz w:val="21"/>
          <w:szCs w:val="21"/>
          <w:highlight w:val="none"/>
        </w:rPr>
        <w:t>. 发包人</w:t>
      </w:r>
      <w:bookmarkEnd w:id="59"/>
    </w:p>
    <w:bookmarkEnd w:id="60"/>
    <w:bookmarkEnd w:id="61"/>
    <w:bookmarkEnd w:id="62"/>
    <w:bookmarkEnd w:id="63"/>
    <w:bookmarkEnd w:id="64"/>
    <w:bookmarkEnd w:id="65"/>
    <w:bookmarkEnd w:id="66"/>
    <w:bookmarkEnd w:id="67"/>
    <w:bookmarkEnd w:id="68"/>
    <w:bookmarkEnd w:id="69"/>
    <w:p w14:paraId="0858023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发包人代表</w:t>
      </w:r>
    </w:p>
    <w:p w14:paraId="2E16260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发包人代表：</w:t>
      </w:r>
    </w:p>
    <w:p w14:paraId="58AFD3A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9C7A18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5BD28E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1E4BFC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A7DDDD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AFE256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C29B0B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发包人对发包人代表的授权范围如下：</w:t>
      </w:r>
      <w:r>
        <w:rPr>
          <w:rFonts w:hint="eastAsia" w:ascii="宋体" w:hAnsi="宋体" w:eastAsia="宋体" w:cs="宋体"/>
          <w:color w:val="auto"/>
          <w:szCs w:val="21"/>
          <w:highlight w:val="none"/>
          <w:u w:val="single"/>
        </w:rPr>
        <w:t>代表发包人对承包人的工程质量管理、安全文明施工和施工进度管理等进行监督，协调施工现场，配合完成验收，按有关规定办理接收手续</w:t>
      </w:r>
      <w:r>
        <w:rPr>
          <w:rFonts w:hint="eastAsia" w:ascii="宋体" w:hAnsi="宋体" w:eastAsia="宋体" w:cs="宋体"/>
          <w:color w:val="auto"/>
          <w:szCs w:val="21"/>
          <w:highlight w:val="none"/>
        </w:rPr>
        <w:t>。</w:t>
      </w:r>
    </w:p>
    <w:p w14:paraId="1AD37D5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施工现场、施工条件和基础资料的提供</w:t>
      </w:r>
    </w:p>
    <w:p w14:paraId="12BCD24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 提供施工现场</w:t>
      </w:r>
    </w:p>
    <w:p w14:paraId="574C162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关于发包人移交施工现场的期限要求：</w:t>
      </w:r>
      <w:r>
        <w:rPr>
          <w:rFonts w:hint="eastAsia" w:ascii="宋体" w:hAnsi="宋体" w:eastAsia="宋体" w:cs="宋体"/>
          <w:color w:val="auto"/>
          <w:szCs w:val="21"/>
          <w:highlight w:val="none"/>
          <w:u w:val="single"/>
        </w:rPr>
        <w:t></w:t>
      </w:r>
      <w:r>
        <w:rPr>
          <w:rFonts w:hint="eastAsia" w:ascii="宋体" w:hAnsi="宋体" w:eastAsia="宋体" w:cs="宋体"/>
          <w:b/>
          <w:bCs/>
          <w:color w:val="auto"/>
          <w:szCs w:val="21"/>
          <w:highlight w:val="none"/>
          <w:u w:val="single"/>
        </w:rPr>
        <w:t>开工日期7天前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36079E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 提供施工条件</w:t>
      </w:r>
    </w:p>
    <w:p w14:paraId="789A993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关于发包人应负责提供施工所需要的条件，包括：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7589C5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资金来源证明及支付担保</w:t>
      </w:r>
    </w:p>
    <w:p w14:paraId="4369E62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86202D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93F579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发包人提供支付担保的形式：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1EA54DA">
      <w:pPr>
        <w:pageBreakBefore w:val="0"/>
        <w:shd w:val="clear" w:color="auto" w:fill="auto"/>
        <w:kinsoku/>
        <w:wordWrap/>
        <w:overflowPunct/>
        <w:topLinePunct w:val="0"/>
        <w:bidi w:val="0"/>
        <w:adjustRightInd/>
        <w:snapToGrid/>
        <w:spacing w:line="330" w:lineRule="exact"/>
        <w:ind w:left="0" w:leftChars="0" w:right="0" w:rightChars="0" w:firstLine="422" w:firstLineChars="200"/>
        <w:textAlignment w:val="auto"/>
        <w:rPr>
          <w:rFonts w:hint="eastAsia" w:ascii="宋体" w:hAnsi="宋体" w:eastAsia="宋体" w:cs="宋体"/>
          <w:b/>
          <w:bCs/>
          <w:color w:val="auto"/>
          <w:szCs w:val="21"/>
          <w:highlight w:val="none"/>
        </w:rPr>
      </w:pPr>
      <w:bookmarkStart w:id="70" w:name="_Toc351203635"/>
      <w:r>
        <w:rPr>
          <w:rFonts w:hint="eastAsia" w:ascii="宋体" w:hAnsi="宋体" w:eastAsia="宋体" w:cs="宋体"/>
          <w:b/>
          <w:bCs/>
          <w:color w:val="auto"/>
          <w:szCs w:val="21"/>
          <w:highlight w:val="none"/>
        </w:rPr>
        <w:t>2.6 支付合同价款</w:t>
      </w:r>
    </w:p>
    <w:p w14:paraId="00962D97">
      <w:pPr>
        <w:pageBreakBefore w:val="0"/>
        <w:shd w:val="clear" w:color="auto" w:fill="auto"/>
        <w:kinsoku/>
        <w:wordWrap/>
        <w:overflowPunct/>
        <w:topLinePunct w:val="0"/>
        <w:bidi w:val="0"/>
        <w:adjustRightInd/>
        <w:snapToGrid/>
        <w:spacing w:line="330" w:lineRule="exact"/>
        <w:ind w:left="0" w:leftChars="0" w:right="0" w:righ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发包人应按合同约定向承包人及时支付合同价款。</w:t>
      </w:r>
    </w:p>
    <w:p w14:paraId="3F26F040">
      <w:pPr>
        <w:pageBreakBefore w:val="0"/>
        <w:shd w:val="clear" w:color="auto" w:fill="auto"/>
        <w:kinsoku/>
        <w:wordWrap/>
        <w:overflowPunct/>
        <w:topLinePunct w:val="0"/>
        <w:bidi w:val="0"/>
        <w:adjustRightInd/>
        <w:snapToGrid/>
        <w:spacing w:line="330" w:lineRule="exact"/>
        <w:ind w:left="0" w:leftChars="0" w:right="0" w:righ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2.7 组织竣工验收</w:t>
      </w:r>
    </w:p>
    <w:p w14:paraId="3B2819FF">
      <w:pPr>
        <w:pageBreakBefore w:val="0"/>
        <w:shd w:val="clear" w:color="auto" w:fill="auto"/>
        <w:kinsoku/>
        <w:wordWrap/>
        <w:overflowPunct/>
        <w:topLinePunct w:val="0"/>
        <w:bidi w:val="0"/>
        <w:adjustRightInd/>
        <w:snapToGrid/>
        <w:spacing w:line="330" w:lineRule="exact"/>
        <w:ind w:left="0" w:leftChars="0" w:right="0" w:righ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发包人应按合同约定及时组织竣工验收。</w:t>
      </w:r>
    </w:p>
    <w:p w14:paraId="79359DFD">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2"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u w:val="single"/>
        </w:rPr>
        <w:t>承包人完成合同范围内工程内容，发包人应根据施工图纸、现行施工验收规范和质量验收标准及时组织工程质量验收</w:t>
      </w:r>
    </w:p>
    <w:p w14:paraId="7A2DB524">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w:t>
      </w:r>
      <w:bookmarkStart w:id="71" w:name="_Toc297048344"/>
      <w:bookmarkStart w:id="72" w:name="_Toc296503158"/>
      <w:bookmarkStart w:id="73" w:name="_Toc296944497"/>
      <w:bookmarkStart w:id="74" w:name="_Toc292559363"/>
      <w:bookmarkStart w:id="75" w:name="_Toc297120458"/>
      <w:bookmarkStart w:id="76" w:name="_Toc292559868"/>
      <w:bookmarkStart w:id="77" w:name="_Toc296346659"/>
      <w:bookmarkStart w:id="78" w:name="_Toc296890986"/>
      <w:bookmarkStart w:id="79" w:name="_Toc296347157"/>
      <w:bookmarkStart w:id="80" w:name="_Toc296891198"/>
      <w:r>
        <w:rPr>
          <w:rFonts w:hint="eastAsia" w:ascii="宋体" w:hAnsi="宋体" w:eastAsia="宋体" w:cs="宋体"/>
          <w:b w:val="0"/>
          <w:color w:val="auto"/>
          <w:sz w:val="21"/>
          <w:szCs w:val="21"/>
          <w:highlight w:val="none"/>
        </w:rPr>
        <w:t>. 承包人</w:t>
      </w:r>
      <w:bookmarkEnd w:id="70"/>
    </w:p>
    <w:bookmarkEnd w:id="71"/>
    <w:bookmarkEnd w:id="72"/>
    <w:bookmarkEnd w:id="73"/>
    <w:bookmarkEnd w:id="74"/>
    <w:bookmarkEnd w:id="75"/>
    <w:bookmarkEnd w:id="76"/>
    <w:bookmarkEnd w:id="77"/>
    <w:bookmarkEnd w:id="78"/>
    <w:bookmarkEnd w:id="79"/>
    <w:bookmarkEnd w:id="80"/>
    <w:p w14:paraId="5E20E0F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承包人的一般义务</w:t>
      </w:r>
    </w:p>
    <w:p w14:paraId="5EFE2BA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（9）</w:t>
      </w:r>
      <w:r>
        <w:rPr>
          <w:rFonts w:hint="eastAsia" w:ascii="宋体" w:hAnsi="宋体" w:eastAsia="宋体" w:cs="宋体"/>
          <w:color w:val="auto"/>
          <w:szCs w:val="21"/>
          <w:highlight w:val="none"/>
        </w:rPr>
        <w:t>承包人提交的竣工资料的内容：</w:t>
      </w:r>
      <w:r>
        <w:rPr>
          <w:rFonts w:hint="eastAsia" w:ascii="宋体" w:hAnsi="宋体" w:eastAsia="宋体" w:cs="宋体"/>
          <w:color w:val="auto"/>
          <w:szCs w:val="21"/>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color w:val="auto"/>
          <w:szCs w:val="21"/>
          <w:highlight w:val="none"/>
        </w:rPr>
        <w:t>。</w:t>
      </w:r>
    </w:p>
    <w:p w14:paraId="7B6A299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承包人需要提交的竣工资料套数：</w:t>
      </w:r>
      <w:r>
        <w:rPr>
          <w:rFonts w:hint="eastAsia" w:ascii="宋体" w:hAnsi="宋体" w:eastAsia="宋体" w:cs="宋体"/>
          <w:color w:val="auto"/>
          <w:szCs w:val="21"/>
          <w:highlight w:val="none"/>
          <w:u w:val="single"/>
        </w:rPr>
        <w:t xml:space="preserve">     两套   </w:t>
      </w:r>
      <w:r>
        <w:rPr>
          <w:rFonts w:hint="eastAsia" w:ascii="宋体" w:hAnsi="宋体" w:eastAsia="宋体" w:cs="宋体"/>
          <w:color w:val="auto"/>
          <w:szCs w:val="21"/>
          <w:highlight w:val="none"/>
        </w:rPr>
        <w:t>。</w:t>
      </w:r>
    </w:p>
    <w:p w14:paraId="7203600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承包人提交的竣工资料的费用承担：</w:t>
      </w:r>
      <w:r>
        <w:rPr>
          <w:rFonts w:hint="eastAsia" w:ascii="宋体" w:hAnsi="宋体" w:eastAsia="宋体" w:cs="宋体"/>
          <w:color w:val="auto"/>
          <w:szCs w:val="21"/>
          <w:highlight w:val="none"/>
          <w:u w:val="single"/>
        </w:rPr>
        <w:t xml:space="preserve">    由承包人承担     </w:t>
      </w:r>
      <w:r>
        <w:rPr>
          <w:rFonts w:hint="eastAsia" w:ascii="宋体" w:hAnsi="宋体" w:eastAsia="宋体" w:cs="宋体"/>
          <w:color w:val="auto"/>
          <w:szCs w:val="21"/>
          <w:highlight w:val="none"/>
        </w:rPr>
        <w:t>。</w:t>
      </w:r>
    </w:p>
    <w:p w14:paraId="6A3207F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承包人提交的竣工资料移交时间：</w:t>
      </w:r>
      <w:r>
        <w:rPr>
          <w:rFonts w:hint="eastAsia" w:ascii="宋体" w:hAnsi="宋体" w:eastAsia="宋体" w:cs="宋体"/>
          <w:color w:val="auto"/>
          <w:szCs w:val="21"/>
          <w:highlight w:val="none"/>
          <w:u w:val="single"/>
        </w:rPr>
        <w:t>工程竣工验收合格后7天内</w:t>
      </w:r>
      <w:r>
        <w:rPr>
          <w:rFonts w:hint="eastAsia" w:ascii="宋体" w:hAnsi="宋体" w:eastAsia="宋体" w:cs="宋体"/>
          <w:color w:val="auto"/>
          <w:szCs w:val="21"/>
          <w:highlight w:val="none"/>
        </w:rPr>
        <w:t>。</w:t>
      </w:r>
    </w:p>
    <w:p w14:paraId="0DFF806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承包人提交的竣工资料形式要求：</w:t>
      </w:r>
      <w:r>
        <w:rPr>
          <w:rFonts w:hint="eastAsia" w:ascii="宋体" w:hAnsi="宋体" w:eastAsia="宋体" w:cs="宋体"/>
          <w:color w:val="auto"/>
          <w:szCs w:val="21"/>
          <w:highlight w:val="none"/>
          <w:u w:val="single"/>
        </w:rPr>
        <w:t>纸质及相关电子数据</w:t>
      </w:r>
      <w:r>
        <w:rPr>
          <w:rFonts w:hint="eastAsia" w:ascii="宋体" w:hAnsi="宋体" w:eastAsia="宋体" w:cs="宋体"/>
          <w:color w:val="auto"/>
          <w:szCs w:val="21"/>
          <w:highlight w:val="none"/>
        </w:rPr>
        <w:t>。</w:t>
      </w:r>
    </w:p>
    <w:p w14:paraId="4D5DBAF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（10）承包人应履行的其他义务：</w:t>
      </w:r>
    </w:p>
    <w:p w14:paraId="6E92165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a.向发包人、监理人提供施工现场办公室各1间免费使用。 </w:t>
      </w:r>
    </w:p>
    <w:p w14:paraId="21891B4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b.在施工中必须严格按照规范操作，并针对邻近建筑物实际情况，采取相应防护措施，对不按规范要求施工或未采取防护措施的，造成的损失由承包人承担。</w:t>
      </w:r>
    </w:p>
    <w:p w14:paraId="3150DE2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c.本项目施工安全由承包人负总责。</w:t>
      </w:r>
    </w:p>
    <w:p w14:paraId="2844A1B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u w:val="single"/>
        </w:rPr>
        <w:t>d.按当地有关部门要求，</w:t>
      </w:r>
      <w:r>
        <w:rPr>
          <w:rFonts w:hint="eastAsia" w:ascii="宋体" w:hAnsi="宋体" w:eastAsia="宋体" w:cs="宋体"/>
          <w:color w:val="auto"/>
          <w:kern w:val="0"/>
          <w:szCs w:val="21"/>
          <w:highlight w:val="none"/>
          <w:u w:val="single"/>
        </w:rPr>
        <w:t>由承包人办理的有关施工场地交通、环卫和施工噪音管理等手续。</w:t>
      </w:r>
    </w:p>
    <w:p w14:paraId="7A8EFC1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u w:val="single"/>
        </w:rPr>
        <w:t>e.</w:t>
      </w:r>
      <w:r>
        <w:rPr>
          <w:rFonts w:hint="eastAsia" w:ascii="宋体" w:hAnsi="宋体" w:eastAsia="宋体" w:cs="宋体"/>
          <w:color w:val="auto"/>
          <w:kern w:val="0"/>
          <w:szCs w:val="21"/>
          <w:highlight w:val="none"/>
          <w:u w:val="single"/>
        </w:rPr>
        <w:t>不管投标时有无承诺，施工现场承包人必须配备能满足停电时施工所需要的发电机组和满足停水时必要的取水设施。该笔费用已包含在合同价内，不再另行计取。若因此产生停工，工期也不予顺延。</w:t>
      </w:r>
    </w:p>
    <w:p w14:paraId="5AC87F0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en-US" w:eastAsia="zh-CN"/>
        </w:rPr>
        <w:t>f</w:t>
      </w:r>
      <w:r>
        <w:rPr>
          <w:rFonts w:hint="eastAsia" w:ascii="宋体" w:hAnsi="宋体" w:eastAsia="宋体" w:cs="宋体"/>
          <w:color w:val="auto"/>
          <w:szCs w:val="21"/>
          <w:highlight w:val="none"/>
          <w:u w:val="single"/>
        </w:rPr>
        <w:t>.</w:t>
      </w:r>
      <w:r>
        <w:rPr>
          <w:rFonts w:hint="eastAsia" w:ascii="宋体" w:hAnsi="宋体" w:eastAsia="宋体" w:cs="宋体"/>
          <w:color w:val="auto"/>
          <w:kern w:val="0"/>
          <w:szCs w:val="21"/>
          <w:highlight w:val="none"/>
          <w:u w:val="single"/>
        </w:rPr>
        <w:t>处理好同工程所在地周边居民的关系，由此发生的检测、协调、鉴定、赔偿、诉讼等费</w:t>
      </w:r>
      <w:r>
        <w:rPr>
          <w:rFonts w:hint="eastAsia" w:ascii="宋体" w:hAnsi="宋体" w:eastAsia="宋体" w:cs="宋体"/>
          <w:color w:val="auto"/>
          <w:szCs w:val="21"/>
          <w:highlight w:val="none"/>
          <w:u w:val="single"/>
        </w:rPr>
        <w:t>用全部由承包人负责。如果出现扯皮现象，发包人有权根据单方面确认的费用从工程款中直接代扣、代付相应费用。</w:t>
      </w:r>
    </w:p>
    <w:p w14:paraId="6AEE8B8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（11）承包人诚实信用的承诺：</w:t>
      </w:r>
      <w:r>
        <w:rPr>
          <w:rFonts w:hint="eastAsia" w:ascii="宋体" w:hAnsi="宋体" w:eastAsia="宋体" w:cs="宋体"/>
          <w:color w:val="auto"/>
          <w:kern w:val="0"/>
          <w:szCs w:val="21"/>
          <w:highlight w:val="none"/>
          <w:u w:val="single"/>
        </w:rPr>
        <w:t>承包人向发包人承诺按照本合同约定及现场甲方和监理工程师的指令进行施工。竣工后，保修期内承担工程质量保修责任，并履行本合同约定的全部义务</w:t>
      </w:r>
      <w:r>
        <w:rPr>
          <w:rFonts w:hint="eastAsia" w:ascii="宋体" w:hAnsi="宋体" w:eastAsia="宋体" w:cs="宋体"/>
          <w:color w:val="auto"/>
          <w:szCs w:val="21"/>
          <w:highlight w:val="none"/>
          <w:u w:val="single"/>
        </w:rPr>
        <w:t>。</w:t>
      </w:r>
    </w:p>
    <w:p w14:paraId="32EED58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（12）承包人使用新技术、工法、工艺的承诺：</w:t>
      </w:r>
      <w:r>
        <w:rPr>
          <w:rFonts w:hint="eastAsia" w:ascii="宋体" w:hAnsi="宋体" w:eastAsia="宋体" w:cs="宋体"/>
          <w:color w:val="auto"/>
          <w:kern w:val="0"/>
          <w:szCs w:val="21"/>
          <w:highlight w:val="none"/>
          <w:u w:val="single"/>
        </w:rPr>
        <w:t>无。</w:t>
      </w:r>
    </w:p>
    <w:p w14:paraId="110B063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项目经理</w:t>
      </w:r>
    </w:p>
    <w:p w14:paraId="7737EA7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3.2.1 </w:t>
      </w:r>
      <w:r>
        <w:rPr>
          <w:rFonts w:hint="eastAsia" w:ascii="宋体" w:hAnsi="宋体" w:eastAsia="宋体" w:cs="宋体"/>
          <w:color w:val="auto"/>
          <w:szCs w:val="21"/>
          <w:highlight w:val="none"/>
        </w:rPr>
        <w:t>项目经理：</w:t>
      </w:r>
    </w:p>
    <w:p w14:paraId="30213EA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7824D4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4C7946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建造师执业资格等级：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E56061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65451A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建造师执业印章号：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C4C62F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2D2B9C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5DC8FE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BCE656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4AF723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承包人对项目经理的授权范围如下：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73E5F4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关于项目经理每月在施工现场的时间要求：</w:t>
      </w:r>
      <w:r>
        <w:rPr>
          <w:rFonts w:hint="eastAsia" w:ascii="宋体" w:hAnsi="宋体" w:eastAsia="宋体" w:cs="宋体"/>
          <w:color w:val="auto"/>
          <w:szCs w:val="21"/>
          <w:highlight w:val="none"/>
          <w:u w:val="single"/>
        </w:rPr>
        <w:t>月到岗率须达到24天</w:t>
      </w:r>
      <w:r>
        <w:rPr>
          <w:rFonts w:hint="eastAsia" w:ascii="宋体" w:hAnsi="宋体" w:eastAsia="宋体" w:cs="宋体"/>
          <w:color w:val="auto"/>
          <w:szCs w:val="21"/>
          <w:highlight w:val="none"/>
        </w:rPr>
        <w:t>。</w:t>
      </w:r>
    </w:p>
    <w:p w14:paraId="25A24F1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u w:val="single"/>
        </w:rPr>
        <w:t>月到岗达不到约定天数，按相关行业主管部发布的规定处理；遇有工程检查、验收或参观等活动时，无特殊原因不得</w:t>
      </w:r>
      <w:r>
        <w:rPr>
          <w:rFonts w:hint="eastAsia" w:ascii="宋体" w:hAnsi="宋体" w:eastAsia="宋体" w:cs="宋体"/>
          <w:bCs/>
          <w:color w:val="auto"/>
          <w:kern w:val="0"/>
          <w:szCs w:val="21"/>
          <w:highlight w:val="none"/>
          <w:u w:val="single"/>
        </w:rPr>
        <w:t>离开施工现场。</w:t>
      </w:r>
    </w:p>
    <w:p w14:paraId="57514B2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承包人未提交劳动合同，以及没有为项目经理缴纳社会保险证明的违约责任：</w:t>
      </w:r>
      <w:r>
        <w:rPr>
          <w:rFonts w:hint="eastAsia" w:ascii="宋体" w:hAnsi="宋体" w:eastAsia="宋体" w:cs="宋体"/>
          <w:color w:val="auto"/>
          <w:kern w:val="0"/>
          <w:szCs w:val="21"/>
          <w:highlight w:val="none"/>
          <w:u w:val="single"/>
        </w:rPr>
        <w:t>发包人有权要求更换项目经理，由此增加的费用和（或）延误的工期由承包人承担，并承担违约责任</w:t>
      </w:r>
      <w:r>
        <w:rPr>
          <w:rFonts w:hint="eastAsia" w:ascii="宋体" w:hAnsi="宋体" w:eastAsia="宋体" w:cs="宋体"/>
          <w:color w:val="auto"/>
          <w:szCs w:val="21"/>
          <w:highlight w:val="none"/>
        </w:rPr>
        <w:t>。</w:t>
      </w:r>
    </w:p>
    <w:p w14:paraId="7770368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项目经理未经批准，擅自离开施工现场的违约责任：</w:t>
      </w:r>
      <w:r>
        <w:rPr>
          <w:rFonts w:hint="eastAsia" w:ascii="宋体" w:hAnsi="宋体" w:eastAsia="宋体" w:cs="宋体"/>
          <w:color w:val="auto"/>
          <w:szCs w:val="21"/>
          <w:highlight w:val="none"/>
          <w:u w:val="single"/>
        </w:rPr>
        <w:t>月到岗须达到24天，不足天数，每天扣除履约担保金额的0.1%，每月结算，在当期工程款支付时扣除；连续三个月达不到要求且项目经理不能到岗的，一次性扣除履约担保金的15%（含前三个月已扣除的履约担保金），且发包人有权要求终止合同，没收全部履约担保金，同时由承包人赔偿发包人由此造成的损失。另遇有工程检查、验收或参观等活动时，无特殊原因不得</w:t>
      </w:r>
      <w:r>
        <w:rPr>
          <w:rFonts w:hint="eastAsia" w:ascii="宋体" w:hAnsi="宋体" w:eastAsia="宋体" w:cs="宋体"/>
          <w:color w:val="auto"/>
          <w:kern w:val="0"/>
          <w:szCs w:val="21"/>
          <w:highlight w:val="none"/>
          <w:u w:val="single"/>
        </w:rPr>
        <w:t>离开施工现场。</w:t>
      </w:r>
    </w:p>
    <w:p w14:paraId="271F8A46">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3.2.3 承包人擅自更换项目经理的违约责任：</w:t>
      </w:r>
      <w:r>
        <w:rPr>
          <w:rFonts w:hint="eastAsia" w:ascii="宋体" w:hAnsi="宋体" w:eastAsia="宋体" w:cs="宋体"/>
          <w:color w:val="auto"/>
          <w:szCs w:val="21"/>
          <w:highlight w:val="none"/>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履约担保金额的20%；及至发包人可通知承包人全部解除合同，所有履约担保金归发包人，并赔偿发包人损失。</w:t>
      </w:r>
    </w:p>
    <w:p w14:paraId="3AA850A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color w:val="auto"/>
          <w:szCs w:val="21"/>
          <w:highlight w:val="none"/>
          <w:u w:val="single"/>
        </w:rPr>
        <w:t>发包人可通知承包人全部解除合同，所有履约担保金归发包人，同时赔偿发包人损失。</w:t>
      </w:r>
    </w:p>
    <w:p w14:paraId="772B4D5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承包人人员</w:t>
      </w:r>
    </w:p>
    <w:p w14:paraId="3F75940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承包人提交项目管理机构及施工现场管理人员安排报告的期限：</w:t>
      </w:r>
      <w:r>
        <w:rPr>
          <w:rFonts w:hint="eastAsia" w:ascii="宋体" w:hAnsi="宋体" w:eastAsia="宋体" w:cs="宋体"/>
          <w:color w:val="auto"/>
          <w:szCs w:val="21"/>
          <w:highlight w:val="none"/>
          <w:u w:val="single"/>
        </w:rPr>
        <w:t xml:space="preserve"> 接到开工通知（或确定开工日期）后7天内 </w:t>
      </w:r>
      <w:r>
        <w:rPr>
          <w:rFonts w:hint="eastAsia" w:ascii="宋体" w:hAnsi="宋体" w:eastAsia="宋体" w:cs="宋体"/>
          <w:color w:val="auto"/>
          <w:szCs w:val="21"/>
          <w:highlight w:val="none"/>
        </w:rPr>
        <w:t>。</w:t>
      </w:r>
    </w:p>
    <w:p w14:paraId="72881E2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承包人无正当理由拒绝撤换主要施工管理人员的违约责任：</w:t>
      </w:r>
      <w:r>
        <w:rPr>
          <w:rFonts w:hint="eastAsia" w:ascii="宋体" w:hAnsi="宋体" w:eastAsia="宋体" w:cs="宋体"/>
          <w:color w:val="auto"/>
          <w:szCs w:val="21"/>
          <w:highlight w:val="none"/>
          <w:u w:val="single"/>
        </w:rPr>
        <w:t>发包人可通知承包人全部解除合同，所有履约担保金归发包人，同时赔偿发包人损失</w:t>
      </w:r>
      <w:r>
        <w:rPr>
          <w:rFonts w:hint="eastAsia" w:ascii="宋体" w:hAnsi="宋体" w:eastAsia="宋体" w:cs="宋体"/>
          <w:color w:val="auto"/>
          <w:szCs w:val="21"/>
          <w:highlight w:val="none"/>
        </w:rPr>
        <w:t>。</w:t>
      </w:r>
    </w:p>
    <w:p w14:paraId="77DEBF2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3.3.4 承包人主要施工管理人员离开施工现场的批准要求：</w:t>
      </w:r>
      <w:r>
        <w:rPr>
          <w:rFonts w:hint="eastAsia" w:ascii="宋体" w:hAnsi="宋体" w:eastAsia="宋体" w:cs="宋体"/>
          <w:b/>
          <w:bCs/>
          <w:color w:val="auto"/>
          <w:szCs w:val="21"/>
          <w:highlight w:val="none"/>
          <w:u w:val="single"/>
        </w:rPr>
        <w:t>按通用合同条款；未经批准擅自离开施工现场按相关行业主管部发布的规定处理；另遇有工程检查、验收或参观等活动时，无特殊原因不得请假</w:t>
      </w:r>
      <w:r>
        <w:rPr>
          <w:rFonts w:hint="eastAsia" w:ascii="宋体" w:hAnsi="宋体" w:eastAsia="宋体" w:cs="宋体"/>
          <w:color w:val="auto"/>
          <w:szCs w:val="21"/>
          <w:highlight w:val="none"/>
        </w:rPr>
        <w:t>。</w:t>
      </w:r>
    </w:p>
    <w:p w14:paraId="1D23C64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3.3.5承包人擅自更换主要施工管理人员的违约责任：</w:t>
      </w:r>
      <w:r>
        <w:rPr>
          <w:rFonts w:hint="eastAsia" w:ascii="宋体" w:hAnsi="宋体" w:eastAsia="宋体" w:cs="宋体"/>
          <w:color w:val="auto"/>
          <w:szCs w:val="21"/>
          <w:highlight w:val="none"/>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履约担保金的10%；其他关键岗位人员每更换一人次扣除履约担保金额的5%。</w:t>
      </w:r>
    </w:p>
    <w:p w14:paraId="5AEF2E4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承包人主要施工管理人员擅自离开施工现场的违约责任：</w:t>
      </w:r>
      <w:r>
        <w:rPr>
          <w:rFonts w:hint="eastAsia" w:ascii="宋体" w:hAnsi="宋体" w:eastAsia="宋体" w:cs="宋体"/>
          <w:color w:val="auto"/>
          <w:szCs w:val="21"/>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8%（含前三个月已扣除的履约担保金），且发包人有权要求承包人更换该关键岗位人员。</w:t>
      </w:r>
    </w:p>
    <w:p w14:paraId="7CFCAFD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81" w:name="_Toc304295523"/>
      <w:bookmarkStart w:id="82" w:name="_Toc297120459"/>
      <w:bookmarkStart w:id="83" w:name="_Toc296890987"/>
      <w:bookmarkStart w:id="84" w:name="_Toc297048345"/>
      <w:bookmarkStart w:id="85" w:name="_Toc296944498"/>
      <w:bookmarkStart w:id="86" w:name="_Toc296891199"/>
      <w:bookmarkStart w:id="87" w:name="_Toc292559869"/>
      <w:bookmarkStart w:id="88" w:name="_Toc292559364"/>
      <w:bookmarkStart w:id="89" w:name="_Toc300934945"/>
      <w:bookmarkStart w:id="90" w:name="_Toc297123492"/>
      <w:bookmarkStart w:id="91" w:name="_Toc312677988"/>
      <w:bookmarkStart w:id="92" w:name="_Toc296346660"/>
      <w:bookmarkStart w:id="93" w:name="_Toc297216151"/>
      <w:bookmarkStart w:id="94" w:name="_Toc296503159"/>
      <w:bookmarkStart w:id="95" w:name="_Toc296347158"/>
      <w:bookmarkStart w:id="96" w:name="_Toc303539102"/>
      <w:r>
        <w:rPr>
          <w:rFonts w:hint="eastAsia" w:ascii="宋体" w:hAnsi="宋体" w:eastAsia="宋体" w:cs="宋体"/>
          <w:color w:val="auto"/>
          <w:szCs w:val="21"/>
          <w:highlight w:val="none"/>
        </w:rPr>
        <w:t>.5 分包</w:t>
      </w:r>
    </w:p>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14:paraId="0B0E5D7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97" w:name="_Toc296503160"/>
      <w:bookmarkStart w:id="98" w:name="_Toc296890988"/>
      <w:bookmarkStart w:id="99" w:name="_Toc297048346"/>
      <w:bookmarkStart w:id="100" w:name="_Toc296347159"/>
      <w:bookmarkStart w:id="101" w:name="_Toc297120460"/>
      <w:bookmarkStart w:id="102" w:name="_Toc296346661"/>
      <w:bookmarkStart w:id="103" w:name="_Toc300934946"/>
      <w:bookmarkStart w:id="104" w:name="_Toc296891200"/>
      <w:bookmarkStart w:id="105" w:name="_Toc297216152"/>
      <w:bookmarkStart w:id="106" w:name="_Toc297123493"/>
      <w:bookmarkStart w:id="107" w:name="_Toc296944499"/>
      <w:bookmarkStart w:id="108" w:name="_Toc292559870"/>
      <w:bookmarkStart w:id="109" w:name="_Toc292559365"/>
      <w:bookmarkStart w:id="110" w:name="_Toc303539103"/>
      <w:bookmarkStart w:id="111" w:name="_Toc304295524"/>
      <w:bookmarkStart w:id="112" w:name="_Toc318581158"/>
      <w:bookmarkStart w:id="113" w:name="_Toc312677989"/>
      <w:r>
        <w:rPr>
          <w:rFonts w:hint="eastAsia" w:ascii="宋体" w:hAnsi="宋体" w:eastAsia="宋体" w:cs="宋体"/>
          <w:color w:val="auto"/>
          <w:szCs w:val="21"/>
          <w:highlight w:val="none"/>
        </w:rPr>
        <w:t>.5.1 分包的一般约定</w:t>
      </w:r>
    </w:p>
    <w:p w14:paraId="3ABA135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禁止分包的工程包括：</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p w14:paraId="279424E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主体结构、关键性工作的范围：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Start w:id="114" w:name="_Toc296891201"/>
      <w:bookmarkStart w:id="115" w:name="_Toc304295525"/>
      <w:bookmarkStart w:id="116" w:name="_Toc296347160"/>
      <w:bookmarkStart w:id="117" w:name="_Toc303539104"/>
      <w:bookmarkStart w:id="118" w:name="_Toc296503161"/>
      <w:bookmarkStart w:id="119" w:name="_Toc300934947"/>
      <w:bookmarkStart w:id="120" w:name="_Toc296944500"/>
      <w:bookmarkStart w:id="121" w:name="_Toc297123494"/>
      <w:bookmarkStart w:id="122" w:name="_Toc297120461"/>
      <w:bookmarkStart w:id="123" w:name="_Toc297216153"/>
      <w:bookmarkStart w:id="124" w:name="_Toc296890989"/>
      <w:bookmarkStart w:id="125" w:name="_Toc297048347"/>
      <w:bookmarkStart w:id="126" w:name="_Toc296346662"/>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7882FED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127" w:name="_Toc318581159"/>
      <w:bookmarkStart w:id="128" w:name="_Toc312677990"/>
      <w:r>
        <w:rPr>
          <w:rFonts w:hint="eastAsia" w:ascii="宋体" w:hAnsi="宋体" w:eastAsia="宋体" w:cs="宋体"/>
          <w:color w:val="auto"/>
          <w:szCs w:val="21"/>
          <w:highlight w:val="none"/>
        </w:rPr>
        <w:t>.5.2分包的确定</w:t>
      </w:r>
    </w:p>
    <w:p w14:paraId="7AE5E87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允许分包的专业工程包括：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89B028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其他关于分包的约定：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32F720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分包合同价款</w:t>
      </w:r>
    </w:p>
    <w:p w14:paraId="115B7C6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关于分包合同价款支付的约定：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127"/>
    <w:bookmarkEnd w:id="128"/>
    <w:p w14:paraId="5E62F5C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工程照管与成品、半成品保护</w:t>
      </w:r>
    </w:p>
    <w:p w14:paraId="3A16EA9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承包人负责照管工程及工程相关的材料、工程设备的起始时间：</w:t>
      </w:r>
      <w:r>
        <w:rPr>
          <w:rFonts w:hint="eastAsia" w:ascii="宋体" w:hAnsi="宋体" w:eastAsia="宋体" w:cs="宋体"/>
          <w:color w:val="auto"/>
          <w:kern w:val="0"/>
          <w:szCs w:val="21"/>
          <w:highlight w:val="none"/>
          <w:u w:val="single"/>
        </w:rPr>
        <w:t>按合同通用条款执行</w:t>
      </w:r>
      <w:r>
        <w:rPr>
          <w:rFonts w:hint="eastAsia" w:ascii="宋体" w:hAnsi="宋体" w:eastAsia="宋体" w:cs="宋体"/>
          <w:color w:val="auto"/>
          <w:kern w:val="0"/>
          <w:szCs w:val="21"/>
          <w:highlight w:val="none"/>
        </w:rPr>
        <w:t>。</w:t>
      </w:r>
    </w:p>
    <w:p w14:paraId="13CD8E3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履约担保</w:t>
      </w:r>
    </w:p>
    <w:p w14:paraId="78A6064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承包人是否提供履约担保：</w:t>
      </w:r>
      <w:r>
        <w:rPr>
          <w:rFonts w:hint="eastAsia" w:ascii="宋体" w:hAnsi="宋体" w:eastAsia="宋体" w:cs="宋体"/>
          <w:color w:val="auto"/>
          <w:kern w:val="0"/>
          <w:szCs w:val="21"/>
          <w:highlight w:val="none"/>
          <w:u w:val="single"/>
        </w:rPr>
        <w:t>提供履约担保</w:t>
      </w:r>
      <w:r>
        <w:rPr>
          <w:rFonts w:hint="eastAsia" w:ascii="宋体" w:hAnsi="宋体" w:eastAsia="宋体" w:cs="宋体"/>
          <w:color w:val="auto"/>
          <w:szCs w:val="21"/>
          <w:highlight w:val="none"/>
        </w:rPr>
        <w:t>。</w:t>
      </w:r>
    </w:p>
    <w:p w14:paraId="303B255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承包人提供履约担保的形式、金额及期限：</w:t>
      </w:r>
      <w:r>
        <w:rPr>
          <w:rFonts w:hint="eastAsia" w:ascii="宋体" w:hAnsi="宋体" w:eastAsia="宋体" w:cs="宋体"/>
          <w:b/>
          <w:bCs/>
          <w:color w:val="auto"/>
          <w:kern w:val="0"/>
          <w:szCs w:val="21"/>
          <w:highlight w:val="none"/>
          <w:u w:val="single"/>
          <w:lang w:val="en-US" w:eastAsia="zh-CN"/>
        </w:rPr>
        <w:t xml:space="preserve">        </w:t>
      </w:r>
      <w:r>
        <w:rPr>
          <w:rFonts w:hint="eastAsia" w:ascii="宋体" w:hAnsi="宋体" w:eastAsia="宋体" w:cs="宋体"/>
          <w:b/>
          <w:bCs/>
          <w:color w:val="auto"/>
          <w:szCs w:val="21"/>
          <w:highlight w:val="none"/>
        </w:rPr>
        <w:t>。</w:t>
      </w:r>
    </w:p>
    <w:p w14:paraId="4E28DE4B">
      <w:pPr>
        <w:pageBreakBefore w:val="0"/>
        <w:shd w:val="clear" w:color="auto" w:fill="auto"/>
        <w:kinsoku/>
        <w:wordWrap/>
        <w:overflowPunct/>
        <w:topLinePunct w:val="0"/>
        <w:bidi w:val="0"/>
        <w:adjustRightInd/>
        <w:snapToGrid/>
        <w:spacing w:line="330" w:lineRule="exact"/>
        <w:ind w:right="0" w:rightChars="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如为现金的，则</w:t>
      </w:r>
      <w:r>
        <w:rPr>
          <w:rFonts w:hint="eastAsia" w:ascii="宋体" w:hAnsi="宋体" w:eastAsia="宋体" w:cs="宋体"/>
          <w:b/>
          <w:bCs/>
          <w:color w:val="auto"/>
          <w:szCs w:val="21"/>
          <w:highlight w:val="none"/>
        </w:rPr>
        <w:t>发包人在工程竣工验收后10天内，向承包人全额返还</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不计息</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如为工程保函的，</w:t>
      </w:r>
      <w:r>
        <w:rPr>
          <w:rFonts w:hint="eastAsia" w:ascii="宋体" w:hAnsi="宋体" w:eastAsia="宋体" w:cs="宋体"/>
          <w:b/>
          <w:bCs/>
          <w:color w:val="auto"/>
          <w:szCs w:val="21"/>
          <w:highlight w:val="none"/>
        </w:rPr>
        <w:t>承包人应保证履约担保在工程竣工验收前持续有效。</w:t>
      </w:r>
    </w:p>
    <w:p w14:paraId="25F04B3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非承包人原因导致的工期延长，承包人继续提供履约担保所增加的费用由发包人承担。</w:t>
      </w:r>
    </w:p>
    <w:p w14:paraId="2E50B6B9">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w:t>
      </w:r>
      <w:bookmarkStart w:id="129" w:name="_Toc292559366"/>
      <w:bookmarkStart w:id="130" w:name="_Toc296891202"/>
      <w:bookmarkStart w:id="131" w:name="_Toc292559871"/>
      <w:bookmarkStart w:id="132" w:name="_Toc297048348"/>
      <w:bookmarkStart w:id="133" w:name="_Toc296347161"/>
      <w:bookmarkStart w:id="134" w:name="_Toc296346663"/>
      <w:bookmarkStart w:id="135" w:name="_Toc297120462"/>
      <w:bookmarkStart w:id="136" w:name="_Toc296944501"/>
      <w:bookmarkStart w:id="137" w:name="_Toc296890990"/>
      <w:bookmarkStart w:id="138" w:name="_Toc267251413"/>
      <w:bookmarkStart w:id="139" w:name="_Toc296503162"/>
      <w:r>
        <w:rPr>
          <w:rFonts w:hint="eastAsia" w:ascii="宋体" w:hAnsi="宋体" w:eastAsia="宋体" w:cs="宋体"/>
          <w:b w:val="0"/>
          <w:color w:val="auto"/>
          <w:sz w:val="21"/>
          <w:szCs w:val="21"/>
          <w:highlight w:val="none"/>
        </w:rPr>
        <w:t>. 监</w:t>
      </w:r>
      <w:bookmarkEnd w:id="129"/>
      <w:bookmarkEnd w:id="130"/>
      <w:bookmarkEnd w:id="131"/>
      <w:bookmarkEnd w:id="132"/>
      <w:bookmarkEnd w:id="133"/>
      <w:bookmarkEnd w:id="134"/>
      <w:bookmarkEnd w:id="135"/>
      <w:bookmarkEnd w:id="136"/>
      <w:bookmarkEnd w:id="137"/>
      <w:bookmarkEnd w:id="138"/>
      <w:bookmarkEnd w:id="139"/>
      <w:r>
        <w:rPr>
          <w:rFonts w:hint="eastAsia" w:ascii="宋体" w:hAnsi="宋体" w:eastAsia="宋体" w:cs="宋体"/>
          <w:b w:val="0"/>
          <w:color w:val="auto"/>
          <w:sz w:val="21"/>
          <w:szCs w:val="21"/>
          <w:highlight w:val="none"/>
        </w:rPr>
        <w:t>理人</w:t>
      </w:r>
    </w:p>
    <w:p w14:paraId="7CE28D3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4.1监理人的一般规定</w:t>
      </w:r>
    </w:p>
    <w:p w14:paraId="62A81CE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szCs w:val="21"/>
          <w:highlight w:val="none"/>
          <w:u w:val="single"/>
        </w:rPr>
        <w:t xml:space="preserve"> 按本工程监理合同约定内容</w:t>
      </w:r>
      <w:r>
        <w:rPr>
          <w:rFonts w:hint="eastAsia" w:ascii="宋体" w:hAnsi="宋体" w:eastAsia="宋体" w:cs="宋体"/>
          <w:color w:val="auto"/>
          <w:szCs w:val="21"/>
          <w:highlight w:val="none"/>
        </w:rPr>
        <w:t>。</w:t>
      </w:r>
    </w:p>
    <w:p w14:paraId="64AF6A9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color w:val="auto"/>
          <w:szCs w:val="21"/>
          <w:highlight w:val="none"/>
          <w:u w:val="single"/>
        </w:rPr>
        <w:t>按本工程监理合同约定内容，涉及工程变更（含设计变更等参建各方变更）均需报发包人审批后生效</w:t>
      </w:r>
      <w:r>
        <w:rPr>
          <w:rFonts w:hint="eastAsia" w:ascii="宋体" w:hAnsi="宋体" w:eastAsia="宋体" w:cs="宋体"/>
          <w:color w:val="auto"/>
          <w:szCs w:val="21"/>
          <w:highlight w:val="none"/>
        </w:rPr>
        <w:t>〕。</w:t>
      </w:r>
    </w:p>
    <w:p w14:paraId="64F20FA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关于监理人在施工现场的办公场所、生活场所的提供和费用承担的约定：</w:t>
      </w:r>
      <w:r>
        <w:rPr>
          <w:rFonts w:hint="eastAsia" w:ascii="宋体" w:hAnsi="宋体" w:eastAsia="宋体" w:cs="宋体"/>
          <w:color w:val="auto"/>
          <w:szCs w:val="21"/>
          <w:highlight w:val="none"/>
          <w:u w:val="single"/>
        </w:rPr>
        <w:t xml:space="preserve"> 由承包人免费提供办公室1间使用。</w:t>
      </w:r>
    </w:p>
    <w:p w14:paraId="6D77695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监理人员</w:t>
      </w:r>
    </w:p>
    <w:p w14:paraId="3365E93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w:t>
      </w:r>
    </w:p>
    <w:p w14:paraId="47C373D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szCs w:val="21"/>
          <w:highlight w:val="none"/>
        </w:rPr>
        <w:t>；</w:t>
      </w:r>
    </w:p>
    <w:p w14:paraId="34BA44B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50C87C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监理工程师执业资格证书号：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2F6FC82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326BD46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80DE50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B6CE25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关于监理人的其他约定：</w:t>
      </w:r>
      <w:r>
        <w:rPr>
          <w:rFonts w:hint="eastAsia" w:ascii="宋体" w:hAnsi="宋体" w:eastAsia="宋体" w:cs="宋体"/>
          <w:color w:val="auto"/>
          <w:szCs w:val="21"/>
          <w:highlight w:val="none"/>
          <w:u w:val="single"/>
        </w:rPr>
        <w:t>                。</w:t>
      </w:r>
    </w:p>
    <w:p w14:paraId="10A1AF1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（1）监理人授权超出合同约定，承包人有权提出异议，如监理人对于承包人合理的异议不予接受，则承包人可要求发包人就该事项作出处理决定；</w:t>
      </w:r>
    </w:p>
    <w:p w14:paraId="27E1F3D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（2）对于监理人更换其委派的监理人员，监理人在征得发包人同意后应当提前48小时书面通知承包人；</w:t>
      </w:r>
    </w:p>
    <w:p w14:paraId="724B301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（3）监理人对其监理人员的任何授权，承包人均有权要求监理人提供书面的授权，否则，承包人有权拒绝接受监理人员的指示。</w:t>
      </w:r>
    </w:p>
    <w:p w14:paraId="03D6A72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 商定或确定</w:t>
      </w:r>
    </w:p>
    <w:p w14:paraId="0ED9157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bookmarkStart w:id="140" w:name="_Toc267251418"/>
      <w:r>
        <w:rPr>
          <w:rFonts w:hint="eastAsia" w:ascii="宋体" w:hAnsi="宋体" w:eastAsia="宋体" w:cs="宋体"/>
          <w:color w:val="auto"/>
          <w:szCs w:val="21"/>
          <w:highlight w:val="none"/>
        </w:rPr>
        <w:t>在发包人和承包人不能通过协商达成一致意见时，发包人授权监理人对以下事项进行确定：</w:t>
      </w:r>
    </w:p>
    <w:p w14:paraId="75FAC4E8">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51746DC">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9906B8E">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80AC312">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bookmarkStart w:id="141" w:name="_Toc351203637"/>
      <w:r>
        <w:rPr>
          <w:rFonts w:hint="eastAsia" w:ascii="宋体" w:hAnsi="宋体" w:eastAsia="宋体" w:cs="宋体"/>
          <w:b w:val="0"/>
          <w:color w:val="auto"/>
          <w:sz w:val="21"/>
          <w:szCs w:val="21"/>
          <w:highlight w:val="none"/>
        </w:rPr>
        <w:t>5</w:t>
      </w:r>
      <w:bookmarkEnd w:id="140"/>
      <w:bookmarkStart w:id="142" w:name="_Toc292559367"/>
      <w:bookmarkStart w:id="143" w:name="_Toc297048349"/>
      <w:bookmarkStart w:id="144" w:name="_Toc296347162"/>
      <w:bookmarkStart w:id="145" w:name="_Toc296503163"/>
      <w:bookmarkStart w:id="146" w:name="_Toc296346664"/>
      <w:bookmarkStart w:id="147" w:name="_Toc296890991"/>
      <w:bookmarkStart w:id="148" w:name="_Toc296944502"/>
      <w:bookmarkStart w:id="149" w:name="_Toc296891203"/>
      <w:bookmarkStart w:id="150" w:name="_Toc292559872"/>
      <w:bookmarkStart w:id="151" w:name="_Toc297120463"/>
      <w:r>
        <w:rPr>
          <w:rFonts w:hint="eastAsia" w:ascii="宋体" w:hAnsi="宋体" w:eastAsia="宋体" w:cs="宋体"/>
          <w:b w:val="0"/>
          <w:color w:val="auto"/>
          <w:sz w:val="21"/>
          <w:szCs w:val="21"/>
          <w:highlight w:val="none"/>
        </w:rPr>
        <w:t>. 工程质量</w:t>
      </w:r>
      <w:bookmarkEnd w:id="141"/>
    </w:p>
    <w:p w14:paraId="4AF1868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 质量要求</w:t>
      </w:r>
    </w:p>
    <w:p w14:paraId="0BD35B9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bookmarkStart w:id="152" w:name="_Toc297216155"/>
      <w:bookmarkStart w:id="153" w:name="_Toc300934949"/>
      <w:bookmarkStart w:id="154" w:name="_Toc318581164"/>
      <w:bookmarkStart w:id="155" w:name="_Toc312677997"/>
      <w:bookmarkStart w:id="156" w:name="_Toc297123496"/>
      <w:bookmarkStart w:id="157" w:name="_Toc303539106"/>
      <w:bookmarkStart w:id="158" w:name="_Toc304295527"/>
      <w:r>
        <w:rPr>
          <w:rFonts w:hint="eastAsia" w:ascii="宋体" w:hAnsi="宋体" w:eastAsia="宋体" w:cs="宋体"/>
          <w:color w:val="auto"/>
          <w:szCs w:val="21"/>
          <w:highlight w:val="none"/>
        </w:rPr>
        <w:t>.1.1 特殊质量标准和要求：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61D9CA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838C74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隐蔽工程检查</w:t>
      </w:r>
    </w:p>
    <w:p w14:paraId="4B771B9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5.3.2承包人提前通知监理人隐蔽工程检查的期限的约定：</w:t>
      </w:r>
      <w:r>
        <w:rPr>
          <w:rFonts w:hint="eastAsia" w:ascii="宋体" w:hAnsi="宋体" w:eastAsia="宋体" w:cs="宋体"/>
          <w:color w:val="auto"/>
          <w:szCs w:val="21"/>
          <w:highlight w:val="none"/>
          <w:u w:val="single"/>
        </w:rPr>
        <w:t xml:space="preserve"> 按合同通用条款执行。</w:t>
      </w:r>
    </w:p>
    <w:p w14:paraId="721429F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监理人不能按时进行检查时，应提前</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小时提交书面延期要求。</w:t>
      </w:r>
    </w:p>
    <w:p w14:paraId="1C18FDA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小时，由此导致工期延误的，工期予以顺延。</w:t>
      </w:r>
    </w:p>
    <w:p w14:paraId="6EB1CA5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重要节点的隐蔽工程验收过程、验收部位除办理纸质验收记录，承包人还应保留验收部位、验收过程、验收人员相片、影像等资料。</w:t>
      </w:r>
    </w:p>
    <w:p w14:paraId="2F83884A">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bookmarkStart w:id="159" w:name="_Toc351203638"/>
      <w:r>
        <w:rPr>
          <w:rFonts w:hint="eastAsia" w:ascii="宋体" w:hAnsi="宋体" w:eastAsia="宋体" w:cs="宋体"/>
          <w:b w:val="0"/>
          <w:color w:val="auto"/>
          <w:sz w:val="21"/>
          <w:szCs w:val="21"/>
          <w:highlight w:val="none"/>
        </w:rPr>
        <w:t>6. 安全文明施工与环境保护</w:t>
      </w:r>
      <w:bookmarkEnd w:id="159"/>
    </w:p>
    <w:p w14:paraId="2745931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6.1安全文明施工</w:t>
      </w:r>
    </w:p>
    <w:p w14:paraId="2DC838F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 项目安全生产的达标目标及相应事项的约定：</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u w:val="single"/>
        </w:rPr>
        <w:t>按《浙江省建筑施工安全标准化管理规定》（浙建建〔2012〕54号）及工程所在地相关主管部门发布的有关施工现场安全文明施工（含扬尘防护、监测），门禁考勤管理，噪音、污水排放，视频监控等管理规定执行</w:t>
      </w:r>
      <w:r>
        <w:rPr>
          <w:rFonts w:hint="eastAsia" w:ascii="宋体" w:hAnsi="宋体" w:eastAsia="宋体" w:cs="宋体"/>
          <w:color w:val="auto"/>
          <w:szCs w:val="21"/>
          <w:highlight w:val="none"/>
        </w:rPr>
        <w:t>。</w:t>
      </w:r>
    </w:p>
    <w:p w14:paraId="01F2B35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 关于治安保卫的特别约定：</w:t>
      </w:r>
      <w:r>
        <w:rPr>
          <w:rFonts w:hint="eastAsia" w:ascii="宋体" w:hAnsi="宋体" w:eastAsia="宋体" w:cs="宋体"/>
          <w:color w:val="auto"/>
          <w:szCs w:val="21"/>
          <w:highlight w:val="none"/>
          <w:u w:val="single"/>
        </w:rPr>
        <w:t>按合同通用条款</w:t>
      </w:r>
      <w:r>
        <w:rPr>
          <w:rFonts w:hint="eastAsia" w:ascii="宋体" w:hAnsi="宋体" w:eastAsia="宋体" w:cs="宋体"/>
          <w:color w:val="auto"/>
          <w:szCs w:val="21"/>
          <w:highlight w:val="none"/>
        </w:rPr>
        <w:t>。</w:t>
      </w:r>
    </w:p>
    <w:p w14:paraId="66691B3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关于编制施工场地治安管理计划的约定：</w:t>
      </w:r>
      <w:r>
        <w:rPr>
          <w:rFonts w:hint="eastAsia" w:ascii="宋体" w:hAnsi="宋体" w:eastAsia="宋体" w:cs="宋体"/>
          <w:color w:val="auto"/>
          <w:szCs w:val="21"/>
          <w:highlight w:val="none"/>
          <w:u w:val="single"/>
        </w:rPr>
        <w:t>按合同通用条款</w:t>
      </w:r>
      <w:r>
        <w:rPr>
          <w:rFonts w:hint="eastAsia" w:ascii="宋体" w:hAnsi="宋体" w:eastAsia="宋体" w:cs="宋体"/>
          <w:color w:val="auto"/>
          <w:szCs w:val="21"/>
          <w:highlight w:val="none"/>
        </w:rPr>
        <w:t>。</w:t>
      </w:r>
    </w:p>
    <w:p w14:paraId="4CCA939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 文明施工</w:t>
      </w:r>
    </w:p>
    <w:p w14:paraId="03FB1EE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合同当事人对文明施工的要求：</w:t>
      </w:r>
      <w:r>
        <w:rPr>
          <w:rFonts w:hint="eastAsia" w:ascii="宋体" w:hAnsi="宋体" w:eastAsia="宋体" w:cs="宋体"/>
          <w:color w:val="auto"/>
          <w:szCs w:val="21"/>
          <w:highlight w:val="none"/>
          <w:u w:val="single"/>
        </w:rPr>
        <w:t>按省、市发有关文明施工管理规定执行</w:t>
      </w:r>
      <w:r>
        <w:rPr>
          <w:rFonts w:hint="eastAsia" w:ascii="宋体" w:hAnsi="宋体" w:eastAsia="宋体" w:cs="宋体"/>
          <w:color w:val="auto"/>
          <w:szCs w:val="21"/>
          <w:highlight w:val="none"/>
        </w:rPr>
        <w:t>。</w:t>
      </w:r>
    </w:p>
    <w:p w14:paraId="4FB2131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6.1.6 关于安全文明施工费支付比例和支付期限的约定：</w:t>
      </w:r>
      <w:r>
        <w:rPr>
          <w:rFonts w:hint="eastAsia" w:ascii="宋体" w:hAnsi="宋体" w:eastAsia="宋体" w:cs="宋体"/>
          <w:color w:val="auto"/>
          <w:szCs w:val="21"/>
          <w:highlight w:val="none"/>
          <w:u w:val="single"/>
        </w:rPr>
        <w:t>安全文明施工费预付费用包含在工程预付款内，与工程预付款一并支付，支付比例为安全文明施工费（不含创标化工地增加费）总额的（50）% ，其余部分与进度款同期支付。安全文明施工费承包人应专款专用，在财务账目中应单独列项</w:t>
      </w:r>
      <w:r>
        <w:rPr>
          <w:rFonts w:hint="eastAsia" w:ascii="宋体" w:hAnsi="宋体" w:eastAsia="宋体" w:cs="宋体"/>
          <w:color w:val="auto"/>
          <w:szCs w:val="21"/>
          <w:highlight w:val="none"/>
        </w:rPr>
        <w:t>。</w:t>
      </w:r>
    </w:p>
    <w:p w14:paraId="4CA7A57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安全文明施工费包含在签约合同价内。承包人经发包人同意采取合同以外的安全措施所产生的费用，由发、承包人协商处理；未经发包人同意，发包人可不承担由此增加费用；</w:t>
      </w:r>
    </w:p>
    <w:bookmarkEnd w:id="152"/>
    <w:bookmarkEnd w:id="153"/>
    <w:bookmarkEnd w:id="154"/>
    <w:bookmarkEnd w:id="155"/>
    <w:bookmarkEnd w:id="156"/>
    <w:bookmarkEnd w:id="157"/>
    <w:bookmarkEnd w:id="158"/>
    <w:p w14:paraId="73949DB7">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bookmarkStart w:id="160" w:name="_Toc351203639"/>
      <w:r>
        <w:rPr>
          <w:rFonts w:hint="eastAsia" w:ascii="宋体" w:hAnsi="宋体" w:eastAsia="宋体" w:cs="宋体"/>
          <w:b w:val="0"/>
          <w:color w:val="auto"/>
          <w:sz w:val="21"/>
          <w:szCs w:val="21"/>
          <w:highlight w:val="none"/>
        </w:rPr>
        <w:t>7. 工期和进度</w:t>
      </w:r>
      <w:bookmarkEnd w:id="160"/>
    </w:p>
    <w:p w14:paraId="0772EBC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施工组织设计</w:t>
      </w:r>
    </w:p>
    <w:p w14:paraId="7A0D3F59">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7.1.1 合</w:t>
      </w:r>
      <w:r>
        <w:rPr>
          <w:rFonts w:hint="eastAsia" w:ascii="宋体" w:hAnsi="宋体" w:eastAsia="宋体" w:cs="宋体"/>
          <w:color w:val="auto"/>
          <w:kern w:val="0"/>
          <w:szCs w:val="21"/>
          <w:highlight w:val="none"/>
        </w:rPr>
        <w:t>同当事人约定的施工组织设计应包括的其他内容：</w:t>
      </w:r>
      <w:r>
        <w:rPr>
          <w:rFonts w:hint="eastAsia" w:ascii="宋体" w:hAnsi="宋体" w:eastAsia="宋体" w:cs="宋体"/>
          <w:color w:val="auto"/>
          <w:szCs w:val="21"/>
          <w:highlight w:val="none"/>
          <w:u w:val="single"/>
        </w:rPr>
        <w:t xml:space="preserve"> 对特殊工艺施工、危险性较大分部分项工程施工，应按规定组织专家论证及办理审批手续。</w:t>
      </w:r>
    </w:p>
    <w:p w14:paraId="21A4E244">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ascii="宋体" w:hAnsi="宋体" w:eastAsia="宋体" w:cs="宋体"/>
          <w:color w:val="auto"/>
          <w:kern w:val="0"/>
          <w:szCs w:val="21"/>
          <w:highlight w:val="none"/>
          <w:u w:val="single"/>
        </w:rPr>
        <w:t>注：</w:t>
      </w:r>
      <w:r>
        <w:rPr>
          <w:rFonts w:hint="eastAsia" w:ascii="宋体" w:hAnsi="宋体" w:eastAsia="宋体" w:cs="宋体"/>
          <w:color w:val="auto"/>
          <w:szCs w:val="21"/>
          <w:highlight w:val="none"/>
          <w:u w:val="single"/>
        </w:rPr>
        <w:t>政府性投资项目，应按当地政府规定的项目变更办理程序办理）。</w:t>
      </w:r>
    </w:p>
    <w:p w14:paraId="3095FED5">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7.1.2 </w:t>
      </w:r>
      <w:r>
        <w:rPr>
          <w:rFonts w:hint="eastAsia" w:ascii="宋体" w:hAnsi="宋体" w:eastAsia="宋体" w:cs="宋体"/>
          <w:color w:val="auto"/>
          <w:kern w:val="0"/>
          <w:szCs w:val="21"/>
          <w:highlight w:val="none"/>
        </w:rPr>
        <w:t>施工组织设计的提交和修改</w:t>
      </w:r>
    </w:p>
    <w:p w14:paraId="7568ED6B">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承包人提交详细施工组织设计的期限的约定：</w:t>
      </w:r>
      <w:r>
        <w:rPr>
          <w:rFonts w:hint="eastAsia" w:ascii="宋体" w:hAnsi="宋体" w:eastAsia="宋体" w:cs="宋体"/>
          <w:color w:val="auto"/>
          <w:szCs w:val="21"/>
          <w:highlight w:val="none"/>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ascii="宋体" w:hAnsi="宋体" w:eastAsia="宋体" w:cs="宋体"/>
          <w:color w:val="auto"/>
          <w:szCs w:val="21"/>
          <w:highlight w:val="none"/>
        </w:rPr>
        <w:t>；</w:t>
      </w:r>
    </w:p>
    <w:p w14:paraId="7A19DA7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发包人和监理人在收到详细的施工组织设计后确认或提出修改意见的期限：</w:t>
      </w:r>
      <w:r>
        <w:rPr>
          <w:rFonts w:hint="eastAsia" w:ascii="宋体" w:hAnsi="宋体" w:eastAsia="宋体" w:cs="宋体"/>
          <w:color w:val="auto"/>
          <w:szCs w:val="21"/>
          <w:highlight w:val="none"/>
          <w:u w:val="single"/>
        </w:rPr>
        <w:t>收到相应文件后7天内</w:t>
      </w:r>
      <w:r>
        <w:rPr>
          <w:rFonts w:hint="eastAsia" w:ascii="宋体" w:hAnsi="宋体" w:eastAsia="宋体" w:cs="宋体"/>
          <w:color w:val="auto"/>
          <w:szCs w:val="21"/>
          <w:highlight w:val="none"/>
        </w:rPr>
        <w:t>。</w:t>
      </w:r>
    </w:p>
    <w:p w14:paraId="7D1078E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161" w:name="_Toc304295541"/>
      <w:bookmarkStart w:id="162" w:name="_Toc300934966"/>
      <w:bookmarkStart w:id="163" w:name="_Toc303539123"/>
      <w:bookmarkStart w:id="164" w:name="_Toc297216173"/>
      <w:bookmarkStart w:id="165" w:name="_Toc312678005"/>
      <w:bookmarkStart w:id="166" w:name="_Toc297123514"/>
      <w:bookmarkStart w:id="167" w:name="_Toc312677479"/>
      <w:r>
        <w:rPr>
          <w:rFonts w:hint="eastAsia" w:ascii="宋体" w:hAnsi="宋体" w:eastAsia="宋体" w:cs="宋体"/>
          <w:color w:val="auto"/>
          <w:szCs w:val="21"/>
          <w:highlight w:val="none"/>
        </w:rPr>
        <w:t>.2 施工进度计划</w:t>
      </w:r>
    </w:p>
    <w:p w14:paraId="73A9F27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 施工进度计划的修订</w:t>
      </w:r>
    </w:p>
    <w:p w14:paraId="12BC50E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发包人和监理人在收到修订的施工进度计划后确认或提出修改意见的期限：</w:t>
      </w:r>
      <w:r>
        <w:rPr>
          <w:rFonts w:hint="eastAsia" w:ascii="宋体" w:hAnsi="宋体" w:eastAsia="宋体" w:cs="宋体"/>
          <w:color w:val="auto"/>
          <w:szCs w:val="21"/>
          <w:highlight w:val="none"/>
          <w:u w:val="single"/>
        </w:rPr>
        <w:t xml:space="preserve"> 收到相应文件后7天内 </w:t>
      </w:r>
      <w:r>
        <w:rPr>
          <w:rFonts w:hint="eastAsia" w:ascii="宋体" w:hAnsi="宋体" w:eastAsia="宋体" w:cs="宋体"/>
          <w:color w:val="auto"/>
          <w:szCs w:val="21"/>
          <w:highlight w:val="none"/>
        </w:rPr>
        <w:t>。</w:t>
      </w:r>
    </w:p>
    <w:p w14:paraId="562389E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开工</w:t>
      </w:r>
    </w:p>
    <w:p w14:paraId="5320CC9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 开工准备</w:t>
      </w:r>
    </w:p>
    <w:p w14:paraId="38EA987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关于承包人提交</w:t>
      </w:r>
      <w:r>
        <w:rPr>
          <w:rFonts w:hint="eastAsia" w:ascii="宋体" w:hAnsi="宋体" w:eastAsia="宋体" w:cs="宋体"/>
          <w:color w:val="auto"/>
          <w:kern w:val="0"/>
          <w:szCs w:val="21"/>
          <w:highlight w:val="none"/>
        </w:rPr>
        <w:t>工程开工报审表的期限：</w:t>
      </w:r>
      <w:r>
        <w:rPr>
          <w:rFonts w:hint="eastAsia" w:ascii="宋体" w:hAnsi="宋体" w:eastAsia="宋体" w:cs="宋体"/>
          <w:color w:val="auto"/>
          <w:szCs w:val="21"/>
          <w:highlight w:val="none"/>
          <w:u w:val="single"/>
        </w:rPr>
        <w:t xml:space="preserve">接到开工通知（或确定开工日期）后7天内 </w:t>
      </w:r>
      <w:r>
        <w:rPr>
          <w:rFonts w:hint="eastAsia" w:ascii="宋体" w:hAnsi="宋体" w:eastAsia="宋体" w:cs="宋体"/>
          <w:color w:val="auto"/>
          <w:szCs w:val="21"/>
          <w:highlight w:val="none"/>
        </w:rPr>
        <w:t>。</w:t>
      </w:r>
    </w:p>
    <w:p w14:paraId="56C0624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关于发包人应完成的其他开工准备工作及期限：</w:t>
      </w:r>
      <w:r>
        <w:rPr>
          <w:rFonts w:hint="eastAsia" w:ascii="宋体" w:hAnsi="宋体" w:eastAsia="宋体" w:cs="宋体"/>
          <w:color w:val="auto"/>
          <w:szCs w:val="21"/>
          <w:highlight w:val="none"/>
          <w:u w:val="single"/>
        </w:rPr>
        <w:t>开工前7天</w:t>
      </w:r>
      <w:r>
        <w:rPr>
          <w:rFonts w:hint="eastAsia" w:ascii="宋体" w:hAnsi="宋体" w:eastAsia="宋体" w:cs="宋体"/>
          <w:color w:val="auto"/>
          <w:szCs w:val="21"/>
          <w:highlight w:val="none"/>
        </w:rPr>
        <w:t>。</w:t>
      </w:r>
    </w:p>
    <w:p w14:paraId="0769323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关于承包人应完成的其他开工准备工作及期限：</w:t>
      </w:r>
      <w:r>
        <w:rPr>
          <w:rFonts w:hint="eastAsia" w:ascii="宋体" w:hAnsi="宋体" w:eastAsia="宋体" w:cs="宋体"/>
          <w:color w:val="auto"/>
          <w:szCs w:val="21"/>
          <w:highlight w:val="none"/>
          <w:u w:val="single"/>
        </w:rPr>
        <w:t>开工前。</w:t>
      </w:r>
    </w:p>
    <w:p w14:paraId="35CD20A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7.3.2开工通知</w:t>
      </w:r>
    </w:p>
    <w:p w14:paraId="44344C3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发包人（或监理人）在计划开工日期前7天向承包人发出开工通知，工期自开工通知中载明的开工日期起算。</w:t>
      </w:r>
    </w:p>
    <w:p w14:paraId="33313E5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因发包人原因造成监理人未能在计划开工日期之日起</w:t>
      </w:r>
      <w:r>
        <w:rPr>
          <w:rFonts w:hint="eastAsia" w:ascii="宋体" w:hAnsi="宋体" w:eastAsia="宋体" w:cs="宋体"/>
          <w:b/>
          <w:bCs/>
          <w:color w:val="auto"/>
          <w:szCs w:val="21"/>
          <w:highlight w:val="none"/>
        </w:rPr>
        <w:t xml:space="preserve"> 90天内</w:t>
      </w:r>
      <w:r>
        <w:rPr>
          <w:rFonts w:hint="eastAsia" w:ascii="宋体" w:hAnsi="宋体" w:eastAsia="宋体" w:cs="宋体"/>
          <w:color w:val="auto"/>
          <w:szCs w:val="21"/>
          <w:highlight w:val="none"/>
        </w:rPr>
        <w:t>发出开工通知的，承包人有权提出价格调整要求，或者解除合同。发包人应当承担由此增加的费用或赔偿承包人的损失。</w:t>
      </w:r>
    </w:p>
    <w:bookmarkEnd w:id="161"/>
    <w:bookmarkEnd w:id="162"/>
    <w:bookmarkEnd w:id="163"/>
    <w:bookmarkEnd w:id="164"/>
    <w:bookmarkEnd w:id="165"/>
    <w:bookmarkEnd w:id="166"/>
    <w:bookmarkEnd w:id="167"/>
    <w:p w14:paraId="7A73069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7.4 测量放线</w:t>
      </w:r>
    </w:p>
    <w:p w14:paraId="3CA912E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7.4.1发包人通过监理人向承包人提供测量基准点、基准线和水准点及其书面资料的期限：</w:t>
      </w:r>
      <w:r>
        <w:rPr>
          <w:rFonts w:hint="eastAsia" w:ascii="宋体" w:hAnsi="宋体" w:eastAsia="宋体" w:cs="宋体"/>
          <w:color w:val="auto"/>
          <w:szCs w:val="21"/>
          <w:highlight w:val="none"/>
          <w:u w:val="single"/>
        </w:rPr>
        <w:t xml:space="preserve"> 按合同通用条款执行</w:t>
      </w:r>
      <w:r>
        <w:rPr>
          <w:rFonts w:hint="eastAsia" w:ascii="宋体" w:hAnsi="宋体" w:eastAsia="宋体" w:cs="宋体"/>
          <w:color w:val="auto"/>
          <w:szCs w:val="21"/>
          <w:highlight w:val="none"/>
        </w:rPr>
        <w:t>。</w:t>
      </w:r>
    </w:p>
    <w:p w14:paraId="09FA297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168" w:name="_Toc304295546"/>
      <w:bookmarkStart w:id="169" w:name="_Toc303539125"/>
      <w:bookmarkStart w:id="170" w:name="_Toc312677484"/>
      <w:bookmarkStart w:id="171" w:name="_Toc312678010"/>
      <w:bookmarkStart w:id="172" w:name="_Toc297123516"/>
      <w:bookmarkStart w:id="173" w:name="_Toc300934968"/>
      <w:bookmarkStart w:id="174" w:name="_Toc297216175"/>
      <w:r>
        <w:rPr>
          <w:rFonts w:hint="eastAsia" w:ascii="宋体" w:hAnsi="宋体" w:eastAsia="宋体" w:cs="宋体"/>
          <w:color w:val="auto"/>
          <w:szCs w:val="21"/>
          <w:highlight w:val="none"/>
        </w:rPr>
        <w:t>.5 工期延误</w:t>
      </w:r>
    </w:p>
    <w:bookmarkEnd w:id="168"/>
    <w:bookmarkEnd w:id="169"/>
    <w:bookmarkEnd w:id="170"/>
    <w:bookmarkEnd w:id="171"/>
    <w:bookmarkEnd w:id="172"/>
    <w:bookmarkEnd w:id="173"/>
    <w:bookmarkEnd w:id="174"/>
    <w:p w14:paraId="3E81D06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7.5.1 因发包人原因导致工期延误</w:t>
      </w:r>
    </w:p>
    <w:p w14:paraId="492A81E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（7）因发包人原因导致工期延误的其他情形：</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7834D5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175" w:name="_Toc318581169"/>
      <w:bookmarkStart w:id="176" w:name="_Toc312677486"/>
      <w:bookmarkStart w:id="177" w:name="_Toc312678012"/>
      <w:bookmarkStart w:id="178" w:name="_Toc300934970"/>
      <w:bookmarkStart w:id="179" w:name="_Toc304295548"/>
      <w:bookmarkStart w:id="180" w:name="_Toc303539127"/>
      <w:bookmarkStart w:id="181" w:name="_Toc297216177"/>
      <w:bookmarkStart w:id="182" w:name="_Toc297123518"/>
      <w:r>
        <w:rPr>
          <w:rFonts w:hint="eastAsia" w:ascii="宋体" w:hAnsi="宋体" w:eastAsia="宋体" w:cs="宋体"/>
          <w:color w:val="auto"/>
          <w:szCs w:val="21"/>
          <w:highlight w:val="none"/>
        </w:rPr>
        <w:t>.5.2 因承包人原因导致工期延误</w:t>
      </w:r>
    </w:p>
    <w:bookmarkEnd w:id="175"/>
    <w:bookmarkEnd w:id="176"/>
    <w:bookmarkEnd w:id="177"/>
    <w:p w14:paraId="1F9B9DA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因</w:t>
      </w:r>
      <w:bookmarkStart w:id="183" w:name="_Toc312677487"/>
      <w:bookmarkStart w:id="184" w:name="_Toc312678013"/>
      <w:bookmarkStart w:id="185" w:name="_Toc318581170"/>
      <w:r>
        <w:rPr>
          <w:rFonts w:hint="eastAsia" w:ascii="宋体" w:hAnsi="宋体" w:eastAsia="宋体" w:cs="宋体"/>
          <w:color w:val="auto"/>
          <w:szCs w:val="21"/>
          <w:highlight w:val="none"/>
        </w:rPr>
        <w:t>承包人原因造成工期延误，逾期竣工违约金的计算方法为：</w:t>
      </w:r>
      <w:r>
        <w:rPr>
          <w:rFonts w:hint="eastAsia" w:ascii="宋体" w:hAnsi="宋体" w:eastAsia="宋体" w:cs="宋体"/>
          <w:b/>
          <w:bCs/>
          <w:color w:val="auto"/>
          <w:szCs w:val="21"/>
          <w:highlight w:val="none"/>
          <w:u w:val="single"/>
        </w:rPr>
        <w:t xml:space="preserve">每天 </w:t>
      </w:r>
      <w:r>
        <w:rPr>
          <w:rFonts w:hint="eastAsia" w:ascii="宋体" w:hAnsi="宋体" w:eastAsia="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rPr>
        <w:t>00元</w:t>
      </w:r>
      <w:bookmarkEnd w:id="178"/>
      <w:bookmarkEnd w:id="179"/>
      <w:bookmarkEnd w:id="180"/>
      <w:bookmarkEnd w:id="181"/>
      <w:bookmarkEnd w:id="182"/>
      <w:bookmarkEnd w:id="183"/>
      <w:bookmarkEnd w:id="184"/>
      <w:r>
        <w:rPr>
          <w:rFonts w:hint="eastAsia" w:ascii="宋体" w:hAnsi="宋体" w:eastAsia="宋体" w:cs="宋体"/>
          <w:b/>
          <w:bCs/>
          <w:color w:val="auto"/>
          <w:szCs w:val="21"/>
          <w:highlight w:val="none"/>
          <w:u w:val="single"/>
        </w:rPr>
        <w:t>。</w:t>
      </w:r>
    </w:p>
    <w:bookmarkEnd w:id="185"/>
    <w:p w14:paraId="0C444FF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因承包人原因造成工期延误，逾</w:t>
      </w:r>
      <w:bookmarkStart w:id="186" w:name="_Toc318581171"/>
      <w:bookmarkStart w:id="187" w:name="_Toc312678014"/>
      <w:r>
        <w:rPr>
          <w:rFonts w:hint="eastAsia" w:ascii="宋体" w:hAnsi="宋体" w:eastAsia="宋体" w:cs="宋体"/>
          <w:color w:val="auto"/>
          <w:szCs w:val="21"/>
          <w:highlight w:val="none"/>
        </w:rPr>
        <w:t>期竣工违约金的上限：</w:t>
      </w:r>
      <w:r>
        <w:rPr>
          <w:rFonts w:hint="eastAsia" w:ascii="宋体" w:hAnsi="宋体" w:eastAsia="宋体" w:cs="宋体"/>
          <w:b/>
          <w:bCs/>
          <w:color w:val="auto"/>
          <w:szCs w:val="21"/>
          <w:highlight w:val="none"/>
          <w:u w:val="single"/>
        </w:rPr>
        <w:t>履约保证金额度，对发包人造成损失超过违约金的，除承担违约金外同时赔偿发包人损失</w:t>
      </w:r>
      <w:r>
        <w:rPr>
          <w:rFonts w:hint="eastAsia" w:ascii="宋体" w:hAnsi="宋体" w:eastAsia="宋体" w:cs="宋体"/>
          <w:color w:val="auto"/>
          <w:szCs w:val="21"/>
          <w:highlight w:val="none"/>
        </w:rPr>
        <w:t>。</w:t>
      </w:r>
    </w:p>
    <w:bookmarkEnd w:id="186"/>
    <w:bookmarkEnd w:id="187"/>
    <w:p w14:paraId="7E377FB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188" w:name="_Toc304295549"/>
      <w:bookmarkStart w:id="189" w:name="_Toc312678015"/>
      <w:bookmarkStart w:id="190" w:name="_Toc303539128"/>
      <w:bookmarkStart w:id="191" w:name="_Toc297123519"/>
      <w:bookmarkStart w:id="192" w:name="_Toc300934971"/>
      <w:bookmarkStart w:id="193" w:name="_Toc297216178"/>
      <w:r>
        <w:rPr>
          <w:rFonts w:hint="eastAsia" w:ascii="宋体" w:hAnsi="宋体" w:eastAsia="宋体" w:cs="宋体"/>
          <w:color w:val="auto"/>
          <w:szCs w:val="21"/>
          <w:highlight w:val="none"/>
        </w:rPr>
        <w:t>.6 不</w:t>
      </w:r>
      <w:bookmarkEnd w:id="188"/>
      <w:bookmarkEnd w:id="189"/>
      <w:bookmarkEnd w:id="190"/>
      <w:bookmarkEnd w:id="191"/>
      <w:bookmarkEnd w:id="192"/>
      <w:bookmarkEnd w:id="193"/>
      <w:r>
        <w:rPr>
          <w:rFonts w:hint="eastAsia" w:ascii="宋体" w:hAnsi="宋体" w:eastAsia="宋体" w:cs="宋体"/>
          <w:color w:val="auto"/>
          <w:szCs w:val="21"/>
          <w:highlight w:val="none"/>
        </w:rPr>
        <w:t>利物质条件</w:t>
      </w:r>
    </w:p>
    <w:p w14:paraId="4CFE4AB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bookmarkStart w:id="194" w:name="_Toc300934972"/>
      <w:bookmarkStart w:id="195" w:name="_Toc318581172"/>
      <w:bookmarkStart w:id="196" w:name="_Toc297216179"/>
      <w:bookmarkStart w:id="197" w:name="_Toc312678016"/>
      <w:bookmarkStart w:id="198" w:name="_Toc303539129"/>
      <w:bookmarkStart w:id="199" w:name="_Toc297123520"/>
      <w:bookmarkStart w:id="200" w:name="_Toc304295550"/>
      <w:r>
        <w:rPr>
          <w:rFonts w:hint="eastAsia" w:ascii="宋体" w:hAnsi="宋体" w:eastAsia="宋体" w:cs="宋体"/>
          <w:color w:val="auto"/>
          <w:szCs w:val="21"/>
          <w:highlight w:val="none"/>
        </w:rPr>
        <w:t>不利物质条件的其他情形和有关约定：</w:t>
      </w:r>
    </w:p>
    <w:p w14:paraId="50DFA6F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每天连续停水、停电超过8小时以上。</w:t>
      </w:r>
    </w:p>
    <w:p w14:paraId="479EC72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因政府行政命令（因承包人原因的除外）。</w:t>
      </w:r>
    </w:p>
    <w:p w14:paraId="3E57687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非因双方原因而无法控制的爆炸、火灾等事件。</w:t>
      </w:r>
    </w:p>
    <w:p w14:paraId="3947A00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u w:val="single"/>
        </w:rPr>
        <w:t>施工场地周围地下管线保护，地下障碍物和污染物排除，邻近建筑物、构筑物的保护要求。</w:t>
      </w:r>
    </w:p>
    <w:p w14:paraId="19CE346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u w:val="single"/>
        </w:rPr>
        <w:t>地质勘探资料未涉及的地下管道、暗沟、岩层等。</w:t>
      </w:r>
    </w:p>
    <w:bookmarkEnd w:id="194"/>
    <w:bookmarkEnd w:id="195"/>
    <w:bookmarkEnd w:id="196"/>
    <w:bookmarkEnd w:id="197"/>
    <w:bookmarkEnd w:id="198"/>
    <w:bookmarkEnd w:id="199"/>
    <w:bookmarkEnd w:id="200"/>
    <w:p w14:paraId="41996FF4">
      <w:pPr>
        <w:pageBreakBefore w:val="0"/>
        <w:shd w:val="clear" w:color="auto" w:fill="auto"/>
        <w:kinsoku/>
        <w:wordWrap/>
        <w:overflowPunct/>
        <w:topLinePunct w:val="0"/>
        <w:bidi w:val="0"/>
        <w:adjustRightInd/>
        <w:snapToGrid/>
        <w:spacing w:line="330" w:lineRule="exact"/>
        <w:ind w:left="0" w:leftChars="0" w:right="0" w:rightChars="0" w:firstLine="422"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p w14:paraId="4CD11CF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201" w:name="_Toc303539130"/>
      <w:bookmarkStart w:id="202" w:name="_Toc312678017"/>
      <w:bookmarkStart w:id="203" w:name="_Toc304295551"/>
      <w:bookmarkStart w:id="204" w:name="_Toc297216180"/>
      <w:bookmarkStart w:id="205" w:name="_Toc297123521"/>
      <w:bookmarkStart w:id="206" w:name="_Toc300934973"/>
      <w:r>
        <w:rPr>
          <w:rFonts w:hint="eastAsia" w:ascii="宋体" w:hAnsi="宋体" w:eastAsia="宋体" w:cs="宋体"/>
          <w:color w:val="auto"/>
          <w:szCs w:val="21"/>
          <w:highlight w:val="none"/>
        </w:rPr>
        <w:t>.7异常恶劣的气候条件</w:t>
      </w:r>
    </w:p>
    <w:bookmarkEnd w:id="201"/>
    <w:bookmarkEnd w:id="202"/>
    <w:bookmarkEnd w:id="203"/>
    <w:bookmarkEnd w:id="204"/>
    <w:bookmarkEnd w:id="205"/>
    <w:bookmarkEnd w:id="206"/>
    <w:p w14:paraId="30BFDD2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发包人和承包人同意以下情形视为异常恶劣的气候条件：</w:t>
      </w:r>
    </w:p>
    <w:p w14:paraId="5FDD343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bCs/>
          <w:color w:val="auto"/>
          <w:szCs w:val="21"/>
          <w:highlight w:val="none"/>
          <w:u w:val="single"/>
        </w:rPr>
        <w:t>8-10级（含10级）持续24小时的大风（台风）；</w:t>
      </w:r>
    </w:p>
    <w:p w14:paraId="77396A4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24小时内持续降雨且降水量为200mm以上 </w:t>
      </w:r>
      <w:r>
        <w:rPr>
          <w:rFonts w:hint="eastAsia" w:ascii="宋体" w:hAnsi="宋体" w:eastAsia="宋体" w:cs="宋体"/>
          <w:color w:val="auto"/>
          <w:szCs w:val="21"/>
          <w:highlight w:val="none"/>
        </w:rPr>
        <w:t>；</w:t>
      </w:r>
    </w:p>
    <w:p w14:paraId="2104C34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 xml:space="preserve">40摄氏度及以上且持续2天以上的高温天气 </w:t>
      </w:r>
      <w:r>
        <w:rPr>
          <w:rFonts w:hint="eastAsia" w:ascii="宋体" w:hAnsi="宋体" w:eastAsia="宋体" w:cs="宋体"/>
          <w:color w:val="auto"/>
          <w:szCs w:val="21"/>
          <w:highlight w:val="none"/>
        </w:rPr>
        <w:t>。</w:t>
      </w:r>
    </w:p>
    <w:p w14:paraId="32A3A781">
      <w:pPr>
        <w:pageBreakBefore w:val="0"/>
        <w:shd w:val="clear" w:color="auto" w:fill="auto"/>
        <w:kinsoku/>
        <w:wordWrap/>
        <w:overflowPunct/>
        <w:topLinePunct w:val="0"/>
        <w:bidi w:val="0"/>
        <w:adjustRightInd/>
        <w:snapToGrid/>
        <w:spacing w:line="330" w:lineRule="exact"/>
        <w:ind w:left="0" w:leftChars="0"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r>
        <w:rPr>
          <w:rFonts w:hint="eastAsia" w:ascii="宋体" w:hAnsi="宋体" w:eastAsia="宋体" w:cs="宋体"/>
          <w:color w:val="auto"/>
          <w:szCs w:val="21"/>
          <w:highlight w:val="none"/>
        </w:rPr>
        <w:t>。</w:t>
      </w:r>
    </w:p>
    <w:p w14:paraId="3CD8EDB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 提前竣工的奖励</w:t>
      </w:r>
    </w:p>
    <w:p w14:paraId="02B401B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7.9.2提前竣工的奖励：</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4B986C1E">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bookmarkStart w:id="207" w:name="_Toc351203640"/>
      <w:r>
        <w:rPr>
          <w:rFonts w:hint="eastAsia" w:ascii="宋体" w:hAnsi="宋体" w:eastAsia="宋体" w:cs="宋体"/>
          <w:b w:val="0"/>
          <w:color w:val="auto"/>
          <w:sz w:val="21"/>
          <w:szCs w:val="21"/>
          <w:highlight w:val="none"/>
        </w:rPr>
        <w:t>8. 材料与设备</w:t>
      </w:r>
      <w:bookmarkEnd w:id="207"/>
    </w:p>
    <w:p w14:paraId="43C351C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8.2 承包人采购材料与工程设备</w:t>
      </w:r>
    </w:p>
    <w:p w14:paraId="1977E87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u w:val="single"/>
        </w:rPr>
        <w:t>（1）材料品牌、规格和使用要求：按招标文件（相应）技术标准和要求执行。</w:t>
      </w:r>
      <w:r>
        <w:rPr>
          <w:rFonts w:hint="eastAsia" w:ascii="宋体" w:hAnsi="宋体" w:eastAsia="宋体" w:cs="宋体"/>
          <w:b/>
          <w:bCs/>
          <w:color w:val="auto"/>
          <w:szCs w:val="21"/>
          <w:highlight w:val="none"/>
          <w:u w:val="single"/>
        </w:rPr>
        <w:t>凡是招标文件注明规格、型号或品牌、产地的材料，承包人必须按照招标文件要求采购和施工；如需调整，必须经得发包人认可。</w:t>
      </w:r>
    </w:p>
    <w:p w14:paraId="34D1268B">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2" w:firstLineChars="200"/>
        <w:textAlignment w:val="auto"/>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u w:val="single"/>
        </w:rPr>
        <w:t>（2）本工程已确定价格的建筑材料均由承包人自行采购、运输和保管</w:t>
      </w:r>
      <w:r>
        <w:rPr>
          <w:rFonts w:hint="eastAsia" w:ascii="宋体" w:hAnsi="宋体" w:eastAsia="宋体" w:cs="宋体"/>
          <w:color w:val="auto"/>
          <w:szCs w:val="21"/>
          <w:highlight w:val="none"/>
          <w:u w:val="single"/>
        </w:rPr>
        <w:t>。</w:t>
      </w:r>
    </w:p>
    <w:p w14:paraId="2938E2F0">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（3）本工程要求使用材料要求：</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p>
    <w:p w14:paraId="5674C80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（4）所有材料必须有关合格证明资料，符合施工图纸和规范要求，且品牌、产地需报监理人及发包人备案方可进场。</w:t>
      </w:r>
    </w:p>
    <w:p w14:paraId="4A00760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凡是招标文件注明规格、型号或者招标文件第七章“主要设备材料备选品牌一览表”中注明备选品牌（或厂家）的设备材料，承包人必须按照招标文件要求采购和施工，如需调整，必须使用经得发包人认可的“相当于”的设备材料，否则由此引起的后果由承包人承担。</w:t>
      </w:r>
    </w:p>
    <w:p w14:paraId="6B39396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（6）所有设备、材料和预制构件等均需有产品合格证和质保书、试验（试车）报告等必要资料，符合国家规定的技术标准和设计图纸要求的标准，并且须经发包人及监理单位验收合格后方可使用。</w:t>
      </w:r>
    </w:p>
    <w:p w14:paraId="1426626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（7）根据工程需要，发包人有权对承包人投标时确认的品牌进行更换，更换后的材料价格由发包人签证进行结算。</w:t>
      </w:r>
    </w:p>
    <w:p w14:paraId="67D2993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（8）合同中原暂定价材料或由工程变更产生的无价材料（按有关规定可不组织招标采购的）由承包人采购时，应由发包人签证确定价格后采购，发包人收到承包人价格确定申请后，7日内审批完毕。</w:t>
      </w:r>
    </w:p>
    <w:bookmarkEnd w:id="142"/>
    <w:bookmarkEnd w:id="143"/>
    <w:bookmarkEnd w:id="144"/>
    <w:bookmarkEnd w:id="145"/>
    <w:bookmarkEnd w:id="146"/>
    <w:bookmarkEnd w:id="147"/>
    <w:bookmarkEnd w:id="148"/>
    <w:bookmarkEnd w:id="149"/>
    <w:bookmarkEnd w:id="150"/>
    <w:bookmarkEnd w:id="151"/>
    <w:p w14:paraId="2DF37C9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bookmarkStart w:id="208" w:name="_Toc296891213"/>
      <w:bookmarkStart w:id="209" w:name="_Toc296503173"/>
      <w:bookmarkStart w:id="210" w:name="_Toc297120473"/>
      <w:bookmarkStart w:id="211" w:name="_Toc296891001"/>
      <w:bookmarkStart w:id="212" w:name="_Toc297123536"/>
      <w:bookmarkStart w:id="213" w:name="_Toc304295562"/>
      <w:bookmarkStart w:id="214" w:name="_Toc297048359"/>
      <w:bookmarkStart w:id="215" w:name="_Toc318581174"/>
      <w:bookmarkStart w:id="216" w:name="_Toc300934985"/>
      <w:bookmarkStart w:id="217" w:name="_Toc267251427"/>
      <w:bookmarkStart w:id="218" w:name="_Toc296944512"/>
      <w:bookmarkStart w:id="219" w:name="_Toc292559883"/>
      <w:bookmarkStart w:id="220" w:name="_Toc297216195"/>
      <w:bookmarkStart w:id="221" w:name="_Toc296347172"/>
      <w:bookmarkStart w:id="222" w:name="_Toc292559378"/>
      <w:bookmarkStart w:id="223" w:name="_Toc312677498"/>
      <w:bookmarkStart w:id="224" w:name="_Toc312678024"/>
      <w:bookmarkStart w:id="225" w:name="_Toc303539142"/>
      <w:bookmarkStart w:id="226" w:name="_Toc267251428"/>
      <w:bookmarkStart w:id="227" w:name="_Toc296346674"/>
      <w:r>
        <w:rPr>
          <w:rFonts w:hint="eastAsia" w:ascii="宋体" w:hAnsi="宋体" w:eastAsia="宋体" w:cs="宋体"/>
          <w:color w:val="auto"/>
          <w:szCs w:val="21"/>
          <w:highlight w:val="none"/>
        </w:rPr>
        <w:t>8</w:t>
      </w:r>
      <w:bookmarkStart w:id="228" w:name="_Toc296347166"/>
      <w:bookmarkStart w:id="229" w:name="_Toc296891207"/>
      <w:bookmarkStart w:id="230" w:name="_Toc297216186"/>
      <w:bookmarkStart w:id="231" w:name="_Toc296890995"/>
      <w:bookmarkStart w:id="232" w:name="_Toc297048353"/>
      <w:bookmarkStart w:id="233" w:name="_Toc296346668"/>
      <w:bookmarkStart w:id="234" w:name="_Toc292559877"/>
      <w:bookmarkStart w:id="235" w:name="_Toc312678019"/>
      <w:bookmarkStart w:id="236" w:name="_Toc280868654"/>
      <w:bookmarkStart w:id="237" w:name="_Toc296503167"/>
      <w:bookmarkStart w:id="238" w:name="_Toc303539136"/>
      <w:bookmarkStart w:id="239" w:name="_Toc292559372"/>
      <w:bookmarkStart w:id="240" w:name="_Toc312677493"/>
      <w:bookmarkStart w:id="241" w:name="_Toc296944506"/>
      <w:bookmarkStart w:id="242" w:name="_Toc297120467"/>
      <w:bookmarkStart w:id="243" w:name="_Toc297123527"/>
      <w:bookmarkStart w:id="244" w:name="_Toc304295556"/>
      <w:bookmarkStart w:id="245" w:name="_Toc300934979"/>
      <w:bookmarkStart w:id="246" w:name="_Toc267251424"/>
      <w:bookmarkStart w:id="247" w:name="_Toc280868656"/>
      <w:bookmarkStart w:id="248" w:name="_Toc280868655"/>
      <w:r>
        <w:rPr>
          <w:rFonts w:hint="eastAsia" w:ascii="宋体" w:hAnsi="宋体" w:eastAsia="宋体" w:cs="宋体"/>
          <w:color w:val="auto"/>
          <w:szCs w:val="21"/>
          <w:highlight w:val="none"/>
        </w:rPr>
        <w:t>.4材料与工程设备的保管与使用</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14:paraId="5BB8B7E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bookmarkStart w:id="249" w:name="_Toc292559373"/>
      <w:bookmarkStart w:id="250" w:name="_Toc292559878"/>
      <w:bookmarkStart w:id="251" w:name="_Toc296347167"/>
      <w:bookmarkStart w:id="252" w:name="_Toc312677494"/>
      <w:bookmarkStart w:id="253" w:name="_Toc296944507"/>
      <w:bookmarkStart w:id="254" w:name="_Toc296890996"/>
      <w:bookmarkStart w:id="255" w:name="_Toc303539137"/>
      <w:bookmarkStart w:id="256" w:name="_Toc312678020"/>
      <w:bookmarkStart w:id="257" w:name="_Toc296891208"/>
      <w:bookmarkStart w:id="258" w:name="_Toc296503168"/>
      <w:bookmarkStart w:id="259" w:name="_Toc297216187"/>
      <w:bookmarkStart w:id="260" w:name="_Toc318581173"/>
      <w:bookmarkStart w:id="261" w:name="_Toc300934980"/>
      <w:bookmarkStart w:id="262" w:name="_Toc297120468"/>
      <w:bookmarkStart w:id="263" w:name="_Toc296346669"/>
      <w:bookmarkStart w:id="264" w:name="_Toc297123528"/>
      <w:bookmarkStart w:id="265" w:name="_Toc297048354"/>
      <w:bookmarkStart w:id="266" w:name="_Toc304295557"/>
      <w:r>
        <w:rPr>
          <w:rFonts w:hint="eastAsia" w:ascii="宋体" w:hAnsi="宋体" w:eastAsia="宋体" w:cs="宋体"/>
          <w:color w:val="auto"/>
          <w:szCs w:val="21"/>
          <w:highlight w:val="none"/>
        </w:rPr>
        <w:t>.4.1发包人供应的材料设备的保管费用的承担：</w:t>
      </w:r>
      <w:bookmarkEnd w:id="249"/>
      <w:bookmarkEnd w:id="250"/>
      <w:r>
        <w:rPr>
          <w:rFonts w:hint="eastAsia" w:ascii="宋体" w:hAnsi="宋体" w:eastAsia="宋体" w:cs="宋体"/>
          <w:color w:val="auto"/>
          <w:szCs w:val="21"/>
          <w:highlight w:val="none"/>
          <w:u w:val="single"/>
        </w:rPr>
        <w:t xml:space="preserve"> / 。</w:t>
      </w:r>
    </w:p>
    <w:p w14:paraId="4F3CD87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8.6 样品</w:t>
      </w:r>
    </w:p>
    <w:p w14:paraId="5FF9DA6B">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8.6.1 样品的报送与封存</w:t>
      </w:r>
    </w:p>
    <w:p w14:paraId="08055E15">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需要承包人报送样品的材料或工程设备，样品的种类、名称、规格、数量要求：</w:t>
      </w:r>
      <w:r>
        <w:rPr>
          <w:rFonts w:hint="eastAsia" w:ascii="宋体" w:hAnsi="宋体" w:eastAsia="宋体" w:cs="宋体"/>
          <w:color w:val="auto"/>
          <w:szCs w:val="21"/>
          <w:highlight w:val="none"/>
          <w:u w:val="single"/>
        </w:rPr>
        <w:t>依据发包人意见执行</w:t>
      </w:r>
      <w:r>
        <w:rPr>
          <w:rFonts w:hint="eastAsia" w:ascii="宋体" w:hAnsi="宋体" w:eastAsia="宋体" w:cs="宋体"/>
          <w:color w:val="auto"/>
          <w:szCs w:val="21"/>
          <w:highlight w:val="none"/>
        </w:rPr>
        <w:t>。</w:t>
      </w:r>
    </w:p>
    <w:p w14:paraId="4676BB9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8.8 施工设备和临时设施</w:t>
      </w:r>
    </w:p>
    <w:p w14:paraId="28DE6076">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8.8.1 承包人提供的施工设备和临时设施</w:t>
      </w:r>
    </w:p>
    <w:p w14:paraId="49E83D1D">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关于修建临时设施费用承担的约定：</w:t>
      </w:r>
      <w:r>
        <w:rPr>
          <w:rFonts w:hint="eastAsia" w:ascii="宋体" w:hAnsi="宋体" w:eastAsia="宋体" w:cs="宋体"/>
          <w:color w:val="auto"/>
          <w:szCs w:val="21"/>
          <w:highlight w:val="none"/>
          <w:u w:val="single"/>
        </w:rPr>
        <w:t xml:space="preserve"> 由承包人承担  </w:t>
      </w:r>
      <w:r>
        <w:rPr>
          <w:rFonts w:hint="eastAsia" w:ascii="宋体" w:hAnsi="宋体" w:eastAsia="宋体" w:cs="宋体"/>
          <w:color w:val="auto"/>
          <w:szCs w:val="21"/>
          <w:highlight w:val="none"/>
        </w:rPr>
        <w:t>。</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0577900F">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bookmarkStart w:id="267" w:name="_Toc351203641"/>
      <w:r>
        <w:rPr>
          <w:rFonts w:hint="eastAsia" w:ascii="宋体" w:hAnsi="宋体" w:eastAsia="宋体" w:cs="宋体"/>
          <w:b w:val="0"/>
          <w:color w:val="auto"/>
          <w:sz w:val="21"/>
          <w:szCs w:val="21"/>
          <w:highlight w:val="none"/>
        </w:rPr>
        <w:t>9</w:t>
      </w:r>
      <w:bookmarkEnd w:id="246"/>
      <w:bookmarkEnd w:id="247"/>
      <w:bookmarkEnd w:id="248"/>
      <w:bookmarkStart w:id="268" w:name="_Toc300934982"/>
      <w:bookmarkStart w:id="269" w:name="_Toc297123533"/>
      <w:bookmarkStart w:id="270" w:name="_Toc312678021"/>
      <w:bookmarkStart w:id="271" w:name="_Toc303539139"/>
      <w:bookmarkStart w:id="272" w:name="_Toc297216192"/>
      <w:bookmarkStart w:id="273" w:name="_Toc312677495"/>
      <w:bookmarkStart w:id="274" w:name="_Toc304295559"/>
      <w:r>
        <w:rPr>
          <w:rFonts w:hint="eastAsia" w:ascii="宋体" w:hAnsi="宋体" w:eastAsia="宋体" w:cs="宋体"/>
          <w:b w:val="0"/>
          <w:color w:val="auto"/>
          <w:sz w:val="21"/>
          <w:szCs w:val="21"/>
          <w:highlight w:val="none"/>
        </w:rPr>
        <w:t>. 试验与检验</w:t>
      </w:r>
      <w:bookmarkEnd w:id="267"/>
    </w:p>
    <w:bookmarkEnd w:id="268"/>
    <w:bookmarkEnd w:id="269"/>
    <w:bookmarkEnd w:id="270"/>
    <w:bookmarkEnd w:id="271"/>
    <w:bookmarkEnd w:id="272"/>
    <w:bookmarkEnd w:id="273"/>
    <w:bookmarkEnd w:id="274"/>
    <w:p w14:paraId="7D235EC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bookmarkStart w:id="275" w:name="_Toc300934983"/>
      <w:bookmarkStart w:id="276" w:name="_Toc304295560"/>
      <w:bookmarkStart w:id="277" w:name="_Toc312678022"/>
      <w:bookmarkStart w:id="278" w:name="_Toc297123534"/>
      <w:bookmarkStart w:id="279" w:name="_Toc297216193"/>
      <w:bookmarkStart w:id="280" w:name="_Toc303539140"/>
      <w:bookmarkStart w:id="281" w:name="_Toc312677496"/>
      <w:r>
        <w:rPr>
          <w:rFonts w:hint="eastAsia" w:ascii="宋体" w:hAnsi="宋体" w:eastAsia="宋体" w:cs="宋体"/>
          <w:color w:val="auto"/>
          <w:szCs w:val="21"/>
          <w:highlight w:val="none"/>
        </w:rPr>
        <w:t>.1试验设备与试验人员</w:t>
      </w:r>
    </w:p>
    <w:bookmarkEnd w:id="275"/>
    <w:bookmarkEnd w:id="276"/>
    <w:bookmarkEnd w:id="277"/>
    <w:bookmarkEnd w:id="278"/>
    <w:bookmarkEnd w:id="279"/>
    <w:bookmarkEnd w:id="280"/>
    <w:bookmarkEnd w:id="281"/>
    <w:p w14:paraId="54C26AA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bookmarkStart w:id="282" w:name="_Toc312678023"/>
      <w:bookmarkStart w:id="283" w:name="_Toc304295561"/>
      <w:bookmarkStart w:id="284" w:name="_Toc300934984"/>
      <w:bookmarkStart w:id="285" w:name="_Toc303539141"/>
      <w:bookmarkStart w:id="286" w:name="_Toc297123535"/>
      <w:bookmarkStart w:id="287" w:name="_Toc312677497"/>
      <w:bookmarkStart w:id="288" w:name="_Toc297216194"/>
      <w:r>
        <w:rPr>
          <w:rFonts w:hint="eastAsia" w:ascii="宋体" w:hAnsi="宋体" w:eastAsia="宋体" w:cs="宋体"/>
          <w:color w:val="auto"/>
          <w:szCs w:val="21"/>
          <w:highlight w:val="none"/>
        </w:rPr>
        <w:t>.1.2 试验设备</w:t>
      </w:r>
    </w:p>
    <w:p w14:paraId="62A458A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施工现场需要配置的试验场所：</w:t>
      </w:r>
      <w:bookmarkEnd w:id="282"/>
      <w:bookmarkEnd w:id="283"/>
      <w:bookmarkEnd w:id="284"/>
      <w:bookmarkEnd w:id="285"/>
      <w:bookmarkEnd w:id="286"/>
      <w:bookmarkEnd w:id="287"/>
      <w:bookmarkEnd w:id="288"/>
      <w:r>
        <w:rPr>
          <w:rFonts w:hint="eastAsia" w:ascii="宋体" w:hAnsi="宋体" w:eastAsia="宋体" w:cs="宋体"/>
          <w:color w:val="auto"/>
          <w:szCs w:val="21"/>
          <w:highlight w:val="none"/>
          <w:u w:val="single"/>
        </w:rPr>
        <w:t xml:space="preserve"> 按规范及（当地）建设行政主管部门要求配置</w:t>
      </w:r>
      <w:r>
        <w:rPr>
          <w:rFonts w:hint="eastAsia" w:ascii="宋体" w:hAnsi="宋体" w:eastAsia="宋体" w:cs="宋体"/>
          <w:color w:val="auto"/>
          <w:szCs w:val="21"/>
          <w:highlight w:val="none"/>
        </w:rPr>
        <w:t>。</w:t>
      </w:r>
    </w:p>
    <w:p w14:paraId="122789D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szCs w:val="21"/>
          <w:highlight w:val="none"/>
          <w:u w:val="single"/>
        </w:rPr>
        <w:t xml:space="preserve"> 按规范及（当地）建设行政主管部门要求配置</w:t>
      </w:r>
      <w:r>
        <w:rPr>
          <w:rFonts w:hint="eastAsia" w:ascii="宋体" w:hAnsi="宋体" w:eastAsia="宋体" w:cs="宋体"/>
          <w:color w:val="auto"/>
          <w:szCs w:val="21"/>
          <w:highlight w:val="none"/>
        </w:rPr>
        <w:t>。</w:t>
      </w:r>
    </w:p>
    <w:p w14:paraId="1B5DA65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施工现场需要具备的其他试验条件：</w:t>
      </w:r>
      <w:r>
        <w:rPr>
          <w:rFonts w:hint="eastAsia" w:ascii="宋体" w:hAnsi="宋体" w:eastAsia="宋体" w:cs="宋体"/>
          <w:color w:val="auto"/>
          <w:szCs w:val="21"/>
          <w:highlight w:val="none"/>
          <w:u w:val="single"/>
        </w:rPr>
        <w:t xml:space="preserve"> 按规范及（当地）建设行政主管部门要求配置</w:t>
      </w:r>
      <w:r>
        <w:rPr>
          <w:rFonts w:hint="eastAsia" w:ascii="宋体" w:hAnsi="宋体" w:eastAsia="宋体" w:cs="宋体"/>
          <w:color w:val="auto"/>
          <w:szCs w:val="21"/>
          <w:highlight w:val="none"/>
        </w:rPr>
        <w:t>。</w:t>
      </w:r>
    </w:p>
    <w:p w14:paraId="3E844AE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9.3 材料、工程设备和工程的试验和检验</w:t>
      </w:r>
    </w:p>
    <w:p w14:paraId="249F5BF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9.3.4材料、设备和工程的试验和检验的费用：</w:t>
      </w:r>
      <w:r>
        <w:rPr>
          <w:rFonts w:hint="eastAsia" w:ascii="宋体" w:hAnsi="宋体" w:eastAsia="宋体" w:cs="宋体"/>
          <w:b/>
          <w:bCs/>
          <w:color w:val="auto"/>
          <w:szCs w:val="21"/>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1C316CCB">
      <w:pPr>
        <w:pageBreakBefore w:val="0"/>
        <w:shd w:val="clear" w:color="auto" w:fill="auto"/>
        <w:kinsoku/>
        <w:wordWrap/>
        <w:overflowPunct/>
        <w:topLinePunct w:val="0"/>
        <w:bidi w:val="0"/>
        <w:adjustRightInd/>
        <w:snapToGrid/>
        <w:spacing w:line="330" w:lineRule="exact"/>
        <w:ind w:left="0" w:leftChars="0" w:right="0" w:rightChars="0" w:firstLine="422"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7F80BB11">
      <w:pPr>
        <w:pStyle w:val="4"/>
        <w:keepNext w:val="0"/>
        <w:keepLines w:val="0"/>
        <w:pageBreakBefore w:val="0"/>
        <w:widowControl w:val="0"/>
        <w:shd w:val="clear" w:color="auto" w:fill="auto"/>
        <w:kinsoku/>
        <w:wordWrap/>
        <w:overflowPunct/>
        <w:topLinePunct w:val="0"/>
        <w:autoSpaceDE/>
        <w:autoSpaceDN/>
        <w:bidi w:val="0"/>
        <w:adjustRightInd/>
        <w:snapToGrid/>
        <w:spacing w:after="0" w:line="330" w:lineRule="exact"/>
        <w:ind w:left="0" w:leftChars="0" w:right="0" w:rightChars="0" w:firstLine="422" w:firstLineChars="200"/>
        <w:textAlignment w:val="auto"/>
        <w:outlineLvl w:val="9"/>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C155E94">
      <w:pPr>
        <w:pageBreakBefore w:val="0"/>
        <w:shd w:val="clear" w:color="auto" w:fill="auto"/>
        <w:kinsoku/>
        <w:wordWrap/>
        <w:overflowPunct/>
        <w:topLinePunct w:val="0"/>
        <w:bidi w:val="0"/>
        <w:adjustRightInd/>
        <w:snapToGrid/>
        <w:spacing w:line="330" w:lineRule="exact"/>
        <w:ind w:left="0" w:leftChars="0" w:right="0" w:rightChars="0" w:firstLine="422" w:firstLineChars="200"/>
        <w:textAlignment w:val="auto"/>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r>
        <w:rPr>
          <w:rFonts w:hint="eastAsia" w:ascii="宋体" w:hAnsi="宋体" w:eastAsia="宋体" w:cs="宋体"/>
          <w:color w:val="auto"/>
          <w:szCs w:val="21"/>
          <w:highlight w:val="none"/>
          <w:u w:val="single"/>
        </w:rPr>
        <w:t>。</w:t>
      </w:r>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14:paraId="5281832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bookmarkStart w:id="289" w:name="_Toc297048380"/>
      <w:bookmarkStart w:id="290" w:name="_Toc296347193"/>
      <w:bookmarkStart w:id="291" w:name="_Toc296503194"/>
      <w:bookmarkStart w:id="292" w:name="_Toc304295567"/>
      <w:bookmarkStart w:id="293" w:name="_Toc300934990"/>
      <w:bookmarkStart w:id="294" w:name="_Toc312677500"/>
      <w:bookmarkStart w:id="295" w:name="_Toc312678026"/>
      <w:bookmarkStart w:id="296" w:name="_Toc296891022"/>
      <w:bookmarkStart w:id="297" w:name="_Toc296346695"/>
      <w:bookmarkStart w:id="298" w:name="_Toc292559399"/>
      <w:bookmarkStart w:id="299" w:name="_Toc297123541"/>
      <w:bookmarkStart w:id="300" w:name="_Toc303539147"/>
      <w:bookmarkStart w:id="301" w:name="_Toc296944533"/>
      <w:bookmarkStart w:id="302" w:name="_Toc297120494"/>
      <w:bookmarkStart w:id="303" w:name="_Toc292559904"/>
      <w:bookmarkStart w:id="304" w:name="_Toc297216200"/>
      <w:bookmarkStart w:id="305" w:name="_Toc296891234"/>
      <w:bookmarkStart w:id="306" w:name="_Toc267251440"/>
      <w:bookmarkStart w:id="307" w:name="_Toc267251435"/>
      <w:bookmarkStart w:id="308" w:name="_Toc267251441"/>
      <w:bookmarkStart w:id="309" w:name="_Toc267251433"/>
      <w:bookmarkStart w:id="310" w:name="_Toc267251437"/>
      <w:bookmarkStart w:id="311" w:name="_Toc267251439"/>
      <w:bookmarkStart w:id="312" w:name="_Toc267251442"/>
      <w:r>
        <w:rPr>
          <w:rFonts w:hint="eastAsia" w:ascii="宋体" w:hAnsi="宋体" w:eastAsia="宋体" w:cs="宋体"/>
          <w:color w:val="auto"/>
          <w:szCs w:val="21"/>
          <w:highlight w:val="none"/>
        </w:rPr>
        <w:t>9.4 现场工艺试验</w:t>
      </w:r>
    </w:p>
    <w:p w14:paraId="0104881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现场工艺试验的有关约定：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B758668">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bookmarkStart w:id="313" w:name="_Toc351203642"/>
      <w:r>
        <w:rPr>
          <w:rFonts w:hint="eastAsia" w:ascii="宋体" w:hAnsi="宋体" w:eastAsia="宋体" w:cs="宋体"/>
          <w:b w:val="0"/>
          <w:color w:val="auto"/>
          <w:sz w:val="21"/>
          <w:szCs w:val="21"/>
          <w:highlight w:val="none"/>
        </w:rPr>
        <w:t>1</w:t>
      </w:r>
      <w:bookmarkStart w:id="314" w:name="_Toc297123540"/>
      <w:bookmarkStart w:id="315" w:name="_Toc297216199"/>
      <w:bookmarkStart w:id="316" w:name="_Toc304295566"/>
      <w:bookmarkStart w:id="317" w:name="_Toc303539146"/>
      <w:bookmarkStart w:id="318" w:name="_Toc296346694"/>
      <w:bookmarkStart w:id="319" w:name="_Toc296891021"/>
      <w:bookmarkStart w:id="320" w:name="_Toc292559903"/>
      <w:bookmarkStart w:id="321" w:name="_Toc296891233"/>
      <w:bookmarkStart w:id="322" w:name="_Toc292559398"/>
      <w:bookmarkStart w:id="323" w:name="_Toc300934989"/>
      <w:bookmarkStart w:id="324" w:name="_Toc297048379"/>
      <w:bookmarkStart w:id="325" w:name="_Toc296347192"/>
      <w:bookmarkStart w:id="326" w:name="_Toc296503193"/>
      <w:bookmarkStart w:id="327" w:name="_Toc297120493"/>
      <w:bookmarkStart w:id="328" w:name="_Toc296944532"/>
      <w:bookmarkStart w:id="329" w:name="_Toc312677499"/>
      <w:bookmarkStart w:id="330" w:name="_Toc312678025"/>
      <w:r>
        <w:rPr>
          <w:rFonts w:hint="eastAsia" w:ascii="宋体" w:hAnsi="宋体" w:eastAsia="宋体" w:cs="宋体"/>
          <w:b w:val="0"/>
          <w:color w:val="auto"/>
          <w:sz w:val="21"/>
          <w:szCs w:val="21"/>
          <w:highlight w:val="none"/>
        </w:rPr>
        <w:t>0. 变更</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bookmarkEnd w:id="329"/>
    <w:bookmarkEnd w:id="330"/>
    <w:p w14:paraId="632065A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10.1变更的范围</w:t>
      </w:r>
    </w:p>
    <w:p w14:paraId="7BAB5E6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关于变更的范围的约定：</w:t>
      </w:r>
      <w:r>
        <w:rPr>
          <w:rFonts w:hint="eastAsia" w:ascii="宋体" w:hAnsi="宋体" w:eastAsia="宋体" w:cs="宋体"/>
          <w:color w:val="auto"/>
          <w:szCs w:val="21"/>
          <w:highlight w:val="none"/>
          <w:u w:val="single"/>
        </w:rPr>
        <w:t>按合同通用条款。工程变更引起工程量的减少或增加，承包人不得因此拒绝施工。</w:t>
      </w:r>
    </w:p>
    <w:p w14:paraId="2CE954C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变更估价</w:t>
      </w:r>
    </w:p>
    <w:p w14:paraId="429C4EC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 变更估价原则</w:t>
      </w:r>
    </w:p>
    <w:p w14:paraId="4970992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关于变更估价的约定: </w:t>
      </w:r>
    </w:p>
    <w:p w14:paraId="5A4E0229">
      <w:pPr>
        <w:pageBreakBefore w:val="0"/>
        <w:shd w:val="clear" w:color="auto" w:fill="auto"/>
        <w:kinsoku/>
        <w:wordWrap/>
        <w:overflowPunct/>
        <w:topLinePunct w:val="0"/>
        <w:bidi w:val="0"/>
        <w:adjustRightInd/>
        <w:snapToGrid/>
        <w:spacing w:line="330" w:lineRule="exact"/>
        <w:ind w:left="0" w:leftChars="0" w:right="0" w:rightChars="0" w:firstLine="422"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2333AE6D">
      <w:pPr>
        <w:pageBreakBefore w:val="0"/>
        <w:shd w:val="clear" w:color="auto" w:fill="auto"/>
        <w:kinsoku/>
        <w:wordWrap/>
        <w:overflowPunct/>
        <w:topLinePunct w:val="0"/>
        <w:bidi w:val="0"/>
        <w:adjustRightInd/>
        <w:snapToGrid/>
        <w:spacing w:line="330" w:lineRule="exact"/>
        <w:ind w:left="0" w:leftChars="0" w:right="0" w:rightChars="0" w:firstLine="422"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综合单价异常是指：投标综合单价与按专用合同条款21.2条中计价依据计算的综合单价偏差±30%以上。</w:t>
      </w:r>
    </w:p>
    <w:p w14:paraId="7D1D8D6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（2）变更后项目与投标人已标价工程量清单中没有适用的综合单价，但有类似的工程项目综合单价，承包人可参照类似工程项目综合单价计算，并报发包人确定。</w:t>
      </w:r>
    </w:p>
    <w:p w14:paraId="2E4EC9D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a.某种材料（或半成品及成品）等级、标准变化的，清单组合子目不变，仅调整不同的材料市场价格之差；</w:t>
      </w:r>
    </w:p>
    <w:p w14:paraId="3C6422D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b.清单项目组合内容中某一个（或多个）定额子目发生变化，不影响其他特征及工程内容价格的，仅调整发生变化的定额子目价格。</w:t>
      </w:r>
    </w:p>
    <w:p w14:paraId="4318ACB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c.如该类似工程项目的综合单价异常，则不宜参照，按专用条款10.4.1（3）（4）款重新计算综合单价。</w:t>
      </w:r>
    </w:p>
    <w:p w14:paraId="693FE24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 </w:t>
      </w:r>
    </w:p>
    <w:p w14:paraId="19D5270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（4）如按以上编制依据缺项的内容，承包人应通过市场调查等手段提出单价，并报发包人确定后执行。</w:t>
      </w:r>
    </w:p>
    <w:p w14:paraId="5439A398">
      <w:pPr>
        <w:pageBreakBefore w:val="0"/>
        <w:shd w:val="clear" w:color="auto" w:fill="auto"/>
        <w:kinsoku/>
        <w:wordWrap/>
        <w:overflowPunct/>
        <w:topLinePunct w:val="0"/>
        <w:bidi w:val="0"/>
        <w:adjustRightInd/>
        <w:snapToGrid/>
        <w:spacing w:line="330" w:lineRule="exact"/>
        <w:ind w:left="0" w:leftChars="0" w:right="0" w:rightChars="0" w:firstLine="422" w:firstLineChars="200"/>
        <w:textAlignment w:val="auto"/>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u w:val="single"/>
        </w:rPr>
        <w:t>（5）清单项目组合内容项目特征描述中，局部工程内容对应的工程数量变化，可仅调整计算变化部分的差价</w:t>
      </w:r>
      <w:r>
        <w:rPr>
          <w:rFonts w:hint="eastAsia" w:ascii="宋体" w:hAnsi="宋体" w:eastAsia="宋体" w:cs="宋体"/>
          <w:color w:val="auto"/>
          <w:szCs w:val="21"/>
          <w:highlight w:val="none"/>
          <w:u w:val="single"/>
        </w:rPr>
        <w:t>。</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14:paraId="51E6719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10.4.2 变更估价程序</w:t>
      </w:r>
    </w:p>
    <w:p w14:paraId="582C93A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承包人收到发包人、监理人、设计单位的变更指示后14天内向发包人提交变更估价申请。</w:t>
      </w:r>
    </w:p>
    <w:p w14:paraId="5AFE868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承包人提出工程变更、专项施工方案等变更应同时提交变更估价申请。</w:t>
      </w:r>
    </w:p>
    <w:p w14:paraId="0A655CC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承包人提交的变更估价申请，发包人和监理人应予以签收，并在14天内审批完毕。</w:t>
      </w:r>
    </w:p>
    <w:p w14:paraId="1A0FB3D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331" w:name="_Toc296944536"/>
      <w:bookmarkStart w:id="332" w:name="_Toc297123544"/>
      <w:bookmarkStart w:id="333" w:name="_Toc296503197"/>
      <w:bookmarkStart w:id="334" w:name="_Toc296891025"/>
      <w:bookmarkStart w:id="335" w:name="_Toc296891237"/>
      <w:bookmarkStart w:id="336" w:name="_Toc292559907"/>
      <w:bookmarkStart w:id="337" w:name="_Toc300934993"/>
      <w:bookmarkStart w:id="338" w:name="_Toc297048383"/>
      <w:bookmarkStart w:id="339" w:name="_Toc297216203"/>
      <w:bookmarkStart w:id="340" w:name="_Toc292559402"/>
      <w:bookmarkStart w:id="341" w:name="_Toc303539150"/>
      <w:bookmarkStart w:id="342" w:name="_Toc296347196"/>
      <w:bookmarkStart w:id="343" w:name="_Toc296346698"/>
      <w:bookmarkStart w:id="344" w:name="_Toc297120497"/>
      <w:bookmarkStart w:id="345" w:name="_Toc312678029"/>
      <w:bookmarkStart w:id="346" w:name="_Toc312677503"/>
      <w:bookmarkStart w:id="347" w:name="_Toc304295570"/>
      <w:r>
        <w:rPr>
          <w:rFonts w:hint="eastAsia" w:ascii="宋体" w:hAnsi="宋体" w:eastAsia="宋体" w:cs="宋体"/>
          <w:color w:val="auto"/>
          <w:szCs w:val="21"/>
          <w:highlight w:val="none"/>
        </w:rPr>
        <w:t>0.5承</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Start w:id="348" w:name="_Toc296503203"/>
      <w:bookmarkStart w:id="349" w:name="_Toc296346704"/>
      <w:bookmarkStart w:id="350" w:name="_Toc296891031"/>
      <w:bookmarkStart w:id="351" w:name="_Toc292559913"/>
      <w:bookmarkStart w:id="352" w:name="_Toc297120503"/>
      <w:bookmarkStart w:id="353" w:name="_Toc300934994"/>
      <w:bookmarkStart w:id="354" w:name="_Toc303539151"/>
      <w:bookmarkStart w:id="355" w:name="_Toc297216204"/>
      <w:bookmarkStart w:id="356" w:name="_Toc296944542"/>
      <w:bookmarkStart w:id="357" w:name="_Toc292559408"/>
      <w:bookmarkStart w:id="358" w:name="_Toc296891243"/>
      <w:bookmarkStart w:id="359" w:name="_Toc297123545"/>
      <w:bookmarkStart w:id="360" w:name="_Toc297048389"/>
      <w:bookmarkStart w:id="361" w:name="_Toc296347202"/>
      <w:r>
        <w:rPr>
          <w:rFonts w:hint="eastAsia" w:ascii="宋体" w:hAnsi="宋体" w:eastAsia="宋体" w:cs="宋体"/>
          <w:color w:val="auto"/>
          <w:szCs w:val="21"/>
          <w:highlight w:val="none"/>
        </w:rPr>
        <w:t>包人的合理化建议</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14:paraId="5C8F2C3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监理人审查承包人合理化建议的期限：</w:t>
      </w:r>
      <w:r>
        <w:rPr>
          <w:rFonts w:hint="eastAsia" w:ascii="宋体" w:hAnsi="宋体" w:eastAsia="宋体" w:cs="宋体"/>
          <w:color w:val="auto"/>
          <w:szCs w:val="21"/>
          <w:highlight w:val="none"/>
          <w:u w:val="single"/>
        </w:rPr>
        <w:t xml:space="preserve"> 按通用条款执行  </w:t>
      </w:r>
      <w:r>
        <w:rPr>
          <w:rFonts w:hint="eastAsia" w:ascii="宋体" w:hAnsi="宋体" w:eastAsia="宋体" w:cs="宋体"/>
          <w:color w:val="auto"/>
          <w:szCs w:val="21"/>
          <w:highlight w:val="none"/>
        </w:rPr>
        <w:t>。</w:t>
      </w:r>
    </w:p>
    <w:p w14:paraId="76DD0A3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发包人审批承包人合理化建议的期限：</w:t>
      </w:r>
      <w:r>
        <w:rPr>
          <w:rFonts w:hint="eastAsia" w:ascii="宋体" w:hAnsi="宋体" w:eastAsia="宋体" w:cs="宋体"/>
          <w:color w:val="auto"/>
          <w:szCs w:val="21"/>
          <w:highlight w:val="none"/>
          <w:u w:val="single"/>
        </w:rPr>
        <w:t xml:space="preserve">按通用条款执行   </w:t>
      </w:r>
      <w:r>
        <w:rPr>
          <w:rFonts w:hint="eastAsia" w:ascii="宋体" w:hAnsi="宋体" w:eastAsia="宋体" w:cs="宋体"/>
          <w:color w:val="auto"/>
          <w:szCs w:val="21"/>
          <w:highlight w:val="none"/>
        </w:rPr>
        <w:t>。</w:t>
      </w:r>
    </w:p>
    <w:p w14:paraId="611A6A4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w:t>
      </w:r>
      <w:bookmarkStart w:id="362" w:name="_Toc312677504"/>
      <w:bookmarkStart w:id="363" w:name="_Toc304295571"/>
      <w:bookmarkStart w:id="364" w:name="_Toc297216205"/>
      <w:bookmarkStart w:id="365" w:name="_Toc297048390"/>
      <w:bookmarkStart w:id="366" w:name="_Toc296347203"/>
      <w:bookmarkStart w:id="367" w:name="_Toc300934995"/>
      <w:bookmarkStart w:id="368" w:name="_Toc296346705"/>
      <w:bookmarkStart w:id="369" w:name="_Toc292559409"/>
      <w:bookmarkStart w:id="370" w:name="_Toc296503204"/>
      <w:bookmarkStart w:id="371" w:name="_Toc297120504"/>
      <w:bookmarkStart w:id="372" w:name="_Toc292559914"/>
      <w:bookmarkStart w:id="373" w:name="_Toc297123546"/>
      <w:bookmarkStart w:id="374" w:name="_Toc296891032"/>
      <w:bookmarkStart w:id="375" w:name="_Toc318581175"/>
      <w:bookmarkStart w:id="376" w:name="_Toc312678030"/>
      <w:bookmarkStart w:id="377" w:name="_Toc296944543"/>
      <w:bookmarkStart w:id="378" w:name="_Toc303539152"/>
      <w:bookmarkStart w:id="379" w:name="_Toc296891244"/>
      <w:r>
        <w:rPr>
          <w:rFonts w:hint="eastAsia" w:ascii="宋体" w:hAnsi="宋体" w:eastAsia="宋体" w:cs="宋体"/>
          <w:color w:val="auto"/>
          <w:szCs w:val="21"/>
          <w:highlight w:val="none"/>
        </w:rPr>
        <w:t>包人提出的合理化建议降低了合同价格或者提高了工程经济效益的奖励的方法和金额为：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14:paraId="37958CB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380" w:name="_Toc303539154"/>
      <w:bookmarkStart w:id="381" w:name="_Toc297123548"/>
      <w:bookmarkStart w:id="382" w:name="_Toc296346700"/>
      <w:bookmarkStart w:id="383" w:name="_Toc296503199"/>
      <w:bookmarkStart w:id="384" w:name="_Toc312677507"/>
      <w:bookmarkStart w:id="385" w:name="_Toc292559404"/>
      <w:bookmarkStart w:id="386" w:name="_Toc296944538"/>
      <w:bookmarkStart w:id="387" w:name="_Toc296347198"/>
      <w:bookmarkStart w:id="388" w:name="_Toc297048385"/>
      <w:bookmarkStart w:id="389" w:name="_Toc297216207"/>
      <w:bookmarkStart w:id="390" w:name="_Toc300934997"/>
      <w:bookmarkStart w:id="391" w:name="_Toc304295574"/>
      <w:bookmarkStart w:id="392" w:name="_Toc296891027"/>
      <w:bookmarkStart w:id="393" w:name="_Toc312678033"/>
      <w:bookmarkStart w:id="394" w:name="_Toc297120499"/>
      <w:bookmarkStart w:id="395" w:name="_Toc296891239"/>
      <w:bookmarkStart w:id="396" w:name="_Toc292559909"/>
      <w:r>
        <w:rPr>
          <w:rFonts w:hint="eastAsia" w:ascii="宋体" w:hAnsi="宋体" w:eastAsia="宋体" w:cs="宋体"/>
          <w:color w:val="auto"/>
          <w:szCs w:val="21"/>
          <w:highlight w:val="none"/>
        </w:rPr>
        <w:t>0.7 暂估价</w:t>
      </w:r>
    </w:p>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357FCA9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暂</w:t>
      </w:r>
      <w:bookmarkStart w:id="397" w:name="_Toc318581176"/>
      <w:bookmarkStart w:id="398" w:name="_Toc312677508"/>
      <w:bookmarkStart w:id="399" w:name="_Toc312678034"/>
      <w:r>
        <w:rPr>
          <w:rFonts w:hint="eastAsia" w:ascii="宋体" w:hAnsi="宋体" w:eastAsia="宋体" w:cs="宋体"/>
          <w:color w:val="auto"/>
          <w:kern w:val="0"/>
          <w:szCs w:val="21"/>
          <w:highlight w:val="none"/>
        </w:rPr>
        <w:t>估价材料和工程设备的明细详见附件11：《</w:t>
      </w:r>
      <w:r>
        <w:rPr>
          <w:rFonts w:hint="eastAsia" w:ascii="宋体" w:hAnsi="宋体" w:eastAsia="宋体" w:cs="宋体"/>
          <w:color w:val="auto"/>
          <w:szCs w:val="21"/>
          <w:highlight w:val="none"/>
        </w:rPr>
        <w:t>暂估价一览表》</w:t>
      </w:r>
      <w:r>
        <w:rPr>
          <w:rFonts w:hint="eastAsia" w:ascii="宋体" w:hAnsi="宋体" w:eastAsia="宋体" w:cs="宋体"/>
          <w:color w:val="auto"/>
          <w:kern w:val="0"/>
          <w:szCs w:val="21"/>
          <w:highlight w:val="none"/>
        </w:rPr>
        <w:t>。</w:t>
      </w:r>
    </w:p>
    <w:bookmarkEnd w:id="397"/>
    <w:bookmarkEnd w:id="398"/>
    <w:bookmarkEnd w:id="399"/>
    <w:p w14:paraId="691E8A7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400" w:name="_Toc318581177"/>
      <w:bookmarkStart w:id="401" w:name="_Toc312678035"/>
      <w:bookmarkStart w:id="402" w:name="_Toc312677509"/>
      <w:r>
        <w:rPr>
          <w:rFonts w:hint="eastAsia" w:ascii="宋体" w:hAnsi="宋体" w:eastAsia="宋体" w:cs="宋体"/>
          <w:color w:val="auto"/>
          <w:szCs w:val="21"/>
          <w:highlight w:val="none"/>
        </w:rPr>
        <w:t>0.7.1 依法必须招标的暂估价项目</w:t>
      </w:r>
    </w:p>
    <w:bookmarkEnd w:id="400"/>
    <w:bookmarkEnd w:id="401"/>
    <w:bookmarkEnd w:id="402"/>
    <w:p w14:paraId="3C5E6C3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无承包价（暂定价）或工程变更新增的单项材料、设备、专业分包工程估算价在50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150B944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10.7.2 不属于依法必须招标的暂估价项目：</w:t>
      </w:r>
      <w:r>
        <w:rPr>
          <w:rFonts w:hint="eastAsia" w:ascii="宋体" w:hAnsi="宋体" w:eastAsia="宋体" w:cs="宋体"/>
          <w:color w:val="auto"/>
          <w:szCs w:val="21"/>
          <w:highlight w:val="none"/>
          <w:u w:val="single"/>
        </w:rPr>
        <w:t>按合同通用条款。</w:t>
      </w:r>
    </w:p>
    <w:p w14:paraId="371DCED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第3种方式：</w:t>
      </w:r>
      <w:r>
        <w:rPr>
          <w:rFonts w:hint="eastAsia" w:ascii="宋体" w:hAnsi="宋体" w:eastAsia="宋体" w:cs="宋体"/>
          <w:color w:val="auto"/>
          <w:kern w:val="0"/>
          <w:szCs w:val="21"/>
          <w:highlight w:val="none"/>
        </w:rPr>
        <w:t>承包人直接实施的暂估价项目</w:t>
      </w:r>
    </w:p>
    <w:p w14:paraId="7DC3D9C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承包人直接实施的暂估价项目的约定：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266D89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10.7.4专业发包工程管理费</w:t>
      </w:r>
    </w:p>
    <w:p w14:paraId="330A52F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发包人另行发包的专业工程，向承包人支付专业发包工程管理费（或称总承包服务费），以另行发包的专业工程税前金额（指不含销项税）为基数，乘以费率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%计算。</w:t>
      </w:r>
    </w:p>
    <w:p w14:paraId="1606168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需总承包人配合的具体事项：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F3DB3B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发包人另行发包的专业工程：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71A828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 暂列金额</w:t>
      </w:r>
    </w:p>
    <w:p w14:paraId="14DF0468">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合同当事人关于暂列金额使用的约定：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kern w:val="0"/>
          <w:szCs w:val="21"/>
          <w:highlight w:val="none"/>
        </w:rPr>
        <w:t>。</w:t>
      </w:r>
    </w:p>
    <w:p w14:paraId="338DBAC7">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i/>
          <w:iCs/>
          <w:color w:val="auto"/>
          <w:kern w:val="0"/>
          <w:szCs w:val="21"/>
          <w:highlight w:val="none"/>
        </w:rPr>
      </w:pPr>
      <w:r>
        <w:rPr>
          <w:rFonts w:hint="eastAsia" w:ascii="宋体" w:hAnsi="宋体" w:eastAsia="宋体" w:cs="宋体"/>
          <w:color w:val="auto"/>
          <w:kern w:val="0"/>
          <w:szCs w:val="21"/>
          <w:highlight w:val="none"/>
        </w:rPr>
        <w:t>创标化工地增加费</w:t>
      </w:r>
      <w:r>
        <w:rPr>
          <w:rFonts w:hint="eastAsia" w:ascii="宋体" w:hAnsi="宋体" w:eastAsia="宋体" w:cs="宋体"/>
          <w:color w:val="auto"/>
          <w:kern w:val="0"/>
          <w:szCs w:val="21"/>
          <w:highlight w:val="none"/>
          <w:u w:val="single"/>
        </w:rPr>
        <w:t xml:space="preserve">    本工程不要求创标化工地       </w:t>
      </w:r>
      <w:r>
        <w:rPr>
          <w:rFonts w:hint="eastAsia" w:ascii="宋体" w:hAnsi="宋体" w:eastAsia="宋体" w:cs="宋体"/>
          <w:color w:val="auto"/>
          <w:kern w:val="0"/>
          <w:szCs w:val="21"/>
          <w:highlight w:val="none"/>
        </w:rPr>
        <w:t>。</w:t>
      </w:r>
    </w:p>
    <w:p w14:paraId="64FF31F4">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i/>
          <w:iCs/>
          <w:color w:val="auto"/>
          <w:kern w:val="0"/>
          <w:szCs w:val="21"/>
          <w:highlight w:val="none"/>
        </w:rPr>
      </w:pPr>
      <w:r>
        <w:rPr>
          <w:rFonts w:hint="eastAsia" w:ascii="宋体" w:hAnsi="宋体" w:eastAsia="宋体" w:cs="宋体"/>
          <w:color w:val="auto"/>
          <w:kern w:val="0"/>
          <w:szCs w:val="21"/>
          <w:highlight w:val="none"/>
        </w:rPr>
        <w:t>创优质工程增加费</w:t>
      </w:r>
      <w:r>
        <w:rPr>
          <w:rFonts w:hint="eastAsia" w:ascii="宋体" w:hAnsi="宋体" w:eastAsia="宋体" w:cs="宋体"/>
          <w:color w:val="auto"/>
          <w:kern w:val="0"/>
          <w:szCs w:val="21"/>
          <w:highlight w:val="none"/>
          <w:u w:val="single"/>
        </w:rPr>
        <w:t xml:space="preserve">    本工程不要求创优质工地       </w:t>
      </w:r>
      <w:r>
        <w:rPr>
          <w:rFonts w:hint="eastAsia" w:ascii="宋体" w:hAnsi="宋体" w:eastAsia="宋体" w:cs="宋体"/>
          <w:color w:val="auto"/>
          <w:kern w:val="0"/>
          <w:szCs w:val="21"/>
          <w:highlight w:val="none"/>
        </w:rPr>
        <w:t>。</w:t>
      </w:r>
    </w:p>
    <w:p w14:paraId="5BB61938">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bookmarkStart w:id="403" w:name="_Toc351203643"/>
      <w:r>
        <w:rPr>
          <w:rFonts w:hint="eastAsia" w:ascii="宋体" w:hAnsi="宋体" w:eastAsia="宋体" w:cs="宋体"/>
          <w:b w:val="0"/>
          <w:color w:val="auto"/>
          <w:sz w:val="21"/>
          <w:szCs w:val="21"/>
          <w:highlight w:val="none"/>
        </w:rPr>
        <w:t>11. 价格调整</w:t>
      </w:r>
      <w:bookmarkEnd w:id="403"/>
    </w:p>
    <w:p w14:paraId="7C290AB5">
      <w:pPr>
        <w:pageBreakBefore w:val="0"/>
        <w:shd w:val="clear" w:color="auto" w:fill="auto"/>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bookmarkStart w:id="404" w:name="_Toc296347200"/>
      <w:bookmarkStart w:id="405" w:name="_Toc296891241"/>
      <w:bookmarkStart w:id="406" w:name="_Toc303539157"/>
      <w:bookmarkStart w:id="407" w:name="_Toc300935000"/>
      <w:bookmarkStart w:id="408" w:name="_Toc297120501"/>
      <w:bookmarkStart w:id="409" w:name="_Toc297123550"/>
      <w:bookmarkStart w:id="410" w:name="_Toc292559911"/>
      <w:bookmarkStart w:id="411" w:name="_Toc292559406"/>
      <w:bookmarkStart w:id="412" w:name="_Toc297216209"/>
      <w:bookmarkStart w:id="413" w:name="_Toc296346702"/>
      <w:bookmarkStart w:id="414" w:name="_Toc312678039"/>
      <w:bookmarkStart w:id="415" w:name="_Toc297048387"/>
      <w:bookmarkStart w:id="416" w:name="_Toc304295577"/>
      <w:bookmarkStart w:id="417" w:name="_Toc296503201"/>
      <w:bookmarkStart w:id="418" w:name="_Toc296891029"/>
      <w:bookmarkStart w:id="419" w:name="_Toc296944540"/>
      <w:r>
        <w:rPr>
          <w:rFonts w:hint="eastAsia" w:ascii="宋体" w:hAnsi="宋体" w:eastAsia="宋体" w:cs="宋体"/>
          <w:color w:val="auto"/>
          <w:sz w:val="21"/>
          <w:szCs w:val="21"/>
          <w:highlight w:val="none"/>
        </w:rPr>
        <w:t>11.1 市场价格波动引起的调整</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14:paraId="02B13D7B">
      <w:pPr>
        <w:pageBreakBefore w:val="0"/>
        <w:shd w:val="clear" w:color="auto" w:fill="auto"/>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不予调整。</w:t>
      </w:r>
    </w:p>
    <w:p w14:paraId="75869AEE">
      <w:pPr>
        <w:pStyle w:val="8"/>
        <w:pageBreakBefore w:val="0"/>
        <w:shd w:val="clear" w:color="auto" w:fill="auto"/>
        <w:kinsoku/>
        <w:wordWrap/>
        <w:overflowPunct/>
        <w:topLinePunct w:val="0"/>
        <w:bidi w:val="0"/>
        <w:spacing w:before="0" w:after="0"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 w:val="0"/>
          <w:color w:val="auto"/>
          <w:sz w:val="21"/>
          <w:szCs w:val="21"/>
          <w:highlight w:val="none"/>
        </w:rPr>
        <w:t>11.2 法律变化引起的调整：</w:t>
      </w:r>
      <w:r>
        <w:rPr>
          <w:rFonts w:hint="eastAsia" w:ascii="宋体" w:hAnsi="宋体" w:eastAsia="宋体" w:cs="宋体"/>
          <w:b w:val="0"/>
          <w:color w:val="auto"/>
          <w:sz w:val="21"/>
          <w:szCs w:val="21"/>
          <w:highlight w:val="none"/>
          <w:u w:val="single"/>
        </w:rPr>
        <w:t>基准日期以后变化由发包人承担，但由承包人原因导致工期延误时的法律变化引起合同价增加的由承包人承担，合同价下降的由发包人受益</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 xml:space="preserve"> </w:t>
      </w:r>
    </w:p>
    <w:bookmarkEnd w:id="306"/>
    <w:bookmarkEnd w:id="307"/>
    <w:bookmarkEnd w:id="308"/>
    <w:bookmarkEnd w:id="309"/>
    <w:bookmarkEnd w:id="310"/>
    <w:bookmarkEnd w:id="311"/>
    <w:p w14:paraId="7866BD35">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bookmarkStart w:id="420" w:name="_Toc296891245"/>
      <w:bookmarkStart w:id="421" w:name="_Toc296891033"/>
      <w:bookmarkStart w:id="422" w:name="_Toc296346706"/>
      <w:bookmarkStart w:id="423" w:name="_Toc296347204"/>
      <w:bookmarkStart w:id="424" w:name="_Toc292559410"/>
      <w:bookmarkStart w:id="425" w:name="_Toc296503205"/>
      <w:bookmarkStart w:id="426" w:name="_Toc297120505"/>
      <w:bookmarkStart w:id="427" w:name="_Toc296944544"/>
      <w:bookmarkStart w:id="428" w:name="_Toc292559915"/>
      <w:bookmarkStart w:id="429" w:name="_Toc297048391"/>
      <w:bookmarkStart w:id="430" w:name="_Toc351203644"/>
      <w:bookmarkStart w:id="431" w:name="_Toc297216211"/>
      <w:bookmarkStart w:id="432" w:name="_Toc303539159"/>
      <w:bookmarkStart w:id="433" w:name="_Toc304295579"/>
      <w:bookmarkStart w:id="434" w:name="_Toc312678040"/>
      <w:bookmarkStart w:id="435" w:name="_Toc297123552"/>
      <w:bookmarkStart w:id="436" w:name="_Toc300935002"/>
      <w:r>
        <w:rPr>
          <w:rFonts w:hint="eastAsia" w:ascii="宋体" w:hAnsi="宋体" w:eastAsia="宋体" w:cs="宋体"/>
          <w:b w:val="0"/>
          <w:color w:val="auto"/>
          <w:sz w:val="21"/>
          <w:szCs w:val="21"/>
          <w:highlight w:val="none"/>
        </w:rPr>
        <w:t xml:space="preserve">12. </w:t>
      </w:r>
      <w:bookmarkEnd w:id="420"/>
      <w:bookmarkEnd w:id="421"/>
      <w:bookmarkEnd w:id="422"/>
      <w:bookmarkEnd w:id="423"/>
      <w:bookmarkEnd w:id="424"/>
      <w:bookmarkEnd w:id="425"/>
      <w:bookmarkEnd w:id="426"/>
      <w:bookmarkEnd w:id="427"/>
      <w:bookmarkEnd w:id="428"/>
      <w:bookmarkEnd w:id="429"/>
      <w:r>
        <w:rPr>
          <w:rFonts w:hint="eastAsia" w:ascii="宋体" w:hAnsi="宋体" w:eastAsia="宋体" w:cs="宋体"/>
          <w:b w:val="0"/>
          <w:color w:val="auto"/>
          <w:sz w:val="21"/>
          <w:szCs w:val="21"/>
          <w:highlight w:val="none"/>
        </w:rPr>
        <w:t>合同价格、计量与支付</w:t>
      </w:r>
      <w:bookmarkEnd w:id="430"/>
    </w:p>
    <w:bookmarkEnd w:id="431"/>
    <w:bookmarkEnd w:id="432"/>
    <w:bookmarkEnd w:id="433"/>
    <w:bookmarkEnd w:id="434"/>
    <w:bookmarkEnd w:id="435"/>
    <w:bookmarkEnd w:id="436"/>
    <w:p w14:paraId="0445473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bookmarkStart w:id="437" w:name="_Toc292559916"/>
      <w:bookmarkStart w:id="438" w:name="_Toc292559411"/>
      <w:bookmarkStart w:id="439" w:name="_Toc267251461"/>
      <w:bookmarkStart w:id="440" w:name="_Toc296346707"/>
      <w:bookmarkStart w:id="441" w:name="_Toc296503206"/>
      <w:bookmarkStart w:id="442" w:name="_Toc297120506"/>
      <w:bookmarkStart w:id="443" w:name="_Toc297048392"/>
      <w:bookmarkStart w:id="444" w:name="_Toc296347205"/>
      <w:bookmarkStart w:id="445" w:name="_Toc296891034"/>
      <w:bookmarkStart w:id="446" w:name="_Toc296944545"/>
      <w:bookmarkStart w:id="447" w:name="_Toc296891246"/>
      <w:bookmarkStart w:id="448" w:name="_Toc303539160"/>
      <w:bookmarkStart w:id="449" w:name="_Toc297123553"/>
      <w:bookmarkStart w:id="450" w:name="_Toc297216212"/>
      <w:bookmarkStart w:id="451" w:name="_Toc304295580"/>
      <w:bookmarkStart w:id="452" w:name="_Toc300935003"/>
      <w:bookmarkStart w:id="453" w:name="_Toc312678041"/>
      <w:r>
        <w:rPr>
          <w:rFonts w:hint="eastAsia" w:ascii="宋体" w:hAnsi="宋体" w:eastAsia="宋体" w:cs="宋体"/>
          <w:color w:val="auto"/>
          <w:szCs w:val="21"/>
          <w:highlight w:val="none"/>
        </w:rPr>
        <w:t>12.1 合</w:t>
      </w:r>
      <w:bookmarkEnd w:id="437"/>
      <w:bookmarkEnd w:id="438"/>
      <w:bookmarkEnd w:id="439"/>
      <w:r>
        <w:rPr>
          <w:rFonts w:hint="eastAsia" w:ascii="宋体" w:hAnsi="宋体" w:eastAsia="宋体" w:cs="宋体"/>
          <w:color w:val="auto"/>
          <w:szCs w:val="21"/>
          <w:highlight w:val="none"/>
        </w:rPr>
        <w:t>同价</w:t>
      </w:r>
      <w:bookmarkEnd w:id="440"/>
      <w:bookmarkEnd w:id="441"/>
      <w:bookmarkEnd w:id="442"/>
      <w:bookmarkEnd w:id="443"/>
      <w:bookmarkEnd w:id="444"/>
      <w:bookmarkEnd w:id="445"/>
      <w:bookmarkEnd w:id="446"/>
      <w:bookmarkEnd w:id="447"/>
      <w:r>
        <w:rPr>
          <w:rFonts w:hint="eastAsia" w:ascii="宋体" w:hAnsi="宋体" w:eastAsia="宋体" w:cs="宋体"/>
          <w:color w:val="auto"/>
          <w:szCs w:val="21"/>
          <w:highlight w:val="none"/>
        </w:rPr>
        <w:t>格形式</w:t>
      </w:r>
    </w:p>
    <w:p w14:paraId="35A22386">
      <w:pPr>
        <w:pStyle w:val="15"/>
        <w:pageBreakBefore w:val="0"/>
        <w:widowControl/>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本合同价款采用第</w:t>
      </w:r>
      <w:r>
        <w:rPr>
          <w:rFonts w:hint="eastAsia" w:ascii="宋体" w:hAnsi="宋体" w:eastAsia="宋体" w:cs="宋体"/>
          <w:color w:val="auto"/>
          <w:kern w:val="0"/>
          <w:szCs w:val="21"/>
          <w:highlight w:val="none"/>
          <w:u w:val="single"/>
        </w:rPr>
        <w:t xml:space="preserve">  1  </w:t>
      </w:r>
      <w:r>
        <w:rPr>
          <w:rFonts w:hint="eastAsia" w:ascii="宋体" w:hAnsi="宋体" w:eastAsia="宋体" w:cs="宋体"/>
          <w:color w:val="auto"/>
          <w:kern w:val="0"/>
          <w:szCs w:val="21"/>
          <w:highlight w:val="none"/>
        </w:rPr>
        <w:t>种方式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sz w:val="21"/>
          <w:szCs w:val="21"/>
          <w:highlight w:val="none"/>
          <w:u w:val="single"/>
        </w:rPr>
        <w:t>其他价格形式</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固定结算率</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确定。</w:t>
      </w:r>
    </w:p>
    <w:bookmarkEnd w:id="448"/>
    <w:bookmarkEnd w:id="449"/>
    <w:bookmarkEnd w:id="450"/>
    <w:bookmarkEnd w:id="451"/>
    <w:bookmarkEnd w:id="452"/>
    <w:bookmarkEnd w:id="453"/>
    <w:p w14:paraId="2638BF19">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1．单价合同。</w:t>
      </w:r>
    </w:p>
    <w:p w14:paraId="0DE85208">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（一）本工程投标结算率      %（即投标总报价/招标控制价*100%）一次性包定。工程结算价＝工程总造价（按本节12.1规定编制）×结算率（    %）：</w:t>
      </w:r>
    </w:p>
    <w:p w14:paraId="02BBBBF9">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（二）工程总造价按以下要求编制：</w:t>
      </w:r>
    </w:p>
    <w:p w14:paraId="73A732E1">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（1）招标控制价编制依据；</w:t>
      </w:r>
    </w:p>
    <w:p w14:paraId="613391E5">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（2）招标控制价中的综合单价（暂定价除外）、人材机单价、管理费费率、利润率、规费费率和税金税率；</w:t>
      </w:r>
    </w:p>
    <w:p w14:paraId="5AFFA442">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（3）招标控制价中的施工组织措施项目内容及对应费率；</w:t>
      </w:r>
    </w:p>
    <w:p w14:paraId="5DBEDF22">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（4）管理费、利润、施工组织措施费、规费的取费基数为定额人工费和定额机械费之和；</w:t>
      </w:r>
    </w:p>
    <w:p w14:paraId="59BD1BD8">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（5）分部分项工程量清单漏项或非承包人原因的工程变更，造成增加新的工程量清单项目，综合单价按本节12.1风险范围以外综合单价调整方法规定编制；</w:t>
      </w:r>
    </w:p>
    <w:p w14:paraId="77226D7C">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（6）计日工综合单价[工数经发包人签证，综合结算单价（含税金、规费等其他费用）] 技术工（260）元/工日、普工（180）元/工日，点工部分工程结算时不作下浮。</w:t>
      </w:r>
    </w:p>
    <w:p w14:paraId="212D5306">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（三）其他可能发生的费用，投标报价时综合考虑，工程结算时不另行计取：</w:t>
      </w:r>
    </w:p>
    <w:p w14:paraId="34E7B6BC">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5415E93">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b.实际施工中可能发生街道管理费、干扰费、环保费、占道押金等其它管理费。</w:t>
      </w:r>
    </w:p>
    <w:p w14:paraId="74B4F2E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风险费用的计算方法：</w:t>
      </w:r>
      <w:r>
        <w:rPr>
          <w:rFonts w:hint="eastAsia" w:ascii="宋体" w:hAnsi="宋体" w:eastAsia="宋体" w:cs="宋体"/>
          <w:color w:val="auto"/>
          <w:szCs w:val="21"/>
          <w:highlight w:val="none"/>
          <w:u w:val="single"/>
        </w:rPr>
        <w:t>已包含在合同价内</w:t>
      </w:r>
      <w:r>
        <w:rPr>
          <w:rFonts w:hint="eastAsia" w:ascii="宋体" w:hAnsi="宋体" w:eastAsia="宋体" w:cs="宋体"/>
          <w:color w:val="auto"/>
          <w:szCs w:val="21"/>
          <w:highlight w:val="none"/>
        </w:rPr>
        <w:t>。</w:t>
      </w:r>
    </w:p>
    <w:p w14:paraId="31B4D17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p>
    <w:p w14:paraId="05F31A4C">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zh-CN"/>
        </w:rPr>
        <w:t>（1）</w:t>
      </w:r>
      <w:r>
        <w:rPr>
          <w:rFonts w:hint="eastAsia" w:ascii="宋体" w:hAnsi="宋体" w:eastAsia="宋体" w:cs="宋体"/>
          <w:color w:val="auto"/>
          <w:szCs w:val="21"/>
          <w:highlight w:val="none"/>
          <w:u w:val="single"/>
        </w:rPr>
        <w:t>工程量按照专用条款12.3.1条规定，由承包人计量，发包人及其委托的相关机构审核。</w:t>
      </w:r>
    </w:p>
    <w:p w14:paraId="59A42C2A">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rPr>
        <w:t>（2）</w:t>
      </w:r>
      <w:r>
        <w:rPr>
          <w:rFonts w:hint="eastAsia" w:ascii="宋体" w:hAnsi="宋体" w:eastAsia="宋体" w:cs="宋体"/>
          <w:color w:val="auto"/>
          <w:kern w:val="0"/>
          <w:szCs w:val="21"/>
          <w:highlight w:val="none"/>
          <w:u w:val="single"/>
        </w:rPr>
        <w:t>因市场价格波动引起的调整按</w:t>
      </w:r>
      <w:r>
        <w:rPr>
          <w:rFonts w:hint="eastAsia" w:ascii="宋体" w:hAnsi="宋体" w:eastAsia="宋体" w:cs="宋体"/>
          <w:color w:val="auto"/>
          <w:szCs w:val="21"/>
          <w:highlight w:val="none"/>
          <w:u w:val="single"/>
        </w:rPr>
        <w:t>本合同专用条款第11.1款的约定调整。</w:t>
      </w:r>
    </w:p>
    <w:p w14:paraId="47A85B3B">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zh-CN"/>
        </w:rPr>
        <w:t>（3）因发包人提供的工程量清单项目工程数量计算偏差或工程变更引起的工程量增加，综合单价的确定按专用条款10.4.1条执行</w:t>
      </w:r>
      <w:r>
        <w:rPr>
          <w:rFonts w:hint="eastAsia" w:ascii="宋体" w:hAnsi="宋体" w:eastAsia="宋体" w:cs="宋体"/>
          <w:color w:val="auto"/>
          <w:szCs w:val="21"/>
          <w:highlight w:val="none"/>
          <w:u w:val="single"/>
        </w:rPr>
        <w:t>。</w:t>
      </w:r>
    </w:p>
    <w:p w14:paraId="3FE63CE8">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zh-CN"/>
        </w:rPr>
        <w:t>（4）发包人提供的工程量清单项目漏项、错项、工程变更引起的新增项目、工程量清单项目特征局部变更，</w:t>
      </w:r>
      <w:r>
        <w:rPr>
          <w:rFonts w:hint="eastAsia" w:ascii="宋体" w:hAnsi="宋体" w:eastAsia="宋体" w:cs="宋体"/>
          <w:color w:val="auto"/>
          <w:szCs w:val="21"/>
          <w:highlight w:val="none"/>
          <w:u w:val="single"/>
        </w:rPr>
        <w:t>与已标价工程量清单项目不同或相类似项目，</w:t>
      </w:r>
      <w:r>
        <w:rPr>
          <w:rFonts w:hint="eastAsia" w:ascii="宋体" w:hAnsi="宋体" w:eastAsia="宋体" w:cs="宋体"/>
          <w:color w:val="auto"/>
          <w:szCs w:val="21"/>
          <w:highlight w:val="none"/>
          <w:u w:val="single"/>
          <w:lang w:val="zh-CN"/>
        </w:rPr>
        <w:t>其综合单价的确定方法</w:t>
      </w:r>
      <w:r>
        <w:rPr>
          <w:rFonts w:hint="eastAsia" w:ascii="宋体" w:hAnsi="宋体" w:eastAsia="宋体" w:cs="宋体"/>
          <w:color w:val="auto"/>
          <w:szCs w:val="21"/>
          <w:highlight w:val="none"/>
          <w:u w:val="single"/>
        </w:rPr>
        <w:t>按本合同专用条款10.4.1条约定调整。</w:t>
      </w:r>
    </w:p>
    <w:p w14:paraId="40DC3945">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（5）因非承包人原因的分部分项工程量清单漏项、错项、工程变更及清单工程量增减等，引起措施项目内容、工程数量发生变化，则调整措施项目费用：</w:t>
      </w:r>
    </w:p>
    <w:p w14:paraId="61F724BA">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a、采用综合单价计价的按专用条款第10.4.1条计算综合单价。</w:t>
      </w:r>
    </w:p>
    <w:p w14:paraId="1D81A0A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b、计量单位采用以“项”计价的措施项目，工程量清单项目及工程数量变化引起措施变动部分重新组价。</w:t>
      </w:r>
    </w:p>
    <w:p w14:paraId="6E609C65">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c、施工组织措施项目，按合同约定的费率内容调整措施费用计算基数。</w:t>
      </w:r>
    </w:p>
    <w:p w14:paraId="3852A600">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u w:val="single"/>
        </w:rPr>
        <w:t>（6）未在投标价中包含的专项施工方案的施工及论证费用，根据施工现场实际参照合同专用条款10.4.1款约定方法确定或签证</w:t>
      </w:r>
      <w:r>
        <w:rPr>
          <w:rFonts w:hint="eastAsia" w:ascii="宋体" w:hAnsi="宋体" w:eastAsia="宋体" w:cs="宋体"/>
          <w:b/>
          <w:bCs/>
          <w:color w:val="auto"/>
          <w:szCs w:val="21"/>
          <w:highlight w:val="none"/>
          <w:u w:val="single"/>
        </w:rPr>
        <w:t>。</w:t>
      </w:r>
    </w:p>
    <w:p w14:paraId="1721C3F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w:t>
      </w:r>
    </w:p>
    <w:p w14:paraId="5845DA6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总价包含的风险范围：</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243A85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风险费用的计算方法：</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4EAF7A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070DB9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3．其他价格方式：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BB1BC3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bookmarkStart w:id="454" w:name="_Toc300935004"/>
      <w:bookmarkStart w:id="455" w:name="_Toc297123554"/>
      <w:bookmarkStart w:id="456" w:name="_Toc312678042"/>
      <w:bookmarkStart w:id="457" w:name="_Toc303539161"/>
      <w:bookmarkStart w:id="458" w:name="_Toc297216213"/>
      <w:bookmarkStart w:id="459" w:name="_Toc304295581"/>
      <w:bookmarkStart w:id="460" w:name="_Toc292559412"/>
      <w:bookmarkStart w:id="461" w:name="_Toc296944546"/>
      <w:bookmarkStart w:id="462" w:name="_Toc296347206"/>
      <w:bookmarkStart w:id="463" w:name="_Toc296346708"/>
      <w:bookmarkStart w:id="464" w:name="_Toc296891247"/>
      <w:bookmarkStart w:id="465" w:name="_Toc296503207"/>
      <w:bookmarkStart w:id="466" w:name="_Toc297120507"/>
      <w:bookmarkStart w:id="467" w:name="_Toc292559917"/>
      <w:bookmarkStart w:id="468" w:name="_Toc296891035"/>
      <w:bookmarkStart w:id="469" w:name="_Toc297048393"/>
      <w:r>
        <w:rPr>
          <w:rFonts w:hint="eastAsia" w:ascii="宋体" w:hAnsi="宋体" w:eastAsia="宋体" w:cs="宋体"/>
          <w:color w:val="auto"/>
          <w:szCs w:val="21"/>
          <w:highlight w:val="none"/>
        </w:rPr>
        <w:t>12.2 预付款</w:t>
      </w:r>
    </w:p>
    <w:bookmarkEnd w:id="454"/>
    <w:bookmarkEnd w:id="455"/>
    <w:bookmarkEnd w:id="456"/>
    <w:bookmarkEnd w:id="457"/>
    <w:bookmarkEnd w:id="458"/>
    <w:bookmarkEnd w:id="459"/>
    <w:p w14:paraId="0242879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 预付款的支付</w:t>
      </w:r>
    </w:p>
    <w:p w14:paraId="17AB44D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预付款支付比例或金额：</w:t>
      </w:r>
      <w:r>
        <w:rPr>
          <w:rFonts w:hint="eastAsia" w:ascii="宋体" w:hAnsi="宋体" w:eastAsia="宋体" w:cs="宋体"/>
          <w:b/>
          <w:bCs/>
          <w:color w:val="auto"/>
          <w:szCs w:val="21"/>
          <w:highlight w:val="none"/>
          <w:u w:val="single"/>
          <w:lang w:val="en-US" w:eastAsia="zh-CN"/>
        </w:rPr>
        <w:t>合同生效及具备实施条件后7个工作日内预付合同金额40%作为预付款</w:t>
      </w:r>
      <w:r>
        <w:rPr>
          <w:rFonts w:hint="eastAsia" w:ascii="宋体" w:hAnsi="宋体" w:cs="宋体"/>
          <w:b/>
          <w:bCs/>
          <w:color w:val="auto"/>
          <w:szCs w:val="21"/>
          <w:highlight w:val="none"/>
          <w:u w:val="single"/>
          <w:lang w:val="en-US" w:eastAsia="zh-CN"/>
        </w:rPr>
        <w:t>，</w:t>
      </w:r>
      <w:r>
        <w:rPr>
          <w:rFonts w:hint="eastAsia" w:ascii="宋体" w:hAnsi="宋体" w:eastAsia="宋体" w:cs="宋体"/>
          <w:b/>
          <w:bCs/>
          <w:color w:val="auto"/>
          <w:szCs w:val="21"/>
          <w:highlight w:val="none"/>
          <w:u w:val="single"/>
        </w:rPr>
        <w:t>包含专用条款6.1.6条所列的安全文明施工费。</w:t>
      </w:r>
    </w:p>
    <w:p w14:paraId="086BBC7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预付款支付期限：</w:t>
      </w:r>
      <w:r>
        <w:rPr>
          <w:rFonts w:hint="eastAsia" w:ascii="宋体" w:hAnsi="宋体" w:eastAsia="宋体" w:cs="宋体"/>
          <w:b/>
          <w:bCs/>
          <w:color w:val="auto"/>
          <w:szCs w:val="21"/>
          <w:highlight w:val="none"/>
          <w:u w:val="single"/>
        </w:rPr>
        <w:t xml:space="preserve"> 按投标承诺的人员、机械设备进场且正式开工后7天内</w:t>
      </w:r>
      <w:r>
        <w:rPr>
          <w:rFonts w:hint="eastAsia" w:ascii="宋体" w:hAnsi="宋体" w:eastAsia="宋体" w:cs="宋体"/>
          <w:b/>
          <w:bCs/>
          <w:color w:val="auto"/>
          <w:szCs w:val="21"/>
          <w:highlight w:val="none"/>
        </w:rPr>
        <w:t>。</w:t>
      </w:r>
    </w:p>
    <w:p w14:paraId="2633246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预付款扣回的方式：</w:t>
      </w:r>
      <w:r>
        <w:rPr>
          <w:rFonts w:hint="eastAsia" w:ascii="宋体" w:hAnsi="宋体" w:eastAsia="宋体" w:cs="宋体"/>
          <w:b/>
          <w:bCs/>
          <w:color w:val="auto"/>
          <w:szCs w:val="21"/>
          <w:highlight w:val="none"/>
          <w:u w:val="single"/>
        </w:rPr>
        <w:t>不扣回。作为工程款，不抵扣每期应付进度款</w:t>
      </w:r>
      <w:r>
        <w:rPr>
          <w:rFonts w:hint="eastAsia" w:ascii="宋体" w:hAnsi="宋体" w:eastAsia="宋体" w:cs="宋体"/>
          <w:color w:val="auto"/>
          <w:szCs w:val="21"/>
          <w:highlight w:val="none"/>
        </w:rPr>
        <w:t>。</w:t>
      </w:r>
    </w:p>
    <w:p w14:paraId="55D8DC3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12.2.2 预付款担保</w:t>
      </w:r>
    </w:p>
    <w:p w14:paraId="198726B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承包人提交预付款担保的期限：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5C1A14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预付款担保的形式为：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460"/>
    <w:bookmarkEnd w:id="461"/>
    <w:bookmarkEnd w:id="462"/>
    <w:bookmarkEnd w:id="463"/>
    <w:bookmarkEnd w:id="464"/>
    <w:bookmarkEnd w:id="465"/>
    <w:bookmarkEnd w:id="466"/>
    <w:bookmarkEnd w:id="467"/>
    <w:bookmarkEnd w:id="468"/>
    <w:bookmarkEnd w:id="469"/>
    <w:p w14:paraId="56FCBC8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计量</w:t>
      </w:r>
    </w:p>
    <w:p w14:paraId="0E4F3C8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12.3.1 计量原则</w:t>
      </w:r>
    </w:p>
    <w:p w14:paraId="7A6F809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工程量计算按照实际完成施工图纸范围内和经发包人同意增加的施工内容按实计算，工程量计算规则按照《通用安装工程工程量计算规范》（GB 50856－2013）</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 w:val="21"/>
          <w:szCs w:val="21"/>
          <w:highlight w:val="none"/>
          <w:u w:val="single"/>
        </w:rPr>
        <w:t>《市政工程工程量计算规范》（GB 50857－2013）、《园林绿化工程工程量计算规范》（GB 50858－2013）、</w:t>
      </w:r>
      <w:r>
        <w:rPr>
          <w:rFonts w:hint="eastAsia" w:ascii="宋体" w:hAnsi="宋体" w:eastAsia="宋体" w:cs="宋体"/>
          <w:color w:val="auto"/>
          <w:szCs w:val="21"/>
          <w:highlight w:val="none"/>
          <w:u w:val="single"/>
        </w:rPr>
        <w:t>《建设工程工程量计算规范（2013）浙江省补充规定》（浙建站计〔2013〕63号）、《建设工程工程量清单计算规范（2013）浙江省补充规定（二）》（浙建站计〔2014〕31号）及发包人提供的工程量清单中说明的工程量计算规则计量。</w:t>
      </w:r>
    </w:p>
    <w:p w14:paraId="4F29008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12.3.2 计量周期：</w:t>
      </w:r>
    </w:p>
    <w:p w14:paraId="740A480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关于计量周期的约定：</w:t>
      </w:r>
      <w:r>
        <w:rPr>
          <w:rFonts w:hint="eastAsia" w:ascii="宋体" w:hAnsi="宋体" w:eastAsia="宋体" w:cs="宋体"/>
          <w:b/>
          <w:color w:val="auto"/>
          <w:highlight w:val="none"/>
          <w:u w:val="single"/>
        </w:rPr>
        <w:t>本工程按月支付工程进度款</w:t>
      </w:r>
      <w:r>
        <w:rPr>
          <w:rFonts w:hint="eastAsia" w:ascii="宋体" w:hAnsi="宋体" w:eastAsia="宋体" w:cs="宋体"/>
          <w:color w:val="auto"/>
          <w:szCs w:val="21"/>
          <w:highlight w:val="none"/>
        </w:rPr>
        <w:t>。</w:t>
      </w:r>
    </w:p>
    <w:p w14:paraId="2A21BEA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 单价合同的计量</w:t>
      </w:r>
    </w:p>
    <w:p w14:paraId="06C8C07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关于单价合同计量的约定：</w:t>
      </w:r>
      <w:r>
        <w:rPr>
          <w:rFonts w:hint="eastAsia" w:ascii="宋体" w:hAnsi="宋体" w:eastAsia="宋体" w:cs="宋体"/>
          <w:color w:val="auto"/>
          <w:szCs w:val="21"/>
          <w:highlight w:val="none"/>
          <w:u w:val="single"/>
        </w:rPr>
        <w:t>按合同通用条款执行。</w:t>
      </w:r>
    </w:p>
    <w:p w14:paraId="6F267C2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u w:val="single"/>
        </w:rPr>
        <w:t>（</w:t>
      </w:r>
      <w:r>
        <w:rPr>
          <w:rFonts w:hint="eastAsia" w:ascii="宋体" w:hAnsi="宋体" w:eastAsia="宋体" w:cs="宋体"/>
          <w:color w:val="auto"/>
          <w:kern w:val="0"/>
          <w:szCs w:val="21"/>
          <w:highlight w:val="none"/>
          <w:u w:val="single"/>
        </w:rPr>
        <w:t>4）确认的工程量和单价仅作为本期工程款支付的依据。</w:t>
      </w:r>
    </w:p>
    <w:p w14:paraId="1CD34C7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 总价合同的计量</w:t>
      </w:r>
    </w:p>
    <w:p w14:paraId="0D1D166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关于总价合同计量的约定：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9EB853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12.3.5总价合同采用支付分解表计量支付的，是否适用第</w:t>
      </w:r>
      <w:r>
        <w:rPr>
          <w:rFonts w:hint="eastAsia" w:ascii="宋体" w:hAnsi="宋体" w:eastAsia="宋体" w:cs="宋体"/>
          <w:color w:val="auto"/>
          <w:kern w:val="0"/>
          <w:szCs w:val="21"/>
          <w:highlight w:val="none"/>
        </w:rPr>
        <w:t xml:space="preserve">12.3.4 </w:t>
      </w:r>
      <w:r>
        <w:rPr>
          <w:rFonts w:hint="eastAsia" w:ascii="宋体" w:hAnsi="宋体" w:eastAsia="宋体" w:cs="宋体"/>
          <w:color w:val="auto"/>
          <w:szCs w:val="21"/>
          <w:highlight w:val="none"/>
        </w:rPr>
        <w:t>项</w:t>
      </w:r>
      <w:r>
        <w:rPr>
          <w:rFonts w:hint="eastAsia" w:ascii="宋体" w:hAnsi="宋体" w:eastAsia="宋体" w:cs="宋体"/>
          <w:color w:val="auto"/>
          <w:kern w:val="0"/>
          <w:szCs w:val="21"/>
          <w:highlight w:val="none"/>
        </w:rPr>
        <w:t>〔总价合同的计量〕</w:t>
      </w:r>
      <w:r>
        <w:rPr>
          <w:rFonts w:hint="eastAsia" w:ascii="宋体" w:hAnsi="宋体" w:eastAsia="宋体" w:cs="宋体"/>
          <w:color w:val="auto"/>
          <w:szCs w:val="21"/>
          <w:highlight w:val="none"/>
        </w:rPr>
        <w:t>约定进行计量：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000345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14:paraId="0703496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6E85628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 工程进度款支付</w:t>
      </w:r>
    </w:p>
    <w:p w14:paraId="3F38D3D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bookmarkStart w:id="470" w:name="_Toc296347210"/>
      <w:bookmarkStart w:id="471" w:name="_Toc292559416"/>
      <w:bookmarkStart w:id="472" w:name="_Toc296346712"/>
      <w:bookmarkStart w:id="473" w:name="_Toc292559921"/>
      <w:bookmarkStart w:id="474" w:name="_Toc296503211"/>
      <w:bookmarkStart w:id="475" w:name="_Toc296891039"/>
      <w:bookmarkStart w:id="476" w:name="_Toc300935006"/>
      <w:bookmarkStart w:id="477" w:name="_Toc303539163"/>
      <w:bookmarkStart w:id="478" w:name="_Toc296944550"/>
      <w:bookmarkStart w:id="479" w:name="_Toc297120511"/>
      <w:bookmarkStart w:id="480" w:name="_Toc296891251"/>
      <w:bookmarkStart w:id="481" w:name="_Toc297048397"/>
      <w:bookmarkStart w:id="482" w:name="_Toc297216215"/>
      <w:bookmarkStart w:id="483" w:name="_Toc297123556"/>
      <w:r>
        <w:rPr>
          <w:rFonts w:hint="eastAsia" w:ascii="宋体" w:hAnsi="宋体" w:eastAsia="宋体" w:cs="宋体"/>
          <w:color w:val="auto"/>
          <w:szCs w:val="21"/>
          <w:highlight w:val="none"/>
        </w:rPr>
        <w:t>12.4.1 付款周期</w:t>
      </w:r>
    </w:p>
    <w:p w14:paraId="52F9F7D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关于付款周期的约定：</w:t>
      </w:r>
      <w:r>
        <w:rPr>
          <w:rFonts w:hint="eastAsia" w:ascii="宋体" w:hAnsi="宋体" w:eastAsia="宋体" w:cs="宋体"/>
          <w:b/>
          <w:color w:val="auto"/>
          <w:highlight w:val="none"/>
          <w:u w:val="single"/>
        </w:rPr>
        <w:t>本工程按月支付工程进度款</w:t>
      </w:r>
      <w:r>
        <w:rPr>
          <w:rFonts w:hint="eastAsia" w:ascii="宋体" w:hAnsi="宋体" w:eastAsia="宋体" w:cs="宋体"/>
          <w:color w:val="auto"/>
          <w:szCs w:val="21"/>
          <w:highlight w:val="none"/>
        </w:rPr>
        <w:t>。</w:t>
      </w:r>
    </w:p>
    <w:p w14:paraId="07B3C97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14:paraId="4AFC6F5E">
      <w:pPr>
        <w:pageBreakBefore w:val="0"/>
        <w:shd w:val="clear" w:color="auto" w:fill="auto"/>
        <w:kinsoku/>
        <w:wordWrap/>
        <w:overflowPunct/>
        <w:topLinePunct w:val="0"/>
        <w:bidi w:val="0"/>
        <w:adjustRightInd/>
        <w:snapToGrid/>
        <w:spacing w:line="330" w:lineRule="exact"/>
        <w:ind w:left="0" w:leftChars="0" w:right="0" w:rightChars="0" w:firstLine="420" w:firstLineChars="200"/>
        <w:jc w:val="left"/>
        <w:textAlignment w:val="auto"/>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b/>
          <w:bCs/>
          <w:color w:val="auto"/>
          <w:szCs w:val="21"/>
          <w:highlight w:val="none"/>
          <w:u w:val="single"/>
        </w:rPr>
        <w:t>发包人向承包人支付当期按12.1、12.3款计量工程量价款的</w:t>
      </w:r>
      <w:r>
        <w:rPr>
          <w:rFonts w:hint="eastAsia" w:ascii="宋体" w:hAnsi="宋体" w:cs="宋体"/>
          <w:b/>
          <w:bCs/>
          <w:color w:val="auto"/>
          <w:szCs w:val="21"/>
          <w:highlight w:val="none"/>
          <w:u w:val="single"/>
          <w:lang w:val="en-US" w:eastAsia="zh-CN"/>
        </w:rPr>
        <w:t>30</w:t>
      </w:r>
      <w:r>
        <w:rPr>
          <w:rFonts w:hint="eastAsia" w:ascii="宋体" w:hAnsi="宋体" w:eastAsia="宋体" w:cs="宋体"/>
          <w:b/>
          <w:bCs/>
          <w:color w:val="auto"/>
          <w:szCs w:val="21"/>
          <w:highlight w:val="none"/>
          <w:u w:val="single"/>
        </w:rPr>
        <w:t>%工程价款（不含预付款）。人工、材料市场价格调整引起合同价款调整，在完成专用条款第11.1条约定的调整节点后，计入该节点所在当期工程进度款；工程变更、索赔、现场签证等办理完毕的，计入当期工程进度款。</w:t>
      </w:r>
    </w:p>
    <w:p w14:paraId="05A09556">
      <w:pPr>
        <w:pageBreakBefore w:val="0"/>
        <w:shd w:val="clear" w:color="auto" w:fill="auto"/>
        <w:kinsoku/>
        <w:wordWrap/>
        <w:overflowPunct/>
        <w:topLinePunct w:val="0"/>
        <w:bidi w:val="0"/>
        <w:adjustRightInd/>
        <w:snapToGrid/>
        <w:spacing w:line="330" w:lineRule="exact"/>
        <w:ind w:left="0" w:leftChars="0" w:right="0" w:rightChars="0" w:firstLine="422" w:firstLineChars="200"/>
        <w:textAlignment w:val="auto"/>
        <w:rPr>
          <w:rFonts w:hint="eastAsia" w:ascii="宋体" w:hAnsi="宋体" w:eastAsia="宋体" w:cs="宋体"/>
          <w:b/>
          <w:bCs/>
          <w:color w:val="auto"/>
          <w:szCs w:val="21"/>
          <w:highlight w:val="none"/>
          <w:u w:val="single"/>
          <w:lang w:eastAsia="zh-CN"/>
        </w:rPr>
      </w:pPr>
      <w:r>
        <w:rPr>
          <w:rFonts w:hint="eastAsia" w:ascii="宋体" w:hAnsi="宋体" w:eastAsia="宋体" w:cs="宋体"/>
          <w:b/>
          <w:bCs/>
          <w:color w:val="auto"/>
          <w:szCs w:val="21"/>
          <w:highlight w:val="none"/>
          <w:u w:val="single"/>
          <w:lang w:val="en-US" w:eastAsia="zh-CN"/>
        </w:rPr>
        <w:t>合同范围内的施工内容施工完成，参建各方（建设、监理、施工、勘察、设计单位等）对工程验收并签署工程质量合格文件后，支付至进度款审核汇总的合同价格的90%（包含已支付的</w:t>
      </w:r>
      <w:r>
        <w:rPr>
          <w:rFonts w:hint="eastAsia" w:ascii="宋体" w:hAnsi="宋体" w:cs="宋体"/>
          <w:b/>
          <w:bCs/>
          <w:color w:val="auto"/>
          <w:szCs w:val="21"/>
          <w:highlight w:val="none"/>
          <w:u w:val="single"/>
          <w:lang w:val="en-US" w:eastAsia="zh-CN"/>
        </w:rPr>
        <w:t>40</w:t>
      </w:r>
      <w:r>
        <w:rPr>
          <w:rFonts w:hint="eastAsia" w:ascii="宋体" w:hAnsi="宋体" w:eastAsia="宋体" w:cs="宋体"/>
          <w:b/>
          <w:bCs/>
          <w:color w:val="auto"/>
          <w:szCs w:val="21"/>
          <w:highlight w:val="none"/>
          <w:u w:val="single"/>
          <w:lang w:val="en-US" w:eastAsia="zh-CN"/>
        </w:rPr>
        <w:t>%预付款）</w:t>
      </w:r>
      <w:r>
        <w:rPr>
          <w:rFonts w:hint="eastAsia" w:ascii="宋体" w:hAnsi="宋体" w:eastAsia="宋体" w:cs="宋体"/>
          <w:b/>
          <w:bCs/>
          <w:color w:val="auto"/>
          <w:szCs w:val="21"/>
          <w:highlight w:val="none"/>
          <w:u w:val="single"/>
        </w:rPr>
        <w:t>。</w:t>
      </w:r>
      <w:r>
        <w:rPr>
          <w:rFonts w:hint="eastAsia" w:ascii="宋体" w:hAnsi="宋体" w:eastAsia="宋体" w:cs="宋体"/>
          <w:b/>
          <w:bCs/>
          <w:color w:val="auto"/>
          <w:szCs w:val="21"/>
          <w:highlight w:val="none"/>
          <w:u w:val="single"/>
        </w:rPr>
        <w:t>审计结算后，出具审计报告后支付至审计价款的</w:t>
      </w:r>
      <w:r>
        <w:rPr>
          <w:rFonts w:hint="eastAsia" w:ascii="宋体" w:hAnsi="宋体" w:cs="宋体"/>
          <w:b/>
          <w:bCs/>
          <w:color w:val="auto"/>
          <w:szCs w:val="21"/>
          <w:highlight w:val="none"/>
          <w:u w:val="single"/>
          <w:lang w:val="en-US" w:eastAsia="zh-CN"/>
        </w:rPr>
        <w:t>100</w:t>
      </w:r>
      <w:r>
        <w:rPr>
          <w:rFonts w:hint="eastAsia" w:ascii="宋体" w:hAnsi="宋体" w:eastAsia="宋体" w:cs="宋体"/>
          <w:b/>
          <w:bCs/>
          <w:color w:val="auto"/>
          <w:szCs w:val="21"/>
          <w:highlight w:val="none"/>
          <w:u w:val="single"/>
        </w:rPr>
        <w:t>%</w:t>
      </w:r>
      <w:r>
        <w:rPr>
          <w:rFonts w:hint="eastAsia" w:ascii="宋体" w:hAnsi="宋体" w:cs="宋体"/>
          <w:b/>
          <w:bCs/>
          <w:color w:val="auto"/>
          <w:szCs w:val="21"/>
          <w:highlight w:val="none"/>
          <w:u w:val="single"/>
          <w:lang w:eastAsia="zh-CN"/>
        </w:rPr>
        <w:t>。</w:t>
      </w:r>
    </w:p>
    <w:p w14:paraId="392DC33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其余按合同通用条款</w:t>
      </w:r>
      <w:r>
        <w:rPr>
          <w:rFonts w:hint="eastAsia" w:ascii="宋体" w:hAnsi="宋体" w:eastAsia="宋体" w:cs="宋体"/>
          <w:color w:val="auto"/>
          <w:szCs w:val="21"/>
          <w:highlight w:val="none"/>
        </w:rPr>
        <w:t>。</w:t>
      </w:r>
    </w:p>
    <w:p w14:paraId="4E8DFBE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hint="eastAsia" w:ascii="宋体" w:hAnsi="宋体" w:eastAsia="宋体" w:cs="宋体"/>
          <w:color w:val="auto"/>
          <w:szCs w:val="21"/>
          <w:highlight w:val="none"/>
        </w:rPr>
        <w:t>2.4.3 进度付款申请单的提交</w:t>
      </w:r>
    </w:p>
    <w:p w14:paraId="7CCB42B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r>
        <w:rPr>
          <w:rFonts w:hint="eastAsia" w:ascii="宋体" w:hAnsi="宋体" w:eastAsia="宋体" w:cs="宋体"/>
          <w:color w:val="auto"/>
          <w:szCs w:val="21"/>
          <w:highlight w:val="none"/>
          <w:u w:val="single"/>
        </w:rPr>
        <w:t>按合同通用条款</w:t>
      </w:r>
      <w:r>
        <w:rPr>
          <w:rFonts w:hint="eastAsia" w:ascii="宋体" w:hAnsi="宋体" w:eastAsia="宋体" w:cs="宋体"/>
          <w:color w:val="auto"/>
          <w:szCs w:val="21"/>
          <w:highlight w:val="none"/>
        </w:rPr>
        <w:t>。</w:t>
      </w:r>
    </w:p>
    <w:p w14:paraId="1768FF0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41FF8E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D99A63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14:paraId="54CE1C5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（1）监理人审查并报送发包人的期限：</w:t>
      </w:r>
      <w:r>
        <w:rPr>
          <w:rFonts w:hint="eastAsia" w:ascii="宋体" w:hAnsi="宋体" w:eastAsia="宋体" w:cs="宋体"/>
          <w:color w:val="auto"/>
          <w:szCs w:val="21"/>
          <w:highlight w:val="none"/>
          <w:u w:val="single"/>
        </w:rPr>
        <w:t xml:space="preserve">按合同通用条款 </w:t>
      </w:r>
      <w:r>
        <w:rPr>
          <w:rFonts w:hint="eastAsia" w:ascii="宋体" w:hAnsi="宋体" w:eastAsia="宋体" w:cs="宋体"/>
          <w:color w:val="auto"/>
          <w:szCs w:val="21"/>
          <w:highlight w:val="none"/>
        </w:rPr>
        <w:t>。</w:t>
      </w:r>
    </w:p>
    <w:p w14:paraId="42DE843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发包人完成审批并签发进度款支付证书的期限：</w:t>
      </w:r>
      <w:r>
        <w:rPr>
          <w:rFonts w:hint="eastAsia" w:ascii="宋体" w:hAnsi="宋体" w:eastAsia="宋体" w:cs="宋体"/>
          <w:color w:val="auto"/>
          <w:szCs w:val="21"/>
          <w:highlight w:val="none"/>
          <w:u w:val="single"/>
        </w:rPr>
        <w:t>按合同通用条款</w:t>
      </w:r>
      <w:r>
        <w:rPr>
          <w:rFonts w:hint="eastAsia" w:ascii="宋体" w:hAnsi="宋体" w:eastAsia="宋体" w:cs="宋体"/>
          <w:color w:val="auto"/>
          <w:szCs w:val="21"/>
          <w:highlight w:val="none"/>
        </w:rPr>
        <w:t>。</w:t>
      </w:r>
    </w:p>
    <w:p w14:paraId="508C748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（2）发包人支付进度款的期限：</w:t>
      </w:r>
      <w:r>
        <w:rPr>
          <w:rFonts w:hint="eastAsia" w:ascii="宋体" w:hAnsi="宋体" w:eastAsia="宋体" w:cs="宋体"/>
          <w:color w:val="auto"/>
          <w:szCs w:val="21"/>
          <w:highlight w:val="none"/>
          <w:u w:val="single"/>
        </w:rPr>
        <w:t>在发包人确认计量结果后14天内完成支付。</w:t>
      </w:r>
    </w:p>
    <w:p w14:paraId="36BD25E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发包人逾期支付进度款的违约金的计算方式：</w:t>
      </w:r>
      <w:r>
        <w:rPr>
          <w:rFonts w:hint="eastAsia" w:ascii="宋体" w:hAnsi="宋体" w:eastAsia="宋体" w:cs="宋体"/>
          <w:color w:val="auto"/>
          <w:szCs w:val="21"/>
          <w:highlight w:val="none"/>
          <w:u w:val="single"/>
        </w:rPr>
        <w:t>支付应付工程进度款的利息，利率按同期全国银行间同业拆借中心公布的贷款市场报价利率，时间为从约定应付之日起至支付之日止计算利息。</w:t>
      </w:r>
    </w:p>
    <w:p w14:paraId="636EF7B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6AF9DC40">
      <w:pPr>
        <w:pageBreakBefore w:val="0"/>
        <w:shd w:val="clear" w:color="auto" w:fill="auto"/>
        <w:kinsoku/>
        <w:wordWrap/>
        <w:overflowPunct/>
        <w:topLinePunct w:val="0"/>
        <w:bidi w:val="0"/>
        <w:adjustRightInd/>
        <w:snapToGrid/>
        <w:spacing w:line="330" w:lineRule="exact"/>
        <w:ind w:left="0" w:leftChars="0"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12.4.6 支付分解表的编制</w:t>
      </w:r>
    </w:p>
    <w:p w14:paraId="3B053A2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2、总价合同支付分解表的编制与审批：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AB438E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3、单价合同的总价项目支付分解表的编制与审批：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4AEBC56">
      <w:pPr>
        <w:pageBreakBefore w:val="0"/>
        <w:shd w:val="clear" w:color="auto" w:fill="auto"/>
        <w:kinsoku/>
        <w:wordWrap/>
        <w:overflowPunct/>
        <w:topLinePunct w:val="0"/>
        <w:bidi w:val="0"/>
        <w:adjustRightInd/>
        <w:snapToGrid/>
        <w:spacing w:line="330" w:lineRule="exact"/>
        <w:ind w:left="0" w:leftChars="0"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12.5 支付帐户</w:t>
      </w:r>
    </w:p>
    <w:p w14:paraId="2281734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发包人将当期应付工程进度款的20% 拨付到承包人的农民工工资专用账户：                           ；</w:t>
      </w:r>
      <w:r>
        <w:rPr>
          <w:rFonts w:hint="eastAsia" w:ascii="宋体" w:hAnsi="宋体" w:eastAsia="宋体" w:cs="宋体"/>
          <w:color w:val="auto"/>
          <w:szCs w:val="21"/>
          <w:highlight w:val="none"/>
        </w:rPr>
        <w:t>其余合同价款支付至合同协议书中约定的承包人帐户。</w:t>
      </w:r>
    </w:p>
    <w:p w14:paraId="39F7B67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如承包人因经营需要将工程款支付至其他指定帐户时，应向发包人书面申请，并由承包人法定代表人或授权代表签字、盖章。</w:t>
      </w:r>
    </w:p>
    <w:bookmarkEnd w:id="312"/>
    <w:p w14:paraId="2BFD1CA1">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bookmarkStart w:id="484" w:name="_Toc280868709"/>
      <w:bookmarkStart w:id="485" w:name="_Toc267251473"/>
      <w:bookmarkStart w:id="486" w:name="_Toc267251476"/>
      <w:bookmarkStart w:id="487" w:name="_Toc267251471"/>
      <w:bookmarkStart w:id="488" w:name="_Toc267251475"/>
      <w:bookmarkStart w:id="489" w:name="_Toc267251470"/>
      <w:bookmarkStart w:id="490" w:name="_Toc267251474"/>
      <w:bookmarkStart w:id="491" w:name="_Toc267251472"/>
      <w:r>
        <w:rPr>
          <w:rFonts w:hint="eastAsia" w:ascii="宋体" w:hAnsi="宋体" w:eastAsia="宋体" w:cs="宋体"/>
          <w:b w:val="0"/>
          <w:color w:val="auto"/>
          <w:sz w:val="21"/>
          <w:szCs w:val="21"/>
          <w:highlight w:val="none"/>
        </w:rPr>
        <w:t>13. 验收和工程试车</w:t>
      </w:r>
    </w:p>
    <w:p w14:paraId="1F0E6B8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分部分项工程验收</w:t>
      </w:r>
    </w:p>
    <w:p w14:paraId="064190F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13.1.2监理人不能按时进行验收时，应提前</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小时提交书面延期要求。</w:t>
      </w:r>
    </w:p>
    <w:p w14:paraId="50A9560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小时。</w:t>
      </w:r>
    </w:p>
    <w:p w14:paraId="4BBC506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u w:val="single"/>
        </w:rPr>
        <w:t>工程验收过程、验收部位除办理纸质验收记录，还应留置验收部位、验收过程、主要验收人员相片、影像等资料。</w:t>
      </w:r>
    </w:p>
    <w:p w14:paraId="2588666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bookmarkStart w:id="492" w:name="_Toc297048409"/>
      <w:bookmarkStart w:id="493" w:name="_Toc296503223"/>
      <w:bookmarkStart w:id="494" w:name="_Toc303539173"/>
      <w:bookmarkStart w:id="495" w:name="_Toc312678056"/>
      <w:bookmarkStart w:id="496" w:name="_Toc296891263"/>
      <w:bookmarkStart w:id="497" w:name="_Toc292559933"/>
      <w:bookmarkStart w:id="498" w:name="_Toc300935016"/>
      <w:bookmarkStart w:id="499" w:name="_Toc297120523"/>
      <w:bookmarkStart w:id="500" w:name="_Toc296944562"/>
      <w:bookmarkStart w:id="501" w:name="_Toc292559428"/>
      <w:bookmarkStart w:id="502" w:name="_Toc296346724"/>
      <w:bookmarkStart w:id="503" w:name="_Toc304295596"/>
      <w:bookmarkStart w:id="504" w:name="_Toc296891051"/>
      <w:bookmarkStart w:id="505" w:name="_Toc297216224"/>
      <w:bookmarkStart w:id="506" w:name="_Toc296347222"/>
      <w:bookmarkStart w:id="507" w:name="_Toc297123565"/>
      <w:r>
        <w:rPr>
          <w:rFonts w:hint="eastAsia" w:ascii="宋体" w:hAnsi="宋体" w:eastAsia="宋体" w:cs="宋体"/>
          <w:color w:val="auto"/>
          <w:szCs w:val="21"/>
          <w:highlight w:val="none"/>
        </w:rPr>
        <w:t>13.2 竣工验收</w:t>
      </w:r>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14:paraId="4666B9B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bookmarkStart w:id="508" w:name="_Toc280868704"/>
      <w:bookmarkStart w:id="509" w:name="_Toc280868705"/>
      <w:bookmarkStart w:id="510" w:name="_Toc280868706"/>
      <w:bookmarkStart w:id="511" w:name="_Toc280868707"/>
      <w:bookmarkStart w:id="512" w:name="_Toc280868708"/>
      <w:r>
        <w:rPr>
          <w:rFonts w:hint="eastAsia" w:ascii="宋体" w:hAnsi="宋体" w:eastAsia="宋体" w:cs="宋体"/>
          <w:color w:val="auto"/>
          <w:szCs w:val="21"/>
          <w:highlight w:val="none"/>
        </w:rPr>
        <w:t>13.2.2竣工验收程序</w:t>
      </w:r>
    </w:p>
    <w:bookmarkEnd w:id="508"/>
    <w:p w14:paraId="5E8353F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关于竣工验收程序的约定：</w:t>
      </w:r>
      <w:r>
        <w:rPr>
          <w:rFonts w:hint="eastAsia" w:ascii="宋体" w:hAnsi="宋体" w:eastAsia="宋体" w:cs="宋体"/>
          <w:color w:val="auto"/>
          <w:szCs w:val="21"/>
          <w:highlight w:val="none"/>
          <w:u w:val="single"/>
        </w:rPr>
        <w:t>竣工验收程序按通用合同条款</w:t>
      </w:r>
      <w:r>
        <w:rPr>
          <w:rFonts w:hint="eastAsia" w:ascii="宋体" w:hAnsi="宋体" w:eastAsia="宋体" w:cs="宋体"/>
          <w:color w:val="auto"/>
          <w:szCs w:val="21"/>
          <w:highlight w:val="none"/>
        </w:rPr>
        <w:t>。</w:t>
      </w:r>
    </w:p>
    <w:p w14:paraId="3D4329D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7218C37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发包人不按照本项约定组织竣工验收、颁发工程接收证书的违约金的计算方法：</w:t>
      </w:r>
      <w:r>
        <w:rPr>
          <w:rFonts w:hint="eastAsia" w:ascii="宋体" w:hAnsi="宋体" w:eastAsia="宋体" w:cs="宋体"/>
          <w:color w:val="auto"/>
          <w:szCs w:val="21"/>
          <w:highlight w:val="none"/>
          <w:u w:val="single"/>
        </w:rPr>
        <w:t xml:space="preserve">  不计违约金。</w:t>
      </w:r>
    </w:p>
    <w:p w14:paraId="7B22471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eastAsia="宋体" w:cs="宋体"/>
          <w:color w:val="auto"/>
          <w:szCs w:val="21"/>
          <w:highlight w:val="none"/>
        </w:rPr>
        <w:t>。</w:t>
      </w:r>
    </w:p>
    <w:bookmarkEnd w:id="509"/>
    <w:p w14:paraId="60B7E62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13.2.3竣工日期</w:t>
      </w:r>
    </w:p>
    <w:p w14:paraId="0037FFA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（1）承包人完成合同范围内的全部工程以及有关工作，工程经验收合格的，以承包人提交验收申请报告之日为合同工期计算终止日。</w:t>
      </w:r>
    </w:p>
    <w:p w14:paraId="20CFB3F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（2）其余按通用合同条款。</w:t>
      </w:r>
    </w:p>
    <w:p w14:paraId="22D5B6C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13.2.5移交、接收全部与部分工程</w:t>
      </w:r>
    </w:p>
    <w:bookmarkEnd w:id="510"/>
    <w:p w14:paraId="21BAE63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承包人向发包人移交工程的期限：</w:t>
      </w:r>
      <w:r>
        <w:rPr>
          <w:rFonts w:hint="eastAsia" w:ascii="宋体" w:hAnsi="宋体" w:eastAsia="宋体" w:cs="宋体"/>
          <w:color w:val="auto"/>
          <w:szCs w:val="21"/>
          <w:highlight w:val="none"/>
          <w:u w:val="single"/>
        </w:rPr>
        <w:t xml:space="preserve">  按通用条款执行  </w:t>
      </w:r>
      <w:r>
        <w:rPr>
          <w:rFonts w:hint="eastAsia" w:ascii="宋体" w:hAnsi="宋体" w:eastAsia="宋体" w:cs="宋体"/>
          <w:color w:val="auto"/>
          <w:szCs w:val="21"/>
          <w:highlight w:val="none"/>
        </w:rPr>
        <w:t>。</w:t>
      </w:r>
    </w:p>
    <w:p w14:paraId="1D726B1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发包人未按本合同约定接收全部或部分工程的，违约金的计算方法为：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511"/>
    <w:p w14:paraId="7487C96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承包人未按时移交工程的，违约金的计算方法为：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F3E670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工程试车</w:t>
      </w:r>
    </w:p>
    <w:bookmarkEnd w:id="512"/>
    <w:p w14:paraId="525CDF7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13.3.1 试车程序</w:t>
      </w:r>
    </w:p>
    <w:p w14:paraId="0B42C95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工程试车内容：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4AF8A81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（1）单机无负荷试车费用由</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kern w:val="0"/>
          <w:szCs w:val="21"/>
          <w:highlight w:val="none"/>
        </w:rPr>
        <w:t>承担；</w:t>
      </w:r>
    </w:p>
    <w:p w14:paraId="60A4D48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（2）无负荷联动试车费用由</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kern w:val="0"/>
          <w:szCs w:val="21"/>
          <w:highlight w:val="none"/>
        </w:rPr>
        <w:t>承担。</w:t>
      </w:r>
    </w:p>
    <w:p w14:paraId="6A694AF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13.3.3 投料试车</w:t>
      </w:r>
    </w:p>
    <w:p w14:paraId="7A24820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关于投料试车相关事项的约定：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3564440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 竣工退场</w:t>
      </w:r>
    </w:p>
    <w:p w14:paraId="49D4CE7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13.6.1 竣工退场</w:t>
      </w:r>
    </w:p>
    <w:p w14:paraId="45BD85A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承包人完成竣工退场的期限：</w:t>
      </w:r>
      <w:r>
        <w:rPr>
          <w:rFonts w:hint="eastAsia" w:ascii="宋体" w:hAnsi="宋体" w:eastAsia="宋体" w:cs="宋体"/>
          <w:color w:val="auto"/>
          <w:szCs w:val="21"/>
          <w:highlight w:val="none"/>
          <w:u w:val="single"/>
        </w:rPr>
        <w:t xml:space="preserve"> 颁发工程接收证书后7天内</w:t>
      </w:r>
      <w:r>
        <w:rPr>
          <w:rFonts w:hint="eastAsia" w:ascii="宋体" w:hAnsi="宋体" w:eastAsia="宋体" w:cs="宋体"/>
          <w:color w:val="auto"/>
          <w:kern w:val="0"/>
          <w:szCs w:val="21"/>
          <w:highlight w:val="none"/>
        </w:rPr>
        <w:t>。</w:t>
      </w:r>
    </w:p>
    <w:p w14:paraId="6B05F31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13.6.2地表还原</w:t>
      </w:r>
    </w:p>
    <w:p w14:paraId="24F5F68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600AAEA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本工程场地恢复的要求：</w:t>
      </w:r>
    </w:p>
    <w:p w14:paraId="0BBF627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（1）清理完成施工现场垃圾，临建的拆除与场地复原；</w:t>
      </w:r>
    </w:p>
    <w:p w14:paraId="42EB58A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（2）施工后废弃材料、设备清理撤离；</w:t>
      </w:r>
    </w:p>
    <w:p w14:paraId="49A3333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（3）承包人造成的施工现场周边施工堆积物及场地清理。</w:t>
      </w:r>
    </w:p>
    <w:p w14:paraId="4F7DD418">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（4）其它要求：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10B25E39">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 竣工结算</w:t>
      </w:r>
    </w:p>
    <w:p w14:paraId="31F446A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竣工结算申请</w:t>
      </w:r>
    </w:p>
    <w:p w14:paraId="754EC69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1.承包人提交竣工结算申请的期限：</w:t>
      </w:r>
    </w:p>
    <w:p w14:paraId="2841068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完成合同范围内施工内容，参建各方（建设、监理、施工、勘察、设计单位、施工全过程造价咨询等）对工程验收并签署工程质量合格文件后可在28天内，向发包人或监理人、发包人委托的中介机构提交最终工程结算申请，并提交完整的工程结算资料一套。</w:t>
      </w:r>
    </w:p>
    <w:p w14:paraId="6FD9B57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工程验收后，承包人超过90天未提交最终工程结算资料，经发包人催告后28天，承包人还不提交工程结算资料的，发包人可根据自己资料办理工程结算，且视为承包人认可工程结算结果。</w:t>
      </w:r>
    </w:p>
    <w:p w14:paraId="571A619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2.竣工结算申请单应包括的内容：</w:t>
      </w:r>
      <w:r>
        <w:rPr>
          <w:rFonts w:hint="eastAsia" w:ascii="宋体" w:hAnsi="宋体" w:eastAsia="宋体" w:cs="宋体"/>
          <w:color w:val="auto"/>
          <w:szCs w:val="21"/>
          <w:highlight w:val="none"/>
          <w:u w:val="single"/>
        </w:rPr>
        <w:t>包括但不限于施工合同、补充协议、招标文件、投标文件、竣工图纸、施工方案以及经确认的工程变更、工程索赔、现场签证，相关施工记录，工程款收款证明、逾期付款利息计算书等相关资料。</w:t>
      </w:r>
    </w:p>
    <w:p w14:paraId="1CACB81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竣工结算审核</w:t>
      </w:r>
    </w:p>
    <w:p w14:paraId="270F3B2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（1）发包人结算审核时间：</w:t>
      </w:r>
      <w:r>
        <w:rPr>
          <w:rFonts w:hint="eastAsia" w:ascii="宋体" w:hAnsi="宋体" w:eastAsia="宋体" w:cs="宋体"/>
          <w:color w:val="auto"/>
          <w:szCs w:val="21"/>
          <w:highlight w:val="none"/>
          <w:u w:val="single"/>
        </w:rPr>
        <w:t>发包人收到承包人递交的最终结算报告及结算资料后，在（6）个月内审核完毕，并签发最终工程结算证书。</w:t>
      </w:r>
    </w:p>
    <w:p w14:paraId="7776713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3984F26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4A547CD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bookmarkEnd w:id="484"/>
    <w:bookmarkEnd w:id="485"/>
    <w:bookmarkEnd w:id="486"/>
    <w:bookmarkEnd w:id="487"/>
    <w:bookmarkEnd w:id="488"/>
    <w:bookmarkEnd w:id="489"/>
    <w:bookmarkEnd w:id="490"/>
    <w:bookmarkEnd w:id="491"/>
    <w:p w14:paraId="6340DBE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bookmarkStart w:id="513" w:name="_Toc267251482"/>
      <w:bookmarkStart w:id="514" w:name="_Toc267251488"/>
      <w:bookmarkStart w:id="515" w:name="_Toc267251484"/>
      <w:bookmarkStart w:id="516" w:name="_Toc267251489"/>
      <w:bookmarkStart w:id="517" w:name="_Toc267251486"/>
      <w:bookmarkStart w:id="518" w:name="_Toc267251490"/>
      <w:bookmarkStart w:id="519" w:name="_Toc267251485"/>
      <w:bookmarkStart w:id="520" w:name="_Toc267251514"/>
      <w:bookmarkStart w:id="521" w:name="_Toc267251510"/>
      <w:bookmarkStart w:id="522" w:name="_Toc267251498"/>
      <w:bookmarkStart w:id="523" w:name="_Toc267251509"/>
      <w:bookmarkStart w:id="524" w:name="_Toc267251496"/>
      <w:bookmarkStart w:id="525" w:name="_Toc267251493"/>
      <w:bookmarkStart w:id="526" w:name="_Toc267251502"/>
      <w:bookmarkStart w:id="527" w:name="_Toc267251497"/>
      <w:bookmarkStart w:id="528" w:name="_Toc267251513"/>
      <w:bookmarkStart w:id="529" w:name="_Toc267251499"/>
      <w:bookmarkStart w:id="530" w:name="_Toc267251494"/>
      <w:bookmarkStart w:id="531" w:name="_Toc267251515"/>
      <w:bookmarkStart w:id="532" w:name="_Toc267251504"/>
      <w:bookmarkStart w:id="533" w:name="_Toc267251508"/>
      <w:bookmarkStart w:id="534" w:name="_Toc267251503"/>
      <w:bookmarkStart w:id="535" w:name="_Toc267251492"/>
      <w:bookmarkStart w:id="536" w:name="_Toc267251511"/>
      <w:bookmarkStart w:id="537" w:name="_Toc267251491"/>
      <w:bookmarkStart w:id="538" w:name="_Toc267251506"/>
      <w:bookmarkStart w:id="539" w:name="_Toc267251507"/>
      <w:bookmarkStart w:id="540" w:name="_Toc267251495"/>
      <w:bookmarkStart w:id="541" w:name="_Toc267251501"/>
      <w:r>
        <w:rPr>
          <w:rFonts w:hint="eastAsia" w:ascii="宋体" w:hAnsi="宋体" w:eastAsia="宋体" w:cs="宋体"/>
          <w:color w:val="auto"/>
          <w:szCs w:val="21"/>
          <w:highlight w:val="none"/>
        </w:rPr>
        <w:t>14.4 最终结清</w:t>
      </w:r>
    </w:p>
    <w:p w14:paraId="5E902BE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14.4.1 最终结清申请单</w:t>
      </w:r>
    </w:p>
    <w:p w14:paraId="50D214A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承包人提交最终结清申请单的份数：</w:t>
      </w:r>
      <w:r>
        <w:rPr>
          <w:rFonts w:hint="eastAsia" w:ascii="宋体" w:hAnsi="宋体" w:eastAsia="宋体" w:cs="宋体"/>
          <w:color w:val="auto"/>
          <w:szCs w:val="21"/>
          <w:highlight w:val="none"/>
          <w:u w:val="single"/>
        </w:rPr>
        <w:t xml:space="preserve"> 2份   </w:t>
      </w:r>
      <w:r>
        <w:rPr>
          <w:rFonts w:hint="eastAsia" w:ascii="宋体" w:hAnsi="宋体" w:eastAsia="宋体" w:cs="宋体"/>
          <w:color w:val="auto"/>
          <w:szCs w:val="21"/>
          <w:highlight w:val="none"/>
        </w:rPr>
        <w:t>。</w:t>
      </w:r>
    </w:p>
    <w:p w14:paraId="075D3AA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承包人提交最终结算申请单的期限：</w:t>
      </w:r>
      <w:r>
        <w:rPr>
          <w:rFonts w:hint="eastAsia" w:ascii="宋体" w:hAnsi="宋体" w:eastAsia="宋体" w:cs="宋体"/>
          <w:color w:val="auto"/>
          <w:szCs w:val="21"/>
          <w:highlight w:val="none"/>
          <w:u w:val="single"/>
        </w:rPr>
        <w:t xml:space="preserve"> 缺陷责任期终止后7天内 </w:t>
      </w:r>
      <w:r>
        <w:rPr>
          <w:rFonts w:hint="eastAsia" w:ascii="宋体" w:hAnsi="宋体" w:eastAsia="宋体" w:cs="宋体"/>
          <w:color w:val="auto"/>
          <w:szCs w:val="21"/>
          <w:highlight w:val="none"/>
        </w:rPr>
        <w:t xml:space="preserve">。 </w:t>
      </w:r>
    </w:p>
    <w:p w14:paraId="35B5794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14.4.2 最终结清证书和支付</w:t>
      </w:r>
    </w:p>
    <w:p w14:paraId="1566FF4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（1）发包人完成最终结清申请单的审批并颁发最终结清证书的期限：</w:t>
      </w:r>
      <w:r>
        <w:rPr>
          <w:rFonts w:hint="eastAsia" w:ascii="宋体" w:hAnsi="宋体" w:eastAsia="宋体" w:cs="宋体"/>
          <w:color w:val="auto"/>
          <w:szCs w:val="21"/>
          <w:highlight w:val="none"/>
          <w:u w:val="single"/>
        </w:rPr>
        <w:t xml:space="preserve">  按通用条款  </w:t>
      </w:r>
      <w:r>
        <w:rPr>
          <w:rFonts w:hint="eastAsia" w:ascii="宋体" w:hAnsi="宋体" w:eastAsia="宋体" w:cs="宋体"/>
          <w:color w:val="auto"/>
          <w:szCs w:val="21"/>
          <w:highlight w:val="none"/>
        </w:rPr>
        <w:t>。</w:t>
      </w:r>
    </w:p>
    <w:p w14:paraId="7CD93F4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（2）发包人完成支付的期限：</w:t>
      </w:r>
      <w:r>
        <w:rPr>
          <w:rFonts w:hint="eastAsia" w:ascii="宋体" w:hAnsi="宋体" w:eastAsia="宋体" w:cs="宋体"/>
          <w:color w:val="auto"/>
          <w:szCs w:val="21"/>
          <w:highlight w:val="none"/>
          <w:u w:val="single"/>
        </w:rPr>
        <w:t>按通用条款</w:t>
      </w:r>
      <w:r>
        <w:rPr>
          <w:rFonts w:hint="eastAsia" w:ascii="宋体" w:hAnsi="宋体" w:eastAsia="宋体" w:cs="宋体"/>
          <w:color w:val="auto"/>
          <w:szCs w:val="21"/>
          <w:highlight w:val="none"/>
        </w:rPr>
        <w:t>。</w:t>
      </w:r>
    </w:p>
    <w:p w14:paraId="786E7DC4">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bookmarkStart w:id="542" w:name="_Toc351203647"/>
      <w:bookmarkStart w:id="543" w:name="_Toc267251483"/>
      <w:r>
        <w:rPr>
          <w:rFonts w:hint="eastAsia" w:ascii="宋体" w:hAnsi="宋体" w:eastAsia="宋体" w:cs="宋体"/>
          <w:b w:val="0"/>
          <w:color w:val="auto"/>
          <w:sz w:val="21"/>
          <w:szCs w:val="21"/>
          <w:highlight w:val="none"/>
        </w:rPr>
        <w:t>15. 缺陷责任期与保修</w:t>
      </w:r>
      <w:bookmarkEnd w:id="542"/>
    </w:p>
    <w:p w14:paraId="0CCDD5C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15.2缺陷责任期</w:t>
      </w:r>
      <w:bookmarkEnd w:id="543"/>
    </w:p>
    <w:p w14:paraId="548A151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缺陷责任期的具体期限：</w:t>
      </w:r>
      <w:r>
        <w:rPr>
          <w:rFonts w:hint="eastAsia" w:ascii="宋体" w:hAnsi="宋体" w:eastAsia="宋体" w:cs="宋体"/>
          <w:color w:val="auto"/>
          <w:szCs w:val="21"/>
          <w:highlight w:val="none"/>
          <w:u w:val="single"/>
        </w:rPr>
        <w:t xml:space="preserve"> 缺陷责任期</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个月，其余按通用条款执行</w:t>
      </w:r>
      <w:r>
        <w:rPr>
          <w:rFonts w:hint="eastAsia" w:ascii="宋体" w:hAnsi="宋体" w:eastAsia="宋体" w:cs="宋体"/>
          <w:color w:val="auto"/>
          <w:szCs w:val="21"/>
          <w:highlight w:val="none"/>
        </w:rPr>
        <w:t>。</w:t>
      </w:r>
    </w:p>
    <w:bookmarkEnd w:id="513"/>
    <w:bookmarkEnd w:id="514"/>
    <w:bookmarkEnd w:id="515"/>
    <w:bookmarkEnd w:id="516"/>
    <w:bookmarkEnd w:id="517"/>
    <w:bookmarkEnd w:id="518"/>
    <w:bookmarkEnd w:id="519"/>
    <w:p w14:paraId="1E9D22F6">
      <w:pPr>
        <w:spacing w:line="360" w:lineRule="auto"/>
        <w:ind w:firstLine="420" w:firstLineChars="200"/>
        <w:rPr>
          <w:rFonts w:hint="eastAsia" w:ascii="宋体" w:hAnsi="宋体" w:eastAsia="宋体" w:cs="宋体"/>
          <w:color w:val="auto"/>
          <w:sz w:val="21"/>
          <w:szCs w:val="21"/>
          <w:highlight w:val="none"/>
        </w:rPr>
      </w:pPr>
      <w:bookmarkStart w:id="544" w:name="_Toc280868717"/>
      <w:bookmarkStart w:id="545" w:name="_Toc280868718"/>
      <w:r>
        <w:rPr>
          <w:rFonts w:hint="eastAsia" w:ascii="宋体" w:hAnsi="宋体" w:eastAsia="宋体" w:cs="宋体"/>
          <w:color w:val="auto"/>
          <w:sz w:val="21"/>
          <w:szCs w:val="21"/>
          <w:highlight w:val="none"/>
        </w:rPr>
        <w:t>15.3 质量保证金：</w:t>
      </w:r>
      <w:r>
        <w:rPr>
          <w:rFonts w:hint="eastAsia" w:ascii="宋体" w:hAnsi="宋体" w:eastAsia="宋体" w:cs="宋体"/>
          <w:color w:val="auto"/>
          <w:sz w:val="21"/>
          <w:szCs w:val="21"/>
          <w:highlight w:val="none"/>
          <w:u w:val="single"/>
        </w:rPr>
        <w:t xml:space="preserve"> / </w:t>
      </w:r>
    </w:p>
    <w:p w14:paraId="13D4011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15.4保修</w:t>
      </w:r>
    </w:p>
    <w:p w14:paraId="1D33997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 保修责任</w:t>
      </w:r>
    </w:p>
    <w:p w14:paraId="6FE8015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工程保修期为：</w:t>
      </w:r>
      <w:r>
        <w:rPr>
          <w:rFonts w:hint="eastAsia" w:ascii="宋体" w:hAnsi="宋体" w:eastAsia="宋体" w:cs="宋体"/>
          <w:color w:val="auto"/>
          <w:kern w:val="0"/>
          <w:szCs w:val="21"/>
          <w:highlight w:val="none"/>
          <w:u w:val="single"/>
        </w:rPr>
        <w:t xml:space="preserve"> 按本合同附件3《工程质量保修书》 </w:t>
      </w:r>
      <w:r>
        <w:rPr>
          <w:rFonts w:hint="eastAsia" w:ascii="宋体" w:hAnsi="宋体" w:eastAsia="宋体" w:cs="宋体"/>
          <w:color w:val="auto"/>
          <w:kern w:val="0"/>
          <w:szCs w:val="21"/>
          <w:highlight w:val="none"/>
        </w:rPr>
        <w:t>。</w:t>
      </w:r>
    </w:p>
    <w:p w14:paraId="57CAA23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 修复通知</w:t>
      </w:r>
    </w:p>
    <w:p w14:paraId="311A732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承包人收到保修通知并到达工程现场的合理时间：</w:t>
      </w:r>
      <w:r>
        <w:rPr>
          <w:rFonts w:hint="eastAsia" w:ascii="宋体" w:hAnsi="宋体" w:eastAsia="宋体" w:cs="宋体"/>
          <w:color w:val="auto"/>
          <w:kern w:val="0"/>
          <w:szCs w:val="21"/>
          <w:highlight w:val="none"/>
          <w:u w:val="single"/>
        </w:rPr>
        <w:t xml:space="preserve"> 按通用条款  </w:t>
      </w:r>
      <w:r>
        <w:rPr>
          <w:rFonts w:hint="eastAsia" w:ascii="宋体" w:hAnsi="宋体" w:eastAsia="宋体" w:cs="宋体"/>
          <w:color w:val="auto"/>
          <w:kern w:val="0"/>
          <w:szCs w:val="21"/>
          <w:highlight w:val="none"/>
        </w:rPr>
        <w:t>。</w:t>
      </w:r>
    </w:p>
    <w:p w14:paraId="5DB8678B">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bookmarkStart w:id="546" w:name="_Toc351203648"/>
      <w:r>
        <w:rPr>
          <w:rFonts w:hint="eastAsia" w:ascii="宋体" w:hAnsi="宋体" w:eastAsia="宋体" w:cs="宋体"/>
          <w:b w:val="0"/>
          <w:color w:val="auto"/>
          <w:sz w:val="21"/>
          <w:szCs w:val="21"/>
          <w:highlight w:val="none"/>
        </w:rPr>
        <w:t>16. 违约</w:t>
      </w:r>
      <w:bookmarkEnd w:id="546"/>
    </w:p>
    <w:p w14:paraId="28CCDD7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发包人违约</w:t>
      </w:r>
    </w:p>
    <w:p w14:paraId="03D64B8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16.1.1发包人违约的情形</w:t>
      </w:r>
    </w:p>
    <w:p w14:paraId="518773D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发包人违约的其他情形：</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14:paraId="592F243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16.1.2 发包人违约的责任</w:t>
      </w:r>
    </w:p>
    <w:p w14:paraId="0C70056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发包人违约责任的承担方式和计算方法：</w:t>
      </w:r>
    </w:p>
    <w:p w14:paraId="2945F7F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（1）因发包人原因未能在计划开工日期前7天内下达开工通知的违约责任：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u w:val="single"/>
        </w:rPr>
        <w:t>赔偿承包人相关损失；属于专用合同条款7.3.2条约定情形的，按该条款约定处理。</w:t>
      </w:r>
    </w:p>
    <w:p w14:paraId="7F1541D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（2）因发包人原因未能按合同约定支付合同价款的违约责任：</w:t>
      </w:r>
      <w:r>
        <w:rPr>
          <w:rFonts w:hint="eastAsia" w:ascii="宋体" w:hAnsi="宋体" w:eastAsia="宋体" w:cs="宋体"/>
          <w:color w:val="auto"/>
          <w:szCs w:val="21"/>
          <w:highlight w:val="none"/>
          <w:u w:val="single"/>
        </w:rPr>
        <w:t>支付违约金，违约金为应付合同价款的利息；造成工期延误的顺延工期，并承担承包人的相应损失费用。</w:t>
      </w:r>
    </w:p>
    <w:p w14:paraId="604BA00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（3）发包人违反第10.1款〔变更的范围〕第（2）项约定，自行实施被取消的工作或转由他人实施的违约责任：</w:t>
      </w:r>
      <w:r>
        <w:rPr>
          <w:rFonts w:hint="eastAsia" w:ascii="宋体" w:hAnsi="宋体" w:eastAsia="宋体" w:cs="宋体"/>
          <w:color w:val="auto"/>
          <w:szCs w:val="21"/>
          <w:highlight w:val="none"/>
          <w:u w:val="single"/>
        </w:rPr>
        <w:t>支付承包人该项工作合理利润</w:t>
      </w:r>
      <w:r>
        <w:rPr>
          <w:rFonts w:hint="eastAsia" w:ascii="宋体" w:hAnsi="宋体" w:eastAsia="宋体" w:cs="宋体"/>
          <w:color w:val="auto"/>
          <w:kern w:val="0"/>
          <w:szCs w:val="21"/>
          <w:highlight w:val="none"/>
          <w:u w:val="single"/>
        </w:rPr>
        <w:t>，按取消工作签约合同价（    ）%计算</w:t>
      </w:r>
      <w:r>
        <w:rPr>
          <w:rFonts w:hint="eastAsia" w:ascii="宋体" w:hAnsi="宋体" w:eastAsia="宋体" w:cs="宋体"/>
          <w:color w:val="auto"/>
          <w:kern w:val="0"/>
          <w:szCs w:val="21"/>
          <w:highlight w:val="none"/>
        </w:rPr>
        <w:t>。</w:t>
      </w:r>
    </w:p>
    <w:p w14:paraId="59F6AAE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Cs w:val="21"/>
          <w:highlight w:val="none"/>
          <w:u w:val="single"/>
        </w:rPr>
        <w:t>造成工期延误的顺延工期，并承担增加的造价及承包人的相应损失费用等</w:t>
      </w:r>
      <w:r>
        <w:rPr>
          <w:rFonts w:hint="eastAsia" w:ascii="宋体" w:hAnsi="宋体" w:eastAsia="宋体" w:cs="宋体"/>
          <w:color w:val="auto"/>
          <w:kern w:val="0"/>
          <w:szCs w:val="21"/>
          <w:highlight w:val="none"/>
        </w:rPr>
        <w:t>。</w:t>
      </w:r>
    </w:p>
    <w:p w14:paraId="01EAF9E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（5）因发包人违反合同约定造成暂停施工的违约责任：</w:t>
      </w:r>
      <w:r>
        <w:rPr>
          <w:rFonts w:hint="eastAsia" w:ascii="宋体" w:hAnsi="宋体" w:eastAsia="宋体" w:cs="宋体"/>
          <w:color w:val="auto"/>
          <w:szCs w:val="21"/>
          <w:highlight w:val="none"/>
          <w:u w:val="single"/>
        </w:rPr>
        <w:t>造成工期延误的顺延工期，并承担增加的造价及承包人的相应损失费用等</w:t>
      </w:r>
      <w:r>
        <w:rPr>
          <w:rFonts w:hint="eastAsia" w:ascii="宋体" w:hAnsi="宋体" w:eastAsia="宋体" w:cs="宋体"/>
          <w:color w:val="auto"/>
          <w:kern w:val="0"/>
          <w:szCs w:val="21"/>
          <w:highlight w:val="none"/>
        </w:rPr>
        <w:t>。</w:t>
      </w:r>
    </w:p>
    <w:p w14:paraId="3BC0C79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（6）发包人无正当理由没有在约定期限内发出复工指示，导致承包人无法复工的违约责任：</w:t>
      </w:r>
      <w:r>
        <w:rPr>
          <w:rFonts w:hint="eastAsia" w:ascii="宋体" w:hAnsi="宋体" w:eastAsia="宋体" w:cs="宋体"/>
          <w:color w:val="auto"/>
          <w:szCs w:val="21"/>
          <w:highlight w:val="none"/>
          <w:u w:val="single"/>
        </w:rPr>
        <w:t>造成工期延误的顺延工期，并承担增加的造价及承包人的相应损失费用等</w:t>
      </w:r>
      <w:r>
        <w:rPr>
          <w:rFonts w:hint="eastAsia" w:ascii="宋体" w:hAnsi="宋体" w:eastAsia="宋体" w:cs="宋体"/>
          <w:color w:val="auto"/>
          <w:kern w:val="0"/>
          <w:szCs w:val="21"/>
          <w:highlight w:val="none"/>
        </w:rPr>
        <w:t>。</w:t>
      </w:r>
    </w:p>
    <w:p w14:paraId="797F11D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（7）其他：</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14:paraId="3FC10EC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 因发包人违约解除合同</w:t>
      </w:r>
    </w:p>
    <w:p w14:paraId="176B3694">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承包人按16.1.1项〔发包人违约的情形〕约定暂停施工满</w:t>
      </w:r>
      <w:r>
        <w:rPr>
          <w:rFonts w:hint="eastAsia" w:ascii="宋体" w:hAnsi="宋体" w:eastAsia="宋体" w:cs="宋体"/>
          <w:color w:val="auto"/>
          <w:kern w:val="0"/>
          <w:szCs w:val="21"/>
          <w:highlight w:val="none"/>
          <w:u w:val="single"/>
        </w:rPr>
        <w:t xml:space="preserve">  60  </w:t>
      </w:r>
      <w:r>
        <w:rPr>
          <w:rFonts w:hint="eastAsia" w:ascii="宋体" w:hAnsi="宋体" w:eastAsia="宋体" w:cs="宋体"/>
          <w:color w:val="auto"/>
          <w:kern w:val="0"/>
          <w:szCs w:val="21"/>
          <w:highlight w:val="none"/>
        </w:rPr>
        <w:t>天后发包人仍不纠正其违约行为并致使合同目的不能实现的，承包人有权解除合同。</w:t>
      </w:r>
    </w:p>
    <w:p w14:paraId="5000765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承包人违约</w:t>
      </w:r>
    </w:p>
    <w:p w14:paraId="04815A6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16.2.1 承包人违约的情形</w:t>
      </w:r>
    </w:p>
    <w:p w14:paraId="3F61CF2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承包人违约的其他情形：</w:t>
      </w:r>
    </w:p>
    <w:p w14:paraId="4C468BA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w:t>
      </w:r>
      <w:r>
        <w:rPr>
          <w:rFonts w:hint="eastAsia" w:ascii="宋体" w:hAnsi="宋体" w:eastAsia="宋体" w:cs="宋体"/>
          <w:color w:val="auto"/>
          <w:szCs w:val="21"/>
          <w:highlight w:val="none"/>
          <w:u w:val="single"/>
        </w:rPr>
        <w:t>机械设备、施工项目班子未按投标承诺及时到位；</w:t>
      </w:r>
    </w:p>
    <w:p w14:paraId="2414E51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）本工程在实施过程中，承包人的施工队伍素质、施工力量、现场安全文明施工不符合投标书的承诺，造成现场管理混乱、工程质量和进度达不到投标所承诺的要求；</w:t>
      </w:r>
    </w:p>
    <w:p w14:paraId="06250E66">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）承包人允许其他人挂靠经营、私自转包</w:t>
      </w:r>
      <w:r>
        <w:rPr>
          <w:rFonts w:hint="eastAsia" w:ascii="宋体" w:hAnsi="宋体" w:eastAsia="宋体" w:cs="宋体"/>
          <w:color w:val="auto"/>
          <w:kern w:val="0"/>
          <w:szCs w:val="21"/>
          <w:highlight w:val="none"/>
        </w:rPr>
        <w:t>；</w:t>
      </w:r>
    </w:p>
    <w:p w14:paraId="45C08A5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u w:val="single"/>
        </w:rPr>
        <w:t>）承包人未达到投标时所承诺的诚信与技术标准。</w:t>
      </w:r>
    </w:p>
    <w:p w14:paraId="69E7C80C">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16.2.2承包人违约的责任</w:t>
      </w:r>
    </w:p>
    <w:p w14:paraId="10D208A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承包人违约责任的承担方式和计算方法：</w:t>
      </w:r>
    </w:p>
    <w:p w14:paraId="3DFC58D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机械设备未按投标承诺到位，每项扣除履约担保金2%；</w:t>
      </w:r>
    </w:p>
    <w:p w14:paraId="0D4F6D9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u w:val="single"/>
        </w:rPr>
        <w:t>现场安全文明施工不符合投标书承诺，扣减相应安全文明施工费用；</w:t>
      </w:r>
      <w:r>
        <w:rPr>
          <w:rFonts w:hint="eastAsia" w:ascii="宋体" w:hAnsi="宋体" w:eastAsia="宋体" w:cs="宋体"/>
          <w:color w:val="auto"/>
          <w:kern w:val="0"/>
          <w:szCs w:val="21"/>
          <w:highlight w:val="none"/>
          <w:u w:val="single"/>
        </w:rPr>
        <w:t>承包人原因造成现场管理混乱、</w:t>
      </w:r>
      <w:r>
        <w:rPr>
          <w:rFonts w:hint="eastAsia" w:ascii="宋体" w:hAnsi="宋体" w:eastAsia="宋体" w:cs="宋体"/>
          <w:color w:val="auto"/>
          <w:szCs w:val="21"/>
          <w:highlight w:val="none"/>
          <w:u w:val="single"/>
        </w:rPr>
        <w:t>工程质量和进度达不到投标承诺的要求，发包人有权要求承包人调整充实施工力量、更换项目班子，及至解除施工合同，所有履约担保金归发包人，并赔偿发包人损失。</w:t>
      </w:r>
    </w:p>
    <w:p w14:paraId="542236C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（3）</w:t>
      </w:r>
      <w:r>
        <w:rPr>
          <w:rFonts w:hint="eastAsia" w:ascii="宋体" w:hAnsi="宋体" w:eastAsia="宋体" w:cs="宋体"/>
          <w:color w:val="auto"/>
          <w:szCs w:val="21"/>
          <w:highlight w:val="none"/>
          <w:u w:val="single"/>
        </w:rPr>
        <w:t>发现承包人允许其他人挂靠经营、私自转包，所有履约担保归发包人，同时赔偿发包人损失，并责令退出工地。</w:t>
      </w:r>
    </w:p>
    <w:p w14:paraId="10791E6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u w:val="single"/>
        </w:rPr>
        <w:t>未达到投标所承诺的诚信与技术标准，按每一项扣减履约担保金的10%。</w:t>
      </w:r>
    </w:p>
    <w:p w14:paraId="0972C8A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w:t>
      </w:r>
      <w:r>
        <w:rPr>
          <w:rFonts w:hint="eastAsia" w:ascii="宋体" w:hAnsi="宋体" w:eastAsia="宋体" w:cs="宋体"/>
          <w:color w:val="auto"/>
          <w:kern w:val="0"/>
          <w:szCs w:val="21"/>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30%〕以上时，可解除施工合同</w:t>
      </w:r>
      <w:r>
        <w:rPr>
          <w:rFonts w:hint="eastAsia" w:ascii="宋体" w:hAnsi="宋体" w:eastAsia="宋体" w:cs="宋体"/>
          <w:color w:val="auto"/>
          <w:szCs w:val="21"/>
          <w:highlight w:val="none"/>
          <w:u w:val="single"/>
        </w:rPr>
        <w:t>。</w:t>
      </w:r>
    </w:p>
    <w:p w14:paraId="6C1E126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u w:val="single"/>
        </w:rPr>
        <w:t>承包人无法继续履行、明确表示不履行或实质上已停止履行合同，发包人可通知承包人全部解除合同，所有履约担保归发包人，同时赔偿发包人损失。</w:t>
      </w:r>
    </w:p>
    <w:p w14:paraId="771873C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 因承包人违约解除合同</w:t>
      </w:r>
    </w:p>
    <w:p w14:paraId="01ED5EB7">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关于承包人违约解除合同的特别约定：</w:t>
      </w:r>
      <w:r>
        <w:rPr>
          <w:rFonts w:hint="eastAsia" w:ascii="宋体" w:hAnsi="宋体" w:eastAsia="宋体" w:cs="宋体"/>
          <w:color w:val="auto"/>
          <w:kern w:val="0"/>
          <w:szCs w:val="21"/>
          <w:highlight w:val="none"/>
          <w:u w:val="single"/>
        </w:rPr>
        <w:t xml:space="preserve">                  。</w:t>
      </w:r>
    </w:p>
    <w:p w14:paraId="5E3000B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Cs w:val="21"/>
          <w:highlight w:val="none"/>
          <w:u w:val="single"/>
        </w:rPr>
        <w:t xml:space="preserve"> 使用施工现场的材料、设备按实结算，使用施工机械、器具按租赁费结算，临时工程折算成费用按完成造价比例计算，无偿使用承包人为本工程施工所编制的相应文件等</w:t>
      </w:r>
      <w:r>
        <w:rPr>
          <w:rFonts w:hint="eastAsia" w:ascii="宋体" w:hAnsi="宋体" w:eastAsia="宋体" w:cs="宋体"/>
          <w:color w:val="auto"/>
          <w:kern w:val="0"/>
          <w:szCs w:val="21"/>
          <w:highlight w:val="none"/>
        </w:rPr>
        <w:t>。</w:t>
      </w:r>
    </w:p>
    <w:bookmarkEnd w:id="544"/>
    <w:p w14:paraId="2E772C2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16.2.4 因承包人违约解除合同后的处理</w:t>
      </w:r>
    </w:p>
    <w:p w14:paraId="608793A0">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bookmarkStart w:id="547" w:name="_Toc351203649"/>
      <w:r>
        <w:rPr>
          <w:rFonts w:hint="eastAsia" w:ascii="宋体" w:hAnsi="宋体" w:eastAsia="宋体" w:cs="宋体"/>
          <w:b w:val="0"/>
          <w:color w:val="auto"/>
          <w:sz w:val="21"/>
          <w:szCs w:val="21"/>
          <w:highlight w:val="none"/>
        </w:rPr>
        <w:t>17. 不可抗力</w:t>
      </w:r>
      <w:bookmarkEnd w:id="547"/>
      <w:r>
        <w:rPr>
          <w:rFonts w:hint="eastAsia" w:ascii="宋体" w:hAnsi="宋体" w:eastAsia="宋体" w:cs="宋体"/>
          <w:b w:val="0"/>
          <w:color w:val="auto"/>
          <w:sz w:val="21"/>
          <w:szCs w:val="21"/>
          <w:highlight w:val="none"/>
        </w:rPr>
        <w:t xml:space="preserve"> </w:t>
      </w:r>
    </w:p>
    <w:p w14:paraId="085BBA5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不可抗力的确认</w:t>
      </w:r>
    </w:p>
    <w:p w14:paraId="1D23B90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除通用合同条款约定的不可抗力事件之外，视为不可抗力的其他情形：</w:t>
      </w:r>
      <w:r>
        <w:rPr>
          <w:rFonts w:hint="eastAsia" w:ascii="宋体" w:hAnsi="宋体" w:eastAsia="宋体" w:cs="宋体"/>
          <w:color w:val="auto"/>
          <w:kern w:val="0"/>
          <w:szCs w:val="21"/>
          <w:highlight w:val="none"/>
          <w:u w:val="single"/>
        </w:rPr>
        <w:t xml:space="preserve"> 10级（不含10级）以上台风、10年一遇洪水、暴风雪、干旱，罢工、政府禁令 </w:t>
      </w:r>
      <w:r>
        <w:rPr>
          <w:rFonts w:hint="eastAsia" w:ascii="宋体" w:hAnsi="宋体" w:eastAsia="宋体" w:cs="宋体"/>
          <w:color w:val="auto"/>
          <w:kern w:val="0"/>
          <w:szCs w:val="21"/>
          <w:highlight w:val="none"/>
        </w:rPr>
        <w:t>。</w:t>
      </w:r>
    </w:p>
    <w:p w14:paraId="16BFC23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不可抗力的通知</w:t>
      </w:r>
    </w:p>
    <w:p w14:paraId="658632CE">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639EB19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 不可抗力后果的承担</w:t>
      </w:r>
    </w:p>
    <w:p w14:paraId="34F49129">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按通用条款。</w:t>
      </w:r>
    </w:p>
    <w:p w14:paraId="6B028B3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 因不可抗力解除合同</w:t>
      </w:r>
    </w:p>
    <w:p w14:paraId="501977F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合同解除后，发包人应在商定或确定发包人应支付款项后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天内完成款项的支付。</w:t>
      </w:r>
    </w:p>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5"/>
    <w:p w14:paraId="71411187">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bookmarkStart w:id="548" w:name="_Toc351203650"/>
      <w:r>
        <w:rPr>
          <w:rFonts w:hint="eastAsia" w:ascii="宋体" w:hAnsi="宋体" w:eastAsia="宋体" w:cs="宋体"/>
          <w:b w:val="0"/>
          <w:color w:val="auto"/>
          <w:sz w:val="21"/>
          <w:szCs w:val="21"/>
          <w:highlight w:val="none"/>
        </w:rPr>
        <w:t>18. 保险</w:t>
      </w:r>
      <w:bookmarkEnd w:id="548"/>
    </w:p>
    <w:p w14:paraId="402B44F3">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 工程保险</w:t>
      </w:r>
    </w:p>
    <w:p w14:paraId="462A39D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关于工程保险的特别约定：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40586D3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其他保险</w:t>
      </w:r>
    </w:p>
    <w:p w14:paraId="7D64E90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关于其他保险的约定：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2E75EA7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承包人是否应为其施工设备等办理财产保险：</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575E3A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18.7 通知义务</w:t>
      </w:r>
    </w:p>
    <w:p w14:paraId="69F5830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关于变更保险合同时的通知义务的约定：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6F86F56">
      <w:pPr>
        <w:pStyle w:val="8"/>
        <w:pageBreakBefore w:val="0"/>
        <w:shd w:val="clear" w:color="auto" w:fill="auto"/>
        <w:kinsoku/>
        <w:wordWrap/>
        <w:overflowPunct/>
        <w:topLinePunct w:val="0"/>
        <w:bidi w:val="0"/>
        <w:adjustRightInd/>
        <w:snapToGrid/>
        <w:spacing w:before="0" w:after="0" w:line="330" w:lineRule="exact"/>
        <w:ind w:left="0" w:leftChars="0" w:right="0" w:rightChars="0" w:firstLine="420" w:firstLineChars="200"/>
        <w:textAlignment w:val="auto"/>
        <w:rPr>
          <w:rFonts w:hint="eastAsia" w:ascii="宋体" w:hAnsi="宋体" w:eastAsia="宋体" w:cs="宋体"/>
          <w:b w:val="0"/>
          <w:color w:val="auto"/>
          <w:sz w:val="21"/>
          <w:szCs w:val="21"/>
          <w:highlight w:val="none"/>
        </w:rPr>
      </w:pPr>
      <w:bookmarkStart w:id="549" w:name="_Toc351203651"/>
      <w:r>
        <w:rPr>
          <w:rFonts w:hint="eastAsia" w:ascii="宋体" w:hAnsi="宋体" w:eastAsia="宋体" w:cs="宋体"/>
          <w:b w:val="0"/>
          <w:color w:val="auto"/>
          <w:sz w:val="21"/>
          <w:szCs w:val="21"/>
          <w:highlight w:val="none"/>
        </w:rPr>
        <w:t>20. 争议解决</w:t>
      </w:r>
      <w:bookmarkEnd w:id="549"/>
    </w:p>
    <w:p w14:paraId="72138BF5">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争议评审</w:t>
      </w:r>
    </w:p>
    <w:p w14:paraId="78A2B154">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合同当事人是否同意将工程争议提交争议评审小组决定：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FE867B2">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20.3.1 争议评审小组的确定</w:t>
      </w:r>
    </w:p>
    <w:p w14:paraId="0B5ED5D7">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 xml:space="preserve">   提交争议评审时再选定 </w:t>
      </w:r>
      <w:r>
        <w:rPr>
          <w:rFonts w:hint="eastAsia" w:ascii="宋体" w:hAnsi="宋体" w:eastAsia="宋体" w:cs="宋体"/>
          <w:color w:val="auto"/>
          <w:szCs w:val="21"/>
          <w:highlight w:val="none"/>
        </w:rPr>
        <w:t>。</w:t>
      </w:r>
    </w:p>
    <w:p w14:paraId="3895EB41">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49DFF8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084577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1056615">
      <w:pPr>
        <w:pageBreakBefore w:val="0"/>
        <w:shd w:val="clear" w:color="auto" w:fill="auto"/>
        <w:kinsoku/>
        <w:wordWrap/>
        <w:overflowPunct/>
        <w:topLinePunct w:val="0"/>
        <w:autoSpaceDE w:val="0"/>
        <w:autoSpaceDN w:val="0"/>
        <w:bidi w:val="0"/>
        <w:adjustRightInd/>
        <w:snapToGrid/>
        <w:spacing w:line="330" w:lineRule="exact"/>
        <w:ind w:left="0" w:leftChars="0" w:right="0" w:rightChars="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20.3.2 争议评审小组的决定</w:t>
      </w:r>
    </w:p>
    <w:p w14:paraId="78B391BF">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 xml:space="preserve">  按通用条款。</w:t>
      </w:r>
    </w:p>
    <w:p w14:paraId="4028609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20.3.3 争议评审小组决定的效力：按通用条款执行。</w:t>
      </w:r>
    </w:p>
    <w:p w14:paraId="01ABE56D">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20.4仲裁或诉讼</w:t>
      </w:r>
    </w:p>
    <w:p w14:paraId="6C03B5CB">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因合同及合同有关事项发生的争议，按下列第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种方式解决：</w:t>
      </w:r>
    </w:p>
    <w:p w14:paraId="5F3C9C30">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w:t>
      </w:r>
      <w:r>
        <w:rPr>
          <w:rFonts w:hint="eastAsia" w:ascii="宋体" w:hAnsi="宋体" w:eastAsia="宋体" w:cs="宋体"/>
          <w:color w:val="auto"/>
          <w:szCs w:val="21"/>
          <w:highlight w:val="none"/>
          <w:u w:val="single"/>
        </w:rPr>
        <w:t>台州</w:t>
      </w:r>
      <w:r>
        <w:rPr>
          <w:rFonts w:hint="eastAsia" w:ascii="宋体" w:hAnsi="宋体" w:eastAsia="宋体" w:cs="宋体"/>
          <w:color w:val="auto"/>
          <w:szCs w:val="21"/>
          <w:highlight w:val="none"/>
        </w:rPr>
        <w:t>仲裁委员会申请仲裁；</w:t>
      </w:r>
    </w:p>
    <w:p w14:paraId="5665EB7A">
      <w:pPr>
        <w:pageBreakBefore w:val="0"/>
        <w:shd w:val="clear" w:color="auto" w:fill="auto"/>
        <w:kinsoku/>
        <w:wordWrap/>
        <w:overflowPunct/>
        <w:topLinePunct w:val="0"/>
        <w:bidi w:val="0"/>
        <w:adjustRightInd/>
        <w:snapToGrid/>
        <w:spacing w:line="330" w:lineRule="exact"/>
        <w:ind w:left="0" w:leftChars="0"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rPr>
        <w:t xml:space="preserve">  工程所在地  </w:t>
      </w:r>
      <w:r>
        <w:rPr>
          <w:rFonts w:hint="eastAsia" w:ascii="宋体" w:hAnsi="宋体" w:eastAsia="宋体" w:cs="宋体"/>
          <w:color w:val="auto"/>
          <w:szCs w:val="21"/>
          <w:highlight w:val="none"/>
        </w:rPr>
        <w:t>人民法院起诉。</w:t>
      </w:r>
    </w:p>
    <w:p w14:paraId="51441506">
      <w:pPr>
        <w:pStyle w:val="27"/>
        <w:shd w:val="clear" w:color="auto" w:fill="auto"/>
        <w:jc w:val="both"/>
        <w:outlineLvl w:val="9"/>
        <w:rPr>
          <w:rFonts w:hint="eastAsia" w:ascii="宋体" w:hAnsi="宋体" w:eastAsia="宋体" w:cs="宋体"/>
          <w:color w:val="auto"/>
          <w:highlight w:val="none"/>
        </w:rPr>
      </w:pPr>
    </w:p>
    <w:p w14:paraId="5818D795">
      <w:pPr>
        <w:shd w:val="clear" w:color="auto" w:fill="auto"/>
        <w:rPr>
          <w:rFonts w:hint="eastAsia" w:ascii="宋体" w:hAnsi="宋体" w:eastAsia="宋体" w:cs="宋体"/>
          <w:color w:val="auto"/>
          <w:highlight w:val="none"/>
        </w:rPr>
      </w:pPr>
    </w:p>
    <w:p w14:paraId="0EA8F2B0">
      <w:pPr>
        <w:shd w:val="clear" w:color="auto" w:fill="auto"/>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承包人（公章）：</w:t>
      </w:r>
      <w:r>
        <w:rPr>
          <w:rFonts w:hint="eastAsia" w:ascii="宋体" w:hAnsi="宋体" w:eastAsia="宋体" w:cs="宋体"/>
          <w:color w:val="auto"/>
          <w:szCs w:val="21"/>
          <w:highlight w:val="none"/>
          <w:u w:val="single"/>
        </w:rPr>
        <w:t xml:space="preserve">                </w:t>
      </w:r>
    </w:p>
    <w:p w14:paraId="2E4A9CCF">
      <w:pPr>
        <w:shd w:val="clear" w:color="auto" w:fill="auto"/>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       </w:t>
      </w:r>
    </w:p>
    <w:p w14:paraId="15AC1097">
      <w:pPr>
        <w:shd w:val="clear" w:color="auto" w:fill="auto"/>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法定代表人（签字）：</w:t>
      </w:r>
      <w:r>
        <w:rPr>
          <w:rFonts w:hint="eastAsia" w:ascii="宋体" w:hAnsi="宋体" w:eastAsia="宋体" w:cs="宋体"/>
          <w:color w:val="auto"/>
          <w:szCs w:val="21"/>
          <w:highlight w:val="none"/>
          <w:u w:val="single"/>
        </w:rPr>
        <w:t xml:space="preserve">              </w:t>
      </w:r>
    </w:p>
    <w:p w14:paraId="52A772DC">
      <w:pPr>
        <w:shd w:val="clear" w:color="auto" w:fill="auto"/>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委托代理人（签字）：</w:t>
      </w:r>
      <w:r>
        <w:rPr>
          <w:rFonts w:hint="eastAsia" w:ascii="宋体" w:hAnsi="宋体" w:eastAsia="宋体" w:cs="宋体"/>
          <w:color w:val="auto"/>
          <w:szCs w:val="21"/>
          <w:highlight w:val="none"/>
          <w:u w:val="single"/>
        </w:rPr>
        <w:t xml:space="preserve">                </w:t>
      </w:r>
    </w:p>
    <w:p w14:paraId="082D50C8">
      <w:pPr>
        <w:shd w:val="clear" w:color="auto" w:fill="auto"/>
        <w:spacing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      </w:t>
      </w:r>
    </w:p>
    <w:p w14:paraId="75EB55F5">
      <w:pPr>
        <w:shd w:val="clear" w:color="auto" w:fill="auto"/>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p>
    <w:p w14:paraId="6427CF83">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bookmarkEnd w:id="36"/>
      <w:r>
        <w:rPr>
          <w:rFonts w:hint="eastAsia" w:ascii="宋体" w:hAnsi="宋体" w:eastAsia="宋体" w:cs="宋体"/>
          <w:b/>
          <w:color w:val="auto"/>
          <w:szCs w:val="21"/>
          <w:highlight w:val="none"/>
        </w:rPr>
        <w:t>附件</w:t>
      </w:r>
    </w:p>
    <w:p w14:paraId="78CC1C51">
      <w:pPr>
        <w:shd w:val="clear" w:color="auto" w:fill="auto"/>
        <w:spacing w:line="360" w:lineRule="exact"/>
        <w:rPr>
          <w:rFonts w:hint="eastAsia" w:ascii="宋体" w:hAnsi="宋体" w:eastAsia="宋体" w:cs="宋体"/>
          <w:color w:val="auto"/>
          <w:szCs w:val="21"/>
          <w:highlight w:val="none"/>
        </w:rPr>
      </w:pPr>
    </w:p>
    <w:p w14:paraId="2A044F18">
      <w:pPr>
        <w:shd w:val="clear" w:color="auto" w:fill="auto"/>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协议书附件：</w:t>
      </w:r>
    </w:p>
    <w:p w14:paraId="2BD15706">
      <w:pPr>
        <w:shd w:val="clear" w:color="auto" w:fill="auto"/>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附件1：承包人承揽工程项目一览表（略）</w:t>
      </w:r>
    </w:p>
    <w:p w14:paraId="67737981">
      <w:pPr>
        <w:shd w:val="clear" w:color="auto" w:fill="auto"/>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专用合同条款附件：</w:t>
      </w:r>
    </w:p>
    <w:p w14:paraId="3053CC4E">
      <w:pPr>
        <w:shd w:val="clear" w:color="auto" w:fill="auto"/>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附件2：发包人供应材料设备一览表（略）</w:t>
      </w:r>
    </w:p>
    <w:p w14:paraId="175C3FAB">
      <w:pPr>
        <w:shd w:val="clear" w:color="auto" w:fill="auto"/>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附件3：工程质量保修书</w:t>
      </w:r>
    </w:p>
    <w:p w14:paraId="220C5D03">
      <w:pPr>
        <w:shd w:val="clear" w:color="auto" w:fill="auto"/>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附件4：主要建设工程文件目录（略）</w:t>
      </w:r>
    </w:p>
    <w:p w14:paraId="5E32F912">
      <w:pPr>
        <w:shd w:val="clear" w:color="auto" w:fill="auto"/>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附件5：承包人用于本工程施工的机械设备表（略）</w:t>
      </w:r>
    </w:p>
    <w:p w14:paraId="4E288DF2">
      <w:pPr>
        <w:shd w:val="clear" w:color="auto" w:fill="auto"/>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附件6：承包人主要施工管理人员表（略）</w:t>
      </w:r>
    </w:p>
    <w:p w14:paraId="135C648F">
      <w:pPr>
        <w:shd w:val="clear" w:color="auto" w:fill="auto"/>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附件7：分包人主要施工管理人员表（略）</w:t>
      </w:r>
    </w:p>
    <w:p w14:paraId="44FA2366">
      <w:pPr>
        <w:shd w:val="clear" w:color="auto" w:fill="auto"/>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附件8：履约担保格式（略）</w:t>
      </w:r>
    </w:p>
    <w:p w14:paraId="14A975C8">
      <w:pPr>
        <w:shd w:val="clear" w:color="auto" w:fill="auto"/>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附件9：预付款担保格式（略）</w:t>
      </w:r>
    </w:p>
    <w:p w14:paraId="5B9F9B42">
      <w:pPr>
        <w:shd w:val="clear" w:color="auto" w:fill="auto"/>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附件10：支付担保格式（略）</w:t>
      </w:r>
    </w:p>
    <w:p w14:paraId="2139789F">
      <w:pPr>
        <w:shd w:val="clear" w:color="auto" w:fill="auto"/>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附件11：暂估价一览表（略）</w:t>
      </w:r>
    </w:p>
    <w:p w14:paraId="22ED1D29">
      <w:pPr>
        <w:pStyle w:val="8"/>
        <w:shd w:val="clear" w:color="auto" w:fill="auto"/>
        <w:spacing w:before="0" w:after="0" w:line="360" w:lineRule="exact"/>
        <w:ind w:firstLine="422" w:firstLineChars="200"/>
        <w:rPr>
          <w:rFonts w:hint="eastAsia" w:ascii="宋体" w:hAnsi="宋体" w:eastAsia="宋体" w:cs="宋体"/>
          <w:color w:val="auto"/>
          <w:sz w:val="21"/>
          <w:szCs w:val="21"/>
          <w:highlight w:val="none"/>
        </w:rPr>
      </w:pPr>
    </w:p>
    <w:p w14:paraId="788F45B3">
      <w:pPr>
        <w:shd w:val="clear" w:color="auto" w:fill="auto"/>
        <w:rPr>
          <w:rFonts w:hint="eastAsia" w:ascii="宋体" w:hAnsi="宋体" w:eastAsia="宋体" w:cs="宋体"/>
          <w:color w:val="auto"/>
          <w:highlight w:val="none"/>
        </w:rPr>
      </w:pPr>
    </w:p>
    <w:p w14:paraId="5F5E57DF">
      <w:pPr>
        <w:shd w:val="clear" w:color="auto" w:fill="auto"/>
        <w:rPr>
          <w:rFonts w:hint="eastAsia" w:ascii="宋体" w:hAnsi="宋体" w:eastAsia="宋体" w:cs="宋体"/>
          <w:color w:val="auto"/>
          <w:highlight w:val="none"/>
        </w:rPr>
      </w:pPr>
    </w:p>
    <w:p w14:paraId="37C487FE">
      <w:pPr>
        <w:shd w:val="clear" w:color="auto" w:fill="auto"/>
        <w:rPr>
          <w:rFonts w:hint="eastAsia" w:ascii="宋体" w:hAnsi="宋体" w:eastAsia="宋体" w:cs="宋体"/>
          <w:color w:val="auto"/>
          <w:highlight w:val="none"/>
        </w:rPr>
      </w:pPr>
    </w:p>
    <w:p w14:paraId="2E59ADC2">
      <w:pPr>
        <w:shd w:val="clear" w:color="auto" w:fill="auto"/>
        <w:rPr>
          <w:rFonts w:hint="eastAsia" w:ascii="宋体" w:hAnsi="宋体" w:eastAsia="宋体" w:cs="宋体"/>
          <w:color w:val="auto"/>
          <w:highlight w:val="none"/>
        </w:rPr>
      </w:pPr>
    </w:p>
    <w:p w14:paraId="6C1BD165">
      <w:pPr>
        <w:shd w:val="clear" w:color="auto" w:fill="auto"/>
        <w:rPr>
          <w:rFonts w:hint="eastAsia" w:ascii="宋体" w:hAnsi="宋体" w:eastAsia="宋体" w:cs="宋体"/>
          <w:color w:val="auto"/>
          <w:highlight w:val="none"/>
        </w:rPr>
      </w:pPr>
    </w:p>
    <w:p w14:paraId="64CA1CD8">
      <w:pPr>
        <w:shd w:val="clear" w:color="auto" w:fill="auto"/>
        <w:rPr>
          <w:rFonts w:hint="eastAsia" w:ascii="宋体" w:hAnsi="宋体" w:eastAsia="宋体" w:cs="宋体"/>
          <w:color w:val="auto"/>
          <w:highlight w:val="none"/>
        </w:rPr>
      </w:pPr>
    </w:p>
    <w:p w14:paraId="2B4B03FC">
      <w:pPr>
        <w:shd w:val="clear" w:color="auto" w:fill="auto"/>
        <w:rPr>
          <w:rFonts w:hint="eastAsia" w:ascii="宋体" w:hAnsi="宋体" w:eastAsia="宋体" w:cs="宋体"/>
          <w:color w:val="auto"/>
          <w:highlight w:val="none"/>
        </w:rPr>
      </w:pPr>
    </w:p>
    <w:p w14:paraId="285A1C99">
      <w:pPr>
        <w:shd w:val="clear" w:color="auto" w:fill="auto"/>
        <w:rPr>
          <w:rFonts w:hint="eastAsia" w:ascii="宋体" w:hAnsi="宋体" w:eastAsia="宋体" w:cs="宋体"/>
          <w:color w:val="auto"/>
          <w:highlight w:val="none"/>
        </w:rPr>
      </w:pPr>
    </w:p>
    <w:p w14:paraId="69B00504">
      <w:pPr>
        <w:shd w:val="clear" w:color="auto" w:fill="auto"/>
        <w:rPr>
          <w:rFonts w:hint="eastAsia" w:ascii="宋体" w:hAnsi="宋体" w:eastAsia="宋体" w:cs="宋体"/>
          <w:color w:val="auto"/>
          <w:highlight w:val="none"/>
        </w:rPr>
      </w:pPr>
    </w:p>
    <w:p w14:paraId="2813B079">
      <w:pPr>
        <w:shd w:val="clear" w:color="auto" w:fill="auto"/>
        <w:rPr>
          <w:rFonts w:hint="eastAsia" w:ascii="宋体" w:hAnsi="宋体" w:eastAsia="宋体" w:cs="宋体"/>
          <w:color w:val="auto"/>
          <w:highlight w:val="none"/>
        </w:rPr>
      </w:pPr>
    </w:p>
    <w:p w14:paraId="58B03E3B">
      <w:pPr>
        <w:shd w:val="clear" w:color="auto" w:fill="auto"/>
        <w:rPr>
          <w:rFonts w:hint="eastAsia" w:ascii="宋体" w:hAnsi="宋体" w:eastAsia="宋体" w:cs="宋体"/>
          <w:color w:val="auto"/>
          <w:highlight w:val="none"/>
        </w:rPr>
      </w:pPr>
    </w:p>
    <w:p w14:paraId="0E0EDFC0">
      <w:pPr>
        <w:shd w:val="clear" w:color="auto" w:fill="auto"/>
        <w:rPr>
          <w:rFonts w:hint="eastAsia" w:ascii="宋体" w:hAnsi="宋体" w:eastAsia="宋体" w:cs="宋体"/>
          <w:color w:val="auto"/>
          <w:highlight w:val="none"/>
        </w:rPr>
      </w:pPr>
    </w:p>
    <w:p w14:paraId="5B5B4188">
      <w:pPr>
        <w:shd w:val="clear" w:color="auto" w:fill="auto"/>
        <w:rPr>
          <w:rFonts w:hint="eastAsia" w:ascii="宋体" w:hAnsi="宋体" w:eastAsia="宋体" w:cs="宋体"/>
          <w:color w:val="auto"/>
          <w:highlight w:val="none"/>
        </w:rPr>
      </w:pPr>
    </w:p>
    <w:p w14:paraId="2922B2B8">
      <w:pPr>
        <w:shd w:val="clear" w:color="auto" w:fill="auto"/>
        <w:rPr>
          <w:rFonts w:hint="eastAsia" w:ascii="宋体" w:hAnsi="宋体" w:eastAsia="宋体" w:cs="宋体"/>
          <w:color w:val="auto"/>
          <w:highlight w:val="none"/>
        </w:rPr>
      </w:pPr>
    </w:p>
    <w:p w14:paraId="0908F6D9">
      <w:pPr>
        <w:shd w:val="clear" w:color="auto" w:fill="auto"/>
        <w:rPr>
          <w:rFonts w:hint="eastAsia" w:ascii="宋体" w:hAnsi="宋体" w:eastAsia="宋体" w:cs="宋体"/>
          <w:color w:val="auto"/>
          <w:highlight w:val="none"/>
        </w:rPr>
      </w:pPr>
    </w:p>
    <w:p w14:paraId="6EBB8F75">
      <w:pPr>
        <w:shd w:val="clear" w:color="auto" w:fill="auto"/>
        <w:rPr>
          <w:rFonts w:hint="eastAsia" w:ascii="宋体" w:hAnsi="宋体" w:eastAsia="宋体" w:cs="宋体"/>
          <w:color w:val="auto"/>
          <w:highlight w:val="none"/>
        </w:rPr>
      </w:pPr>
    </w:p>
    <w:p w14:paraId="1860B091">
      <w:pPr>
        <w:shd w:val="clear" w:color="auto" w:fill="auto"/>
        <w:rPr>
          <w:rFonts w:hint="eastAsia" w:ascii="宋体" w:hAnsi="宋体" w:eastAsia="宋体" w:cs="宋体"/>
          <w:color w:val="auto"/>
          <w:highlight w:val="none"/>
        </w:rPr>
      </w:pPr>
    </w:p>
    <w:p w14:paraId="38F905CA">
      <w:pPr>
        <w:shd w:val="clear" w:color="auto" w:fill="auto"/>
        <w:rPr>
          <w:rFonts w:hint="eastAsia" w:ascii="宋体" w:hAnsi="宋体" w:eastAsia="宋体" w:cs="宋体"/>
          <w:color w:val="auto"/>
          <w:highlight w:val="none"/>
        </w:rPr>
      </w:pPr>
    </w:p>
    <w:p w14:paraId="04F5F4AA">
      <w:pPr>
        <w:shd w:val="clear" w:color="auto" w:fill="auto"/>
        <w:rPr>
          <w:rFonts w:hint="eastAsia" w:ascii="宋体" w:hAnsi="宋体" w:eastAsia="宋体" w:cs="宋体"/>
          <w:color w:val="auto"/>
          <w:highlight w:val="none"/>
        </w:rPr>
      </w:pPr>
    </w:p>
    <w:p w14:paraId="25F2F2BA">
      <w:pPr>
        <w:shd w:val="clear" w:color="auto" w:fill="auto"/>
        <w:rPr>
          <w:rFonts w:hint="eastAsia" w:ascii="宋体" w:hAnsi="宋体" w:eastAsia="宋体" w:cs="宋体"/>
          <w:color w:val="auto"/>
          <w:highlight w:val="none"/>
        </w:rPr>
      </w:pPr>
    </w:p>
    <w:p w14:paraId="738353E6">
      <w:pPr>
        <w:shd w:val="clear" w:color="auto" w:fill="auto"/>
        <w:rPr>
          <w:rFonts w:hint="eastAsia" w:ascii="宋体" w:hAnsi="宋体" w:eastAsia="宋体" w:cs="宋体"/>
          <w:color w:val="auto"/>
          <w:highlight w:val="none"/>
        </w:rPr>
      </w:pPr>
    </w:p>
    <w:p w14:paraId="265B1520">
      <w:pPr>
        <w:shd w:val="clear" w:color="auto" w:fill="auto"/>
        <w:rPr>
          <w:rFonts w:hint="eastAsia" w:ascii="宋体" w:hAnsi="宋体" w:eastAsia="宋体" w:cs="宋体"/>
          <w:color w:val="auto"/>
          <w:highlight w:val="none"/>
        </w:rPr>
      </w:pPr>
    </w:p>
    <w:p w14:paraId="1F5B96B1">
      <w:pPr>
        <w:shd w:val="clear" w:color="auto" w:fill="auto"/>
        <w:rPr>
          <w:rFonts w:hint="eastAsia" w:ascii="宋体" w:hAnsi="宋体" w:eastAsia="宋体" w:cs="宋体"/>
          <w:color w:val="auto"/>
          <w:highlight w:val="none"/>
        </w:rPr>
      </w:pPr>
    </w:p>
    <w:p w14:paraId="76674B9B">
      <w:pPr>
        <w:shd w:val="clear" w:color="auto" w:fill="auto"/>
        <w:rPr>
          <w:rFonts w:hint="eastAsia" w:ascii="宋体" w:hAnsi="宋体" w:eastAsia="宋体" w:cs="宋体"/>
          <w:color w:val="auto"/>
          <w:highlight w:val="none"/>
        </w:rPr>
      </w:pPr>
    </w:p>
    <w:p w14:paraId="5D02A173">
      <w:pPr>
        <w:shd w:val="clear" w:color="auto" w:fill="auto"/>
        <w:rPr>
          <w:rFonts w:hint="eastAsia" w:ascii="宋体" w:hAnsi="宋体" w:eastAsia="宋体" w:cs="宋体"/>
          <w:color w:val="auto"/>
          <w:highlight w:val="none"/>
        </w:rPr>
      </w:pPr>
    </w:p>
    <w:p w14:paraId="4779873B">
      <w:pPr>
        <w:shd w:val="clear" w:color="auto" w:fill="auto"/>
        <w:rPr>
          <w:rFonts w:hint="eastAsia" w:ascii="宋体" w:hAnsi="宋体" w:eastAsia="宋体" w:cs="宋体"/>
          <w:color w:val="auto"/>
          <w:highlight w:val="none"/>
        </w:rPr>
      </w:pPr>
    </w:p>
    <w:p w14:paraId="171130F9">
      <w:pPr>
        <w:shd w:val="clear" w:color="auto" w:fill="auto"/>
        <w:rPr>
          <w:rFonts w:hint="eastAsia" w:ascii="宋体" w:hAnsi="宋体" w:eastAsia="宋体" w:cs="宋体"/>
          <w:color w:val="auto"/>
          <w:highlight w:val="none"/>
        </w:rPr>
      </w:pPr>
    </w:p>
    <w:p w14:paraId="07007889">
      <w:pPr>
        <w:pStyle w:val="8"/>
        <w:shd w:val="clear" w:color="auto" w:fill="auto"/>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bookmarkStart w:id="550" w:name="_Toc296347225"/>
      <w:bookmarkStart w:id="551" w:name="_Toc296944565"/>
      <w:bookmarkStart w:id="552" w:name="_Toc296346727"/>
      <w:bookmarkStart w:id="553" w:name="_Toc296891054"/>
      <w:bookmarkStart w:id="554" w:name="_Toc296891266"/>
      <w:bookmarkStart w:id="555" w:name="_Toc296503226"/>
      <w:bookmarkStart w:id="556" w:name="_Toc267261693"/>
      <w:r>
        <w:rPr>
          <w:rFonts w:hint="eastAsia" w:ascii="宋体" w:hAnsi="宋体" w:eastAsia="宋体" w:cs="宋体"/>
          <w:color w:val="auto"/>
          <w:sz w:val="21"/>
          <w:szCs w:val="21"/>
          <w:highlight w:val="none"/>
        </w:rPr>
        <w:t>件3：</w:t>
      </w:r>
      <w:bookmarkEnd w:id="550"/>
      <w:bookmarkEnd w:id="551"/>
      <w:bookmarkEnd w:id="552"/>
      <w:bookmarkEnd w:id="553"/>
      <w:bookmarkEnd w:id="554"/>
      <w:bookmarkEnd w:id="555"/>
      <w:bookmarkEnd w:id="556"/>
      <w:r>
        <w:rPr>
          <w:rFonts w:hint="eastAsia" w:ascii="宋体" w:hAnsi="宋体" w:eastAsia="宋体" w:cs="宋体"/>
          <w:color w:val="auto"/>
          <w:sz w:val="21"/>
          <w:szCs w:val="21"/>
          <w:highlight w:val="none"/>
        </w:rPr>
        <w:t xml:space="preserve">    </w:t>
      </w:r>
    </w:p>
    <w:p w14:paraId="5742C728">
      <w:pPr>
        <w:shd w:val="clear" w:color="auto" w:fill="auto"/>
        <w:spacing w:line="360" w:lineRule="exact"/>
        <w:ind w:firstLine="480" w:firstLineChars="2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工程质量保修书</w:t>
      </w:r>
    </w:p>
    <w:p w14:paraId="4C1832BE">
      <w:pPr>
        <w:shd w:val="clear" w:color="auto" w:fill="auto"/>
        <w:spacing w:line="586" w:lineRule="exact"/>
        <w:rPr>
          <w:rFonts w:hint="eastAsia" w:ascii="宋体" w:hAnsi="宋体" w:eastAsia="宋体" w:cs="宋体"/>
          <w:color w:val="auto"/>
          <w:sz w:val="30"/>
          <w:szCs w:val="30"/>
          <w:highlight w:val="none"/>
        </w:rPr>
      </w:pPr>
    </w:p>
    <w:p w14:paraId="4E677FB8">
      <w:pPr>
        <w:shd w:val="clear" w:color="auto" w:fill="auto"/>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lang w:eastAsia="zh-CN"/>
        </w:rPr>
        <w:t>台州市路桥区综合行政执法局</w:t>
      </w:r>
    </w:p>
    <w:p w14:paraId="15EBE81D">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0F694FA">
      <w:pPr>
        <w:shd w:val="clear" w:color="auto" w:fill="auto"/>
        <w:spacing w:line="360" w:lineRule="auto"/>
        <w:rPr>
          <w:rFonts w:hint="eastAsia" w:ascii="宋体" w:hAnsi="宋体" w:eastAsia="宋体" w:cs="宋体"/>
          <w:color w:val="auto"/>
          <w:szCs w:val="21"/>
          <w:highlight w:val="none"/>
        </w:rPr>
      </w:pPr>
    </w:p>
    <w:p w14:paraId="0BD5B73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lang w:eastAsia="zh-CN"/>
        </w:rPr>
        <w:t>2024年路桥城区交通拥堵点位整治工程</w:t>
      </w:r>
      <w:r>
        <w:rPr>
          <w:rFonts w:hint="eastAsia" w:ascii="宋体" w:hAnsi="宋体" w:eastAsia="宋体" w:cs="宋体"/>
          <w:color w:val="auto"/>
          <w:szCs w:val="21"/>
          <w:highlight w:val="none"/>
        </w:rPr>
        <w:t>（工程全称）签订工程质量保修书。</w:t>
      </w:r>
    </w:p>
    <w:p w14:paraId="52FF4BC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14:paraId="3C8DAF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797C2AD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Cs/>
          <w:color w:val="auto"/>
          <w:szCs w:val="21"/>
          <w:highlight w:val="none"/>
          <w:u w:val="single"/>
        </w:rPr>
        <w:t>本合同范围内的所有工程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A422E7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二、质量保修期</w:t>
      </w:r>
    </w:p>
    <w:p w14:paraId="5EB272D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根据《建设工程质量管理条例》及有关规定，工程的质量保修期如下：</w:t>
      </w:r>
      <w:r>
        <w:rPr>
          <w:rFonts w:hint="eastAsia" w:ascii="宋体" w:hAnsi="宋体" w:eastAsia="宋体" w:cs="宋体"/>
          <w:color w:val="auto"/>
          <w:sz w:val="21"/>
          <w:szCs w:val="21"/>
          <w:highlight w:val="none"/>
          <w:u w:val="single"/>
          <w:lang w:val="en-US" w:eastAsia="zh-CN"/>
        </w:rPr>
        <w:t>本工程质保期为一年</w:t>
      </w:r>
      <w:r>
        <w:rPr>
          <w:rFonts w:hint="eastAsia" w:ascii="宋体" w:hAnsi="宋体" w:eastAsia="宋体" w:cs="宋体"/>
          <w:color w:val="auto"/>
          <w:sz w:val="21"/>
          <w:szCs w:val="21"/>
          <w:highlight w:val="none"/>
        </w:rPr>
        <w:t>。</w:t>
      </w:r>
    </w:p>
    <w:p w14:paraId="3C0CB7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质量保修期自工程竣工验收合格之日起计算。</w:t>
      </w:r>
    </w:p>
    <w:p w14:paraId="4234555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三、缺陷责任期</w:t>
      </w:r>
    </w:p>
    <w:p w14:paraId="17F903B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rPr>
        <w:t>个月，缺陷责任期自工程通过竣工验收之日起计算。单位工程先于全部工程进行验收，单位工程缺陷责任期自单位工程验收合格之日起算。</w:t>
      </w:r>
    </w:p>
    <w:p w14:paraId="1DF4E62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四、质量保修责任</w:t>
      </w:r>
    </w:p>
    <w:p w14:paraId="3BF2FFE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1．属于保修范围、内容的项目，承包人应当在接到保修通知之日起7天内派人保修。承包人不在约定期限内派人保修的，发包人可以委托他人修理。</w:t>
      </w:r>
    </w:p>
    <w:p w14:paraId="6D2B3A4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14:paraId="0E82E59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3937E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7DB1583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五、保修费用</w:t>
      </w:r>
    </w:p>
    <w:p w14:paraId="7C06D5B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5C3B5B9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六、双方约定的其他工程质量保修事项：双方约定的其他工程质量保修事项：</w:t>
      </w:r>
      <w:r>
        <w:rPr>
          <w:rFonts w:hint="eastAsia" w:ascii="宋体" w:hAnsi="宋体" w:eastAsia="宋体" w:cs="宋体"/>
          <w:color w:val="auto"/>
          <w:szCs w:val="21"/>
          <w:highlight w:val="none"/>
          <w:u w:val="single"/>
        </w:rPr>
        <w:t>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w:t>
      </w:r>
      <w:r>
        <w:rPr>
          <w:rFonts w:hint="eastAsia" w:ascii="宋体" w:hAnsi="宋体" w:eastAsia="宋体" w:cs="宋体"/>
          <w:color w:val="auto"/>
          <w:szCs w:val="21"/>
          <w:highlight w:val="none"/>
        </w:rPr>
        <w:t>。</w:t>
      </w:r>
    </w:p>
    <w:p w14:paraId="38E3F40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70EBA955">
      <w:pPr>
        <w:pStyle w:val="27"/>
        <w:shd w:val="clear" w:color="auto" w:fill="auto"/>
        <w:outlineLvl w:val="9"/>
        <w:rPr>
          <w:rFonts w:hint="eastAsia" w:ascii="宋体" w:hAnsi="宋体" w:eastAsia="宋体" w:cs="宋体"/>
          <w:color w:val="auto"/>
          <w:szCs w:val="21"/>
          <w:highlight w:val="none"/>
        </w:rPr>
      </w:pPr>
    </w:p>
    <w:p w14:paraId="072B1443">
      <w:pPr>
        <w:shd w:val="clear" w:color="auto" w:fill="auto"/>
        <w:rPr>
          <w:rFonts w:hint="eastAsia" w:ascii="宋体" w:hAnsi="宋体" w:eastAsia="宋体" w:cs="宋体"/>
          <w:color w:val="auto"/>
          <w:highlight w:val="none"/>
        </w:rPr>
      </w:pPr>
    </w:p>
    <w:p w14:paraId="0CE63BC7">
      <w:pPr>
        <w:shd w:val="clear" w:color="auto" w:fill="auto"/>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发包人（公章）：</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承包人（公章）：</w:t>
      </w:r>
      <w:r>
        <w:rPr>
          <w:rFonts w:hint="eastAsia" w:ascii="宋体" w:hAnsi="宋体" w:eastAsia="宋体" w:cs="宋体"/>
          <w:bCs/>
          <w:color w:val="auto"/>
          <w:szCs w:val="21"/>
          <w:highlight w:val="none"/>
          <w:u w:val="single"/>
        </w:rPr>
        <w:t xml:space="preserve">               </w:t>
      </w:r>
    </w:p>
    <w:p w14:paraId="4DD211FE">
      <w:pPr>
        <w:shd w:val="clear" w:color="auto" w:fill="auto"/>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  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地  址：</w:t>
      </w:r>
      <w:r>
        <w:rPr>
          <w:rFonts w:hint="eastAsia" w:ascii="宋体" w:hAnsi="宋体" w:eastAsia="宋体" w:cs="宋体"/>
          <w:bCs/>
          <w:color w:val="auto"/>
          <w:szCs w:val="21"/>
          <w:highlight w:val="none"/>
          <w:u w:val="single"/>
        </w:rPr>
        <w:t xml:space="preserve">                          </w:t>
      </w:r>
    </w:p>
    <w:p w14:paraId="135A167A">
      <w:pPr>
        <w:shd w:val="clear" w:color="auto" w:fill="auto"/>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法定代表人（签字）：</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法定代表人（签字）：</w:t>
      </w:r>
      <w:r>
        <w:rPr>
          <w:rFonts w:hint="eastAsia" w:ascii="宋体" w:hAnsi="宋体" w:eastAsia="宋体" w:cs="宋体"/>
          <w:bCs/>
          <w:color w:val="auto"/>
          <w:szCs w:val="21"/>
          <w:highlight w:val="none"/>
          <w:u w:val="single"/>
        </w:rPr>
        <w:t xml:space="preserve">            </w:t>
      </w:r>
    </w:p>
    <w:p w14:paraId="73F1F527">
      <w:pPr>
        <w:shd w:val="clear" w:color="auto" w:fill="auto"/>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委托代理人（签字）：</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委托代理人（签字）：</w:t>
      </w:r>
      <w:r>
        <w:rPr>
          <w:rFonts w:hint="eastAsia" w:ascii="宋体" w:hAnsi="宋体" w:eastAsia="宋体" w:cs="宋体"/>
          <w:bCs/>
          <w:color w:val="auto"/>
          <w:szCs w:val="21"/>
          <w:highlight w:val="none"/>
          <w:u w:val="single"/>
        </w:rPr>
        <w:t xml:space="preserve">            </w:t>
      </w:r>
    </w:p>
    <w:p w14:paraId="0B8A6E41">
      <w:pPr>
        <w:shd w:val="clear" w:color="auto" w:fill="auto"/>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电  话：</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电  话：</w:t>
      </w:r>
      <w:r>
        <w:rPr>
          <w:rFonts w:hint="eastAsia" w:ascii="宋体" w:hAnsi="宋体" w:eastAsia="宋体" w:cs="宋体"/>
          <w:bCs/>
          <w:color w:val="auto"/>
          <w:szCs w:val="21"/>
          <w:highlight w:val="none"/>
          <w:u w:val="single"/>
        </w:rPr>
        <w:t xml:space="preserve">                       </w:t>
      </w:r>
    </w:p>
    <w:p w14:paraId="46FBBF9F">
      <w:pPr>
        <w:shd w:val="clear" w:color="auto" w:fill="auto"/>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传  真：</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传  真：</w:t>
      </w:r>
      <w:r>
        <w:rPr>
          <w:rFonts w:hint="eastAsia" w:ascii="宋体" w:hAnsi="宋体" w:eastAsia="宋体" w:cs="宋体"/>
          <w:bCs/>
          <w:color w:val="auto"/>
          <w:szCs w:val="21"/>
          <w:highlight w:val="none"/>
          <w:u w:val="single"/>
        </w:rPr>
        <w:t xml:space="preserve">                        </w:t>
      </w:r>
    </w:p>
    <w:p w14:paraId="3A84F107">
      <w:pPr>
        <w:shd w:val="clear" w:color="auto" w:fill="auto"/>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开户银行：</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开户银行：</w:t>
      </w:r>
      <w:r>
        <w:rPr>
          <w:rFonts w:hint="eastAsia" w:ascii="宋体" w:hAnsi="宋体" w:eastAsia="宋体" w:cs="宋体"/>
          <w:bCs/>
          <w:color w:val="auto"/>
          <w:szCs w:val="21"/>
          <w:highlight w:val="none"/>
          <w:u w:val="single"/>
        </w:rPr>
        <w:t xml:space="preserve">                      </w:t>
      </w:r>
    </w:p>
    <w:p w14:paraId="0ECD7182">
      <w:pPr>
        <w:shd w:val="clear" w:color="auto" w:fill="auto"/>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账  号：</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账  号：</w:t>
      </w:r>
      <w:r>
        <w:rPr>
          <w:rFonts w:hint="eastAsia" w:ascii="宋体" w:hAnsi="宋体" w:eastAsia="宋体" w:cs="宋体"/>
          <w:bCs/>
          <w:color w:val="auto"/>
          <w:szCs w:val="21"/>
          <w:highlight w:val="none"/>
          <w:u w:val="single"/>
        </w:rPr>
        <w:t xml:space="preserve">                       </w:t>
      </w:r>
    </w:p>
    <w:p w14:paraId="5686585A">
      <w:pPr>
        <w:shd w:val="clear" w:color="auto" w:fill="auto"/>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邮政编码：</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邮政编码：</w:t>
      </w:r>
      <w:r>
        <w:rPr>
          <w:rFonts w:hint="eastAsia" w:ascii="宋体" w:hAnsi="宋体" w:eastAsia="宋体" w:cs="宋体"/>
          <w:bCs/>
          <w:color w:val="auto"/>
          <w:szCs w:val="21"/>
          <w:highlight w:val="none"/>
          <w:u w:val="single"/>
        </w:rPr>
        <w:t xml:space="preserve">                     </w:t>
      </w:r>
    </w:p>
    <w:p w14:paraId="39EDFE3E">
      <w:pPr>
        <w:shd w:val="clear" w:color="auto" w:fill="auto"/>
        <w:spacing w:line="360" w:lineRule="exact"/>
        <w:ind w:firstLine="420" w:firstLineChars="200"/>
        <w:rPr>
          <w:rFonts w:hint="eastAsia" w:ascii="宋体" w:hAnsi="宋体" w:eastAsia="宋体" w:cs="宋体"/>
          <w:color w:val="auto"/>
          <w:szCs w:val="21"/>
          <w:highlight w:val="none"/>
          <w:u w:val="single"/>
        </w:rPr>
      </w:pPr>
    </w:p>
    <w:p w14:paraId="4AFB3630">
      <w:pPr>
        <w:shd w:val="clear" w:color="auto" w:fill="auto"/>
        <w:spacing w:line="360" w:lineRule="exact"/>
        <w:ind w:firstLine="420" w:firstLineChars="200"/>
        <w:rPr>
          <w:rFonts w:hint="eastAsia" w:ascii="宋体" w:hAnsi="宋体" w:eastAsia="宋体" w:cs="宋体"/>
          <w:color w:val="auto"/>
          <w:szCs w:val="21"/>
          <w:highlight w:val="none"/>
          <w:u w:val="single"/>
        </w:rPr>
      </w:pPr>
    </w:p>
    <w:p w14:paraId="5678D601">
      <w:pPr>
        <w:shd w:val="clear" w:color="auto" w:fill="auto"/>
        <w:spacing w:line="360" w:lineRule="exact"/>
        <w:ind w:firstLine="420" w:firstLineChars="200"/>
        <w:rPr>
          <w:rFonts w:hint="eastAsia" w:ascii="宋体" w:hAnsi="宋体" w:eastAsia="宋体" w:cs="宋体"/>
          <w:color w:val="auto"/>
          <w:szCs w:val="21"/>
          <w:highlight w:val="none"/>
          <w:u w:val="single"/>
        </w:rPr>
      </w:pPr>
    </w:p>
    <w:p w14:paraId="0F4A484A">
      <w:pPr>
        <w:shd w:val="clear" w:color="auto" w:fill="auto"/>
        <w:spacing w:line="360" w:lineRule="exact"/>
        <w:ind w:firstLine="420" w:firstLineChars="200"/>
        <w:rPr>
          <w:rFonts w:hint="eastAsia" w:ascii="宋体" w:hAnsi="宋体" w:eastAsia="宋体" w:cs="宋体"/>
          <w:color w:val="auto"/>
          <w:szCs w:val="21"/>
          <w:highlight w:val="none"/>
          <w:u w:val="single"/>
        </w:rPr>
      </w:pPr>
    </w:p>
    <w:p w14:paraId="660E9ED2">
      <w:pPr>
        <w:shd w:val="clear" w:color="auto" w:fill="auto"/>
        <w:spacing w:line="360" w:lineRule="exact"/>
        <w:ind w:firstLine="420" w:firstLineChars="200"/>
        <w:rPr>
          <w:rFonts w:hint="eastAsia" w:ascii="宋体" w:hAnsi="宋体" w:eastAsia="宋体" w:cs="宋体"/>
          <w:color w:val="auto"/>
          <w:szCs w:val="21"/>
          <w:highlight w:val="none"/>
          <w:u w:val="single"/>
        </w:rPr>
      </w:pPr>
    </w:p>
    <w:p w14:paraId="06E2D444">
      <w:pPr>
        <w:pStyle w:val="4"/>
        <w:shd w:val="clear" w:color="auto" w:fill="auto"/>
        <w:ind w:firstLine="210"/>
        <w:rPr>
          <w:rFonts w:hint="eastAsia" w:ascii="宋体" w:hAnsi="宋体" w:eastAsia="宋体" w:cs="宋体"/>
          <w:color w:val="auto"/>
          <w:szCs w:val="21"/>
          <w:highlight w:val="none"/>
          <w:u w:val="single"/>
        </w:rPr>
      </w:pPr>
    </w:p>
    <w:p w14:paraId="5AECEC2B">
      <w:pPr>
        <w:pStyle w:val="4"/>
        <w:shd w:val="clear" w:color="auto" w:fill="auto"/>
        <w:ind w:firstLine="210"/>
        <w:rPr>
          <w:rFonts w:hint="eastAsia" w:ascii="宋体" w:hAnsi="宋体" w:eastAsia="宋体" w:cs="宋体"/>
          <w:color w:val="auto"/>
          <w:szCs w:val="21"/>
          <w:highlight w:val="none"/>
          <w:u w:val="single"/>
        </w:rPr>
      </w:pPr>
    </w:p>
    <w:p w14:paraId="7EF8DBD7">
      <w:pPr>
        <w:pStyle w:val="4"/>
        <w:shd w:val="clear" w:color="auto" w:fill="auto"/>
        <w:ind w:firstLine="210"/>
        <w:rPr>
          <w:rFonts w:hint="eastAsia" w:ascii="宋体" w:hAnsi="宋体" w:eastAsia="宋体" w:cs="宋体"/>
          <w:color w:val="auto"/>
          <w:szCs w:val="21"/>
          <w:highlight w:val="none"/>
          <w:u w:val="single"/>
        </w:rPr>
      </w:pPr>
    </w:p>
    <w:p w14:paraId="7F153A6B">
      <w:pPr>
        <w:pStyle w:val="4"/>
        <w:shd w:val="clear" w:color="auto" w:fill="auto"/>
        <w:ind w:firstLine="210"/>
        <w:rPr>
          <w:rFonts w:hint="eastAsia" w:ascii="宋体" w:hAnsi="宋体" w:eastAsia="宋体" w:cs="宋体"/>
          <w:color w:val="auto"/>
          <w:szCs w:val="21"/>
          <w:highlight w:val="none"/>
          <w:u w:val="single"/>
        </w:rPr>
      </w:pPr>
    </w:p>
    <w:p w14:paraId="5373B027">
      <w:pPr>
        <w:pStyle w:val="4"/>
        <w:shd w:val="clear" w:color="auto" w:fill="auto"/>
        <w:ind w:firstLine="210"/>
        <w:rPr>
          <w:rFonts w:hint="eastAsia" w:ascii="宋体" w:hAnsi="宋体" w:eastAsia="宋体" w:cs="宋体"/>
          <w:color w:val="auto"/>
          <w:szCs w:val="21"/>
          <w:highlight w:val="none"/>
          <w:u w:val="single"/>
        </w:rPr>
      </w:pPr>
    </w:p>
    <w:p w14:paraId="32D1C2B6">
      <w:pPr>
        <w:pStyle w:val="4"/>
        <w:shd w:val="clear" w:color="auto" w:fill="auto"/>
        <w:ind w:firstLine="210"/>
        <w:rPr>
          <w:rFonts w:hint="eastAsia" w:ascii="宋体" w:hAnsi="宋体" w:eastAsia="宋体" w:cs="宋体"/>
          <w:color w:val="auto"/>
          <w:szCs w:val="21"/>
          <w:highlight w:val="none"/>
          <w:u w:val="single"/>
        </w:rPr>
      </w:pPr>
    </w:p>
    <w:p w14:paraId="7F074FB3">
      <w:pPr>
        <w:pStyle w:val="4"/>
        <w:keepNext w:val="0"/>
        <w:keepLines w:val="0"/>
        <w:pageBreakBefore w:val="0"/>
        <w:widowControl w:val="0"/>
        <w:shd w:val="clear" w:color="auto" w:fill="auto"/>
        <w:kinsoku/>
        <w:wordWrap/>
        <w:overflowPunct/>
        <w:topLinePunct w:val="0"/>
        <w:autoSpaceDE/>
        <w:autoSpaceDN/>
        <w:bidi w:val="0"/>
        <w:adjustRightInd/>
        <w:snapToGrid/>
        <w:spacing w:after="0"/>
        <w:ind w:left="0" w:leftChars="0" w:firstLine="0" w:firstLineChars="0"/>
        <w:textAlignment w:val="auto"/>
        <w:outlineLvl w:val="9"/>
        <w:rPr>
          <w:rFonts w:hint="eastAsia" w:ascii="宋体" w:hAnsi="宋体" w:eastAsia="宋体" w:cs="宋体"/>
          <w:color w:val="auto"/>
          <w:highlight w:val="none"/>
        </w:rPr>
      </w:pPr>
    </w:p>
    <w:p w14:paraId="27E99221">
      <w:pPr>
        <w:shd w:val="clear" w:color="auto" w:fill="auto"/>
        <w:adjustRightInd w:val="0"/>
        <w:spacing w:line="360" w:lineRule="exact"/>
        <w:ind w:firstLine="562" w:firstLineChars="200"/>
        <w:jc w:val="center"/>
        <w:rPr>
          <w:rFonts w:hint="eastAsia" w:ascii="宋体" w:hAnsi="宋体" w:eastAsia="宋体" w:cs="宋体"/>
          <w:color w:val="auto"/>
          <w:sz w:val="28"/>
          <w:szCs w:val="28"/>
          <w:highlight w:val="none"/>
        </w:rPr>
      </w:pPr>
      <w:bookmarkStart w:id="557" w:name="_Toc6534"/>
      <w:bookmarkStart w:id="558" w:name="_Toc13818"/>
      <w:r>
        <w:rPr>
          <w:rStyle w:val="79"/>
          <w:rFonts w:hint="eastAsia" w:ascii="宋体" w:hAnsi="宋体" w:eastAsia="宋体" w:cs="宋体"/>
          <w:color w:val="auto"/>
          <w:sz w:val="28"/>
          <w:szCs w:val="28"/>
          <w:highlight w:val="none"/>
        </w:rPr>
        <w:t>第四部分    工程建设项目廉政责任书</w:t>
      </w:r>
      <w:bookmarkEnd w:id="557"/>
      <w:bookmarkEnd w:id="558"/>
    </w:p>
    <w:p w14:paraId="203C7A4D">
      <w:pPr>
        <w:shd w:val="clear" w:color="auto" w:fill="auto"/>
        <w:autoSpaceDE w:val="0"/>
        <w:autoSpaceDN w:val="0"/>
        <w:spacing w:line="360" w:lineRule="exact"/>
        <w:ind w:firstLine="482"/>
        <w:rPr>
          <w:rFonts w:hint="eastAsia" w:ascii="宋体" w:hAnsi="宋体" w:eastAsia="宋体" w:cs="宋体"/>
          <w:color w:val="auto"/>
          <w:szCs w:val="21"/>
          <w:highlight w:val="none"/>
        </w:rPr>
      </w:pPr>
    </w:p>
    <w:p w14:paraId="0BFA77F4">
      <w:pPr>
        <w:shd w:val="clear" w:color="auto" w:fill="auto"/>
        <w:autoSpaceDE w:val="0"/>
        <w:autoSpaceDN w:val="0"/>
        <w:spacing w:line="360" w:lineRule="exact"/>
        <w:ind w:firstLine="48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工程项目名称：</w:t>
      </w:r>
      <w:r>
        <w:rPr>
          <w:rFonts w:hint="eastAsia" w:ascii="宋体" w:hAnsi="宋体" w:cs="宋体"/>
          <w:color w:val="auto"/>
          <w:szCs w:val="21"/>
          <w:highlight w:val="none"/>
          <w:u w:val="single"/>
          <w:lang w:eastAsia="zh-CN"/>
        </w:rPr>
        <w:t>2024年路桥城区交通拥堵点位整治工程</w:t>
      </w:r>
    </w:p>
    <w:p w14:paraId="1E9F07DC">
      <w:pPr>
        <w:shd w:val="clear" w:color="auto" w:fill="auto"/>
        <w:autoSpaceDE w:val="0"/>
        <w:autoSpaceDN w:val="0"/>
        <w:spacing w:line="360" w:lineRule="exact"/>
        <w:ind w:firstLine="482"/>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工程项目地址：</w:t>
      </w:r>
      <w:r>
        <w:rPr>
          <w:rFonts w:hint="eastAsia" w:ascii="宋体" w:hAnsi="宋体" w:eastAsia="宋体" w:cs="宋体"/>
          <w:color w:val="auto"/>
          <w:szCs w:val="21"/>
          <w:highlight w:val="none"/>
          <w:u w:val="single"/>
          <w:lang w:val="en-US" w:eastAsia="zh-CN"/>
        </w:rPr>
        <w:t xml:space="preserve">                                </w:t>
      </w:r>
    </w:p>
    <w:p w14:paraId="4FCAE9AE">
      <w:pPr>
        <w:shd w:val="clear" w:color="auto" w:fill="auto"/>
        <w:autoSpaceDE w:val="0"/>
        <w:autoSpaceDN w:val="0"/>
        <w:spacing w:line="360" w:lineRule="exact"/>
        <w:ind w:firstLine="48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建设单位（甲方）：</w:t>
      </w:r>
      <w:r>
        <w:rPr>
          <w:rFonts w:hint="eastAsia" w:ascii="宋体" w:hAnsi="宋体" w:eastAsia="宋体" w:cs="宋体"/>
          <w:color w:val="auto"/>
          <w:szCs w:val="21"/>
          <w:highlight w:val="none"/>
          <w:u w:val="single"/>
          <w:lang w:eastAsia="zh-CN"/>
        </w:rPr>
        <w:t>台州市路桥区综合行政执法局</w:t>
      </w:r>
    </w:p>
    <w:p w14:paraId="6CE345D9">
      <w:pPr>
        <w:shd w:val="clear" w:color="auto" w:fill="auto"/>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施工单位（乙方）：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274B761">
      <w:pPr>
        <w:shd w:val="clear" w:color="auto" w:fill="auto"/>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FA2E200">
      <w:pPr>
        <w:shd w:val="clear" w:color="auto" w:fill="auto"/>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第一条 甲乙双方的责任</w:t>
      </w:r>
    </w:p>
    <w:p w14:paraId="0856732F">
      <w:pPr>
        <w:pStyle w:val="12"/>
        <w:shd w:val="clear" w:color="auto" w:fill="auto"/>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（一）应严格遵守国家关于市场准入、项目招标投标、工程建设、施工安装和市场活动等有关法律、法规，相关政策，以及廉政建设的各项规定。</w:t>
      </w:r>
    </w:p>
    <w:p w14:paraId="3669B7E9">
      <w:pPr>
        <w:shd w:val="clear" w:color="auto" w:fill="auto"/>
        <w:autoSpaceDE w:val="0"/>
        <w:autoSpaceDN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（二）严格执行建设工程项目承发包合同文件，自觉按合同办事。</w:t>
      </w:r>
    </w:p>
    <w:p w14:paraId="25273844">
      <w:pPr>
        <w:pStyle w:val="12"/>
        <w:shd w:val="clear" w:color="auto" w:fill="auto"/>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（三）业务活动必须坚持公开、公平、公正、诚信、透明的原则（除法律法规另有规定者外），不得为获取不正当的利益，损害国家、集体和对方利益，不得违反工程建设管理、施工安装的规章制度。</w:t>
      </w:r>
    </w:p>
    <w:p w14:paraId="059441DE">
      <w:pPr>
        <w:pStyle w:val="12"/>
        <w:shd w:val="clear" w:color="auto" w:fill="auto"/>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（四）发现对方在业务活动中有违规、违纪、违法行为的，应及时提醒对方，情节严重的，应向其上级主管部门或纪检监察、司法等有关机关举报。</w:t>
      </w:r>
    </w:p>
    <w:p w14:paraId="118FA7D9">
      <w:pPr>
        <w:shd w:val="clear" w:color="auto" w:fill="auto"/>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第二条 甲方的责任</w:t>
      </w:r>
    </w:p>
    <w:p w14:paraId="3AE232C3">
      <w:pPr>
        <w:shd w:val="clear" w:color="auto" w:fill="auto"/>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甲方的领导和从事该建设工程项目的工作人员，在工程建设的事前、事中、事后应遵守以下规定：</w:t>
      </w:r>
    </w:p>
    <w:p w14:paraId="364D8CEC">
      <w:pPr>
        <w:shd w:val="clear" w:color="auto" w:fill="auto"/>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（一）不准向乙方和相关单位索要或接受回扣、礼金、有价证券、贵重物品和好处费、感谢费等。</w:t>
      </w:r>
    </w:p>
    <w:p w14:paraId="64B90A4C">
      <w:pPr>
        <w:shd w:val="clear" w:color="auto" w:fill="auto"/>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（二）不准在乙方和相关单位报销任何应由甲方或个人支付的费用。</w:t>
      </w:r>
    </w:p>
    <w:p w14:paraId="081AFC5F">
      <w:pPr>
        <w:pStyle w:val="12"/>
        <w:shd w:val="clear" w:color="auto" w:fill="auto"/>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（三）不准要求、暗示和接受乙方和相关单位为个人装修住房、婚丧嫁娶、配偶子女的工作安排以及出国（境）、旅游等提供方便。</w:t>
      </w:r>
    </w:p>
    <w:p w14:paraId="631CE370">
      <w:pPr>
        <w:shd w:val="clear" w:color="auto" w:fill="auto"/>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（四）不准参加有可能影响公正执行公务的乙方和相关单位的宴请和健身、娱乐等活动。</w:t>
      </w:r>
    </w:p>
    <w:p w14:paraId="7F6C8E48">
      <w:pPr>
        <w:pStyle w:val="12"/>
        <w:shd w:val="clear" w:color="auto" w:fill="auto"/>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534471C0">
      <w:pPr>
        <w:shd w:val="clear" w:color="auto" w:fill="auto"/>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第三条 乙方的责任</w:t>
      </w:r>
    </w:p>
    <w:p w14:paraId="450778FC">
      <w:pPr>
        <w:pStyle w:val="12"/>
        <w:shd w:val="clear" w:color="auto" w:fill="auto"/>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应与甲方保持正常的业务交往，按照有关法律法规和程序开展业务工作，严格执行工程建设的有关方针、政策，尤其是有关建筑施工安装的强制性标准和规范，并遵守以下规定：</w:t>
      </w:r>
    </w:p>
    <w:p w14:paraId="51B33302">
      <w:pPr>
        <w:pStyle w:val="12"/>
        <w:shd w:val="clear" w:color="auto" w:fill="auto"/>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（一）不准以任何理由向甲方、相关单位及其工作人员索要、接受或赠送礼金、有价证券、贵重物品和回扣、好处费、感谢费等。</w:t>
      </w:r>
    </w:p>
    <w:p w14:paraId="5A060980">
      <w:pPr>
        <w:shd w:val="clear" w:color="auto" w:fill="auto"/>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（二）不准以任何理由为甲方和相关单位报销应由对方或个人支付的费用。</w:t>
      </w:r>
    </w:p>
    <w:p w14:paraId="378D116E">
      <w:pPr>
        <w:pStyle w:val="12"/>
        <w:shd w:val="clear" w:color="auto" w:fill="auto"/>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（三）不准接受或暗示为甲方、相关单位或个人装修住房、婚丧嫁娶、配偶子女的工作安排以及出国（境）、旅游等提供方便。</w:t>
      </w:r>
    </w:p>
    <w:p w14:paraId="2B8CA960">
      <w:pPr>
        <w:pStyle w:val="12"/>
        <w:shd w:val="clear" w:color="auto" w:fill="auto"/>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（四）不准以任何理由为甲方、相关单位或个人组织有可能影响公正执行公务的宴请、健身、娱乐等活动。</w:t>
      </w:r>
    </w:p>
    <w:p w14:paraId="41CF519F">
      <w:pPr>
        <w:shd w:val="clear" w:color="auto" w:fill="auto"/>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第四条 违约责任</w:t>
      </w:r>
    </w:p>
    <w:p w14:paraId="1687651C">
      <w:pPr>
        <w:pStyle w:val="12"/>
        <w:shd w:val="clear" w:color="auto" w:fill="auto"/>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ED7ACF5">
      <w:pPr>
        <w:pStyle w:val="12"/>
        <w:shd w:val="clear" w:color="auto" w:fill="auto"/>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9719099">
      <w:pPr>
        <w:shd w:val="clear" w:color="auto" w:fill="auto"/>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第五条 本责任书作为工程施工合同的附件，与工程施工合同具有同等法律效力。经双方签署后立即生效。</w:t>
      </w:r>
    </w:p>
    <w:p w14:paraId="4BF7EEC4">
      <w:pPr>
        <w:shd w:val="clear" w:color="auto" w:fill="auto"/>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第六条 本责任书的有效期为双方签署之日起至该工程项目竣工验收合格时止。</w:t>
      </w:r>
    </w:p>
    <w:p w14:paraId="3454139F">
      <w:pPr>
        <w:shd w:val="clear" w:color="auto" w:fill="auto"/>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第七条 本责任书一式四份，由甲乙双方各执一份，送交甲乙双方的监督单位各一份。</w:t>
      </w:r>
    </w:p>
    <w:p w14:paraId="4D23B280">
      <w:pPr>
        <w:shd w:val="clear" w:color="auto" w:fill="auto"/>
        <w:autoSpaceDE w:val="0"/>
        <w:autoSpaceDN w:val="0"/>
        <w:spacing w:line="360" w:lineRule="exact"/>
        <w:ind w:firstLine="482"/>
        <w:rPr>
          <w:rFonts w:hint="eastAsia" w:ascii="宋体" w:hAnsi="宋体" w:eastAsia="宋体" w:cs="宋体"/>
          <w:color w:val="auto"/>
          <w:szCs w:val="21"/>
          <w:highlight w:val="none"/>
        </w:rPr>
      </w:pPr>
    </w:p>
    <w:p w14:paraId="6CBEF373">
      <w:pPr>
        <w:shd w:val="clear" w:color="auto" w:fill="auto"/>
        <w:autoSpaceDE w:val="0"/>
        <w:autoSpaceDN w:val="0"/>
        <w:spacing w:line="360" w:lineRule="exact"/>
        <w:ind w:firstLine="482"/>
        <w:rPr>
          <w:rFonts w:hint="eastAsia" w:ascii="宋体" w:hAnsi="宋体" w:eastAsia="宋体" w:cs="宋体"/>
          <w:color w:val="auto"/>
          <w:szCs w:val="21"/>
          <w:highlight w:val="none"/>
        </w:rPr>
      </w:pPr>
    </w:p>
    <w:p w14:paraId="16BEAD46">
      <w:pPr>
        <w:shd w:val="clear" w:color="auto" w:fill="auto"/>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甲方单位：（盖章）　　　　　　　　                　　　乙方单位：（盖章）</w:t>
      </w:r>
    </w:p>
    <w:p w14:paraId="07A43DA3">
      <w:pPr>
        <w:shd w:val="clear" w:color="auto" w:fill="auto"/>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66AAF9F3">
      <w:pPr>
        <w:shd w:val="clear" w:color="auto" w:fill="auto"/>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79435A23">
      <w:pPr>
        <w:shd w:val="clear" w:color="auto" w:fill="auto"/>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0B16809D">
      <w:pPr>
        <w:shd w:val="clear" w:color="auto" w:fill="auto"/>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　　　　　　　　　　　　　               　　年　月　日</w:t>
      </w:r>
    </w:p>
    <w:p w14:paraId="759CA603">
      <w:pPr>
        <w:shd w:val="clear" w:color="auto" w:fill="auto"/>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甲方监督单位（盖章）　　　　　　　　　               　乙方监督单位（盖章）</w:t>
      </w:r>
    </w:p>
    <w:p w14:paraId="229DD759">
      <w:pPr>
        <w:shd w:val="clear" w:color="auto" w:fill="auto"/>
        <w:autoSpaceDE w:val="0"/>
        <w:autoSpaceDN w:val="0"/>
        <w:spacing w:line="36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　　　　　　　　　　　　　　               　年　月　日</w:t>
      </w:r>
    </w:p>
    <w:p w14:paraId="3AE6C931">
      <w:pPr>
        <w:shd w:val="clear" w:color="auto" w:fill="auto"/>
        <w:bidi w:val="0"/>
        <w:spacing w:line="360" w:lineRule="auto"/>
        <w:rPr>
          <w:rFonts w:hint="eastAsia" w:ascii="宋体" w:hAnsi="宋体" w:eastAsia="宋体" w:cs="宋体"/>
          <w:b/>
          <w:bCs/>
          <w:color w:val="auto"/>
          <w:sz w:val="24"/>
          <w:szCs w:val="32"/>
          <w:highlight w:val="none"/>
        </w:rPr>
      </w:pPr>
    </w:p>
    <w:p w14:paraId="63A4FD07">
      <w:pPr>
        <w:shd w:val="clear" w:color="auto" w:fill="auto"/>
        <w:spacing w:line="360" w:lineRule="auto"/>
        <w:jc w:val="both"/>
        <w:rPr>
          <w:rFonts w:hint="eastAsia" w:ascii="宋体" w:hAnsi="宋体" w:eastAsia="宋体" w:cs="宋体"/>
          <w:b/>
          <w:bCs/>
          <w:color w:val="auto"/>
          <w:sz w:val="36"/>
          <w:szCs w:val="44"/>
          <w:highlight w:val="none"/>
        </w:rPr>
      </w:pPr>
    </w:p>
    <w:p w14:paraId="08266338">
      <w:pPr>
        <w:shd w:val="clear" w:color="auto" w:fill="auto"/>
        <w:spacing w:line="360" w:lineRule="auto"/>
        <w:jc w:val="center"/>
        <w:rPr>
          <w:rFonts w:hint="eastAsia" w:ascii="宋体" w:hAnsi="宋体" w:eastAsia="宋体" w:cs="宋体"/>
          <w:b/>
          <w:bCs/>
          <w:color w:val="auto"/>
          <w:sz w:val="36"/>
          <w:szCs w:val="44"/>
          <w:highlight w:val="none"/>
        </w:rPr>
      </w:pPr>
    </w:p>
    <w:p w14:paraId="4D3D2F98">
      <w:pPr>
        <w:shd w:val="clear" w:color="auto" w:fill="auto"/>
        <w:spacing w:line="360" w:lineRule="auto"/>
        <w:jc w:val="center"/>
        <w:rPr>
          <w:rFonts w:hint="eastAsia" w:ascii="宋体" w:hAnsi="宋体" w:eastAsia="宋体" w:cs="宋体"/>
          <w:b/>
          <w:bCs/>
          <w:color w:val="auto"/>
          <w:sz w:val="36"/>
          <w:szCs w:val="44"/>
          <w:highlight w:val="none"/>
        </w:rPr>
      </w:pPr>
    </w:p>
    <w:p w14:paraId="64776B1E">
      <w:pPr>
        <w:shd w:val="clear" w:color="auto" w:fill="auto"/>
        <w:spacing w:line="360" w:lineRule="auto"/>
        <w:jc w:val="center"/>
        <w:rPr>
          <w:rFonts w:hint="eastAsia" w:ascii="宋体" w:hAnsi="宋体" w:eastAsia="宋体" w:cs="宋体"/>
          <w:b/>
          <w:bCs/>
          <w:color w:val="auto"/>
          <w:sz w:val="36"/>
          <w:szCs w:val="44"/>
          <w:highlight w:val="none"/>
        </w:rPr>
      </w:pPr>
    </w:p>
    <w:p w14:paraId="10521873">
      <w:pPr>
        <w:shd w:val="clear" w:color="auto" w:fill="auto"/>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r>
        <w:rPr>
          <w:rFonts w:hint="eastAsia" w:ascii="宋体" w:hAnsi="宋体" w:eastAsia="宋体" w:cs="宋体"/>
          <w:b/>
          <w:bCs/>
          <w:color w:val="auto"/>
          <w:sz w:val="36"/>
          <w:szCs w:val="44"/>
          <w:highlight w:val="none"/>
        </w:rPr>
        <w:t>第六部分 响应文件格式附件</w:t>
      </w:r>
    </w:p>
    <w:p w14:paraId="068D4A0D">
      <w:pPr>
        <w:shd w:val="clear" w:color="auto" w:fill="auto"/>
        <w:spacing w:line="360" w:lineRule="auto"/>
        <w:ind w:firstLine="482" w:firstLineChars="200"/>
        <w:rPr>
          <w:rFonts w:hint="eastAsia" w:ascii="宋体" w:hAnsi="宋体" w:eastAsia="宋体" w:cs="宋体"/>
          <w:b/>
          <w:bCs/>
          <w:color w:val="auto"/>
          <w:sz w:val="24"/>
          <w:szCs w:val="32"/>
          <w:highlight w:val="none"/>
          <w:u w:val="single"/>
        </w:rPr>
      </w:pPr>
      <w:r>
        <w:rPr>
          <w:rFonts w:hint="eastAsia" w:ascii="宋体" w:hAnsi="宋体" w:eastAsia="宋体" w:cs="宋体"/>
          <w:b/>
          <w:bCs/>
          <w:color w:val="auto"/>
          <w:sz w:val="24"/>
          <w:szCs w:val="32"/>
          <w:highlight w:val="none"/>
        </w:rPr>
        <w:t>说明：对本章所有的投标书格式，投标方可根据自身情况进行补充和修改，但补充和修改不得造成与本格式内容有实质性的违背。</w:t>
      </w:r>
    </w:p>
    <w:p w14:paraId="11D1DFF8">
      <w:pPr>
        <w:shd w:val="clear" w:color="auto" w:fill="auto"/>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8"/>
          <w:szCs w:val="36"/>
          <w:highlight w:val="none"/>
        </w:rPr>
        <w:t>附件1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bCs/>
          <w:color w:val="auto"/>
          <w:sz w:val="24"/>
          <w:highlight w:val="none"/>
        </w:rPr>
        <w:t>本</w:t>
      </w:r>
    </w:p>
    <w:p w14:paraId="0AB4EE35">
      <w:pPr>
        <w:shd w:val="clear" w:color="auto" w:fill="auto"/>
        <w:spacing w:line="360" w:lineRule="auto"/>
        <w:rPr>
          <w:rFonts w:hint="eastAsia" w:ascii="宋体" w:hAnsi="宋体" w:eastAsia="宋体" w:cs="宋体"/>
          <w:b/>
          <w:color w:val="auto"/>
          <w:sz w:val="30"/>
          <w:szCs w:val="30"/>
          <w:highlight w:val="none"/>
        </w:rPr>
      </w:pPr>
    </w:p>
    <w:p w14:paraId="1A8A534C">
      <w:pPr>
        <w:shd w:val="clear" w:color="auto" w:fill="auto"/>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181C289">
      <w:pPr>
        <w:shd w:val="clear" w:color="auto" w:fill="auto"/>
        <w:spacing w:line="360" w:lineRule="auto"/>
        <w:ind w:firstLine="1800" w:firstLineChars="5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CE16E20">
      <w:pPr>
        <w:shd w:val="clear" w:color="auto" w:fill="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磋</w:t>
      </w:r>
    </w:p>
    <w:p w14:paraId="27A6CC8B">
      <w:pPr>
        <w:shd w:val="clear" w:color="auto" w:fill="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商</w:t>
      </w:r>
    </w:p>
    <w:p w14:paraId="52DD2080">
      <w:pPr>
        <w:shd w:val="clear" w:color="auto" w:fill="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响</w:t>
      </w:r>
    </w:p>
    <w:p w14:paraId="7A327432">
      <w:pPr>
        <w:shd w:val="clear" w:color="auto" w:fill="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应</w:t>
      </w:r>
    </w:p>
    <w:p w14:paraId="13C30AB2">
      <w:pPr>
        <w:shd w:val="clear" w:color="auto" w:fill="auto"/>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16452265">
      <w:pPr>
        <w:shd w:val="clear" w:color="auto" w:fill="auto"/>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239BE88">
      <w:pPr>
        <w:shd w:val="clear" w:color="auto" w:fill="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62E18675">
      <w:pPr>
        <w:shd w:val="clear" w:color="auto" w:fill="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12F50A5D">
      <w:pPr>
        <w:shd w:val="clear" w:color="auto" w:fill="auto"/>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5AAE2902">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磋商响应文件目录</w:t>
      </w:r>
    </w:p>
    <w:p w14:paraId="0757B9D4">
      <w:pPr>
        <w:spacing w:line="360" w:lineRule="auto"/>
        <w:rPr>
          <w:rFonts w:ascii="宋体" w:hAnsi="宋体" w:cs="宋体"/>
          <w:color w:val="auto"/>
          <w:sz w:val="24"/>
          <w:szCs w:val="32"/>
          <w:highlight w:val="none"/>
        </w:rPr>
      </w:pPr>
      <w:r>
        <w:rPr>
          <w:rFonts w:hint="eastAsia" w:ascii="宋体" w:hAnsi="宋体" w:cs="宋体"/>
          <w:b/>
          <w:bCs/>
          <w:color w:val="auto"/>
          <w:sz w:val="28"/>
          <w:szCs w:val="36"/>
          <w:highlight w:val="none"/>
        </w:rPr>
        <w:t xml:space="preserve"> 资格证明部分</w:t>
      </w:r>
    </w:p>
    <w:p w14:paraId="4E8D7B2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磋商声明书（附件1）；</w:t>
      </w:r>
    </w:p>
    <w:p w14:paraId="5CCD32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授权委托书（法定代表人亲自办理投标事宜的，则无需提交）（附件2）；</w:t>
      </w:r>
    </w:p>
    <w:p w14:paraId="03D4EE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法人或者其他组织的营业执照等证明文件，自然人的身份证明（附件3）；</w:t>
      </w:r>
    </w:p>
    <w:p w14:paraId="6276A7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具有良好的商业信誉和健全的财务会计制度的承诺（附件4）；</w:t>
      </w:r>
    </w:p>
    <w:p w14:paraId="33611C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依法缴纳税收和社会保障资金的承诺（附件5）；</w:t>
      </w:r>
    </w:p>
    <w:p w14:paraId="07F500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具备履行合同所必需的设备和专业技术能力的证明材料</w:t>
      </w:r>
    </w:p>
    <w:p w14:paraId="00611B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参加政府采购活动前三年内，在经营活动中没有重大违法记录（附件6）；</w:t>
      </w:r>
    </w:p>
    <w:p w14:paraId="1C6F05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提供采购公告中符合供应商特定条件的相关证明材料或需要说明的其他资料；</w:t>
      </w:r>
    </w:p>
    <w:p w14:paraId="764572ED">
      <w:pPr>
        <w:spacing w:line="360" w:lineRule="auto"/>
        <w:ind w:firstLine="480" w:firstLineChars="200"/>
        <w:rPr>
          <w:rFonts w:hint="eastAsia"/>
          <w:color w:val="auto"/>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szCs w:val="32"/>
          <w:highlight w:val="none"/>
          <w:lang w:val="en-US" w:eastAsia="zh-CN"/>
        </w:rPr>
        <w:t>中小企业声明函</w:t>
      </w:r>
      <w:r>
        <w:rPr>
          <w:rFonts w:hint="eastAsia" w:ascii="宋体" w:hAnsi="宋体" w:cs="宋体"/>
          <w:color w:val="auto"/>
          <w:sz w:val="24"/>
          <w:szCs w:val="32"/>
          <w:highlight w:val="none"/>
          <w:lang w:val="en-US" w:eastAsia="zh-CN"/>
        </w:rPr>
        <w:t>（附件7）</w:t>
      </w:r>
      <w:r>
        <w:rPr>
          <w:rFonts w:hint="eastAsia" w:ascii="宋体" w:hAnsi="宋体" w:cs="宋体"/>
          <w:color w:val="auto"/>
          <w:sz w:val="24"/>
          <w:highlight w:val="none"/>
        </w:rPr>
        <w:t>；</w:t>
      </w:r>
    </w:p>
    <w:p w14:paraId="4A99D9F4">
      <w:pPr>
        <w:spacing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zh-CN"/>
        </w:rPr>
        <w:t>商务与技术</w:t>
      </w:r>
      <w:r>
        <w:rPr>
          <w:rFonts w:hint="eastAsia" w:ascii="宋体" w:hAnsi="宋体" w:cs="宋体"/>
          <w:b/>
          <w:bCs/>
          <w:color w:val="auto"/>
          <w:sz w:val="28"/>
          <w:szCs w:val="36"/>
          <w:highlight w:val="none"/>
        </w:rPr>
        <w:t>部分</w:t>
      </w:r>
    </w:p>
    <w:p w14:paraId="25A2ABB6">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（1）供应商情况介绍。</w:t>
      </w:r>
    </w:p>
    <w:p w14:paraId="550D75A1">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（2）磋商响应方案描述：</w:t>
      </w:r>
    </w:p>
    <w:p w14:paraId="040576A0">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A.施工方案。</w:t>
      </w:r>
    </w:p>
    <w:p w14:paraId="107902DC">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B.项目质量目标及保证措施。</w:t>
      </w:r>
    </w:p>
    <w:p w14:paraId="6978B606">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C.劳动力投入及工期计划</w:t>
      </w:r>
    </w:p>
    <w:p w14:paraId="66BB64BC">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D.施工难点要求和解决措施</w:t>
      </w:r>
    </w:p>
    <w:p w14:paraId="15A99E5F">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E.施工机械设备和周转材料。</w:t>
      </w:r>
    </w:p>
    <w:p w14:paraId="44B9FE1A">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（3）磋商响应描述及相关资料：</w:t>
      </w:r>
    </w:p>
    <w:p w14:paraId="2FD31C5C">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A.商务及技术响应表。</w:t>
      </w:r>
    </w:p>
    <w:p w14:paraId="38D4A129">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（4）近三年来类似项目的成功案例（供应商类似项目实施情况一览表、合同复印件及其相应的发票、用户验收报告等；</w:t>
      </w:r>
    </w:p>
    <w:p w14:paraId="4F70EA62">
      <w:pPr>
        <w:shd w:val="clear" w:color="auto" w:fill="auto"/>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rPr>
        <w:t>）供应商认为需要提供的其他资料（包括可能影响供应商商务与技术内容评分的各类证明材料）。</w:t>
      </w:r>
    </w:p>
    <w:p w14:paraId="3F11DC95">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6</w:t>
      </w:r>
      <w:r>
        <w:rPr>
          <w:rFonts w:hint="eastAsia" w:ascii="宋体" w:hAnsi="宋体" w:eastAsia="宋体" w:cs="宋体"/>
          <w:color w:val="auto"/>
          <w:sz w:val="24"/>
          <w:szCs w:val="32"/>
          <w:highlight w:val="none"/>
        </w:rPr>
        <w:t>）售后服务描述及承诺：</w:t>
      </w:r>
    </w:p>
    <w:p w14:paraId="48B4E638">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A.距采购人最近的服务网点详细介绍（包括地理位置、资质资格、技术力量、服务内容及联系电话等）。</w:t>
      </w:r>
    </w:p>
    <w:p w14:paraId="6D7A7E4D">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B.针对本项目的售后服务措施及承诺（售后技术服务方案、人员配备、故障响应时间、技术培训方案等）。</w:t>
      </w:r>
    </w:p>
    <w:p w14:paraId="6894E823">
      <w:pPr>
        <w:spacing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rPr>
        <w:t>报价部分</w:t>
      </w:r>
    </w:p>
    <w:p w14:paraId="7A96F868">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首次报价一览表</w:t>
      </w:r>
    </w:p>
    <w:p w14:paraId="50C8376D">
      <w:pPr>
        <w:pStyle w:val="8"/>
        <w:rPr>
          <w:rFonts w:hint="default"/>
          <w:color w:val="auto"/>
          <w:highlight w:val="none"/>
          <w:lang w:val="en-US" w:eastAsia="zh-CN"/>
        </w:rPr>
      </w:pPr>
    </w:p>
    <w:p w14:paraId="1B2D97BA">
      <w:pPr>
        <w:rPr>
          <w:rFonts w:hint="default"/>
          <w:color w:val="auto"/>
          <w:highlight w:val="none"/>
          <w:lang w:val="en-US" w:eastAsia="zh-CN"/>
        </w:rPr>
      </w:pPr>
    </w:p>
    <w:p w14:paraId="205CC12E">
      <w:pPr>
        <w:pStyle w:val="8"/>
        <w:rPr>
          <w:rFonts w:hint="default"/>
          <w:color w:val="auto"/>
          <w:highlight w:val="none"/>
          <w:lang w:val="en-US" w:eastAsia="zh-CN"/>
        </w:rPr>
      </w:pPr>
    </w:p>
    <w:p w14:paraId="739F48C8">
      <w:pPr>
        <w:rPr>
          <w:rFonts w:hint="default"/>
          <w:color w:val="auto"/>
          <w:highlight w:val="none"/>
          <w:lang w:val="en-US" w:eastAsia="zh-CN"/>
        </w:rPr>
      </w:pPr>
    </w:p>
    <w:p w14:paraId="2821A5B2">
      <w:pPr>
        <w:pStyle w:val="8"/>
        <w:rPr>
          <w:rFonts w:hint="default"/>
          <w:color w:val="auto"/>
          <w:highlight w:val="none"/>
          <w:lang w:val="en-US" w:eastAsia="zh-CN"/>
        </w:rPr>
      </w:pPr>
    </w:p>
    <w:p w14:paraId="467FA7A0">
      <w:pPr>
        <w:rPr>
          <w:rFonts w:hint="default"/>
          <w:color w:val="auto"/>
          <w:highlight w:val="none"/>
          <w:lang w:val="en-US" w:eastAsia="zh-CN"/>
        </w:rPr>
      </w:pPr>
    </w:p>
    <w:p w14:paraId="246AF901">
      <w:pPr>
        <w:pStyle w:val="8"/>
        <w:rPr>
          <w:rFonts w:hint="default"/>
          <w:color w:val="auto"/>
          <w:highlight w:val="none"/>
          <w:lang w:val="en-US" w:eastAsia="zh-CN"/>
        </w:rPr>
      </w:pPr>
    </w:p>
    <w:p w14:paraId="5388526E">
      <w:pPr>
        <w:rPr>
          <w:rFonts w:hint="default"/>
          <w:color w:val="auto"/>
          <w:highlight w:val="none"/>
          <w:lang w:val="en-US" w:eastAsia="zh-CN"/>
        </w:rPr>
      </w:pPr>
    </w:p>
    <w:p w14:paraId="06CF65A5">
      <w:pPr>
        <w:pStyle w:val="8"/>
        <w:rPr>
          <w:rFonts w:hint="default"/>
          <w:color w:val="auto"/>
          <w:highlight w:val="none"/>
          <w:lang w:val="en-US" w:eastAsia="zh-CN"/>
        </w:rPr>
      </w:pPr>
    </w:p>
    <w:p w14:paraId="34FFF3CA">
      <w:pPr>
        <w:rPr>
          <w:rFonts w:hint="default"/>
          <w:color w:val="auto"/>
          <w:highlight w:val="none"/>
          <w:lang w:val="en-US" w:eastAsia="zh-CN"/>
        </w:rPr>
      </w:pPr>
    </w:p>
    <w:p w14:paraId="74959122">
      <w:pPr>
        <w:pStyle w:val="8"/>
        <w:rPr>
          <w:rFonts w:hint="default"/>
          <w:color w:val="auto"/>
          <w:highlight w:val="none"/>
          <w:lang w:val="en-US" w:eastAsia="zh-CN"/>
        </w:rPr>
      </w:pPr>
    </w:p>
    <w:p w14:paraId="25537DE8">
      <w:pPr>
        <w:rPr>
          <w:rFonts w:hint="default"/>
          <w:color w:val="auto"/>
          <w:highlight w:val="none"/>
          <w:lang w:val="en-US" w:eastAsia="zh-CN"/>
        </w:rPr>
      </w:pPr>
    </w:p>
    <w:p w14:paraId="3EC2B2F6">
      <w:pPr>
        <w:pStyle w:val="8"/>
        <w:rPr>
          <w:rFonts w:hint="default"/>
          <w:color w:val="auto"/>
          <w:highlight w:val="none"/>
          <w:lang w:val="en-US" w:eastAsia="zh-CN"/>
        </w:rPr>
      </w:pPr>
    </w:p>
    <w:p w14:paraId="3B90AB00">
      <w:pPr>
        <w:rPr>
          <w:rFonts w:hint="default"/>
          <w:color w:val="auto"/>
          <w:highlight w:val="none"/>
          <w:lang w:val="en-US" w:eastAsia="zh-CN"/>
        </w:rPr>
      </w:pPr>
    </w:p>
    <w:p w14:paraId="2190E2D3">
      <w:pPr>
        <w:pStyle w:val="81"/>
        <w:ind w:left="0" w:leftChars="0" w:firstLine="0" w:firstLineChars="0"/>
        <w:rPr>
          <w:color w:val="auto"/>
          <w:highlight w:val="none"/>
        </w:rPr>
      </w:pPr>
    </w:p>
    <w:p w14:paraId="1911C56F">
      <w:pPr>
        <w:shd w:val="clear" w:color="auto" w:fill="auto"/>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w:t>
      </w:r>
      <w:r>
        <w:rPr>
          <w:rFonts w:hint="eastAsia" w:ascii="宋体" w:hAnsi="宋体" w:eastAsia="宋体" w:cs="宋体"/>
          <w:b/>
          <w:color w:val="auto"/>
          <w:sz w:val="28"/>
          <w:highlight w:val="none"/>
        </w:rPr>
        <w:t xml:space="preserve">                  磋商</w:t>
      </w:r>
      <w:r>
        <w:rPr>
          <w:rFonts w:hint="eastAsia" w:ascii="宋体" w:hAnsi="宋体" w:eastAsia="宋体" w:cs="宋体"/>
          <w:b/>
          <w:color w:val="auto"/>
          <w:kern w:val="0"/>
          <w:sz w:val="32"/>
          <w:szCs w:val="32"/>
          <w:highlight w:val="none"/>
          <w:lang w:val="zh-CN"/>
        </w:rPr>
        <w:t>声明书</w:t>
      </w:r>
    </w:p>
    <w:p w14:paraId="14922903">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eastAsia="宋体" w:cs="宋体"/>
          <w:color w:val="auto"/>
          <w:sz w:val="24"/>
          <w:szCs w:val="32"/>
          <w:highlight w:val="none"/>
        </w:rPr>
        <w:t>（采购代理机构名称）：</w:t>
      </w:r>
    </w:p>
    <w:p w14:paraId="3C765F9A">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（供应商名称）</w:t>
      </w:r>
      <w:r>
        <w:rPr>
          <w:rFonts w:hint="eastAsia" w:ascii="宋体" w:hAnsi="宋体" w:eastAsia="宋体" w:cs="宋体"/>
          <w:color w:val="auto"/>
          <w:sz w:val="24"/>
          <w:szCs w:val="32"/>
          <w:highlight w:val="none"/>
        </w:rPr>
        <w:t>系中华人民共和国合法企业，经营地址</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w:t>
      </w:r>
    </w:p>
    <w:p w14:paraId="07E024B2">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w:t>
      </w:r>
      <w:r>
        <w:rPr>
          <w:rFonts w:hint="eastAsia" w:ascii="宋体" w:hAnsi="宋体" w:eastAsia="宋体" w:cs="宋体"/>
          <w:color w:val="auto"/>
          <w:sz w:val="24"/>
          <w:szCs w:val="32"/>
          <w:highlight w:val="none"/>
          <w:u w:val="single"/>
        </w:rPr>
        <w:t xml:space="preserve"> 姓名 </w:t>
      </w:r>
      <w:r>
        <w:rPr>
          <w:rFonts w:hint="eastAsia" w:ascii="宋体" w:hAnsi="宋体" w:eastAsia="宋体" w:cs="宋体"/>
          <w:color w:val="auto"/>
          <w:sz w:val="24"/>
          <w:szCs w:val="32"/>
          <w:highlight w:val="none"/>
        </w:rPr>
        <w:t>）系（</w:t>
      </w:r>
      <w:r>
        <w:rPr>
          <w:rFonts w:hint="eastAsia" w:ascii="宋体" w:hAnsi="宋体" w:eastAsia="宋体" w:cs="宋体"/>
          <w:color w:val="auto"/>
          <w:sz w:val="24"/>
          <w:szCs w:val="32"/>
          <w:highlight w:val="none"/>
          <w:u w:val="single"/>
        </w:rPr>
        <w:t xml:space="preserve"> 供应商名称 </w:t>
      </w:r>
      <w:r>
        <w:rPr>
          <w:rFonts w:hint="eastAsia" w:ascii="宋体" w:hAnsi="宋体" w:eastAsia="宋体" w:cs="宋体"/>
          <w:color w:val="auto"/>
          <w:sz w:val="24"/>
          <w:szCs w:val="32"/>
          <w:highlight w:val="none"/>
        </w:rPr>
        <w:t>）的法定代表人，我公司自愿参加贵方组织的（</w:t>
      </w:r>
      <w:r>
        <w:rPr>
          <w:rFonts w:hint="eastAsia" w:ascii="宋体" w:hAnsi="宋体" w:eastAsia="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2024年路桥城区交通拥堵点位整治工程</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）（编号为</w:t>
      </w:r>
      <w:r>
        <w:rPr>
          <w:rFonts w:hint="eastAsia" w:ascii="宋体" w:hAnsi="宋体" w:eastAsia="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ZJWS2024-LQ137</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）的磋商，为此，我公司就本次磋商有关事项郑重声明如下：</w:t>
      </w:r>
    </w:p>
    <w:p w14:paraId="72081306">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75A03A25">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322BE5A9">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不是采购人的附属机构；在获知本项目采购信息后，与采购人聘请的为此项目提供咨询服务的公司及其附属机构没有任何联系。</w:t>
      </w:r>
    </w:p>
    <w:p w14:paraId="6FB051FA">
      <w:pPr>
        <w:shd w:val="clear" w:color="auto" w:fill="auto"/>
        <w:spacing w:line="360" w:lineRule="auto"/>
        <w:ind w:firstLine="480" w:firstLineChars="200"/>
        <w:rPr>
          <w:rFonts w:hint="eastAsia" w:ascii="宋体" w:hAnsi="宋体" w:eastAsia="宋体" w:cs="宋体"/>
          <w:color w:val="auto"/>
          <w:sz w:val="24"/>
          <w:szCs w:val="32"/>
          <w:highlight w:val="none"/>
          <w:lang w:val="af-ZA"/>
        </w:rPr>
      </w:pPr>
      <w:r>
        <w:rPr>
          <w:rFonts w:hint="eastAsia" w:ascii="宋体" w:hAnsi="宋体" w:eastAsia="宋体" w:cs="宋体"/>
          <w:color w:val="auto"/>
          <w:sz w:val="24"/>
          <w:szCs w:val="32"/>
          <w:highlight w:val="none"/>
        </w:rPr>
        <w:t>4、我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保证，</w:t>
      </w:r>
      <w:r>
        <w:rPr>
          <w:rFonts w:hint="eastAsia" w:ascii="宋体" w:hAnsi="宋体" w:eastAsia="宋体" w:cs="宋体"/>
          <w:color w:val="auto"/>
          <w:sz w:val="24"/>
          <w:szCs w:val="32"/>
          <w:highlight w:val="none"/>
          <w:lang w:val="af-ZA"/>
        </w:rPr>
        <w:t>采购人在中华人民共和国境内使用</w:t>
      </w:r>
      <w:r>
        <w:rPr>
          <w:rFonts w:hint="eastAsia" w:ascii="宋体" w:hAnsi="宋体" w:eastAsia="宋体" w:cs="宋体"/>
          <w:color w:val="auto"/>
          <w:sz w:val="24"/>
          <w:szCs w:val="32"/>
          <w:highlight w:val="none"/>
        </w:rPr>
        <w:t>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5002B92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af-ZA"/>
        </w:rPr>
        <w:t>5、我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lang w:val="af-ZA"/>
        </w:rPr>
        <w:t>严格履行政府采购合同，不降低合同约定的产品质量和服务，不擅自变更、中止、终止合同，或拒绝履行合同义务；</w:t>
      </w:r>
    </w:p>
    <w:p w14:paraId="0F56F3D2">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6、以上事项如有虚假或隐瞒，我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愿意承担一切后果，并不再寻求任何旨在减轻或免除法律责任的辩解。</w:t>
      </w:r>
    </w:p>
    <w:p w14:paraId="3F84028D">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14:paraId="15D840AE">
      <w:pPr>
        <w:shd w:val="clear" w:color="auto" w:fill="auto"/>
        <w:spacing w:line="360" w:lineRule="auto"/>
        <w:ind w:firstLine="4560" w:firstLineChars="19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供应商名称（公章）：</w:t>
      </w:r>
    </w:p>
    <w:p w14:paraId="1A088155">
      <w:pPr>
        <w:shd w:val="clear" w:color="auto" w:fill="auto"/>
        <w:spacing w:line="360" w:lineRule="auto"/>
        <w:ind w:firstLine="4560" w:firstLineChars="19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法定代表人或授权委托人（签字）：</w:t>
      </w:r>
    </w:p>
    <w:p w14:paraId="1A178FA5">
      <w:pPr>
        <w:shd w:val="clear" w:color="auto" w:fill="auto"/>
        <w:spacing w:line="360" w:lineRule="auto"/>
        <w:ind w:firstLine="4560" w:firstLineChars="19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日</w:t>
      </w:r>
    </w:p>
    <w:p w14:paraId="679325D5">
      <w:pPr>
        <w:shd w:val="clear" w:color="auto" w:fill="auto"/>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2</w:t>
      </w:r>
      <w:r>
        <w:rPr>
          <w:rFonts w:hint="eastAsia" w:ascii="宋体" w:hAnsi="宋体" w:eastAsia="宋体" w:cs="宋体"/>
          <w:b/>
          <w:color w:val="auto"/>
          <w:sz w:val="28"/>
          <w:highlight w:val="none"/>
        </w:rPr>
        <w:t xml:space="preserve">                  授权委托书</w:t>
      </w:r>
    </w:p>
    <w:p w14:paraId="671E7D28">
      <w:pPr>
        <w:shd w:val="clear" w:color="auto" w:fill="auto"/>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台州市路桥区综合行政执法局、</w:t>
      </w:r>
      <w:r>
        <w:rPr>
          <w:rFonts w:hint="eastAsia" w:ascii="宋体" w:hAnsi="宋体" w:cs="宋体"/>
          <w:color w:val="auto"/>
          <w:sz w:val="24"/>
          <w:szCs w:val="32"/>
          <w:highlight w:val="none"/>
          <w:u w:val="single"/>
          <w:lang w:eastAsia="zh-CN"/>
        </w:rPr>
        <w:t>浙江五石中正工程咨询有限公司</w:t>
      </w:r>
      <w:r>
        <w:rPr>
          <w:rFonts w:hint="eastAsia" w:ascii="宋体" w:hAnsi="宋体" w:eastAsia="宋体" w:cs="宋体"/>
          <w:color w:val="auto"/>
          <w:sz w:val="24"/>
          <w:szCs w:val="32"/>
          <w:highlight w:val="none"/>
        </w:rPr>
        <w:t>：</w:t>
      </w:r>
    </w:p>
    <w:p w14:paraId="6E36EC4F">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（供应商全称）</w:t>
      </w:r>
      <w:r>
        <w:rPr>
          <w:rFonts w:hint="eastAsia" w:ascii="宋体" w:hAnsi="宋体" w:eastAsia="宋体" w:cs="宋体"/>
          <w:color w:val="auto"/>
          <w:sz w:val="24"/>
          <w:szCs w:val="32"/>
          <w:highlight w:val="none"/>
        </w:rPr>
        <w:t>法定代表人（或营业执照中单位负责人）</w:t>
      </w:r>
      <w:r>
        <w:rPr>
          <w:rFonts w:hint="eastAsia" w:ascii="宋体" w:hAnsi="宋体" w:eastAsia="宋体" w:cs="宋体"/>
          <w:color w:val="auto"/>
          <w:sz w:val="24"/>
          <w:szCs w:val="32"/>
          <w:highlight w:val="none"/>
          <w:u w:val="single"/>
        </w:rPr>
        <w:tab/>
      </w:r>
      <w:r>
        <w:rPr>
          <w:rFonts w:hint="eastAsia" w:ascii="宋体" w:hAnsi="宋体" w:eastAsia="宋体" w:cs="宋体"/>
          <w:color w:val="auto"/>
          <w:sz w:val="24"/>
          <w:szCs w:val="32"/>
          <w:highlight w:val="none"/>
          <w:u w:val="single"/>
        </w:rPr>
        <w:t xml:space="preserve">（法定代表人或营业执照中单位负责人姓名） </w:t>
      </w:r>
      <w:r>
        <w:rPr>
          <w:rFonts w:hint="eastAsia" w:ascii="宋体" w:hAnsi="宋体" w:eastAsia="宋体" w:cs="宋体"/>
          <w:color w:val="auto"/>
          <w:sz w:val="24"/>
          <w:szCs w:val="32"/>
          <w:highlight w:val="none"/>
        </w:rPr>
        <w:t>授权</w:t>
      </w:r>
      <w:r>
        <w:rPr>
          <w:rFonts w:hint="eastAsia" w:ascii="宋体" w:hAnsi="宋体" w:eastAsia="宋体" w:cs="宋体"/>
          <w:color w:val="auto"/>
          <w:sz w:val="24"/>
          <w:szCs w:val="32"/>
          <w:highlight w:val="none"/>
          <w:u w:val="single"/>
        </w:rPr>
        <w:t xml:space="preserve"> （授权委托代理人姓名） </w:t>
      </w:r>
      <w:r>
        <w:rPr>
          <w:rFonts w:hint="eastAsia" w:ascii="宋体" w:hAnsi="宋体" w:eastAsia="宋体" w:cs="宋体"/>
          <w:color w:val="auto"/>
          <w:sz w:val="24"/>
          <w:szCs w:val="32"/>
          <w:highlight w:val="none"/>
        </w:rPr>
        <w:t>为授权委托代理人，参加贵单位组织的</w:t>
      </w:r>
      <w:r>
        <w:rPr>
          <w:rFonts w:hint="eastAsia" w:ascii="宋体" w:hAnsi="宋体" w:eastAsia="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2024年路桥城区交通拥堵点位整治工程</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的采购活动，并代表我方全权办理针对上述项目的磋商、签约等具体事务和签署相关文件。我方对授权委托代理人的签字事项负全部责任。</w:t>
      </w:r>
    </w:p>
    <w:p w14:paraId="1C0F512B">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在撤销授权的书面通知以前，本授权书一直有效。授权委托代理人在授权委托书有效期内签署的所有文件不因授权的撤销而失效。</w:t>
      </w:r>
    </w:p>
    <w:p w14:paraId="7B0B7007">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授权委托代理人无转委托权，特此委托。</w:t>
      </w:r>
    </w:p>
    <w:p w14:paraId="1D22FD96">
      <w:pPr>
        <w:shd w:val="clear" w:color="auto" w:fill="auto"/>
        <w:spacing w:line="360" w:lineRule="auto"/>
        <w:ind w:firstLine="480" w:firstLineChars="200"/>
        <w:rPr>
          <w:rFonts w:hint="eastAsia" w:ascii="宋体" w:hAnsi="宋体" w:eastAsia="宋体" w:cs="宋体"/>
          <w:color w:val="auto"/>
          <w:sz w:val="24"/>
          <w:szCs w:val="32"/>
          <w:highlight w:val="none"/>
        </w:rPr>
      </w:pPr>
    </w:p>
    <w:p w14:paraId="1EA53BB9">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法定代表人（单位负责人）签字或盖章：</w:t>
      </w:r>
    </w:p>
    <w:p w14:paraId="1DA3B039">
      <w:pPr>
        <w:shd w:val="clear" w:color="auto" w:fill="auto"/>
        <w:spacing w:line="360" w:lineRule="auto"/>
        <w:ind w:firstLine="480" w:firstLineChars="200"/>
        <w:rPr>
          <w:rFonts w:hint="eastAsia" w:ascii="宋体" w:hAnsi="宋体" w:eastAsia="宋体" w:cs="宋体"/>
          <w:color w:val="auto"/>
          <w:sz w:val="24"/>
          <w:szCs w:val="32"/>
          <w:highlight w:val="none"/>
        </w:rPr>
      </w:pPr>
    </w:p>
    <w:p w14:paraId="5A629E38">
      <w:pPr>
        <w:shd w:val="clear" w:color="auto" w:fill="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供应商全称（公章）：                      </w:t>
      </w: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日</w:t>
      </w:r>
    </w:p>
    <w:p w14:paraId="23047C71">
      <w:pPr>
        <w:shd w:val="clear" w:color="auto" w:fill="auto"/>
        <w:spacing w:line="360" w:lineRule="auto"/>
        <w:ind w:firstLine="480" w:firstLineChars="200"/>
        <w:rPr>
          <w:rFonts w:hint="eastAsia" w:ascii="宋体" w:hAnsi="宋体" w:eastAsia="宋体" w:cs="宋体"/>
          <w:color w:val="auto"/>
          <w:sz w:val="24"/>
          <w:szCs w:val="32"/>
          <w:highlight w:val="none"/>
        </w:rPr>
      </w:pPr>
    </w:p>
    <w:p w14:paraId="3521EBF8">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w:t>
      </w: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CA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F77855A">
            <w:pPr>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14:paraId="75C30D98">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法定代表人（单位负责人）姓名：</w:t>
      </w:r>
    </w:p>
    <w:p w14:paraId="4CF09640">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传真：</w:t>
      </w:r>
    </w:p>
    <w:p w14:paraId="5948201D">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手机：</w:t>
      </w:r>
    </w:p>
    <w:p w14:paraId="2BAE3824">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详细通讯地址：</w:t>
      </w:r>
    </w:p>
    <w:p w14:paraId="17FBA58A">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邮政编码：</w:t>
      </w:r>
    </w:p>
    <w:p w14:paraId="1178AF5C">
      <w:pPr>
        <w:shd w:val="clear" w:color="auto" w:fill="auto"/>
        <w:spacing w:line="360" w:lineRule="auto"/>
        <w:rPr>
          <w:rFonts w:hint="eastAsia" w:ascii="宋体" w:hAnsi="宋体" w:eastAsia="宋体" w:cs="宋体"/>
          <w:b/>
          <w:color w:val="auto"/>
          <w:sz w:val="24"/>
          <w:highlight w:val="none"/>
        </w:rPr>
      </w:pP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D91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0F39531">
            <w:pPr>
              <w:shd w:val="clear" w:color="auto" w:fill="auto"/>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授权委托代理人身份证复印件粘帖处</w:t>
            </w:r>
          </w:p>
        </w:tc>
      </w:tr>
    </w:tbl>
    <w:p w14:paraId="794FD272">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授权委托代理人姓名：</w:t>
      </w:r>
    </w:p>
    <w:p w14:paraId="057739D1">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职务：</w:t>
      </w:r>
    </w:p>
    <w:p w14:paraId="7581ECD4">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传真：</w:t>
      </w:r>
    </w:p>
    <w:p w14:paraId="12528855">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手机：</w:t>
      </w:r>
    </w:p>
    <w:p w14:paraId="3D61AD5C">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详细通讯地址：</w:t>
      </w:r>
    </w:p>
    <w:p w14:paraId="1BF03260">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邮政编码：</w:t>
      </w:r>
    </w:p>
    <w:p w14:paraId="4735BA6C">
      <w:pPr>
        <w:shd w:val="clear" w:color="auto" w:fill="auto"/>
        <w:spacing w:line="360" w:lineRule="auto"/>
        <w:ind w:firstLine="480" w:firstLineChars="200"/>
        <w:rPr>
          <w:rFonts w:hint="eastAsia" w:ascii="宋体" w:hAnsi="宋体" w:eastAsia="宋体" w:cs="宋体"/>
          <w:color w:val="auto"/>
          <w:sz w:val="24"/>
          <w:szCs w:val="32"/>
          <w:highlight w:val="none"/>
        </w:rPr>
      </w:pPr>
    </w:p>
    <w:p w14:paraId="77D840AA">
      <w:pPr>
        <w:pStyle w:val="22"/>
        <w:spacing w:line="360" w:lineRule="auto"/>
        <w:ind w:left="0" w:firstLine="0" w:firstLineChars="0"/>
        <w:outlineLvl w:val="2"/>
        <w:rPr>
          <w:rFonts w:ascii="宋体" w:hAnsi="宋体" w:cs="宋体"/>
          <w:b/>
          <w:color w:val="auto"/>
          <w:sz w:val="28"/>
          <w:highlight w:val="none"/>
        </w:rPr>
      </w:pPr>
      <w:r>
        <w:rPr>
          <w:rFonts w:hint="eastAsia" w:ascii="宋体" w:hAnsi="宋体" w:cs="宋体"/>
          <w:b/>
          <w:color w:val="auto"/>
          <w:sz w:val="28"/>
          <w:highlight w:val="none"/>
        </w:rPr>
        <w:t xml:space="preserve">附件3               </w:t>
      </w:r>
    </w:p>
    <w:p w14:paraId="1E1FF209">
      <w:pPr>
        <w:pStyle w:val="22"/>
        <w:spacing w:line="360" w:lineRule="auto"/>
        <w:ind w:left="0" w:firstLine="0" w:firstLineChars="0"/>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有效的法人或者其他组织的营业执照等证明文件（复印件），自然人的身份证明</w:t>
      </w:r>
    </w:p>
    <w:p w14:paraId="086F0978">
      <w:pPr>
        <w:pStyle w:val="22"/>
        <w:spacing w:line="360" w:lineRule="auto"/>
        <w:ind w:left="0" w:firstLine="0" w:firstLineChars="0"/>
        <w:jc w:val="center"/>
        <w:rPr>
          <w:rFonts w:ascii="宋体" w:hAnsi="宋体" w:cs="宋体"/>
          <w:b/>
          <w:color w:val="auto"/>
          <w:spacing w:val="-6"/>
          <w:sz w:val="24"/>
          <w:highlight w:val="none"/>
        </w:rPr>
      </w:pPr>
    </w:p>
    <w:p w14:paraId="7A204EBA">
      <w:pPr>
        <w:pStyle w:val="22"/>
        <w:spacing w:line="360" w:lineRule="auto"/>
        <w:ind w:left="0" w:firstLine="0" w:firstLineChars="0"/>
        <w:jc w:val="center"/>
        <w:rPr>
          <w:rFonts w:ascii="宋体" w:hAnsi="宋体" w:cs="宋体"/>
          <w:b/>
          <w:color w:val="auto"/>
          <w:spacing w:val="-6"/>
          <w:sz w:val="24"/>
          <w:highlight w:val="none"/>
        </w:rPr>
      </w:pPr>
    </w:p>
    <w:p w14:paraId="0B6DCEA9">
      <w:pPr>
        <w:pStyle w:val="22"/>
        <w:spacing w:line="360" w:lineRule="auto"/>
        <w:ind w:left="0" w:firstLine="0" w:firstLineChars="0"/>
        <w:jc w:val="center"/>
        <w:rPr>
          <w:rFonts w:ascii="宋体" w:hAnsi="宋体" w:cs="宋体"/>
          <w:b/>
          <w:color w:val="auto"/>
          <w:spacing w:val="-6"/>
          <w:sz w:val="24"/>
          <w:highlight w:val="none"/>
        </w:rPr>
      </w:pPr>
    </w:p>
    <w:p w14:paraId="51A1C8D8">
      <w:pP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t>说明：</w:t>
      </w:r>
    </w:p>
    <w:p w14:paraId="17E5D945">
      <w:pPr>
        <w:spacing w:line="360" w:lineRule="auto"/>
        <w:rPr>
          <w:rFonts w:ascii="宋体" w:hAnsi="宋体" w:cs="宋体"/>
          <w:b/>
          <w:color w:val="auto"/>
          <w:sz w:val="24"/>
          <w:highlight w:val="none"/>
        </w:rPr>
      </w:pPr>
      <w:r>
        <w:rPr>
          <w:rFonts w:hint="eastAsia" w:ascii="宋体" w:hAnsi="宋体" w:cs="宋体"/>
          <w:b/>
          <w:color w:val="auto"/>
          <w:sz w:val="24"/>
          <w:highlight w:val="none"/>
        </w:rPr>
        <w:t>1.如供应商是企业（包括合伙企业），提供在工商部门注册的有效“企业法人营业执照”或“营业执照”；</w:t>
      </w:r>
    </w:p>
    <w:p w14:paraId="651F3D25">
      <w:pPr>
        <w:spacing w:line="360" w:lineRule="auto"/>
        <w:rPr>
          <w:rFonts w:ascii="宋体" w:hAnsi="宋体" w:cs="宋体"/>
          <w:b/>
          <w:color w:val="auto"/>
          <w:sz w:val="24"/>
          <w:highlight w:val="none"/>
        </w:rPr>
      </w:pPr>
      <w:r>
        <w:rPr>
          <w:rFonts w:hint="eastAsia" w:ascii="宋体" w:hAnsi="宋体" w:cs="宋体"/>
          <w:b/>
          <w:color w:val="auto"/>
          <w:sz w:val="24"/>
          <w:highlight w:val="none"/>
        </w:rPr>
        <w:t>2.如供应商是事业单位，提供有效的“事业单位法人证书”；</w:t>
      </w:r>
    </w:p>
    <w:p w14:paraId="0AF590F7">
      <w:pPr>
        <w:spacing w:line="360" w:lineRule="auto"/>
        <w:rPr>
          <w:rFonts w:ascii="宋体" w:hAnsi="宋体" w:cs="宋体"/>
          <w:b/>
          <w:color w:val="auto"/>
          <w:sz w:val="24"/>
          <w:highlight w:val="none"/>
        </w:rPr>
      </w:pPr>
      <w:r>
        <w:rPr>
          <w:rFonts w:hint="eastAsia" w:ascii="宋体" w:hAnsi="宋体" w:cs="宋体"/>
          <w:b/>
          <w:color w:val="auto"/>
          <w:sz w:val="24"/>
          <w:highlight w:val="none"/>
        </w:rPr>
        <w:t>3.如供应商是非企业专业服务机构的，提供执业许可证等证明文件；</w:t>
      </w:r>
    </w:p>
    <w:p w14:paraId="407238B3">
      <w:pPr>
        <w:spacing w:line="360" w:lineRule="auto"/>
        <w:rPr>
          <w:rFonts w:ascii="宋体" w:hAnsi="宋体" w:cs="宋体"/>
          <w:b/>
          <w:color w:val="auto"/>
          <w:sz w:val="24"/>
          <w:highlight w:val="none"/>
        </w:rPr>
      </w:pPr>
      <w:r>
        <w:rPr>
          <w:rFonts w:hint="eastAsia" w:ascii="宋体" w:hAnsi="宋体" w:cs="宋体"/>
          <w:b/>
          <w:color w:val="auto"/>
          <w:sz w:val="24"/>
          <w:highlight w:val="none"/>
        </w:rPr>
        <w:t>4.如供应商是个体工商户，提供有效的“个体工商户营业执照”；</w:t>
      </w:r>
    </w:p>
    <w:p w14:paraId="2E175E22">
      <w:pPr>
        <w:spacing w:line="360" w:lineRule="auto"/>
        <w:rPr>
          <w:rFonts w:ascii="宋体" w:hAnsi="宋体" w:cs="宋体"/>
          <w:b/>
          <w:color w:val="auto"/>
          <w:sz w:val="24"/>
          <w:highlight w:val="none"/>
        </w:rPr>
      </w:pPr>
      <w:r>
        <w:rPr>
          <w:rFonts w:hint="eastAsia" w:ascii="宋体" w:hAnsi="宋体" w:cs="宋体"/>
          <w:b/>
          <w:color w:val="auto"/>
          <w:sz w:val="24"/>
          <w:highlight w:val="none"/>
        </w:rPr>
        <w:t>5.如供应商是自然人，提供有效的自然人身份证明。</w:t>
      </w:r>
    </w:p>
    <w:p w14:paraId="3F55B8CE">
      <w:pPr>
        <w:rPr>
          <w:rFonts w:ascii="宋体" w:hAnsi="宋体" w:cs="宋体"/>
          <w:b/>
          <w:bCs/>
          <w:color w:val="auto"/>
          <w:sz w:val="28"/>
          <w:szCs w:val="36"/>
          <w:highlight w:val="none"/>
        </w:rPr>
      </w:pPr>
    </w:p>
    <w:p w14:paraId="31319221">
      <w:pPr>
        <w:rPr>
          <w:rFonts w:ascii="宋体" w:hAnsi="宋体" w:cs="宋体"/>
          <w:b/>
          <w:bCs/>
          <w:color w:val="auto"/>
          <w:sz w:val="28"/>
          <w:szCs w:val="36"/>
          <w:highlight w:val="none"/>
        </w:rPr>
      </w:pPr>
    </w:p>
    <w:p w14:paraId="69E01643">
      <w:pPr>
        <w:rPr>
          <w:rFonts w:ascii="宋体" w:hAnsi="宋体" w:cs="宋体"/>
          <w:b/>
          <w:bCs/>
          <w:color w:val="auto"/>
          <w:sz w:val="28"/>
          <w:szCs w:val="36"/>
          <w:highlight w:val="none"/>
        </w:rPr>
      </w:pPr>
    </w:p>
    <w:p w14:paraId="4C924C30">
      <w:pPr>
        <w:rPr>
          <w:rFonts w:ascii="宋体" w:hAnsi="宋体" w:cs="宋体"/>
          <w:b/>
          <w:bCs/>
          <w:color w:val="auto"/>
          <w:sz w:val="28"/>
          <w:szCs w:val="36"/>
          <w:highlight w:val="none"/>
        </w:rPr>
      </w:pPr>
    </w:p>
    <w:p w14:paraId="565D1978">
      <w:pPr>
        <w:rPr>
          <w:rFonts w:ascii="宋体" w:hAnsi="宋体" w:cs="宋体"/>
          <w:b/>
          <w:bCs/>
          <w:color w:val="auto"/>
          <w:sz w:val="28"/>
          <w:szCs w:val="36"/>
          <w:highlight w:val="none"/>
        </w:rPr>
      </w:pPr>
    </w:p>
    <w:p w14:paraId="655896D2">
      <w:pPr>
        <w:rPr>
          <w:rFonts w:ascii="宋体" w:hAnsi="宋体" w:cs="宋体"/>
          <w:b/>
          <w:bCs/>
          <w:color w:val="auto"/>
          <w:sz w:val="28"/>
          <w:szCs w:val="36"/>
          <w:highlight w:val="none"/>
        </w:rPr>
      </w:pPr>
    </w:p>
    <w:p w14:paraId="1A35D809">
      <w:pPr>
        <w:rPr>
          <w:rFonts w:ascii="宋体" w:hAnsi="宋体" w:cs="宋体"/>
          <w:b/>
          <w:bCs/>
          <w:color w:val="auto"/>
          <w:sz w:val="28"/>
          <w:szCs w:val="36"/>
          <w:highlight w:val="none"/>
        </w:rPr>
      </w:pPr>
    </w:p>
    <w:p w14:paraId="51362DC3">
      <w:pPr>
        <w:rPr>
          <w:rFonts w:ascii="宋体" w:hAnsi="宋体" w:cs="宋体"/>
          <w:b/>
          <w:bCs/>
          <w:color w:val="auto"/>
          <w:sz w:val="28"/>
          <w:szCs w:val="36"/>
          <w:highlight w:val="none"/>
        </w:rPr>
      </w:pPr>
    </w:p>
    <w:p w14:paraId="2F411343">
      <w:pPr>
        <w:rPr>
          <w:rFonts w:ascii="宋体" w:hAnsi="宋体" w:cs="宋体"/>
          <w:b/>
          <w:bCs/>
          <w:color w:val="auto"/>
          <w:sz w:val="28"/>
          <w:szCs w:val="36"/>
          <w:highlight w:val="none"/>
        </w:rPr>
      </w:pPr>
    </w:p>
    <w:p w14:paraId="209878E9">
      <w:pPr>
        <w:rPr>
          <w:rFonts w:ascii="宋体" w:hAnsi="宋体" w:cs="宋体"/>
          <w:b/>
          <w:bCs/>
          <w:color w:val="auto"/>
          <w:sz w:val="28"/>
          <w:szCs w:val="36"/>
          <w:highlight w:val="none"/>
        </w:rPr>
      </w:pPr>
    </w:p>
    <w:p w14:paraId="1FA59FB7">
      <w:pPr>
        <w:rPr>
          <w:rFonts w:ascii="宋体" w:hAnsi="宋体" w:cs="宋体"/>
          <w:b/>
          <w:bCs/>
          <w:color w:val="auto"/>
          <w:sz w:val="28"/>
          <w:szCs w:val="36"/>
          <w:highlight w:val="none"/>
        </w:rPr>
      </w:pPr>
    </w:p>
    <w:p w14:paraId="1C19E88A">
      <w:pPr>
        <w:shd w:val="clear" w:color="auto" w:fill="auto"/>
        <w:rPr>
          <w:rFonts w:hint="eastAsia" w:ascii="宋体" w:hAnsi="宋体" w:eastAsia="宋体" w:cs="宋体"/>
          <w:b/>
          <w:bCs/>
          <w:color w:val="auto"/>
          <w:sz w:val="28"/>
          <w:szCs w:val="36"/>
          <w:highlight w:val="none"/>
        </w:rPr>
      </w:pPr>
    </w:p>
    <w:p w14:paraId="3B2DB01A">
      <w:pPr>
        <w:rPr>
          <w:b/>
          <w:bCs/>
          <w:color w:val="auto"/>
          <w:sz w:val="28"/>
          <w:szCs w:val="28"/>
          <w:highlight w:val="none"/>
        </w:rPr>
      </w:pPr>
      <w:r>
        <w:rPr>
          <w:rFonts w:hint="eastAsia"/>
          <w:b/>
          <w:bCs/>
          <w:color w:val="auto"/>
          <w:sz w:val="28"/>
          <w:szCs w:val="28"/>
          <w:highlight w:val="none"/>
        </w:rPr>
        <w:t>附件4</w:t>
      </w:r>
    </w:p>
    <w:p w14:paraId="5BA55552">
      <w:pPr>
        <w:spacing w:after="317" w:afterLines="100" w:line="480" w:lineRule="auto"/>
        <w:jc w:val="center"/>
        <w:rPr>
          <w:rFonts w:ascii="宋体" w:hAnsi="宋体" w:cs="宋体"/>
          <w:color w:val="auto"/>
          <w:sz w:val="24"/>
          <w:highlight w:val="none"/>
        </w:rPr>
      </w:pPr>
      <w:r>
        <w:rPr>
          <w:rFonts w:hint="eastAsia" w:ascii="宋体" w:hAnsi="宋体" w:cs="宋体"/>
          <w:b/>
          <w:bCs/>
          <w:color w:val="auto"/>
          <w:kern w:val="0"/>
          <w:sz w:val="24"/>
          <w:highlight w:val="none"/>
          <w:lang w:val="zh-CN"/>
        </w:rPr>
        <w:t>具备健全的财务会计制度的承诺函</w:t>
      </w:r>
    </w:p>
    <w:p w14:paraId="488354CD">
      <w:pPr>
        <w:widowControl/>
        <w:spacing w:line="600" w:lineRule="exact"/>
        <w:rPr>
          <w:rFonts w:ascii="宋体" w:hAnsi="宋体" w:cs="宋体"/>
          <w:color w:val="auto"/>
          <w:kern w:val="0"/>
          <w:sz w:val="24"/>
          <w:highlight w:val="none"/>
        </w:rPr>
      </w:pPr>
    </w:p>
    <w:p w14:paraId="52DBE558">
      <w:pPr>
        <w:widowControl/>
        <w:spacing w:line="600" w:lineRule="exact"/>
        <w:rPr>
          <w:rFonts w:ascii="宋体" w:hAnsi="宋体" w:cs="宋体"/>
          <w:color w:val="auto"/>
          <w:sz w:val="24"/>
          <w:highlight w:val="none"/>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rPr>
        <w:t>浙江五石中正工程咨询有限公司</w:t>
      </w:r>
    </w:p>
    <w:p w14:paraId="22ABBF53">
      <w:pPr>
        <w:pStyle w:val="3"/>
        <w:spacing w:line="600" w:lineRule="exact"/>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lang w:val="en-US" w:eastAsia="zh-CN"/>
        </w:rPr>
        <w:t xml:space="preserve">  </w:t>
      </w:r>
      <w:r>
        <w:rPr>
          <w:rFonts w:hint="eastAsia" w:ascii="宋体" w:hAnsi="宋体" w:cs="宋体"/>
          <w:b/>
          <w:bCs/>
          <w:color w:val="auto"/>
          <w:sz w:val="24"/>
          <w:szCs w:val="32"/>
          <w:highlight w:val="none"/>
          <w:u w:val="single"/>
          <w:lang w:eastAsia="zh-CN"/>
        </w:rPr>
        <w:t>2024年路桥城区交通拥堵点位整治工程</w:t>
      </w:r>
      <w:r>
        <w:rPr>
          <w:rFonts w:hint="eastAsia" w:ascii="宋体" w:hAnsi="宋体" w:cs="宋体"/>
          <w:color w:val="auto"/>
          <w:highlight w:val="none"/>
          <w:lang w:val="en-US" w:eastAsia="zh-CN"/>
        </w:rPr>
        <w:t xml:space="preserve">   </w:t>
      </w:r>
      <w:r>
        <w:rPr>
          <w:rFonts w:hint="eastAsia" w:ascii="宋体" w:hAnsi="宋体" w:cs="宋体"/>
          <w:color w:val="auto"/>
          <w:highlight w:val="none"/>
          <w:u w:val="single"/>
        </w:rPr>
        <w:t>（编号为</w:t>
      </w:r>
      <w:r>
        <w:rPr>
          <w:rFonts w:hint="eastAsia" w:ascii="宋体" w:hAnsi="宋体" w:cs="宋体"/>
          <w:color w:val="auto"/>
          <w:szCs w:val="32"/>
          <w:highlight w:val="none"/>
          <w:u w:val="single"/>
          <w:lang w:eastAsia="zh-CN"/>
        </w:rPr>
        <w:t>ZJWS2024-LQ137</w:t>
      </w:r>
      <w:r>
        <w:rPr>
          <w:rFonts w:hint="eastAsia" w:ascii="宋体" w:hAnsi="宋体" w:cs="宋体"/>
          <w:color w:val="auto"/>
          <w:szCs w:val="32"/>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14:paraId="17515ECE">
      <w:pPr>
        <w:pStyle w:val="3"/>
        <w:spacing w:line="600" w:lineRule="exact"/>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w:t>
      </w:r>
      <w:r>
        <w:rPr>
          <w:rFonts w:hint="eastAsia" w:ascii="宋体" w:hAnsi="宋体" w:cs="宋体"/>
          <w:color w:val="auto"/>
          <w:kern w:val="0"/>
          <w:highlight w:val="none"/>
        </w:rPr>
        <w:t>没有处于被责令停产、财产被接管、冻结或破产状态，具有足够的流动资金，有能力履行合同；我公司</w:t>
      </w:r>
      <w:r>
        <w:rPr>
          <w:rFonts w:hint="eastAsia" w:ascii="宋体" w:hAnsi="宋体" w:cs="宋体"/>
          <w:color w:val="auto"/>
          <w:highlight w:val="none"/>
        </w:rPr>
        <w:t>具有良好的商业信誉和健全的财务会计制度。</w:t>
      </w:r>
    </w:p>
    <w:p w14:paraId="6D382A3D">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14:paraId="1F8C485D">
      <w:pPr>
        <w:spacing w:line="360" w:lineRule="auto"/>
        <w:rPr>
          <w:rFonts w:ascii="宋体" w:hAnsi="宋体" w:cs="宋体"/>
          <w:color w:val="auto"/>
          <w:sz w:val="24"/>
          <w:highlight w:val="none"/>
          <w:lang w:val="zh-CN"/>
        </w:rPr>
      </w:pPr>
    </w:p>
    <w:p w14:paraId="21E4B36C">
      <w:pPr>
        <w:pStyle w:val="3"/>
        <w:rPr>
          <w:rFonts w:ascii="宋体" w:hAnsi="宋体" w:cs="宋体"/>
          <w:color w:val="auto"/>
          <w:highlight w:val="none"/>
          <w:lang w:val="zh-CN"/>
        </w:rPr>
      </w:pPr>
    </w:p>
    <w:p w14:paraId="0BEF1687">
      <w:pPr>
        <w:pStyle w:val="3"/>
        <w:rPr>
          <w:rFonts w:ascii="宋体" w:hAnsi="宋体" w:cs="宋体"/>
          <w:color w:val="auto"/>
          <w:highlight w:val="none"/>
          <w:lang w:val="zh-CN"/>
        </w:rPr>
      </w:pPr>
    </w:p>
    <w:p w14:paraId="4AB64BEA">
      <w:pPr>
        <w:pStyle w:val="3"/>
        <w:rPr>
          <w:rFonts w:ascii="宋体" w:hAnsi="宋体" w:cs="宋体"/>
          <w:color w:val="auto"/>
          <w:highlight w:val="none"/>
          <w:lang w:val="zh-CN"/>
        </w:rPr>
      </w:pPr>
    </w:p>
    <w:p w14:paraId="6A3E4071">
      <w:pPr>
        <w:widowControl/>
        <w:wordWrap w:val="0"/>
        <w:spacing w:line="360" w:lineRule="auto"/>
        <w:jc w:val="right"/>
        <w:rPr>
          <w:rFonts w:ascii="宋体" w:hAnsi="宋体" w:cs="宋体"/>
          <w:color w:val="auto"/>
          <w:kern w:val="0"/>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rPr>
        <w:t xml:space="preserve">(公章)：             </w:t>
      </w:r>
    </w:p>
    <w:p w14:paraId="52C330D5">
      <w:pPr>
        <w:widowControl/>
        <w:spacing w:line="360" w:lineRule="auto"/>
        <w:jc w:val="left"/>
        <w:rPr>
          <w:rFonts w:ascii="宋体" w:hAnsi="宋体" w:cs="宋体"/>
          <w:color w:val="auto"/>
          <w:kern w:val="0"/>
          <w:sz w:val="24"/>
          <w:highlight w:val="none"/>
        </w:rPr>
      </w:pPr>
    </w:p>
    <w:p w14:paraId="5DA05FDD">
      <w:pPr>
        <w:widowControl/>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法定代表人(签字或盖章)或授权委托代理人(签字)：</w:t>
      </w:r>
    </w:p>
    <w:p w14:paraId="162147EA">
      <w:pPr>
        <w:widowControl/>
        <w:spacing w:line="360" w:lineRule="auto"/>
        <w:jc w:val="left"/>
        <w:rPr>
          <w:rFonts w:ascii="宋体" w:hAnsi="宋体" w:cs="宋体"/>
          <w:color w:val="auto"/>
          <w:kern w:val="0"/>
          <w:sz w:val="24"/>
          <w:highlight w:val="none"/>
        </w:rPr>
      </w:pPr>
    </w:p>
    <w:p w14:paraId="7D0BC60E">
      <w:pPr>
        <w:spacing w:line="360" w:lineRule="auto"/>
        <w:jc w:val="right"/>
        <w:rPr>
          <w:rFonts w:ascii="宋体" w:hAnsi="宋体" w:cs="宋体"/>
          <w:color w:val="auto"/>
          <w:sz w:val="24"/>
          <w:highlight w:val="none"/>
        </w:rPr>
      </w:pPr>
      <w:r>
        <w:rPr>
          <w:rFonts w:hint="eastAsia" w:ascii="宋体" w:hAnsi="宋体" w:cs="宋体"/>
          <w:color w:val="auto"/>
          <w:kern w:val="0"/>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日</w:t>
      </w:r>
    </w:p>
    <w:p w14:paraId="3A3CBEDF">
      <w:pPr>
        <w:spacing w:line="360" w:lineRule="auto"/>
        <w:rPr>
          <w:rFonts w:ascii="宋体" w:hAnsi="宋体" w:cs="宋体"/>
          <w:b/>
          <w:bCs/>
          <w:color w:val="auto"/>
          <w:spacing w:val="-6"/>
          <w:sz w:val="24"/>
          <w:highlight w:val="none"/>
        </w:rPr>
      </w:pPr>
    </w:p>
    <w:p w14:paraId="472C39D1">
      <w:pPr>
        <w:shd w:val="clear" w:color="auto" w:fill="auto"/>
        <w:rPr>
          <w:rFonts w:hint="eastAsia" w:ascii="宋体" w:hAnsi="宋体" w:eastAsia="宋体" w:cs="宋体"/>
          <w:b/>
          <w:bCs/>
          <w:color w:val="auto"/>
          <w:sz w:val="28"/>
          <w:szCs w:val="36"/>
          <w:highlight w:val="none"/>
        </w:rPr>
      </w:pPr>
    </w:p>
    <w:p w14:paraId="66C701D1">
      <w:pPr>
        <w:shd w:val="clear" w:color="auto" w:fill="auto"/>
        <w:rPr>
          <w:rFonts w:hint="eastAsia" w:ascii="宋体" w:hAnsi="宋体" w:eastAsia="宋体" w:cs="宋体"/>
          <w:b/>
          <w:bCs/>
          <w:color w:val="auto"/>
          <w:sz w:val="28"/>
          <w:szCs w:val="36"/>
          <w:highlight w:val="none"/>
        </w:rPr>
      </w:pPr>
    </w:p>
    <w:p w14:paraId="641399E0">
      <w:pPr>
        <w:shd w:val="clear" w:color="auto" w:fill="auto"/>
        <w:rPr>
          <w:rFonts w:hint="eastAsia" w:ascii="宋体" w:hAnsi="宋体" w:eastAsia="宋体" w:cs="宋体"/>
          <w:b/>
          <w:bCs/>
          <w:color w:val="auto"/>
          <w:sz w:val="28"/>
          <w:szCs w:val="36"/>
          <w:highlight w:val="none"/>
        </w:rPr>
      </w:pPr>
    </w:p>
    <w:p w14:paraId="16E2DEEE">
      <w:pPr>
        <w:shd w:val="clear" w:color="auto" w:fill="auto"/>
        <w:rPr>
          <w:rFonts w:hint="eastAsia" w:ascii="宋体" w:hAnsi="宋体" w:eastAsia="宋体" w:cs="宋体"/>
          <w:b/>
          <w:bCs/>
          <w:color w:val="auto"/>
          <w:sz w:val="28"/>
          <w:szCs w:val="36"/>
          <w:highlight w:val="none"/>
        </w:rPr>
      </w:pPr>
    </w:p>
    <w:p w14:paraId="48D383C3">
      <w:pPr>
        <w:rPr>
          <w:rFonts w:hint="eastAsia"/>
          <w:b/>
          <w:bCs/>
          <w:color w:val="auto"/>
          <w:sz w:val="28"/>
          <w:szCs w:val="28"/>
          <w:highlight w:val="none"/>
        </w:rPr>
      </w:pPr>
    </w:p>
    <w:p w14:paraId="5BA2AB6F">
      <w:pPr>
        <w:rPr>
          <w:rFonts w:ascii="宋体" w:hAnsi="宋体" w:cs="宋体"/>
          <w:b/>
          <w:color w:val="auto"/>
          <w:sz w:val="24"/>
          <w:highlight w:val="none"/>
        </w:rPr>
      </w:pPr>
      <w:r>
        <w:rPr>
          <w:rFonts w:hint="eastAsia"/>
          <w:b/>
          <w:bCs/>
          <w:color w:val="auto"/>
          <w:sz w:val="28"/>
          <w:szCs w:val="28"/>
          <w:highlight w:val="none"/>
        </w:rPr>
        <w:t>附件5</w:t>
      </w:r>
    </w:p>
    <w:p w14:paraId="5A4AA8BF">
      <w:pPr>
        <w:spacing w:after="317" w:afterLines="100" w:line="480" w:lineRule="auto"/>
        <w:jc w:val="center"/>
        <w:rPr>
          <w:rFonts w:ascii="宋体" w:hAnsi="宋体" w:cs="宋体"/>
          <w:color w:val="auto"/>
          <w:sz w:val="24"/>
          <w:highlight w:val="none"/>
        </w:rPr>
      </w:pPr>
      <w:r>
        <w:rPr>
          <w:rFonts w:hint="eastAsia" w:ascii="宋体" w:hAnsi="宋体" w:cs="宋体"/>
          <w:b/>
          <w:bCs/>
          <w:color w:val="auto"/>
          <w:kern w:val="0"/>
          <w:sz w:val="24"/>
          <w:highlight w:val="none"/>
          <w:lang w:val="zh-CN"/>
        </w:rPr>
        <w:t>无税收缴纳、社会保障等方面的失信记录的承诺函</w:t>
      </w:r>
    </w:p>
    <w:p w14:paraId="637BA5E9">
      <w:pPr>
        <w:widowControl/>
        <w:spacing w:line="600" w:lineRule="exact"/>
        <w:rPr>
          <w:rFonts w:ascii="宋体" w:hAnsi="宋体" w:cs="宋体"/>
          <w:color w:val="auto"/>
          <w:kern w:val="0"/>
          <w:sz w:val="24"/>
          <w:highlight w:val="none"/>
        </w:rPr>
      </w:pPr>
    </w:p>
    <w:p w14:paraId="3300810F">
      <w:pPr>
        <w:widowControl/>
        <w:spacing w:line="600" w:lineRule="exact"/>
        <w:rPr>
          <w:rFonts w:ascii="宋体" w:hAnsi="宋体" w:cs="宋体"/>
          <w:color w:val="auto"/>
          <w:sz w:val="24"/>
          <w:highlight w:val="none"/>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rPr>
        <w:t>浙江五石中正工程咨询有限公司</w:t>
      </w:r>
    </w:p>
    <w:p w14:paraId="42A49700">
      <w:pPr>
        <w:pStyle w:val="3"/>
        <w:spacing w:line="600" w:lineRule="exact"/>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b/>
          <w:bCs/>
          <w:color w:val="auto"/>
          <w:sz w:val="24"/>
          <w:szCs w:val="32"/>
          <w:highlight w:val="none"/>
          <w:u w:val="single"/>
          <w:lang w:eastAsia="zh-CN"/>
        </w:rPr>
        <w:t>2024年路桥城区交通拥堵点位整治工程</w:t>
      </w:r>
      <w:r>
        <w:rPr>
          <w:rFonts w:hint="eastAsia" w:ascii="宋体" w:hAnsi="宋体" w:cs="宋体"/>
          <w:color w:val="auto"/>
          <w:highlight w:val="none"/>
          <w:u w:val="single"/>
        </w:rPr>
        <w:t>（编号为</w:t>
      </w:r>
      <w:r>
        <w:rPr>
          <w:rFonts w:hint="eastAsia" w:ascii="宋体" w:hAnsi="宋体" w:cs="宋体"/>
          <w:color w:val="auto"/>
          <w:szCs w:val="32"/>
          <w:highlight w:val="none"/>
          <w:u w:val="single"/>
          <w:lang w:eastAsia="zh-CN"/>
        </w:rPr>
        <w:t>ZJWS2024-LQ137</w:t>
      </w:r>
      <w:r>
        <w:rPr>
          <w:rFonts w:hint="eastAsia" w:ascii="宋体" w:hAnsi="宋体" w:cs="宋体"/>
          <w:color w:val="auto"/>
          <w:szCs w:val="32"/>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14:paraId="7B903B75">
      <w:pPr>
        <w:pStyle w:val="3"/>
        <w:spacing w:line="600" w:lineRule="exact"/>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14AA9D43">
      <w:pPr>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14:paraId="4B363FBA">
      <w:pPr>
        <w:spacing w:line="360" w:lineRule="auto"/>
        <w:rPr>
          <w:rFonts w:ascii="宋体" w:hAnsi="宋体" w:cs="宋体"/>
          <w:color w:val="auto"/>
          <w:sz w:val="24"/>
          <w:highlight w:val="none"/>
          <w:lang w:val="zh-CN"/>
        </w:rPr>
      </w:pPr>
    </w:p>
    <w:p w14:paraId="182AE9C1">
      <w:pPr>
        <w:pStyle w:val="3"/>
        <w:rPr>
          <w:rFonts w:ascii="宋体" w:hAnsi="宋体" w:cs="宋体"/>
          <w:color w:val="auto"/>
          <w:highlight w:val="none"/>
          <w:lang w:val="zh-CN"/>
        </w:rPr>
      </w:pPr>
    </w:p>
    <w:p w14:paraId="40ED4D5A">
      <w:pPr>
        <w:pStyle w:val="3"/>
        <w:rPr>
          <w:rFonts w:ascii="宋体" w:hAnsi="宋体" w:cs="宋体"/>
          <w:color w:val="auto"/>
          <w:highlight w:val="none"/>
          <w:lang w:val="zh-CN"/>
        </w:rPr>
      </w:pPr>
    </w:p>
    <w:p w14:paraId="421C579B">
      <w:pPr>
        <w:widowControl/>
        <w:wordWrap w:val="0"/>
        <w:spacing w:line="360" w:lineRule="auto"/>
        <w:jc w:val="right"/>
        <w:rPr>
          <w:rFonts w:ascii="宋体" w:hAnsi="宋体" w:cs="宋体"/>
          <w:color w:val="auto"/>
          <w:kern w:val="0"/>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rPr>
        <w:t xml:space="preserve">(公章)：             </w:t>
      </w:r>
    </w:p>
    <w:p w14:paraId="150B4240">
      <w:pPr>
        <w:widowControl/>
        <w:spacing w:line="360" w:lineRule="auto"/>
        <w:jc w:val="left"/>
        <w:rPr>
          <w:rFonts w:ascii="宋体" w:hAnsi="宋体" w:cs="宋体"/>
          <w:color w:val="auto"/>
          <w:kern w:val="0"/>
          <w:sz w:val="24"/>
          <w:highlight w:val="none"/>
        </w:rPr>
      </w:pPr>
    </w:p>
    <w:p w14:paraId="52B4447F">
      <w:pPr>
        <w:widowControl/>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法定代表人(签字或盖章)或授权委托代理人(签字)：</w:t>
      </w:r>
    </w:p>
    <w:p w14:paraId="479B0F6D">
      <w:pPr>
        <w:widowControl/>
        <w:spacing w:line="360" w:lineRule="auto"/>
        <w:jc w:val="left"/>
        <w:rPr>
          <w:rFonts w:ascii="宋体" w:hAnsi="宋体" w:cs="宋体"/>
          <w:color w:val="auto"/>
          <w:kern w:val="0"/>
          <w:sz w:val="24"/>
          <w:highlight w:val="none"/>
        </w:rPr>
      </w:pPr>
    </w:p>
    <w:p w14:paraId="4A4672F2">
      <w:pPr>
        <w:spacing w:line="360" w:lineRule="auto"/>
        <w:jc w:val="right"/>
        <w:rPr>
          <w:rFonts w:ascii="宋体" w:hAnsi="宋体" w:cs="宋体"/>
          <w:color w:val="auto"/>
          <w:sz w:val="24"/>
          <w:highlight w:val="none"/>
        </w:rPr>
      </w:pPr>
      <w:r>
        <w:rPr>
          <w:rFonts w:hint="eastAsia" w:ascii="宋体" w:hAnsi="宋体" w:cs="宋体"/>
          <w:color w:val="auto"/>
          <w:kern w:val="0"/>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日</w:t>
      </w:r>
    </w:p>
    <w:p w14:paraId="7662165E">
      <w:pPr>
        <w:pStyle w:val="56"/>
        <w:shd w:val="clear" w:color="auto" w:fill="FFFFFF"/>
        <w:spacing w:before="0" w:beforeAutospacing="0" w:after="0" w:afterAutospacing="0" w:line="360" w:lineRule="auto"/>
        <w:rPr>
          <w:b/>
          <w:color w:val="auto"/>
          <w:highlight w:val="none"/>
        </w:rPr>
      </w:pPr>
    </w:p>
    <w:p w14:paraId="0F263E9C">
      <w:pPr>
        <w:spacing w:line="360" w:lineRule="auto"/>
        <w:rPr>
          <w:rFonts w:ascii="宋体" w:hAnsi="宋体" w:cs="宋体"/>
          <w:b/>
          <w:color w:val="auto"/>
          <w:sz w:val="24"/>
          <w:highlight w:val="none"/>
        </w:rPr>
      </w:pPr>
    </w:p>
    <w:p w14:paraId="4DE19725">
      <w:pPr>
        <w:pStyle w:val="8"/>
        <w:rPr>
          <w:rFonts w:ascii="宋体" w:hAnsi="宋体" w:eastAsia="宋体" w:cs="宋体"/>
          <w:color w:val="auto"/>
          <w:sz w:val="24"/>
          <w:highlight w:val="none"/>
        </w:rPr>
      </w:pPr>
    </w:p>
    <w:p w14:paraId="439A0261">
      <w:pPr>
        <w:rPr>
          <w:rFonts w:ascii="宋体" w:hAnsi="宋体" w:eastAsia="宋体" w:cs="宋体"/>
          <w:color w:val="auto"/>
          <w:sz w:val="24"/>
          <w:highlight w:val="none"/>
        </w:rPr>
      </w:pPr>
    </w:p>
    <w:p w14:paraId="55AA20E5">
      <w:pPr>
        <w:rPr>
          <w:rFonts w:hint="eastAsia"/>
          <w:b/>
          <w:bCs/>
          <w:color w:val="auto"/>
          <w:sz w:val="28"/>
          <w:szCs w:val="28"/>
          <w:highlight w:val="none"/>
        </w:rPr>
      </w:pPr>
    </w:p>
    <w:p w14:paraId="0E3E971D">
      <w:pPr>
        <w:rPr>
          <w:rFonts w:hint="eastAsia"/>
          <w:b/>
          <w:bCs/>
          <w:color w:val="auto"/>
          <w:sz w:val="28"/>
          <w:szCs w:val="28"/>
          <w:highlight w:val="none"/>
        </w:rPr>
      </w:pPr>
    </w:p>
    <w:p w14:paraId="0070CA12">
      <w:pPr>
        <w:rPr>
          <w:b/>
          <w:bCs/>
          <w:color w:val="auto"/>
          <w:sz w:val="28"/>
          <w:szCs w:val="28"/>
          <w:highlight w:val="none"/>
        </w:rPr>
      </w:pPr>
      <w:r>
        <w:rPr>
          <w:rFonts w:hint="eastAsia"/>
          <w:b/>
          <w:bCs/>
          <w:color w:val="auto"/>
          <w:sz w:val="28"/>
          <w:szCs w:val="28"/>
          <w:highlight w:val="none"/>
        </w:rPr>
        <w:t>附件6</w:t>
      </w:r>
    </w:p>
    <w:p w14:paraId="5676D7C5">
      <w:pPr>
        <w:widowControl/>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参加政府采购活动前3年内在经营活动中没有重大违法记录的书面声明</w:t>
      </w:r>
    </w:p>
    <w:p w14:paraId="030FE8E6">
      <w:pPr>
        <w:pStyle w:val="22"/>
        <w:spacing w:line="360" w:lineRule="auto"/>
        <w:ind w:left="169" w:hanging="169" w:hangingChars="74"/>
        <w:jc w:val="center"/>
        <w:rPr>
          <w:rFonts w:ascii="宋体" w:hAnsi="宋体" w:cs="宋体"/>
          <w:b/>
          <w:color w:val="auto"/>
          <w:spacing w:val="-6"/>
          <w:sz w:val="24"/>
          <w:highlight w:val="none"/>
        </w:rPr>
      </w:pPr>
      <w:r>
        <w:rPr>
          <w:rFonts w:hint="eastAsia" w:ascii="宋体" w:hAnsi="宋体" w:cs="宋体"/>
          <w:b/>
          <w:color w:val="auto"/>
          <w:spacing w:val="-6"/>
          <w:sz w:val="24"/>
          <w:highlight w:val="none"/>
        </w:rPr>
        <w:t>声明函</w:t>
      </w:r>
    </w:p>
    <w:p w14:paraId="664DDABF">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spacing w:val="-6"/>
          <w:sz w:val="24"/>
          <w:highlight w:val="none"/>
          <w:u w:val="single"/>
        </w:rPr>
        <w:t>浙江五石中正工程咨询有限公司</w:t>
      </w:r>
    </w:p>
    <w:p w14:paraId="1ACFD3BE">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我公司郑重承诺在参加本项目政府采购活动前三年内，在经营活动中</w:t>
      </w:r>
      <w:r>
        <w:rPr>
          <w:rFonts w:hint="eastAsia" w:ascii="宋体" w:hAnsi="宋体" w:cs="宋体"/>
          <w:b/>
          <w:color w:val="auto"/>
          <w:spacing w:val="-6"/>
          <w:sz w:val="24"/>
          <w:highlight w:val="none"/>
          <w:u w:val="single"/>
        </w:rPr>
        <w:t xml:space="preserve">     </w:t>
      </w:r>
      <w:r>
        <w:rPr>
          <w:rFonts w:hint="eastAsia" w:ascii="宋体" w:hAnsi="宋体" w:cs="宋体"/>
          <w:b/>
          <w:color w:val="auto"/>
          <w:spacing w:val="-6"/>
          <w:sz w:val="24"/>
          <w:highlight w:val="none"/>
        </w:rPr>
        <w:t>（填写“有”或“没有”，如实填写，如不填写视同未提供本声明函）</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654C9969">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以上事项如有虚假或隐瞒，我方愿意承担一切后果和责任。</w:t>
      </w:r>
    </w:p>
    <w:p w14:paraId="63C1C2DA">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特此声明。</w:t>
      </w:r>
    </w:p>
    <w:p w14:paraId="10413E63">
      <w:pPr>
        <w:spacing w:line="360" w:lineRule="auto"/>
        <w:rPr>
          <w:rFonts w:ascii="宋体" w:hAnsi="宋体" w:cs="宋体"/>
          <w:color w:val="auto"/>
          <w:spacing w:val="-6"/>
          <w:sz w:val="24"/>
          <w:highlight w:val="none"/>
        </w:rPr>
      </w:pPr>
    </w:p>
    <w:p w14:paraId="1C0D58E7">
      <w:pPr>
        <w:pStyle w:val="83"/>
        <w:spacing w:line="360" w:lineRule="auto"/>
        <w:rPr>
          <w:rFonts w:ascii="宋体" w:hAnsi="宋体" w:cs="宋体"/>
          <w:color w:val="auto"/>
          <w:spacing w:val="-6"/>
          <w:highlight w:val="none"/>
        </w:rPr>
      </w:pPr>
    </w:p>
    <w:p w14:paraId="2E172C68">
      <w:pPr>
        <w:pStyle w:val="84"/>
        <w:spacing w:line="360" w:lineRule="auto"/>
        <w:ind w:left="0"/>
        <w:rPr>
          <w:rFonts w:ascii="宋体" w:hAnsi="宋体" w:cs="宋体"/>
          <w:color w:val="auto"/>
          <w:sz w:val="24"/>
          <w:szCs w:val="24"/>
          <w:highlight w:val="none"/>
        </w:rPr>
      </w:pPr>
    </w:p>
    <w:p w14:paraId="2E20A409">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供应商名称（盖章）：</w:t>
      </w:r>
    </w:p>
    <w:p w14:paraId="63149237">
      <w:pPr>
        <w:spacing w:line="360" w:lineRule="auto"/>
        <w:rPr>
          <w:rFonts w:ascii="宋体" w:hAnsi="宋体" w:cs="宋体"/>
          <w:color w:val="auto"/>
          <w:spacing w:val="-6"/>
          <w:sz w:val="24"/>
          <w:highlight w:val="none"/>
        </w:rPr>
      </w:pPr>
      <w:r>
        <w:rPr>
          <w:rFonts w:hint="eastAsia" w:ascii="宋体" w:hAnsi="宋体" w:cs="宋体"/>
          <w:color w:val="auto"/>
          <w:kern w:val="0"/>
          <w:sz w:val="24"/>
          <w:highlight w:val="none"/>
        </w:rPr>
        <w:t>法定代表人(签字或盖章)或授权委托代理人(签字)</w:t>
      </w:r>
      <w:r>
        <w:rPr>
          <w:rFonts w:hint="eastAsia" w:ascii="宋体" w:hAnsi="宋体" w:cs="宋体"/>
          <w:color w:val="auto"/>
          <w:spacing w:val="-6"/>
          <w:sz w:val="24"/>
          <w:highlight w:val="none"/>
        </w:rPr>
        <w:t>：</w:t>
      </w:r>
    </w:p>
    <w:p w14:paraId="0775F98E">
      <w:pPr>
        <w:widowControl/>
        <w:tabs>
          <w:tab w:val="left" w:pos="3225"/>
        </w:tabs>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日期：     年   月   日</w:t>
      </w:r>
    </w:p>
    <w:p w14:paraId="2F41B080">
      <w:pPr>
        <w:snapToGrid w:val="0"/>
        <w:spacing w:line="360" w:lineRule="auto"/>
        <w:ind w:firstLine="2160" w:firstLineChars="900"/>
        <w:rPr>
          <w:rFonts w:ascii="宋体" w:hAnsi="宋体" w:cs="宋体"/>
          <w:color w:val="auto"/>
          <w:sz w:val="24"/>
          <w:highlight w:val="none"/>
          <w:lang w:val="zh-CN"/>
        </w:rPr>
      </w:pPr>
    </w:p>
    <w:p w14:paraId="70112F8A">
      <w:pPr>
        <w:spacing w:line="360" w:lineRule="auto"/>
        <w:rPr>
          <w:rFonts w:ascii="宋体" w:hAnsi="宋体" w:cs="宋体"/>
          <w:color w:val="auto"/>
          <w:sz w:val="24"/>
          <w:szCs w:val="32"/>
          <w:highlight w:val="none"/>
        </w:rPr>
      </w:pPr>
    </w:p>
    <w:p w14:paraId="174CF3B4">
      <w:pPr>
        <w:rPr>
          <w:rFonts w:ascii="宋体" w:hAnsi="宋体" w:cs="宋体"/>
          <w:b/>
          <w:bCs/>
          <w:color w:val="auto"/>
          <w:sz w:val="28"/>
          <w:szCs w:val="36"/>
          <w:highlight w:val="none"/>
        </w:rPr>
      </w:pPr>
    </w:p>
    <w:p w14:paraId="6E978326">
      <w:pPr>
        <w:rPr>
          <w:rFonts w:ascii="宋体" w:hAnsi="宋体" w:cs="宋体"/>
          <w:b/>
          <w:bCs/>
          <w:color w:val="auto"/>
          <w:sz w:val="28"/>
          <w:szCs w:val="36"/>
          <w:highlight w:val="none"/>
        </w:rPr>
      </w:pPr>
    </w:p>
    <w:p w14:paraId="27803E37">
      <w:pPr>
        <w:rPr>
          <w:rFonts w:ascii="宋体" w:hAnsi="宋体" w:cs="宋体"/>
          <w:b/>
          <w:bCs/>
          <w:color w:val="auto"/>
          <w:sz w:val="28"/>
          <w:szCs w:val="36"/>
          <w:highlight w:val="none"/>
        </w:rPr>
      </w:pPr>
    </w:p>
    <w:p w14:paraId="6676E552">
      <w:pPr>
        <w:rPr>
          <w:rFonts w:ascii="宋体" w:hAnsi="宋体" w:cs="宋体"/>
          <w:b/>
          <w:bCs/>
          <w:color w:val="auto"/>
          <w:sz w:val="28"/>
          <w:szCs w:val="36"/>
          <w:highlight w:val="none"/>
        </w:rPr>
      </w:pPr>
    </w:p>
    <w:p w14:paraId="18E1CED3">
      <w:pPr>
        <w:rPr>
          <w:rFonts w:ascii="宋体" w:hAnsi="宋体" w:cs="宋体"/>
          <w:b/>
          <w:bCs/>
          <w:color w:val="auto"/>
          <w:sz w:val="28"/>
          <w:szCs w:val="36"/>
          <w:highlight w:val="none"/>
        </w:rPr>
      </w:pPr>
    </w:p>
    <w:p w14:paraId="0D21D308">
      <w:pPr>
        <w:rPr>
          <w:rFonts w:ascii="宋体" w:hAnsi="宋体" w:cs="宋体"/>
          <w:b/>
          <w:bCs/>
          <w:color w:val="auto"/>
          <w:sz w:val="28"/>
          <w:szCs w:val="36"/>
          <w:highlight w:val="none"/>
        </w:rPr>
      </w:pPr>
    </w:p>
    <w:p w14:paraId="556E963E">
      <w:pPr>
        <w:rPr>
          <w:rFonts w:hint="eastAsia" w:ascii="宋体" w:hAnsi="宋体" w:eastAsia="宋体" w:cs="宋体"/>
          <w:b/>
          <w:bCs/>
          <w:color w:val="auto"/>
          <w:sz w:val="28"/>
          <w:szCs w:val="36"/>
          <w:highlight w:val="none"/>
        </w:rPr>
      </w:pPr>
    </w:p>
    <w:p w14:paraId="16F64D54">
      <w:pPr>
        <w:shd w:val="clear" w:color="auto" w:fill="auto"/>
        <w:spacing w:line="360" w:lineRule="auto"/>
        <w:rPr>
          <w:rFonts w:hint="eastAsia" w:ascii="宋体" w:hAnsi="宋体" w:eastAsia="宋体" w:cs="宋体"/>
          <w:b/>
          <w:color w:val="auto"/>
          <w:sz w:val="28"/>
          <w:highlight w:val="none"/>
        </w:rPr>
      </w:pPr>
    </w:p>
    <w:p w14:paraId="04CDF439">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7</w:t>
      </w:r>
    </w:p>
    <w:p w14:paraId="056E0C38">
      <w:pPr>
        <w:shd w:val="clear" w:color="auto" w:fill="auto"/>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中小企业声明函（货物）</w:t>
      </w:r>
    </w:p>
    <w:p w14:paraId="57E348F6">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eastAsia="宋体" w:cs="宋体"/>
          <w:b w:val="0"/>
          <w:bCs/>
          <w:color w:val="auto"/>
          <w:sz w:val="24"/>
          <w:szCs w:val="24"/>
          <w:highlight w:val="none"/>
          <w:u w:val="single"/>
          <w:lang w:val="en-US" w:eastAsia="zh-CN"/>
        </w:rPr>
        <w:t>（单位名称）</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u w:val="single"/>
          <w:lang w:val="en-US" w:eastAsia="zh-CN"/>
        </w:rPr>
        <w:t>（项目名称）</w:t>
      </w:r>
      <w:r>
        <w:rPr>
          <w:rFonts w:hint="eastAsia" w:ascii="宋体" w:hAnsi="宋体" w:eastAsia="宋体" w:cs="宋体"/>
          <w:b w:val="0"/>
          <w:bCs/>
          <w:color w:val="auto"/>
          <w:sz w:val="24"/>
          <w:szCs w:val="24"/>
          <w:highlight w:val="none"/>
          <w:lang w:val="en-US" w:eastAsia="zh-CN"/>
        </w:rPr>
        <w:t xml:space="preserve">采购活动，提供的货物全部由符合政策要求的中小企业制造。相关企业的具体情况如下： </w:t>
      </w:r>
    </w:p>
    <w:p w14:paraId="469633BD">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u w:val="single"/>
          <w:lang w:val="en-US" w:eastAsia="zh-CN"/>
        </w:rPr>
        <w:t>（标的名称）</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行业；制造商为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w:t>
      </w:r>
      <w:r>
        <w:rPr>
          <w:rStyle w:val="36"/>
          <w:rFonts w:hint="eastAsia" w:ascii="宋体" w:hAnsi="宋体" w:eastAsia="宋体" w:cs="宋体"/>
          <w:b w:val="0"/>
          <w:bCs/>
          <w:color w:val="auto"/>
          <w:sz w:val="24"/>
          <w:szCs w:val="24"/>
          <w:highlight w:val="none"/>
          <w:lang w:val="en-US" w:eastAsia="zh-CN"/>
        </w:rPr>
        <w:footnoteReference w:id="0"/>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（中型企业、小型企业、微型企业）</w:t>
      </w:r>
      <w:r>
        <w:rPr>
          <w:rFonts w:hint="eastAsia" w:ascii="宋体" w:hAnsi="宋体" w:eastAsia="宋体" w:cs="宋体"/>
          <w:b w:val="0"/>
          <w:bCs/>
          <w:color w:val="auto"/>
          <w:sz w:val="24"/>
          <w:szCs w:val="24"/>
          <w:highlight w:val="none"/>
          <w:lang w:val="en-US" w:eastAsia="zh-CN"/>
        </w:rPr>
        <w:t>；</w:t>
      </w:r>
    </w:p>
    <w:p w14:paraId="01579D96">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u w:val="single"/>
          <w:lang w:val="en-US" w:eastAsia="zh-CN"/>
        </w:rPr>
        <w:t>（标的名称）</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行业；制造商为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万元，属于</w:t>
      </w:r>
      <w:r>
        <w:rPr>
          <w:rFonts w:hint="eastAsia" w:ascii="宋体" w:hAnsi="宋体" w:eastAsia="宋体" w:cs="宋体"/>
          <w:b w:val="0"/>
          <w:bCs/>
          <w:color w:val="auto"/>
          <w:sz w:val="24"/>
          <w:szCs w:val="24"/>
          <w:highlight w:val="none"/>
          <w:u w:val="single"/>
          <w:lang w:val="en-US" w:eastAsia="zh-CN"/>
        </w:rPr>
        <w:t>（中型企业、小型企业、微型企业）</w:t>
      </w:r>
      <w:r>
        <w:rPr>
          <w:rFonts w:hint="eastAsia" w:ascii="宋体" w:hAnsi="宋体" w:eastAsia="宋体" w:cs="宋体"/>
          <w:b w:val="0"/>
          <w:bCs/>
          <w:color w:val="auto"/>
          <w:sz w:val="24"/>
          <w:szCs w:val="24"/>
          <w:highlight w:val="none"/>
          <w:lang w:val="en-US" w:eastAsia="zh-CN"/>
        </w:rPr>
        <w:t>；</w:t>
      </w:r>
    </w:p>
    <w:p w14:paraId="7704CC9C">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p w14:paraId="0D9D535F">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0008287F">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本企业对上述声明内容的真实性负责。如有虚假，将依法承担相应责任。 </w:t>
      </w:r>
    </w:p>
    <w:p w14:paraId="49602A40">
      <w:pPr>
        <w:shd w:val="clear" w:color="auto" w:fill="auto"/>
        <w:spacing w:line="360" w:lineRule="auto"/>
        <w:jc w:val="left"/>
        <w:rPr>
          <w:rFonts w:hint="eastAsia" w:ascii="宋体" w:hAnsi="宋体" w:eastAsia="宋体" w:cs="宋体"/>
          <w:b w:val="0"/>
          <w:bCs/>
          <w:color w:val="auto"/>
          <w:sz w:val="24"/>
          <w:szCs w:val="24"/>
          <w:highlight w:val="none"/>
          <w:lang w:val="en-US" w:eastAsia="zh-CN"/>
        </w:rPr>
      </w:pPr>
    </w:p>
    <w:p w14:paraId="01140913">
      <w:pPr>
        <w:shd w:val="clear" w:color="auto" w:fill="auto"/>
        <w:spacing w:line="360" w:lineRule="auto"/>
        <w:ind w:firstLine="4800" w:firstLineChars="20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企业名称（盖章）：</w:t>
      </w:r>
    </w:p>
    <w:p w14:paraId="6E6FCAFF">
      <w:pPr>
        <w:shd w:val="clear" w:color="auto" w:fill="auto"/>
        <w:spacing w:line="360" w:lineRule="auto"/>
        <w:ind w:firstLine="4800" w:firstLineChars="20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日 期：</w:t>
      </w:r>
    </w:p>
    <w:p w14:paraId="70F7C654">
      <w:pPr>
        <w:shd w:val="clear" w:color="auto" w:fill="auto"/>
        <w:spacing w:line="360" w:lineRule="auto"/>
        <w:jc w:val="left"/>
        <w:rPr>
          <w:rFonts w:hint="eastAsia" w:ascii="宋体" w:hAnsi="宋体" w:eastAsia="宋体" w:cs="宋体"/>
          <w:b w:val="0"/>
          <w:bCs/>
          <w:color w:val="auto"/>
          <w:sz w:val="24"/>
          <w:szCs w:val="24"/>
          <w:highlight w:val="none"/>
          <w:lang w:val="en-US" w:eastAsia="zh-CN"/>
        </w:rPr>
      </w:pPr>
    </w:p>
    <w:p w14:paraId="722904BC">
      <w:pPr>
        <w:shd w:val="clear" w:color="auto" w:fill="auto"/>
        <w:spacing w:line="360" w:lineRule="auto"/>
        <w:jc w:val="left"/>
        <w:rPr>
          <w:rFonts w:hint="eastAsia" w:ascii="宋体" w:hAnsi="宋体" w:eastAsia="宋体" w:cs="宋体"/>
          <w:b w:val="0"/>
          <w:bCs/>
          <w:color w:val="auto"/>
          <w:sz w:val="24"/>
          <w:szCs w:val="24"/>
          <w:highlight w:val="none"/>
          <w:lang w:val="en-US" w:eastAsia="zh-CN"/>
        </w:rPr>
      </w:pPr>
    </w:p>
    <w:p w14:paraId="7A072587">
      <w:pPr>
        <w:shd w:val="clear" w:color="auto" w:fill="auto"/>
        <w:spacing w:line="360" w:lineRule="auto"/>
        <w:jc w:val="left"/>
        <w:rPr>
          <w:rFonts w:hint="eastAsia" w:ascii="宋体" w:hAnsi="宋体" w:eastAsia="宋体" w:cs="宋体"/>
          <w:b w:val="0"/>
          <w:bCs/>
          <w:color w:val="auto"/>
          <w:sz w:val="24"/>
          <w:szCs w:val="24"/>
          <w:highlight w:val="none"/>
          <w:lang w:val="en-US" w:eastAsia="zh-CN"/>
        </w:rPr>
      </w:pPr>
    </w:p>
    <w:p w14:paraId="74033BCB">
      <w:pPr>
        <w:shd w:val="clear" w:color="auto" w:fill="auto"/>
        <w:spacing w:line="360" w:lineRule="auto"/>
        <w:jc w:val="left"/>
        <w:rPr>
          <w:rFonts w:hint="eastAsia" w:ascii="宋体" w:hAnsi="宋体" w:eastAsia="宋体" w:cs="宋体"/>
          <w:b w:val="0"/>
          <w:bCs/>
          <w:color w:val="auto"/>
          <w:sz w:val="24"/>
          <w:szCs w:val="24"/>
          <w:highlight w:val="none"/>
          <w:lang w:val="en-US" w:eastAsia="zh-CN"/>
        </w:rPr>
      </w:pPr>
    </w:p>
    <w:p w14:paraId="1BCE6F37">
      <w:pPr>
        <w:shd w:val="clear" w:color="auto" w:fill="auto"/>
        <w:spacing w:line="360" w:lineRule="auto"/>
        <w:jc w:val="left"/>
        <w:rPr>
          <w:rFonts w:hint="eastAsia" w:ascii="宋体" w:hAnsi="宋体" w:eastAsia="宋体" w:cs="宋体"/>
          <w:b w:val="0"/>
          <w:bCs/>
          <w:color w:val="auto"/>
          <w:sz w:val="24"/>
          <w:szCs w:val="24"/>
          <w:highlight w:val="none"/>
          <w:lang w:val="en-US" w:eastAsia="zh-CN"/>
        </w:rPr>
      </w:pPr>
    </w:p>
    <w:p w14:paraId="6D314F0D">
      <w:pPr>
        <w:shd w:val="clear" w:color="auto" w:fill="auto"/>
        <w:spacing w:line="360" w:lineRule="auto"/>
        <w:jc w:val="left"/>
        <w:rPr>
          <w:rFonts w:hint="eastAsia" w:ascii="宋体" w:hAnsi="宋体" w:eastAsia="宋体" w:cs="宋体"/>
          <w:b w:val="0"/>
          <w:bCs/>
          <w:color w:val="auto"/>
          <w:sz w:val="24"/>
          <w:szCs w:val="24"/>
          <w:highlight w:val="none"/>
          <w:lang w:val="en-US" w:eastAsia="zh-CN"/>
        </w:rPr>
      </w:pPr>
    </w:p>
    <w:p w14:paraId="11FA8649">
      <w:pPr>
        <w:shd w:val="clear" w:color="auto" w:fill="auto"/>
        <w:spacing w:line="360" w:lineRule="auto"/>
        <w:jc w:val="left"/>
        <w:rPr>
          <w:rFonts w:hint="eastAsia" w:ascii="宋体" w:hAnsi="宋体" w:eastAsia="宋体" w:cs="宋体"/>
          <w:b w:val="0"/>
          <w:bCs/>
          <w:color w:val="auto"/>
          <w:sz w:val="24"/>
          <w:szCs w:val="24"/>
          <w:highlight w:val="none"/>
          <w:lang w:val="en-US" w:eastAsia="zh-CN"/>
        </w:rPr>
      </w:pPr>
    </w:p>
    <w:p w14:paraId="3C9679D2">
      <w:pPr>
        <w:shd w:val="clear" w:color="auto" w:fill="auto"/>
        <w:spacing w:line="360" w:lineRule="auto"/>
        <w:jc w:val="left"/>
        <w:rPr>
          <w:rFonts w:hint="eastAsia" w:ascii="宋体" w:hAnsi="宋体" w:eastAsia="宋体" w:cs="宋体"/>
          <w:b w:val="0"/>
          <w:bCs/>
          <w:color w:val="auto"/>
          <w:sz w:val="24"/>
          <w:szCs w:val="24"/>
          <w:highlight w:val="none"/>
          <w:lang w:val="en-US" w:eastAsia="zh-CN"/>
        </w:rPr>
      </w:pPr>
    </w:p>
    <w:p w14:paraId="3A629654">
      <w:pPr>
        <w:shd w:val="clear" w:color="auto" w:fill="auto"/>
        <w:spacing w:line="360" w:lineRule="auto"/>
        <w:ind w:firstLine="1928" w:firstLineChars="600"/>
        <w:jc w:val="both"/>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中小企业声明函（工程、服务）</w:t>
      </w:r>
    </w:p>
    <w:p w14:paraId="5A4286B8">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eastAsia="宋体" w:cs="宋体"/>
          <w:b w:val="0"/>
          <w:bCs/>
          <w:color w:val="auto"/>
          <w:sz w:val="24"/>
          <w:szCs w:val="24"/>
          <w:highlight w:val="none"/>
          <w:u w:val="single"/>
          <w:lang w:val="en-US" w:eastAsia="zh-CN"/>
        </w:rPr>
        <w:t>（单位名称）</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u w:val="single"/>
          <w:lang w:val="en-US" w:eastAsia="zh-CN"/>
        </w:rPr>
        <w:t>（项目名称）</w:t>
      </w:r>
      <w:r>
        <w:rPr>
          <w:rFonts w:hint="eastAsia" w:ascii="宋体" w:hAnsi="宋体" w:eastAsia="宋体" w:cs="宋体"/>
          <w:b w:val="0"/>
          <w:bCs/>
          <w:color w:val="auto"/>
          <w:sz w:val="24"/>
          <w:szCs w:val="24"/>
          <w:highlight w:val="none"/>
          <w:lang w:val="en-US" w:eastAsia="zh-CN"/>
        </w:rPr>
        <w:t>采购活动，工程的施工单位全部为符合政策要求的中小企业（或者：服务全部由符合政策要求的中小企业承接）。相关企业的具体情况如下：</w:t>
      </w:r>
    </w:p>
    <w:p w14:paraId="27F4929C">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u w:val="single"/>
          <w:lang w:val="en-US" w:eastAsia="zh-CN"/>
        </w:rPr>
        <w:t>（标的名称）</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w:t>
      </w:r>
      <w:r>
        <w:rPr>
          <w:rStyle w:val="36"/>
          <w:rFonts w:hint="eastAsia" w:ascii="宋体" w:hAnsi="宋体" w:eastAsia="宋体" w:cs="宋体"/>
          <w:b w:val="0"/>
          <w:bCs/>
          <w:color w:val="auto"/>
          <w:sz w:val="24"/>
          <w:szCs w:val="24"/>
          <w:highlight w:val="none"/>
          <w:lang w:val="en-US" w:eastAsia="zh-CN"/>
        </w:rPr>
        <w:footnoteReference w:id="1"/>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（中型企业、小型企业、微型企业）</w:t>
      </w:r>
      <w:r>
        <w:rPr>
          <w:rFonts w:hint="eastAsia" w:ascii="宋体" w:hAnsi="宋体" w:eastAsia="宋体" w:cs="宋体"/>
          <w:b w:val="0"/>
          <w:bCs/>
          <w:color w:val="auto"/>
          <w:sz w:val="24"/>
          <w:szCs w:val="24"/>
          <w:highlight w:val="none"/>
          <w:lang w:val="en-US" w:eastAsia="zh-CN"/>
        </w:rPr>
        <w:t>；</w:t>
      </w:r>
    </w:p>
    <w:p w14:paraId="7A3C4704">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u w:val="single"/>
          <w:lang w:val="en-US" w:eastAsia="zh-CN"/>
        </w:rPr>
        <w:t>（标的名称）</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万元，属于</w:t>
      </w:r>
      <w:r>
        <w:rPr>
          <w:rFonts w:hint="eastAsia" w:ascii="宋体" w:hAnsi="宋体" w:eastAsia="宋体" w:cs="宋体"/>
          <w:b w:val="0"/>
          <w:bCs/>
          <w:color w:val="auto"/>
          <w:sz w:val="24"/>
          <w:szCs w:val="24"/>
          <w:highlight w:val="none"/>
          <w:u w:val="single"/>
          <w:lang w:val="en-US" w:eastAsia="zh-CN"/>
        </w:rPr>
        <w:t>（中型企业、小型企业、微型企业）</w:t>
      </w:r>
      <w:r>
        <w:rPr>
          <w:rFonts w:hint="eastAsia" w:ascii="宋体" w:hAnsi="宋体" w:eastAsia="宋体" w:cs="宋体"/>
          <w:b w:val="0"/>
          <w:bCs/>
          <w:color w:val="auto"/>
          <w:sz w:val="24"/>
          <w:szCs w:val="24"/>
          <w:highlight w:val="none"/>
          <w:lang w:val="en-US" w:eastAsia="zh-CN"/>
        </w:rPr>
        <w:t>；</w:t>
      </w:r>
    </w:p>
    <w:p w14:paraId="353EF9B3">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p w14:paraId="6C541638">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1E9CA660">
      <w:pPr>
        <w:shd w:val="clear" w:color="auto" w:fill="auto"/>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本企业对上述声明内容的真实性负责。如有虚假，将依法承担相应责任。 </w:t>
      </w:r>
    </w:p>
    <w:p w14:paraId="6427280C">
      <w:pPr>
        <w:shd w:val="clear" w:color="auto" w:fill="auto"/>
        <w:spacing w:line="360" w:lineRule="auto"/>
        <w:jc w:val="left"/>
        <w:rPr>
          <w:rFonts w:hint="eastAsia" w:ascii="宋体" w:hAnsi="宋体" w:eastAsia="宋体" w:cs="宋体"/>
          <w:b w:val="0"/>
          <w:bCs/>
          <w:color w:val="auto"/>
          <w:sz w:val="24"/>
          <w:szCs w:val="24"/>
          <w:highlight w:val="none"/>
          <w:lang w:val="en-US" w:eastAsia="zh-CN"/>
        </w:rPr>
      </w:pPr>
    </w:p>
    <w:p w14:paraId="20736049">
      <w:pPr>
        <w:shd w:val="clear" w:color="auto" w:fill="auto"/>
        <w:spacing w:line="360" w:lineRule="auto"/>
        <w:ind w:firstLine="4800" w:firstLineChars="20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企业名称（盖章）：</w:t>
      </w:r>
    </w:p>
    <w:p w14:paraId="731260CF">
      <w:pPr>
        <w:shd w:val="clear" w:color="auto" w:fill="auto"/>
        <w:spacing w:line="360" w:lineRule="auto"/>
        <w:ind w:firstLine="4800" w:firstLineChars="20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日 期：</w:t>
      </w:r>
    </w:p>
    <w:p w14:paraId="09509D92">
      <w:pPr>
        <w:shd w:val="clear" w:color="auto" w:fill="auto"/>
        <w:spacing w:line="360" w:lineRule="auto"/>
        <w:jc w:val="left"/>
        <w:rPr>
          <w:rFonts w:hint="eastAsia" w:ascii="宋体" w:hAnsi="宋体" w:eastAsia="宋体" w:cs="宋体"/>
          <w:b w:val="0"/>
          <w:bCs/>
          <w:color w:val="auto"/>
          <w:sz w:val="24"/>
          <w:szCs w:val="24"/>
          <w:highlight w:val="none"/>
          <w:lang w:val="en-US" w:eastAsia="zh-CN"/>
        </w:rPr>
      </w:pPr>
    </w:p>
    <w:p w14:paraId="28534452">
      <w:pPr>
        <w:pStyle w:val="15"/>
        <w:shd w:val="clear" w:color="auto" w:fill="auto"/>
        <w:spacing w:line="360" w:lineRule="auto"/>
        <w:jc w:val="center"/>
        <w:outlineLvl w:val="1"/>
        <w:rPr>
          <w:rFonts w:hint="eastAsia" w:ascii="宋体" w:hAnsi="宋体" w:eastAsia="宋体" w:cs="宋体"/>
          <w:b/>
          <w:color w:val="auto"/>
          <w:sz w:val="32"/>
          <w:szCs w:val="32"/>
          <w:highlight w:val="none"/>
          <w:lang w:val="en-GB"/>
        </w:rPr>
      </w:pPr>
    </w:p>
    <w:p w14:paraId="5BB46D90">
      <w:pPr>
        <w:pStyle w:val="15"/>
        <w:shd w:val="clear" w:color="auto" w:fill="auto"/>
        <w:spacing w:line="360" w:lineRule="auto"/>
        <w:jc w:val="center"/>
        <w:outlineLvl w:val="1"/>
        <w:rPr>
          <w:rFonts w:hint="eastAsia" w:ascii="宋体" w:hAnsi="宋体" w:eastAsia="宋体" w:cs="宋体"/>
          <w:b/>
          <w:color w:val="auto"/>
          <w:sz w:val="32"/>
          <w:szCs w:val="32"/>
          <w:highlight w:val="none"/>
          <w:lang w:val="en-GB"/>
        </w:rPr>
      </w:pPr>
    </w:p>
    <w:p w14:paraId="2FB9D394">
      <w:pPr>
        <w:pStyle w:val="15"/>
        <w:shd w:val="clear" w:color="auto" w:fill="auto"/>
        <w:spacing w:line="360" w:lineRule="auto"/>
        <w:jc w:val="center"/>
        <w:outlineLvl w:val="1"/>
        <w:rPr>
          <w:rFonts w:hint="eastAsia" w:ascii="宋体" w:hAnsi="宋体" w:eastAsia="宋体" w:cs="宋体"/>
          <w:b/>
          <w:color w:val="auto"/>
          <w:sz w:val="32"/>
          <w:szCs w:val="32"/>
          <w:highlight w:val="none"/>
          <w:lang w:val="en-GB"/>
        </w:rPr>
      </w:pPr>
    </w:p>
    <w:p w14:paraId="360419FF">
      <w:pPr>
        <w:pStyle w:val="15"/>
        <w:shd w:val="clear" w:color="auto" w:fill="auto"/>
        <w:spacing w:line="360" w:lineRule="auto"/>
        <w:jc w:val="center"/>
        <w:outlineLvl w:val="1"/>
        <w:rPr>
          <w:rFonts w:hint="eastAsia" w:ascii="宋体" w:hAnsi="宋体" w:eastAsia="宋体" w:cs="宋体"/>
          <w:b/>
          <w:color w:val="auto"/>
          <w:sz w:val="32"/>
          <w:szCs w:val="32"/>
          <w:highlight w:val="none"/>
          <w:lang w:val="en-GB"/>
        </w:rPr>
      </w:pPr>
    </w:p>
    <w:p w14:paraId="49D91861">
      <w:pPr>
        <w:pStyle w:val="15"/>
        <w:shd w:val="clear" w:color="auto" w:fill="auto"/>
        <w:spacing w:line="360" w:lineRule="auto"/>
        <w:jc w:val="center"/>
        <w:outlineLvl w:val="1"/>
        <w:rPr>
          <w:rFonts w:hint="eastAsia" w:ascii="宋体" w:hAnsi="宋体" w:eastAsia="宋体" w:cs="宋体"/>
          <w:b/>
          <w:color w:val="auto"/>
          <w:sz w:val="32"/>
          <w:szCs w:val="32"/>
          <w:highlight w:val="none"/>
          <w:lang w:val="en-GB"/>
        </w:rPr>
      </w:pPr>
    </w:p>
    <w:p w14:paraId="4D9B446E">
      <w:pPr>
        <w:pStyle w:val="15"/>
        <w:shd w:val="clear" w:color="auto" w:fill="auto"/>
        <w:spacing w:line="360" w:lineRule="auto"/>
        <w:jc w:val="center"/>
        <w:outlineLvl w:val="1"/>
        <w:rPr>
          <w:rFonts w:hint="eastAsia" w:ascii="宋体" w:hAnsi="宋体" w:eastAsia="宋体" w:cs="宋体"/>
          <w:b/>
          <w:color w:val="auto"/>
          <w:sz w:val="32"/>
          <w:szCs w:val="32"/>
          <w:highlight w:val="none"/>
          <w:lang w:val="en-GB"/>
        </w:rPr>
      </w:pPr>
    </w:p>
    <w:p w14:paraId="0289ACC7">
      <w:pPr>
        <w:pStyle w:val="15"/>
        <w:shd w:val="clear" w:color="auto" w:fill="auto"/>
        <w:spacing w:line="360" w:lineRule="auto"/>
        <w:jc w:val="center"/>
        <w:outlineLvl w:val="1"/>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1F7921AA">
      <w:pPr>
        <w:shd w:val="clear" w:color="auto" w:fill="auto"/>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AD140B3">
      <w:pPr>
        <w:shd w:val="clear" w:color="auto" w:fill="auto"/>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2FB91172">
      <w:pPr>
        <w:shd w:val="clear" w:color="auto" w:fill="auto"/>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p>
    <w:p w14:paraId="43D80763">
      <w:pPr>
        <w:shd w:val="clear" w:color="auto" w:fill="auto"/>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单位名称（盖章）：</w:t>
      </w:r>
    </w:p>
    <w:p w14:paraId="20CD24B4">
      <w:pPr>
        <w:shd w:val="clear" w:color="auto" w:fill="auto"/>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8DC92C7">
      <w:pPr>
        <w:shd w:val="clear" w:color="auto" w:fill="auto"/>
        <w:spacing w:line="360" w:lineRule="auto"/>
        <w:ind w:firstLine="420" w:firstLineChars="200"/>
        <w:jc w:val="left"/>
        <w:rPr>
          <w:rFonts w:hint="eastAsia" w:ascii="宋体" w:hAnsi="宋体" w:eastAsia="宋体" w:cs="宋体"/>
          <w:color w:val="auto"/>
          <w:highlight w:val="none"/>
        </w:rPr>
      </w:pPr>
    </w:p>
    <w:p w14:paraId="374906D8">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填表说明：</w:t>
      </w:r>
    </w:p>
    <w:p w14:paraId="2172C8C4">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1、从业人员、营业收入、资产总额填报上一年度数据，无上一年度数据的新成立企业可不填报。</w:t>
      </w:r>
    </w:p>
    <w:p w14:paraId="30C17C94">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2、为了更加准确判定制造商是否为小微企业，请供应商根据工业和信息化部官方网站---中小企业规模类型自测小程序来辨别制造商企业规模类型，中小企业规模类型自测小程序链接网址为</w:t>
      </w:r>
    </w:p>
    <w:p w14:paraId="4E1F9CC7">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http://202.106.120.146/baosong/appweb/orgScale.html</w:t>
      </w:r>
    </w:p>
    <w:p w14:paraId="3BE954AF">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3、供应商未提供《中小企业声明函》的、《中小企业声明函》中内容应填写而未进行填写或未如实填写的，将不给予供应商小微企业报价优惠扣除。</w:t>
      </w:r>
    </w:p>
    <w:p w14:paraId="3C8F953E">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预成交供应商享受小微企业报价优惠扣除的，将按规定公开预成交供应商的《中小企业声明函》。</w:t>
      </w:r>
    </w:p>
    <w:p w14:paraId="7F77D125">
      <w:pPr>
        <w:numPr>
          <w:ilvl w:val="0"/>
          <w:numId w:val="4"/>
        </w:num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如国家对中小企业划型标准有新的规定的，从其规定。 </w:t>
      </w:r>
    </w:p>
    <w:p w14:paraId="647187A4">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w:t>
      </w:r>
    </w:p>
    <w:p w14:paraId="2F9532D7">
      <w:pPr>
        <w:shd w:val="clear" w:color="auto" w:fill="auto"/>
        <w:rPr>
          <w:rFonts w:hint="eastAsia" w:ascii="宋体" w:hAnsi="宋体" w:eastAsia="宋体" w:cs="宋体"/>
          <w:b/>
          <w:bCs/>
          <w:color w:val="auto"/>
          <w:sz w:val="28"/>
          <w:szCs w:val="36"/>
          <w:highlight w:val="none"/>
        </w:rPr>
      </w:pPr>
    </w:p>
    <w:p w14:paraId="64ED8485">
      <w:pPr>
        <w:shd w:val="clear" w:color="auto" w:fill="auto"/>
        <w:rPr>
          <w:rFonts w:hint="eastAsia" w:ascii="宋体" w:hAnsi="宋体" w:eastAsia="宋体" w:cs="宋体"/>
          <w:b/>
          <w:bCs/>
          <w:color w:val="auto"/>
          <w:sz w:val="28"/>
          <w:szCs w:val="36"/>
          <w:highlight w:val="none"/>
        </w:rPr>
      </w:pPr>
    </w:p>
    <w:p w14:paraId="19C56632">
      <w:pPr>
        <w:shd w:val="clear" w:color="auto" w:fill="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cs="宋体"/>
          <w:b/>
          <w:bCs/>
          <w:color w:val="auto"/>
          <w:sz w:val="28"/>
          <w:szCs w:val="36"/>
          <w:highlight w:val="none"/>
          <w:lang w:val="en-US" w:eastAsia="zh-CN"/>
        </w:rPr>
        <w:t>8</w:t>
      </w:r>
    </w:p>
    <w:p w14:paraId="7CAF2A19">
      <w:pPr>
        <w:shd w:val="clear" w:color="auto" w:fill="auto"/>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供应商基本情况表</w:t>
      </w:r>
    </w:p>
    <w:tbl>
      <w:tblPr>
        <w:tblStyle w:val="3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4D14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14:paraId="4CBE036B">
            <w:pPr>
              <w:pStyle w:val="56"/>
              <w:shd w:val="clear" w:color="auto" w:fill="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企业名称</w:t>
            </w:r>
          </w:p>
        </w:tc>
        <w:tc>
          <w:tcPr>
            <w:tcW w:w="3765" w:type="dxa"/>
            <w:gridSpan w:val="6"/>
            <w:shd w:val="clear" w:color="auto" w:fill="auto"/>
            <w:vAlign w:val="center"/>
          </w:tcPr>
          <w:p w14:paraId="660DF431">
            <w:pPr>
              <w:pStyle w:val="56"/>
              <w:shd w:val="clear" w:color="auto" w:fill="auto"/>
              <w:spacing w:line="360" w:lineRule="auto"/>
              <w:jc w:val="both"/>
              <w:rPr>
                <w:rFonts w:hint="eastAsia" w:ascii="宋体" w:hAnsi="宋体" w:eastAsia="宋体" w:cs="宋体"/>
                <w:bCs/>
                <w:color w:val="auto"/>
                <w:highlight w:val="none"/>
              </w:rPr>
            </w:pPr>
          </w:p>
        </w:tc>
        <w:tc>
          <w:tcPr>
            <w:tcW w:w="1560" w:type="dxa"/>
            <w:shd w:val="clear" w:color="auto" w:fill="auto"/>
            <w:vAlign w:val="center"/>
          </w:tcPr>
          <w:p w14:paraId="201C45CE">
            <w:pPr>
              <w:pStyle w:val="56"/>
              <w:shd w:val="clear" w:color="auto" w:fill="auto"/>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法人代表</w:t>
            </w:r>
          </w:p>
        </w:tc>
        <w:tc>
          <w:tcPr>
            <w:tcW w:w="2608" w:type="dxa"/>
            <w:gridSpan w:val="3"/>
            <w:shd w:val="clear" w:color="auto" w:fill="auto"/>
            <w:vAlign w:val="center"/>
          </w:tcPr>
          <w:p w14:paraId="6CB22A19">
            <w:pPr>
              <w:pStyle w:val="56"/>
              <w:shd w:val="clear" w:color="auto" w:fill="auto"/>
              <w:spacing w:line="360" w:lineRule="auto"/>
              <w:jc w:val="both"/>
              <w:rPr>
                <w:rFonts w:hint="eastAsia" w:ascii="宋体" w:hAnsi="宋体" w:eastAsia="宋体" w:cs="宋体"/>
                <w:bCs/>
                <w:color w:val="auto"/>
                <w:highlight w:val="none"/>
              </w:rPr>
            </w:pPr>
          </w:p>
        </w:tc>
      </w:tr>
      <w:tr w14:paraId="2FA8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shd w:val="clear" w:color="auto" w:fill="auto"/>
            <w:vAlign w:val="center"/>
          </w:tcPr>
          <w:p w14:paraId="5068B7AC">
            <w:pPr>
              <w:pStyle w:val="56"/>
              <w:shd w:val="clear" w:color="auto" w:fill="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地址</w:t>
            </w:r>
          </w:p>
        </w:tc>
        <w:tc>
          <w:tcPr>
            <w:tcW w:w="3765" w:type="dxa"/>
            <w:gridSpan w:val="6"/>
            <w:tcBorders>
              <w:bottom w:val="single" w:color="auto" w:sz="4" w:space="0"/>
            </w:tcBorders>
            <w:shd w:val="clear" w:color="auto" w:fill="auto"/>
            <w:vAlign w:val="center"/>
          </w:tcPr>
          <w:p w14:paraId="1C559FB2">
            <w:pPr>
              <w:pStyle w:val="56"/>
              <w:shd w:val="clear" w:color="auto" w:fill="auto"/>
              <w:spacing w:line="360" w:lineRule="auto"/>
              <w:jc w:val="both"/>
              <w:rPr>
                <w:rFonts w:hint="eastAsia" w:ascii="宋体" w:hAnsi="宋体" w:eastAsia="宋体" w:cs="宋体"/>
                <w:bCs/>
                <w:color w:val="auto"/>
                <w:spacing w:val="16"/>
                <w:highlight w:val="none"/>
              </w:rPr>
            </w:pPr>
          </w:p>
        </w:tc>
        <w:tc>
          <w:tcPr>
            <w:tcW w:w="1560" w:type="dxa"/>
            <w:shd w:val="clear" w:color="auto" w:fill="auto"/>
            <w:vAlign w:val="center"/>
          </w:tcPr>
          <w:p w14:paraId="74D0FA53">
            <w:pPr>
              <w:pStyle w:val="56"/>
              <w:shd w:val="clear" w:color="auto" w:fill="auto"/>
              <w:spacing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企业性质</w:t>
            </w:r>
          </w:p>
        </w:tc>
        <w:tc>
          <w:tcPr>
            <w:tcW w:w="2608" w:type="dxa"/>
            <w:gridSpan w:val="3"/>
            <w:shd w:val="clear" w:color="auto" w:fill="auto"/>
            <w:vAlign w:val="center"/>
          </w:tcPr>
          <w:p w14:paraId="7A7D4D48">
            <w:pPr>
              <w:pStyle w:val="56"/>
              <w:shd w:val="clear" w:color="auto" w:fill="auto"/>
              <w:spacing w:line="360" w:lineRule="auto"/>
              <w:jc w:val="both"/>
              <w:rPr>
                <w:rFonts w:hint="eastAsia" w:ascii="宋体" w:hAnsi="宋体" w:eastAsia="宋体" w:cs="宋体"/>
                <w:bCs/>
                <w:color w:val="auto"/>
                <w:spacing w:val="16"/>
                <w:highlight w:val="none"/>
              </w:rPr>
            </w:pPr>
          </w:p>
        </w:tc>
      </w:tr>
      <w:tr w14:paraId="05BD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14:paraId="7C187069">
            <w:pPr>
              <w:pStyle w:val="56"/>
              <w:shd w:val="clear" w:color="auto" w:fill="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股东姓名</w:t>
            </w:r>
          </w:p>
        </w:tc>
        <w:tc>
          <w:tcPr>
            <w:tcW w:w="690" w:type="dxa"/>
            <w:tcBorders>
              <w:bottom w:val="single" w:color="auto" w:sz="4" w:space="0"/>
            </w:tcBorders>
            <w:shd w:val="clear" w:color="auto" w:fill="auto"/>
            <w:vAlign w:val="center"/>
          </w:tcPr>
          <w:p w14:paraId="2614BB44">
            <w:pPr>
              <w:pStyle w:val="56"/>
              <w:shd w:val="clear" w:color="auto" w:fill="auto"/>
              <w:spacing w:before="0" w:beforeAutospacing="0" w:after="0" w:afterAutospacing="0" w:line="360" w:lineRule="auto"/>
              <w:jc w:val="both"/>
              <w:rPr>
                <w:rFonts w:hint="eastAsia" w:ascii="宋体" w:hAnsi="宋体" w:eastAsia="宋体" w:cs="宋体"/>
                <w:bCs/>
                <w:color w:val="auto"/>
                <w:spacing w:val="16"/>
                <w:highlight w:val="none"/>
              </w:rPr>
            </w:pPr>
          </w:p>
        </w:tc>
        <w:tc>
          <w:tcPr>
            <w:tcW w:w="960" w:type="dxa"/>
            <w:gridSpan w:val="2"/>
            <w:tcBorders>
              <w:bottom w:val="single" w:color="auto" w:sz="4" w:space="0"/>
            </w:tcBorders>
            <w:shd w:val="clear" w:color="auto" w:fill="auto"/>
            <w:vAlign w:val="center"/>
          </w:tcPr>
          <w:p w14:paraId="54D1593C">
            <w:pPr>
              <w:pStyle w:val="56"/>
              <w:shd w:val="clear" w:color="auto" w:fill="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股权结构（%）</w:t>
            </w:r>
          </w:p>
        </w:tc>
        <w:tc>
          <w:tcPr>
            <w:tcW w:w="2115" w:type="dxa"/>
            <w:gridSpan w:val="3"/>
            <w:tcBorders>
              <w:bottom w:val="single" w:color="auto" w:sz="4" w:space="0"/>
            </w:tcBorders>
            <w:shd w:val="clear" w:color="auto" w:fill="auto"/>
            <w:vAlign w:val="center"/>
          </w:tcPr>
          <w:p w14:paraId="110F8E4E">
            <w:pPr>
              <w:widowControl/>
              <w:shd w:val="clear" w:color="auto" w:fill="auto"/>
              <w:spacing w:line="360" w:lineRule="auto"/>
              <w:rPr>
                <w:rFonts w:hint="eastAsia" w:ascii="宋体" w:hAnsi="宋体" w:eastAsia="宋体" w:cs="宋体"/>
                <w:bCs/>
                <w:color w:val="auto"/>
                <w:spacing w:val="16"/>
                <w:kern w:val="0"/>
                <w:sz w:val="24"/>
                <w:highlight w:val="none"/>
              </w:rPr>
            </w:pPr>
          </w:p>
          <w:p w14:paraId="782D0F36">
            <w:pPr>
              <w:pStyle w:val="56"/>
              <w:shd w:val="clear" w:color="auto" w:fill="auto"/>
              <w:spacing w:line="360" w:lineRule="auto"/>
              <w:jc w:val="both"/>
              <w:rPr>
                <w:rFonts w:hint="eastAsia" w:ascii="宋体" w:hAnsi="宋体" w:eastAsia="宋体" w:cs="宋体"/>
                <w:bCs/>
                <w:color w:val="auto"/>
                <w:spacing w:val="16"/>
                <w:highlight w:val="none"/>
              </w:rPr>
            </w:pPr>
          </w:p>
        </w:tc>
        <w:tc>
          <w:tcPr>
            <w:tcW w:w="1560" w:type="dxa"/>
            <w:shd w:val="clear" w:color="auto" w:fill="auto"/>
            <w:vAlign w:val="center"/>
          </w:tcPr>
          <w:p w14:paraId="15A81D15">
            <w:pPr>
              <w:pStyle w:val="56"/>
              <w:shd w:val="clear" w:color="auto" w:fill="auto"/>
              <w:spacing w:line="360" w:lineRule="auto"/>
              <w:ind w:left="107"/>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股东关系</w:t>
            </w:r>
          </w:p>
        </w:tc>
        <w:tc>
          <w:tcPr>
            <w:tcW w:w="2608" w:type="dxa"/>
            <w:gridSpan w:val="3"/>
            <w:shd w:val="clear" w:color="auto" w:fill="auto"/>
            <w:vAlign w:val="center"/>
          </w:tcPr>
          <w:p w14:paraId="352A70A8">
            <w:pPr>
              <w:pStyle w:val="56"/>
              <w:shd w:val="clear" w:color="auto" w:fill="auto"/>
              <w:spacing w:line="360" w:lineRule="auto"/>
              <w:ind w:left="107"/>
              <w:jc w:val="both"/>
              <w:rPr>
                <w:rFonts w:hint="eastAsia" w:ascii="宋体" w:hAnsi="宋体" w:eastAsia="宋体" w:cs="宋体"/>
                <w:bCs/>
                <w:color w:val="auto"/>
                <w:spacing w:val="16"/>
                <w:highlight w:val="none"/>
              </w:rPr>
            </w:pPr>
          </w:p>
        </w:tc>
      </w:tr>
      <w:tr w14:paraId="0E7B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shd w:val="clear" w:color="auto" w:fill="auto"/>
            <w:vAlign w:val="center"/>
          </w:tcPr>
          <w:p w14:paraId="580B268D">
            <w:pPr>
              <w:pStyle w:val="56"/>
              <w:shd w:val="clear" w:color="auto" w:fill="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联系人</w:t>
            </w:r>
            <w:r>
              <w:rPr>
                <w:rFonts w:hint="eastAsia" w:ascii="宋体" w:hAnsi="宋体" w:eastAsia="宋体" w:cs="宋体"/>
                <w:bCs/>
                <w:color w:val="auto"/>
                <w:spacing w:val="27"/>
                <w:highlight w:val="none"/>
              </w:rPr>
              <w:t>姓名</w:t>
            </w:r>
          </w:p>
        </w:tc>
        <w:tc>
          <w:tcPr>
            <w:tcW w:w="690" w:type="dxa"/>
            <w:vMerge w:val="restart"/>
            <w:tcBorders>
              <w:top w:val="nil"/>
            </w:tcBorders>
            <w:shd w:val="clear" w:color="auto" w:fill="auto"/>
            <w:vAlign w:val="center"/>
          </w:tcPr>
          <w:p w14:paraId="6E536439">
            <w:pPr>
              <w:pStyle w:val="56"/>
              <w:shd w:val="clear" w:color="auto" w:fill="auto"/>
              <w:spacing w:line="360" w:lineRule="auto"/>
              <w:jc w:val="both"/>
              <w:rPr>
                <w:rFonts w:hint="eastAsia" w:ascii="宋体" w:hAnsi="宋体" w:eastAsia="宋体" w:cs="宋体"/>
                <w:bCs/>
                <w:color w:val="auto"/>
                <w:spacing w:val="16"/>
                <w:highlight w:val="none"/>
              </w:rPr>
            </w:pPr>
          </w:p>
        </w:tc>
        <w:tc>
          <w:tcPr>
            <w:tcW w:w="960" w:type="dxa"/>
            <w:gridSpan w:val="2"/>
            <w:tcBorders>
              <w:top w:val="nil"/>
              <w:bottom w:val="single" w:color="auto" w:sz="4" w:space="0"/>
            </w:tcBorders>
            <w:shd w:val="clear" w:color="auto" w:fill="auto"/>
            <w:vAlign w:val="center"/>
          </w:tcPr>
          <w:p w14:paraId="6A3EB27F">
            <w:pPr>
              <w:pStyle w:val="56"/>
              <w:shd w:val="clear" w:color="auto" w:fill="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固定电话</w:t>
            </w:r>
          </w:p>
        </w:tc>
        <w:tc>
          <w:tcPr>
            <w:tcW w:w="2115" w:type="dxa"/>
            <w:gridSpan w:val="3"/>
            <w:tcBorders>
              <w:top w:val="nil"/>
              <w:bottom w:val="single" w:color="auto" w:sz="4" w:space="0"/>
            </w:tcBorders>
            <w:shd w:val="clear" w:color="auto" w:fill="auto"/>
            <w:vAlign w:val="center"/>
          </w:tcPr>
          <w:p w14:paraId="6673549F">
            <w:pPr>
              <w:widowControl/>
              <w:shd w:val="clear" w:color="auto" w:fill="auto"/>
              <w:spacing w:line="360" w:lineRule="auto"/>
              <w:rPr>
                <w:rFonts w:hint="eastAsia" w:ascii="宋体" w:hAnsi="宋体" w:eastAsia="宋体" w:cs="宋体"/>
                <w:bCs/>
                <w:color w:val="auto"/>
                <w:spacing w:val="16"/>
                <w:kern w:val="0"/>
                <w:sz w:val="24"/>
                <w:highlight w:val="none"/>
              </w:rPr>
            </w:pPr>
          </w:p>
          <w:p w14:paraId="03ACDD76">
            <w:pPr>
              <w:pStyle w:val="56"/>
              <w:shd w:val="clear" w:color="auto" w:fill="auto"/>
              <w:spacing w:line="360" w:lineRule="auto"/>
              <w:jc w:val="both"/>
              <w:rPr>
                <w:rFonts w:hint="eastAsia" w:ascii="宋体" w:hAnsi="宋体" w:eastAsia="宋体" w:cs="宋体"/>
                <w:bCs/>
                <w:color w:val="auto"/>
                <w:spacing w:val="16"/>
                <w:highlight w:val="none"/>
              </w:rPr>
            </w:pPr>
          </w:p>
        </w:tc>
        <w:tc>
          <w:tcPr>
            <w:tcW w:w="1560" w:type="dxa"/>
            <w:vMerge w:val="restart"/>
            <w:shd w:val="clear" w:color="auto" w:fill="auto"/>
            <w:vAlign w:val="center"/>
          </w:tcPr>
          <w:p w14:paraId="77BCF4F4">
            <w:pPr>
              <w:pStyle w:val="56"/>
              <w:shd w:val="clear" w:color="auto" w:fill="auto"/>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传真</w:t>
            </w:r>
          </w:p>
        </w:tc>
        <w:tc>
          <w:tcPr>
            <w:tcW w:w="2608" w:type="dxa"/>
            <w:gridSpan w:val="3"/>
            <w:vMerge w:val="restart"/>
            <w:shd w:val="clear" w:color="auto" w:fill="auto"/>
            <w:vAlign w:val="center"/>
          </w:tcPr>
          <w:p w14:paraId="1A80B89A">
            <w:pPr>
              <w:pStyle w:val="56"/>
              <w:shd w:val="clear" w:color="auto" w:fill="auto"/>
              <w:spacing w:line="360" w:lineRule="auto"/>
              <w:jc w:val="both"/>
              <w:rPr>
                <w:rFonts w:hint="eastAsia" w:ascii="宋体" w:hAnsi="宋体" w:eastAsia="宋体" w:cs="宋体"/>
                <w:bCs/>
                <w:color w:val="auto"/>
                <w:spacing w:val="16"/>
                <w:highlight w:val="none"/>
              </w:rPr>
            </w:pPr>
          </w:p>
        </w:tc>
      </w:tr>
      <w:tr w14:paraId="39C5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14:paraId="21AE9916">
            <w:pPr>
              <w:pStyle w:val="56"/>
              <w:shd w:val="clear" w:color="auto" w:fill="auto"/>
              <w:spacing w:line="360" w:lineRule="auto"/>
              <w:ind w:left="107"/>
              <w:jc w:val="both"/>
              <w:rPr>
                <w:rFonts w:hint="eastAsia" w:ascii="宋体" w:hAnsi="宋体" w:eastAsia="宋体" w:cs="宋体"/>
                <w:bCs/>
                <w:color w:val="auto"/>
                <w:highlight w:val="none"/>
              </w:rPr>
            </w:pPr>
          </w:p>
        </w:tc>
        <w:tc>
          <w:tcPr>
            <w:tcW w:w="690" w:type="dxa"/>
            <w:vMerge w:val="continue"/>
            <w:tcBorders>
              <w:bottom w:val="single" w:color="auto" w:sz="4" w:space="0"/>
            </w:tcBorders>
            <w:shd w:val="clear" w:color="auto" w:fill="auto"/>
            <w:vAlign w:val="center"/>
          </w:tcPr>
          <w:p w14:paraId="18ECD9EA">
            <w:pPr>
              <w:pStyle w:val="56"/>
              <w:shd w:val="clear" w:color="auto" w:fill="auto"/>
              <w:spacing w:line="360" w:lineRule="auto"/>
              <w:jc w:val="both"/>
              <w:rPr>
                <w:rFonts w:hint="eastAsia" w:ascii="宋体" w:hAnsi="宋体" w:eastAsia="宋体" w:cs="宋体"/>
                <w:bCs/>
                <w:color w:val="auto"/>
                <w:spacing w:val="16"/>
                <w:highlight w:val="none"/>
              </w:rPr>
            </w:pPr>
          </w:p>
        </w:tc>
        <w:tc>
          <w:tcPr>
            <w:tcW w:w="960" w:type="dxa"/>
            <w:gridSpan w:val="2"/>
            <w:tcBorders>
              <w:bottom w:val="single" w:color="auto" w:sz="4" w:space="0"/>
            </w:tcBorders>
            <w:shd w:val="clear" w:color="auto" w:fill="auto"/>
            <w:vAlign w:val="center"/>
          </w:tcPr>
          <w:p w14:paraId="19D8C439">
            <w:pPr>
              <w:pStyle w:val="56"/>
              <w:shd w:val="clear" w:color="auto" w:fill="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手机</w:t>
            </w:r>
          </w:p>
        </w:tc>
        <w:tc>
          <w:tcPr>
            <w:tcW w:w="2115" w:type="dxa"/>
            <w:gridSpan w:val="3"/>
            <w:tcBorders>
              <w:bottom w:val="single" w:color="auto" w:sz="4" w:space="0"/>
            </w:tcBorders>
            <w:shd w:val="clear" w:color="auto" w:fill="auto"/>
            <w:vAlign w:val="center"/>
          </w:tcPr>
          <w:p w14:paraId="3D47EED2">
            <w:pPr>
              <w:pStyle w:val="56"/>
              <w:shd w:val="clear" w:color="auto" w:fill="auto"/>
              <w:spacing w:line="360" w:lineRule="auto"/>
              <w:jc w:val="both"/>
              <w:rPr>
                <w:rFonts w:hint="eastAsia" w:ascii="宋体" w:hAnsi="宋体" w:eastAsia="宋体" w:cs="宋体"/>
                <w:bCs/>
                <w:color w:val="auto"/>
                <w:spacing w:val="16"/>
                <w:highlight w:val="none"/>
              </w:rPr>
            </w:pPr>
          </w:p>
        </w:tc>
        <w:tc>
          <w:tcPr>
            <w:tcW w:w="1560" w:type="dxa"/>
            <w:vMerge w:val="continue"/>
            <w:shd w:val="clear" w:color="auto" w:fill="auto"/>
            <w:vAlign w:val="center"/>
          </w:tcPr>
          <w:p w14:paraId="633E7D11">
            <w:pPr>
              <w:pStyle w:val="56"/>
              <w:shd w:val="clear" w:color="auto" w:fill="auto"/>
              <w:spacing w:line="360" w:lineRule="auto"/>
              <w:jc w:val="center"/>
              <w:rPr>
                <w:rFonts w:hint="eastAsia" w:ascii="宋体" w:hAnsi="宋体" w:eastAsia="宋体" w:cs="宋体"/>
                <w:bCs/>
                <w:color w:val="auto"/>
                <w:spacing w:val="16"/>
                <w:highlight w:val="none"/>
              </w:rPr>
            </w:pPr>
          </w:p>
        </w:tc>
        <w:tc>
          <w:tcPr>
            <w:tcW w:w="2608" w:type="dxa"/>
            <w:gridSpan w:val="3"/>
            <w:vMerge w:val="continue"/>
            <w:shd w:val="clear" w:color="auto" w:fill="auto"/>
            <w:vAlign w:val="center"/>
          </w:tcPr>
          <w:p w14:paraId="40698F1C">
            <w:pPr>
              <w:pStyle w:val="56"/>
              <w:shd w:val="clear" w:color="auto" w:fill="auto"/>
              <w:spacing w:line="360" w:lineRule="auto"/>
              <w:jc w:val="both"/>
              <w:rPr>
                <w:rFonts w:hint="eastAsia" w:ascii="宋体" w:hAnsi="宋体" w:eastAsia="宋体" w:cs="宋体"/>
                <w:bCs/>
                <w:color w:val="auto"/>
                <w:spacing w:val="16"/>
                <w:highlight w:val="none"/>
              </w:rPr>
            </w:pPr>
          </w:p>
        </w:tc>
      </w:tr>
      <w:tr w14:paraId="3533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shd w:val="clear" w:color="auto" w:fill="auto"/>
            <w:vAlign w:val="center"/>
          </w:tcPr>
          <w:p w14:paraId="7A610165">
            <w:pPr>
              <w:pStyle w:val="56"/>
              <w:shd w:val="clear" w:color="auto" w:fill="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1.</w:t>
            </w:r>
          </w:p>
          <w:p w14:paraId="2B677892">
            <w:pPr>
              <w:pStyle w:val="56"/>
              <w:shd w:val="clear" w:color="auto" w:fill="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企</w:t>
            </w:r>
          </w:p>
          <w:p w14:paraId="6B9F2E2C">
            <w:pPr>
              <w:pStyle w:val="56"/>
              <w:shd w:val="clear" w:color="auto" w:fill="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业</w:t>
            </w:r>
          </w:p>
          <w:p w14:paraId="2417F72F">
            <w:pPr>
              <w:pStyle w:val="56"/>
              <w:shd w:val="clear" w:color="auto" w:fill="auto"/>
              <w:spacing w:line="360" w:lineRule="auto"/>
              <w:ind w:left="107"/>
              <w:jc w:val="both"/>
              <w:rPr>
                <w:rFonts w:hint="eastAsia" w:ascii="宋体" w:hAnsi="宋体" w:eastAsia="宋体" w:cs="宋体"/>
                <w:bCs/>
                <w:color w:val="auto"/>
                <w:spacing w:val="27"/>
                <w:highlight w:val="none"/>
              </w:rPr>
            </w:pPr>
            <w:r>
              <w:rPr>
                <w:rFonts w:hint="eastAsia" w:ascii="宋体" w:hAnsi="宋体" w:eastAsia="宋体" w:cs="宋体"/>
                <w:bCs/>
                <w:color w:val="auto"/>
                <w:spacing w:val="27"/>
                <w:highlight w:val="none"/>
              </w:rPr>
              <w:t>概</w:t>
            </w:r>
          </w:p>
          <w:p w14:paraId="05CEFD6E">
            <w:pPr>
              <w:pStyle w:val="56"/>
              <w:shd w:val="clear" w:color="auto" w:fill="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况</w:t>
            </w:r>
          </w:p>
        </w:tc>
        <w:tc>
          <w:tcPr>
            <w:tcW w:w="690" w:type="dxa"/>
            <w:tcBorders>
              <w:top w:val="nil"/>
            </w:tcBorders>
            <w:shd w:val="clear" w:color="auto" w:fill="auto"/>
            <w:vAlign w:val="center"/>
          </w:tcPr>
          <w:p w14:paraId="103F250A">
            <w:pPr>
              <w:pStyle w:val="56"/>
              <w:shd w:val="clear" w:color="auto" w:fill="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职工人数</w:t>
            </w:r>
          </w:p>
        </w:tc>
        <w:tc>
          <w:tcPr>
            <w:tcW w:w="960" w:type="dxa"/>
            <w:gridSpan w:val="2"/>
            <w:tcBorders>
              <w:top w:val="nil"/>
            </w:tcBorders>
            <w:shd w:val="clear" w:color="auto" w:fill="auto"/>
            <w:vAlign w:val="center"/>
          </w:tcPr>
          <w:p w14:paraId="718EA057">
            <w:pPr>
              <w:pStyle w:val="56"/>
              <w:shd w:val="clear" w:color="auto" w:fill="auto"/>
              <w:spacing w:line="360" w:lineRule="auto"/>
              <w:jc w:val="both"/>
              <w:rPr>
                <w:rFonts w:hint="eastAsia" w:ascii="宋体" w:hAnsi="宋体" w:eastAsia="宋体" w:cs="宋体"/>
                <w:bCs/>
                <w:color w:val="auto"/>
                <w:spacing w:val="16"/>
                <w:highlight w:val="none"/>
              </w:rPr>
            </w:pPr>
          </w:p>
        </w:tc>
        <w:tc>
          <w:tcPr>
            <w:tcW w:w="926" w:type="dxa"/>
            <w:tcBorders>
              <w:top w:val="nil"/>
            </w:tcBorders>
            <w:shd w:val="clear" w:color="auto" w:fill="auto"/>
            <w:vAlign w:val="center"/>
          </w:tcPr>
          <w:p w14:paraId="0EAB3FD4">
            <w:pPr>
              <w:pStyle w:val="56"/>
              <w:shd w:val="clear" w:color="auto" w:fill="auto"/>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8"/>
                <w:highlight w:val="none"/>
              </w:rPr>
              <w:t>具备大专以</w:t>
            </w:r>
            <w:r>
              <w:rPr>
                <w:rFonts w:hint="eastAsia" w:ascii="宋体" w:hAnsi="宋体" w:eastAsia="宋体" w:cs="宋体"/>
                <w:bCs/>
                <w:color w:val="auto"/>
                <w:spacing w:val="12"/>
                <w:highlight w:val="none"/>
              </w:rPr>
              <w:t>上学历人数</w:t>
            </w:r>
          </w:p>
        </w:tc>
        <w:tc>
          <w:tcPr>
            <w:tcW w:w="1189" w:type="dxa"/>
            <w:gridSpan w:val="2"/>
            <w:tcBorders>
              <w:top w:val="nil"/>
            </w:tcBorders>
            <w:shd w:val="clear" w:color="auto" w:fill="auto"/>
            <w:vAlign w:val="center"/>
          </w:tcPr>
          <w:p w14:paraId="1AD521F1">
            <w:pPr>
              <w:widowControl/>
              <w:shd w:val="clear" w:color="auto" w:fill="auto"/>
              <w:spacing w:line="360" w:lineRule="auto"/>
              <w:rPr>
                <w:rFonts w:hint="eastAsia" w:ascii="宋体" w:hAnsi="宋体" w:eastAsia="宋体" w:cs="宋体"/>
                <w:bCs/>
                <w:color w:val="auto"/>
                <w:spacing w:val="16"/>
                <w:kern w:val="0"/>
                <w:sz w:val="24"/>
                <w:highlight w:val="none"/>
              </w:rPr>
            </w:pPr>
          </w:p>
          <w:p w14:paraId="0187C55F">
            <w:pPr>
              <w:widowControl/>
              <w:shd w:val="clear" w:color="auto" w:fill="auto"/>
              <w:spacing w:line="360" w:lineRule="auto"/>
              <w:rPr>
                <w:rFonts w:hint="eastAsia" w:ascii="宋体" w:hAnsi="宋体" w:eastAsia="宋体" w:cs="宋体"/>
                <w:bCs/>
                <w:color w:val="auto"/>
                <w:spacing w:val="16"/>
                <w:kern w:val="0"/>
                <w:sz w:val="24"/>
                <w:highlight w:val="none"/>
              </w:rPr>
            </w:pPr>
          </w:p>
          <w:p w14:paraId="70951508">
            <w:pPr>
              <w:pStyle w:val="56"/>
              <w:shd w:val="clear" w:color="auto" w:fill="auto"/>
              <w:spacing w:line="360" w:lineRule="auto"/>
              <w:jc w:val="both"/>
              <w:rPr>
                <w:rFonts w:hint="eastAsia" w:ascii="宋体" w:hAnsi="宋体" w:eastAsia="宋体" w:cs="宋体"/>
                <w:bCs/>
                <w:color w:val="auto"/>
                <w:spacing w:val="16"/>
                <w:highlight w:val="none"/>
              </w:rPr>
            </w:pPr>
          </w:p>
        </w:tc>
        <w:tc>
          <w:tcPr>
            <w:tcW w:w="1560" w:type="dxa"/>
            <w:shd w:val="clear" w:color="auto" w:fill="auto"/>
            <w:vAlign w:val="center"/>
          </w:tcPr>
          <w:p w14:paraId="72ED2570">
            <w:pPr>
              <w:pStyle w:val="56"/>
              <w:shd w:val="clear" w:color="auto" w:fill="auto"/>
              <w:spacing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65"/>
                <w:highlight w:val="none"/>
              </w:rPr>
              <w:t>国家授予技</w:t>
            </w:r>
            <w:r>
              <w:rPr>
                <w:rFonts w:hint="eastAsia" w:ascii="宋体" w:hAnsi="宋体" w:eastAsia="宋体" w:cs="宋体"/>
                <w:bCs/>
                <w:color w:val="auto"/>
                <w:spacing w:val="12"/>
                <w:highlight w:val="none"/>
              </w:rPr>
              <w:t>术职称人数</w:t>
            </w:r>
          </w:p>
        </w:tc>
        <w:tc>
          <w:tcPr>
            <w:tcW w:w="2608" w:type="dxa"/>
            <w:gridSpan w:val="3"/>
            <w:shd w:val="clear" w:color="auto" w:fill="auto"/>
            <w:vAlign w:val="center"/>
          </w:tcPr>
          <w:p w14:paraId="6B5E91B7">
            <w:pPr>
              <w:widowControl/>
              <w:shd w:val="clear" w:color="auto" w:fill="auto"/>
              <w:spacing w:line="360" w:lineRule="auto"/>
              <w:rPr>
                <w:rFonts w:hint="eastAsia" w:ascii="宋体" w:hAnsi="宋体" w:eastAsia="宋体" w:cs="宋体"/>
                <w:bCs/>
                <w:color w:val="auto"/>
                <w:spacing w:val="16"/>
                <w:kern w:val="0"/>
                <w:sz w:val="24"/>
                <w:highlight w:val="none"/>
              </w:rPr>
            </w:pPr>
          </w:p>
          <w:p w14:paraId="39062308">
            <w:pPr>
              <w:pStyle w:val="56"/>
              <w:shd w:val="clear" w:color="auto" w:fill="auto"/>
              <w:spacing w:line="360" w:lineRule="auto"/>
              <w:jc w:val="both"/>
              <w:rPr>
                <w:rFonts w:hint="eastAsia" w:ascii="宋体" w:hAnsi="宋体" w:eastAsia="宋体" w:cs="宋体"/>
                <w:bCs/>
                <w:color w:val="auto"/>
                <w:spacing w:val="16"/>
                <w:highlight w:val="none"/>
              </w:rPr>
            </w:pPr>
          </w:p>
        </w:tc>
      </w:tr>
      <w:tr w14:paraId="34DA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shd w:val="clear" w:color="auto" w:fill="auto"/>
            <w:vAlign w:val="center"/>
          </w:tcPr>
          <w:p w14:paraId="5E05650F">
            <w:pPr>
              <w:pStyle w:val="56"/>
              <w:shd w:val="clear" w:color="auto" w:fill="auto"/>
              <w:spacing w:line="360" w:lineRule="auto"/>
              <w:ind w:left="107"/>
              <w:jc w:val="both"/>
              <w:rPr>
                <w:rFonts w:hint="eastAsia" w:ascii="宋体" w:hAnsi="宋体" w:eastAsia="宋体" w:cs="宋体"/>
                <w:bCs/>
                <w:color w:val="auto"/>
                <w:highlight w:val="none"/>
              </w:rPr>
            </w:pPr>
          </w:p>
        </w:tc>
        <w:tc>
          <w:tcPr>
            <w:tcW w:w="690" w:type="dxa"/>
            <w:shd w:val="clear" w:color="auto" w:fill="auto"/>
            <w:vAlign w:val="center"/>
          </w:tcPr>
          <w:p w14:paraId="08803628">
            <w:pPr>
              <w:pStyle w:val="56"/>
              <w:shd w:val="clear" w:color="auto" w:fill="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占地面积</w:t>
            </w:r>
          </w:p>
        </w:tc>
        <w:tc>
          <w:tcPr>
            <w:tcW w:w="960" w:type="dxa"/>
            <w:gridSpan w:val="2"/>
            <w:shd w:val="clear" w:color="auto" w:fill="auto"/>
            <w:vAlign w:val="center"/>
          </w:tcPr>
          <w:p w14:paraId="58435A89">
            <w:pPr>
              <w:pStyle w:val="56"/>
              <w:shd w:val="clear" w:color="auto" w:fill="auto"/>
              <w:spacing w:line="360" w:lineRule="auto"/>
              <w:jc w:val="both"/>
              <w:rPr>
                <w:rFonts w:hint="eastAsia" w:ascii="宋体" w:hAnsi="宋体" w:eastAsia="宋体" w:cs="宋体"/>
                <w:bCs/>
                <w:color w:val="auto"/>
                <w:highlight w:val="none"/>
              </w:rPr>
            </w:pPr>
          </w:p>
        </w:tc>
        <w:tc>
          <w:tcPr>
            <w:tcW w:w="926" w:type="dxa"/>
            <w:shd w:val="clear" w:color="auto" w:fill="auto"/>
            <w:vAlign w:val="center"/>
          </w:tcPr>
          <w:p w14:paraId="42404AB7">
            <w:pPr>
              <w:pStyle w:val="56"/>
              <w:shd w:val="clear" w:color="auto" w:fill="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建筑面积</w:t>
            </w:r>
          </w:p>
        </w:tc>
        <w:tc>
          <w:tcPr>
            <w:tcW w:w="1189" w:type="dxa"/>
            <w:gridSpan w:val="2"/>
            <w:shd w:val="clear" w:color="auto" w:fill="auto"/>
            <w:vAlign w:val="center"/>
          </w:tcPr>
          <w:p w14:paraId="2391E816">
            <w:pPr>
              <w:pStyle w:val="56"/>
              <w:shd w:val="clear" w:color="auto" w:fill="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highlight w:val="none"/>
              </w:rPr>
              <w:t>平方米</w:t>
            </w:r>
          </w:p>
          <w:p w14:paraId="2966F101">
            <w:pPr>
              <w:pStyle w:val="56"/>
              <w:shd w:val="clear" w:color="auto" w:fill="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□自有□租赁</w:t>
            </w:r>
          </w:p>
        </w:tc>
        <w:tc>
          <w:tcPr>
            <w:tcW w:w="1560" w:type="dxa"/>
            <w:shd w:val="clear" w:color="auto" w:fill="auto"/>
            <w:vAlign w:val="center"/>
          </w:tcPr>
          <w:p w14:paraId="64B419EC">
            <w:pPr>
              <w:pStyle w:val="56"/>
              <w:shd w:val="clear" w:color="auto" w:fill="auto"/>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生产经营场所及场所的设施与设备</w:t>
            </w:r>
          </w:p>
        </w:tc>
        <w:tc>
          <w:tcPr>
            <w:tcW w:w="2608" w:type="dxa"/>
            <w:gridSpan w:val="3"/>
            <w:shd w:val="clear" w:color="auto" w:fill="auto"/>
            <w:vAlign w:val="center"/>
          </w:tcPr>
          <w:p w14:paraId="2394CF68">
            <w:pPr>
              <w:pStyle w:val="56"/>
              <w:shd w:val="clear" w:color="auto" w:fill="auto"/>
              <w:spacing w:before="0" w:beforeAutospacing="0" w:after="0" w:afterAutospacing="0" w:line="360" w:lineRule="auto"/>
              <w:jc w:val="both"/>
              <w:rPr>
                <w:rFonts w:hint="eastAsia" w:ascii="宋体" w:hAnsi="宋体" w:eastAsia="宋体" w:cs="宋体"/>
                <w:bCs/>
                <w:color w:val="auto"/>
                <w:spacing w:val="16"/>
                <w:highlight w:val="none"/>
              </w:rPr>
            </w:pPr>
          </w:p>
        </w:tc>
      </w:tr>
      <w:tr w14:paraId="11E9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shd w:val="clear" w:color="auto" w:fill="auto"/>
            <w:vAlign w:val="center"/>
          </w:tcPr>
          <w:p w14:paraId="5B4F4846">
            <w:pPr>
              <w:pStyle w:val="56"/>
              <w:shd w:val="clear" w:color="auto" w:fill="auto"/>
              <w:spacing w:line="360" w:lineRule="auto"/>
              <w:ind w:left="107"/>
              <w:jc w:val="both"/>
              <w:rPr>
                <w:rFonts w:hint="eastAsia" w:ascii="宋体" w:hAnsi="宋体" w:eastAsia="宋体" w:cs="宋体"/>
                <w:bCs/>
                <w:color w:val="auto"/>
                <w:highlight w:val="none"/>
              </w:rPr>
            </w:pPr>
          </w:p>
        </w:tc>
        <w:tc>
          <w:tcPr>
            <w:tcW w:w="690" w:type="dxa"/>
            <w:shd w:val="clear" w:color="auto" w:fill="auto"/>
            <w:vAlign w:val="center"/>
          </w:tcPr>
          <w:p w14:paraId="21EBD44E">
            <w:pPr>
              <w:pStyle w:val="56"/>
              <w:shd w:val="clear" w:color="auto" w:fill="auto"/>
              <w:spacing w:line="360" w:lineRule="auto"/>
              <w:ind w:left="2"/>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注册资金</w:t>
            </w:r>
          </w:p>
        </w:tc>
        <w:tc>
          <w:tcPr>
            <w:tcW w:w="960" w:type="dxa"/>
            <w:gridSpan w:val="2"/>
            <w:shd w:val="clear" w:color="auto" w:fill="auto"/>
            <w:vAlign w:val="center"/>
          </w:tcPr>
          <w:p w14:paraId="1251F1BA">
            <w:pPr>
              <w:pStyle w:val="56"/>
              <w:shd w:val="clear" w:color="auto" w:fill="auto"/>
              <w:spacing w:line="360" w:lineRule="auto"/>
              <w:ind w:left="2"/>
              <w:jc w:val="both"/>
              <w:rPr>
                <w:rFonts w:hint="eastAsia" w:ascii="宋体" w:hAnsi="宋体" w:eastAsia="宋体" w:cs="宋体"/>
                <w:bCs/>
                <w:color w:val="auto"/>
                <w:highlight w:val="none"/>
              </w:rPr>
            </w:pPr>
          </w:p>
        </w:tc>
        <w:tc>
          <w:tcPr>
            <w:tcW w:w="926" w:type="dxa"/>
            <w:shd w:val="clear" w:color="auto" w:fill="auto"/>
            <w:vAlign w:val="center"/>
          </w:tcPr>
          <w:p w14:paraId="6E3927B7">
            <w:pPr>
              <w:pStyle w:val="56"/>
              <w:shd w:val="clear" w:color="auto" w:fill="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注册发证</w:t>
            </w:r>
            <w:r>
              <w:rPr>
                <w:rFonts w:hint="eastAsia" w:ascii="宋体" w:hAnsi="宋体" w:eastAsia="宋体" w:cs="宋体"/>
                <w:bCs/>
                <w:color w:val="auto"/>
                <w:spacing w:val="27"/>
                <w:highlight w:val="none"/>
              </w:rPr>
              <w:t>机关</w:t>
            </w:r>
          </w:p>
        </w:tc>
        <w:tc>
          <w:tcPr>
            <w:tcW w:w="2749" w:type="dxa"/>
            <w:gridSpan w:val="3"/>
            <w:shd w:val="clear" w:color="auto" w:fill="auto"/>
            <w:vAlign w:val="center"/>
          </w:tcPr>
          <w:p w14:paraId="26C9CDD7">
            <w:pPr>
              <w:widowControl/>
              <w:shd w:val="clear" w:color="auto" w:fill="auto"/>
              <w:spacing w:line="360" w:lineRule="auto"/>
              <w:rPr>
                <w:rFonts w:hint="eastAsia" w:ascii="宋体" w:hAnsi="宋体" w:eastAsia="宋体" w:cs="宋体"/>
                <w:bCs/>
                <w:color w:val="auto"/>
                <w:kern w:val="0"/>
                <w:sz w:val="24"/>
                <w:highlight w:val="none"/>
              </w:rPr>
            </w:pPr>
          </w:p>
          <w:p w14:paraId="76E7F2F1">
            <w:pPr>
              <w:pStyle w:val="56"/>
              <w:shd w:val="clear" w:color="auto" w:fill="auto"/>
              <w:spacing w:line="360" w:lineRule="auto"/>
              <w:ind w:left="107"/>
              <w:jc w:val="both"/>
              <w:rPr>
                <w:rFonts w:hint="eastAsia" w:ascii="宋体" w:hAnsi="宋体" w:eastAsia="宋体" w:cs="宋体"/>
                <w:bCs/>
                <w:color w:val="auto"/>
                <w:highlight w:val="none"/>
              </w:rPr>
            </w:pPr>
          </w:p>
        </w:tc>
        <w:tc>
          <w:tcPr>
            <w:tcW w:w="1675" w:type="dxa"/>
            <w:gridSpan w:val="2"/>
            <w:shd w:val="clear" w:color="auto" w:fill="auto"/>
            <w:vAlign w:val="center"/>
          </w:tcPr>
          <w:p w14:paraId="3989BD25">
            <w:pPr>
              <w:pStyle w:val="56"/>
              <w:shd w:val="clear" w:color="auto" w:fill="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公司成</w:t>
            </w:r>
            <w:r>
              <w:rPr>
                <w:rFonts w:hint="eastAsia" w:ascii="宋体" w:hAnsi="宋体" w:eastAsia="宋体" w:cs="宋体"/>
                <w:bCs/>
                <w:color w:val="auto"/>
                <w:spacing w:val="12"/>
                <w:highlight w:val="none"/>
              </w:rPr>
              <w:t>立时间</w:t>
            </w:r>
          </w:p>
        </w:tc>
        <w:tc>
          <w:tcPr>
            <w:tcW w:w="933" w:type="dxa"/>
            <w:shd w:val="clear" w:color="auto" w:fill="auto"/>
            <w:vAlign w:val="center"/>
          </w:tcPr>
          <w:p w14:paraId="1553149B">
            <w:pPr>
              <w:pStyle w:val="56"/>
              <w:shd w:val="clear" w:color="auto" w:fill="auto"/>
              <w:spacing w:line="360" w:lineRule="auto"/>
              <w:ind w:left="107"/>
              <w:jc w:val="both"/>
              <w:rPr>
                <w:rFonts w:hint="eastAsia" w:ascii="宋体" w:hAnsi="宋体" w:eastAsia="宋体" w:cs="宋体"/>
                <w:bCs/>
                <w:color w:val="auto"/>
                <w:highlight w:val="none"/>
              </w:rPr>
            </w:pPr>
          </w:p>
        </w:tc>
      </w:tr>
      <w:tr w14:paraId="4E1C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shd w:val="clear" w:color="auto" w:fill="auto"/>
            <w:vAlign w:val="center"/>
          </w:tcPr>
          <w:p w14:paraId="2E03105A">
            <w:pPr>
              <w:pStyle w:val="56"/>
              <w:shd w:val="clear" w:color="auto" w:fill="auto"/>
              <w:spacing w:line="360" w:lineRule="auto"/>
              <w:ind w:left="107"/>
              <w:jc w:val="both"/>
              <w:rPr>
                <w:rFonts w:hint="eastAsia" w:ascii="宋体" w:hAnsi="宋体" w:eastAsia="宋体" w:cs="宋体"/>
                <w:bCs/>
                <w:color w:val="auto"/>
                <w:highlight w:val="none"/>
              </w:rPr>
            </w:pPr>
          </w:p>
        </w:tc>
        <w:tc>
          <w:tcPr>
            <w:tcW w:w="690" w:type="dxa"/>
            <w:shd w:val="clear" w:color="auto" w:fill="auto"/>
            <w:vAlign w:val="center"/>
          </w:tcPr>
          <w:p w14:paraId="4072D799">
            <w:pPr>
              <w:pStyle w:val="56"/>
              <w:shd w:val="clear" w:color="auto" w:fill="auto"/>
              <w:spacing w:line="360" w:lineRule="auto"/>
              <w:ind w:left="2"/>
              <w:jc w:val="both"/>
              <w:rPr>
                <w:rFonts w:hint="eastAsia" w:ascii="宋体" w:hAnsi="宋体" w:eastAsia="宋体" w:cs="宋体"/>
                <w:bCs/>
                <w:color w:val="auto"/>
                <w:highlight w:val="none"/>
              </w:rPr>
            </w:pPr>
            <w:r>
              <w:rPr>
                <w:rFonts w:hint="eastAsia" w:ascii="宋体" w:hAnsi="宋体" w:eastAsia="宋体" w:cs="宋体"/>
                <w:bCs/>
                <w:color w:val="auto"/>
                <w:highlight w:val="none"/>
              </w:rPr>
              <w:t>核准经营范围</w:t>
            </w:r>
          </w:p>
        </w:tc>
        <w:tc>
          <w:tcPr>
            <w:tcW w:w="7243" w:type="dxa"/>
            <w:gridSpan w:val="9"/>
            <w:shd w:val="clear" w:color="auto" w:fill="auto"/>
            <w:vAlign w:val="center"/>
          </w:tcPr>
          <w:p w14:paraId="63D113B9">
            <w:pPr>
              <w:pStyle w:val="56"/>
              <w:shd w:val="clear" w:color="auto" w:fill="auto"/>
              <w:spacing w:line="360" w:lineRule="auto"/>
              <w:ind w:left="107"/>
              <w:jc w:val="both"/>
              <w:rPr>
                <w:rFonts w:hint="eastAsia" w:ascii="宋体" w:hAnsi="宋体" w:eastAsia="宋体" w:cs="宋体"/>
                <w:bCs/>
                <w:color w:val="auto"/>
                <w:highlight w:val="none"/>
              </w:rPr>
            </w:pPr>
          </w:p>
        </w:tc>
      </w:tr>
      <w:tr w14:paraId="5FCD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14:paraId="58F1EDCD">
            <w:pPr>
              <w:pStyle w:val="56"/>
              <w:shd w:val="clear" w:color="auto" w:fill="auto"/>
              <w:spacing w:line="360" w:lineRule="auto"/>
              <w:ind w:left="107"/>
              <w:jc w:val="both"/>
              <w:rPr>
                <w:rFonts w:hint="eastAsia" w:ascii="宋体" w:hAnsi="宋体" w:eastAsia="宋体" w:cs="宋体"/>
                <w:bCs/>
                <w:color w:val="auto"/>
                <w:highlight w:val="none"/>
              </w:rPr>
            </w:pPr>
          </w:p>
        </w:tc>
        <w:tc>
          <w:tcPr>
            <w:tcW w:w="7933" w:type="dxa"/>
            <w:gridSpan w:val="10"/>
            <w:shd w:val="clear" w:color="auto" w:fill="auto"/>
            <w:vAlign w:val="center"/>
          </w:tcPr>
          <w:p w14:paraId="6DBFC8E5">
            <w:pPr>
              <w:pStyle w:val="56"/>
              <w:shd w:val="clear" w:color="auto" w:fill="auto"/>
              <w:spacing w:line="360" w:lineRule="auto"/>
              <w:jc w:val="both"/>
              <w:rPr>
                <w:rFonts w:hint="eastAsia" w:ascii="宋体" w:hAnsi="宋体" w:eastAsia="宋体" w:cs="宋体"/>
                <w:bCs/>
                <w:color w:val="auto"/>
                <w:spacing w:val="13"/>
                <w:highlight w:val="none"/>
              </w:rPr>
            </w:pPr>
            <w:r>
              <w:rPr>
                <w:rFonts w:hint="eastAsia" w:ascii="宋体" w:hAnsi="宋体" w:eastAsia="宋体" w:cs="宋体"/>
                <w:bCs/>
                <w:color w:val="auto"/>
                <w:spacing w:val="13"/>
                <w:highlight w:val="none"/>
              </w:rPr>
              <w:t>发展历程及主要荣誉：</w:t>
            </w:r>
          </w:p>
        </w:tc>
      </w:tr>
      <w:tr w14:paraId="40BA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14:paraId="301F7F25">
            <w:pPr>
              <w:pStyle w:val="56"/>
              <w:shd w:val="clear" w:color="auto" w:fill="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2.</w:t>
            </w:r>
          </w:p>
          <w:p w14:paraId="028043F4">
            <w:pPr>
              <w:pStyle w:val="56"/>
              <w:shd w:val="clear" w:color="auto" w:fill="auto"/>
              <w:spacing w:line="360" w:lineRule="auto"/>
              <w:ind w:left="107"/>
              <w:jc w:val="both"/>
              <w:rPr>
                <w:rFonts w:hint="eastAsia" w:ascii="宋体" w:hAnsi="宋体" w:eastAsia="宋体" w:cs="宋体"/>
                <w:bCs/>
                <w:color w:val="auto"/>
                <w:spacing w:val="16"/>
                <w:highlight w:val="none"/>
              </w:rPr>
            </w:pPr>
            <w:r>
              <w:rPr>
                <w:rFonts w:hint="eastAsia" w:ascii="宋体" w:hAnsi="宋体" w:eastAsia="宋体" w:cs="宋体"/>
                <w:bCs/>
                <w:color w:val="auto"/>
                <w:highlight w:val="none"/>
              </w:rPr>
              <w:t>企</w:t>
            </w:r>
            <w:r>
              <w:rPr>
                <w:rFonts w:hint="eastAsia" w:ascii="宋体" w:hAnsi="宋体" w:eastAsia="宋体" w:cs="宋体"/>
                <w:bCs/>
                <w:color w:val="auto"/>
                <w:spacing w:val="12"/>
                <w:highlight w:val="none"/>
              </w:rPr>
              <w:t>业有关资质获证情况</w:t>
            </w:r>
          </w:p>
        </w:tc>
        <w:tc>
          <w:tcPr>
            <w:tcW w:w="1355" w:type="dxa"/>
            <w:gridSpan w:val="2"/>
            <w:vMerge w:val="restart"/>
            <w:shd w:val="clear" w:color="auto" w:fill="auto"/>
            <w:vAlign w:val="center"/>
          </w:tcPr>
          <w:p w14:paraId="7FFF3491">
            <w:pPr>
              <w:pStyle w:val="56"/>
              <w:shd w:val="clear" w:color="auto" w:fill="auto"/>
              <w:spacing w:before="0" w:beforeAutospacing="0" w:after="0" w:afterAutospacing="0"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产品生产许可证情况</w:t>
            </w:r>
            <w:r>
              <w:rPr>
                <w:rFonts w:hint="eastAsia" w:ascii="宋体" w:hAnsi="宋体" w:eastAsia="宋体" w:cs="宋体"/>
                <w:bCs/>
                <w:color w:val="auto"/>
                <w:spacing w:val="41"/>
                <w:highlight w:val="none"/>
              </w:rPr>
              <w:t>（对需获得生产许可证的</w:t>
            </w:r>
            <w:r>
              <w:rPr>
                <w:rFonts w:hint="eastAsia" w:ascii="宋体" w:hAnsi="宋体" w:eastAsia="宋体" w:cs="宋体"/>
                <w:bCs/>
                <w:color w:val="auto"/>
                <w:spacing w:val="11"/>
                <w:highlight w:val="none"/>
              </w:rPr>
              <w:t>产品要填写此栏）</w:t>
            </w:r>
          </w:p>
        </w:tc>
        <w:tc>
          <w:tcPr>
            <w:tcW w:w="1333" w:type="dxa"/>
            <w:gridSpan w:val="3"/>
            <w:shd w:val="clear" w:color="auto" w:fill="auto"/>
            <w:vAlign w:val="center"/>
          </w:tcPr>
          <w:p w14:paraId="7E4F3BED">
            <w:pPr>
              <w:pStyle w:val="56"/>
              <w:shd w:val="clear" w:color="auto" w:fill="auto"/>
              <w:spacing w:line="360" w:lineRule="auto"/>
              <w:ind w:right="-78" w:rightChars="-37"/>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产品名称</w:t>
            </w:r>
          </w:p>
        </w:tc>
        <w:tc>
          <w:tcPr>
            <w:tcW w:w="1077" w:type="dxa"/>
            <w:shd w:val="clear" w:color="auto" w:fill="auto"/>
            <w:vAlign w:val="center"/>
          </w:tcPr>
          <w:p w14:paraId="238FA79C">
            <w:pPr>
              <w:pStyle w:val="56"/>
              <w:shd w:val="clear" w:color="auto" w:fill="auto"/>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发证机关</w:t>
            </w:r>
          </w:p>
        </w:tc>
        <w:tc>
          <w:tcPr>
            <w:tcW w:w="1617" w:type="dxa"/>
            <w:gridSpan w:val="2"/>
            <w:shd w:val="clear" w:color="auto" w:fill="auto"/>
            <w:vAlign w:val="center"/>
          </w:tcPr>
          <w:p w14:paraId="34BBA3F5">
            <w:pPr>
              <w:pStyle w:val="56"/>
              <w:shd w:val="clear" w:color="auto" w:fill="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编号</w:t>
            </w:r>
          </w:p>
        </w:tc>
        <w:tc>
          <w:tcPr>
            <w:tcW w:w="1618" w:type="dxa"/>
            <w:shd w:val="clear" w:color="auto" w:fill="auto"/>
            <w:vAlign w:val="center"/>
          </w:tcPr>
          <w:p w14:paraId="0793A888">
            <w:pPr>
              <w:pStyle w:val="56"/>
              <w:shd w:val="clear" w:color="auto" w:fill="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发证时间</w:t>
            </w:r>
          </w:p>
        </w:tc>
        <w:tc>
          <w:tcPr>
            <w:tcW w:w="933" w:type="dxa"/>
            <w:shd w:val="clear" w:color="auto" w:fill="auto"/>
            <w:vAlign w:val="center"/>
          </w:tcPr>
          <w:p w14:paraId="3DC5508D">
            <w:pPr>
              <w:pStyle w:val="56"/>
              <w:shd w:val="clear" w:color="auto" w:fill="auto"/>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期限</w:t>
            </w:r>
          </w:p>
        </w:tc>
      </w:tr>
      <w:tr w14:paraId="4E70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14:paraId="329670F3">
            <w:pPr>
              <w:pStyle w:val="56"/>
              <w:shd w:val="clear" w:color="auto" w:fill="auto"/>
              <w:spacing w:line="360" w:lineRule="auto"/>
              <w:ind w:left="107"/>
              <w:jc w:val="both"/>
              <w:rPr>
                <w:rFonts w:hint="eastAsia" w:ascii="宋体" w:hAnsi="宋体" w:eastAsia="宋体" w:cs="宋体"/>
                <w:bCs/>
                <w:color w:val="auto"/>
                <w:highlight w:val="none"/>
              </w:rPr>
            </w:pPr>
          </w:p>
        </w:tc>
        <w:tc>
          <w:tcPr>
            <w:tcW w:w="1355" w:type="dxa"/>
            <w:gridSpan w:val="2"/>
            <w:vMerge w:val="continue"/>
            <w:shd w:val="clear" w:color="auto" w:fill="auto"/>
            <w:vAlign w:val="center"/>
          </w:tcPr>
          <w:p w14:paraId="3316934B">
            <w:pPr>
              <w:pStyle w:val="56"/>
              <w:shd w:val="clear" w:color="auto" w:fill="auto"/>
              <w:spacing w:line="360" w:lineRule="auto"/>
              <w:jc w:val="both"/>
              <w:rPr>
                <w:rFonts w:hint="eastAsia" w:ascii="宋体" w:hAnsi="宋体" w:eastAsia="宋体" w:cs="宋体"/>
                <w:bCs/>
                <w:color w:val="auto"/>
                <w:highlight w:val="none"/>
              </w:rPr>
            </w:pPr>
          </w:p>
        </w:tc>
        <w:tc>
          <w:tcPr>
            <w:tcW w:w="1333" w:type="dxa"/>
            <w:gridSpan w:val="3"/>
            <w:shd w:val="clear" w:color="auto" w:fill="auto"/>
            <w:vAlign w:val="center"/>
          </w:tcPr>
          <w:p w14:paraId="616D567B">
            <w:pPr>
              <w:pStyle w:val="56"/>
              <w:shd w:val="clear" w:color="auto" w:fill="auto"/>
              <w:spacing w:line="360" w:lineRule="auto"/>
              <w:jc w:val="both"/>
              <w:rPr>
                <w:rFonts w:hint="eastAsia" w:ascii="宋体" w:hAnsi="宋体" w:eastAsia="宋体" w:cs="宋体"/>
                <w:bCs/>
                <w:color w:val="auto"/>
                <w:highlight w:val="none"/>
              </w:rPr>
            </w:pPr>
          </w:p>
        </w:tc>
        <w:tc>
          <w:tcPr>
            <w:tcW w:w="1077" w:type="dxa"/>
            <w:shd w:val="clear" w:color="auto" w:fill="auto"/>
            <w:vAlign w:val="center"/>
          </w:tcPr>
          <w:p w14:paraId="5D2F452C">
            <w:pPr>
              <w:pStyle w:val="56"/>
              <w:shd w:val="clear" w:color="auto" w:fill="auto"/>
              <w:spacing w:line="360" w:lineRule="auto"/>
              <w:jc w:val="both"/>
              <w:rPr>
                <w:rFonts w:hint="eastAsia" w:ascii="宋体" w:hAnsi="宋体" w:eastAsia="宋体" w:cs="宋体"/>
                <w:bCs/>
                <w:color w:val="auto"/>
                <w:highlight w:val="none"/>
              </w:rPr>
            </w:pPr>
          </w:p>
        </w:tc>
        <w:tc>
          <w:tcPr>
            <w:tcW w:w="1617" w:type="dxa"/>
            <w:gridSpan w:val="2"/>
            <w:shd w:val="clear" w:color="auto" w:fill="auto"/>
            <w:vAlign w:val="center"/>
          </w:tcPr>
          <w:p w14:paraId="4C7D2A7E">
            <w:pPr>
              <w:pStyle w:val="56"/>
              <w:shd w:val="clear" w:color="auto" w:fill="auto"/>
              <w:spacing w:line="360" w:lineRule="auto"/>
              <w:jc w:val="both"/>
              <w:rPr>
                <w:rFonts w:hint="eastAsia" w:ascii="宋体" w:hAnsi="宋体" w:eastAsia="宋体" w:cs="宋体"/>
                <w:bCs/>
                <w:color w:val="auto"/>
                <w:highlight w:val="none"/>
              </w:rPr>
            </w:pPr>
          </w:p>
        </w:tc>
        <w:tc>
          <w:tcPr>
            <w:tcW w:w="2551" w:type="dxa"/>
            <w:gridSpan w:val="2"/>
            <w:shd w:val="clear" w:color="auto" w:fill="auto"/>
            <w:vAlign w:val="center"/>
          </w:tcPr>
          <w:p w14:paraId="152E8454">
            <w:pPr>
              <w:pStyle w:val="56"/>
              <w:shd w:val="clear" w:color="auto" w:fill="auto"/>
              <w:spacing w:line="360" w:lineRule="auto"/>
              <w:jc w:val="both"/>
              <w:rPr>
                <w:rFonts w:hint="eastAsia" w:ascii="宋体" w:hAnsi="宋体" w:eastAsia="宋体" w:cs="宋体"/>
                <w:bCs/>
                <w:color w:val="auto"/>
                <w:highlight w:val="none"/>
              </w:rPr>
            </w:pPr>
          </w:p>
        </w:tc>
      </w:tr>
      <w:tr w14:paraId="75FD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14:paraId="2FBE095E">
            <w:pPr>
              <w:pStyle w:val="56"/>
              <w:shd w:val="clear" w:color="auto" w:fill="auto"/>
              <w:spacing w:line="360" w:lineRule="auto"/>
              <w:ind w:left="107"/>
              <w:jc w:val="both"/>
              <w:rPr>
                <w:rFonts w:hint="eastAsia" w:ascii="宋体" w:hAnsi="宋体" w:eastAsia="宋体" w:cs="宋体"/>
                <w:bCs/>
                <w:color w:val="auto"/>
                <w:spacing w:val="16"/>
                <w:highlight w:val="none"/>
              </w:rPr>
            </w:pPr>
          </w:p>
        </w:tc>
        <w:tc>
          <w:tcPr>
            <w:tcW w:w="1355" w:type="dxa"/>
            <w:gridSpan w:val="2"/>
            <w:shd w:val="clear" w:color="auto" w:fill="auto"/>
            <w:vAlign w:val="center"/>
          </w:tcPr>
          <w:p w14:paraId="25E3C9EC">
            <w:pPr>
              <w:pStyle w:val="56"/>
              <w:shd w:val="clear" w:color="auto" w:fill="auto"/>
              <w:spacing w:before="0" w:beforeAutospacing="0" w:after="0" w:afterAutospacing="0" w:line="360" w:lineRule="auto"/>
              <w:ind w:right="-107" w:rightChars="-51"/>
              <w:jc w:val="both"/>
              <w:rPr>
                <w:rFonts w:hint="eastAsia" w:ascii="宋体" w:hAnsi="宋体" w:eastAsia="宋体" w:cs="宋体"/>
                <w:bCs/>
                <w:color w:val="auto"/>
                <w:spacing w:val="41"/>
                <w:highlight w:val="none"/>
              </w:rPr>
            </w:pPr>
            <w:r>
              <w:rPr>
                <w:rFonts w:hint="eastAsia" w:ascii="宋体" w:hAnsi="宋体" w:eastAsia="宋体" w:cs="宋体"/>
                <w:bCs/>
                <w:color w:val="auto"/>
                <w:spacing w:val="41"/>
                <w:highlight w:val="none"/>
              </w:rPr>
              <w:t>企业通过质量体系、环保</w:t>
            </w:r>
            <w:r>
              <w:rPr>
                <w:rFonts w:hint="eastAsia" w:ascii="宋体" w:hAnsi="宋体" w:eastAsia="宋体" w:cs="宋体"/>
                <w:bCs/>
                <w:color w:val="auto"/>
                <w:spacing w:val="11"/>
                <w:highlight w:val="none"/>
              </w:rPr>
              <w:t>体系、计量等认证情况</w:t>
            </w:r>
          </w:p>
        </w:tc>
        <w:tc>
          <w:tcPr>
            <w:tcW w:w="6578" w:type="dxa"/>
            <w:gridSpan w:val="8"/>
            <w:shd w:val="clear" w:color="auto" w:fill="auto"/>
            <w:vAlign w:val="center"/>
          </w:tcPr>
          <w:p w14:paraId="0ED7E861">
            <w:pPr>
              <w:pStyle w:val="56"/>
              <w:shd w:val="clear" w:color="auto" w:fill="auto"/>
              <w:spacing w:line="360" w:lineRule="auto"/>
              <w:jc w:val="both"/>
              <w:rPr>
                <w:rFonts w:hint="eastAsia" w:ascii="宋体" w:hAnsi="宋体" w:eastAsia="宋体" w:cs="宋体"/>
                <w:bCs/>
                <w:color w:val="auto"/>
                <w:spacing w:val="16"/>
                <w:highlight w:val="none"/>
              </w:rPr>
            </w:pPr>
          </w:p>
        </w:tc>
      </w:tr>
      <w:tr w14:paraId="0EBE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shd w:val="clear" w:color="auto" w:fill="auto"/>
            <w:vAlign w:val="center"/>
          </w:tcPr>
          <w:p w14:paraId="6239DD7E">
            <w:pPr>
              <w:pStyle w:val="56"/>
              <w:shd w:val="clear" w:color="auto" w:fill="auto"/>
              <w:spacing w:line="360" w:lineRule="auto"/>
              <w:ind w:left="107"/>
              <w:jc w:val="both"/>
              <w:rPr>
                <w:rFonts w:hint="eastAsia" w:ascii="宋体" w:hAnsi="宋体" w:eastAsia="宋体" w:cs="宋体"/>
                <w:bCs/>
                <w:color w:val="auto"/>
                <w:spacing w:val="27"/>
                <w:highlight w:val="none"/>
              </w:rPr>
            </w:pPr>
          </w:p>
        </w:tc>
        <w:tc>
          <w:tcPr>
            <w:tcW w:w="1355" w:type="dxa"/>
            <w:gridSpan w:val="2"/>
            <w:shd w:val="clear" w:color="auto" w:fill="auto"/>
            <w:vAlign w:val="center"/>
          </w:tcPr>
          <w:p w14:paraId="200F7C31">
            <w:pPr>
              <w:pStyle w:val="56"/>
              <w:shd w:val="clear" w:color="auto" w:fill="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0"/>
                <w:highlight w:val="none"/>
              </w:rPr>
              <w:t>企业获得专利情况</w:t>
            </w:r>
          </w:p>
        </w:tc>
        <w:tc>
          <w:tcPr>
            <w:tcW w:w="6578" w:type="dxa"/>
            <w:gridSpan w:val="8"/>
            <w:shd w:val="clear" w:color="auto" w:fill="auto"/>
            <w:vAlign w:val="center"/>
          </w:tcPr>
          <w:p w14:paraId="1E6ACBF3">
            <w:pPr>
              <w:pStyle w:val="56"/>
              <w:shd w:val="clear" w:color="auto" w:fill="auto"/>
              <w:spacing w:line="360" w:lineRule="auto"/>
              <w:jc w:val="both"/>
              <w:rPr>
                <w:rFonts w:hint="eastAsia" w:ascii="宋体" w:hAnsi="宋体" w:eastAsia="宋体" w:cs="宋体"/>
                <w:bCs/>
                <w:color w:val="auto"/>
                <w:spacing w:val="16"/>
                <w:highlight w:val="none"/>
              </w:rPr>
            </w:pPr>
          </w:p>
        </w:tc>
      </w:tr>
    </w:tbl>
    <w:p w14:paraId="67F5E423">
      <w:pPr>
        <w:shd w:val="clear" w:color="auto" w:fill="auto"/>
        <w:spacing w:line="360" w:lineRule="auto"/>
        <w:rPr>
          <w:rFonts w:hint="eastAsia" w:ascii="宋体" w:hAnsi="宋体" w:eastAsia="宋体" w:cs="宋体"/>
          <w:color w:val="auto"/>
          <w:sz w:val="24"/>
          <w:szCs w:val="32"/>
          <w:highlight w:val="none"/>
        </w:rPr>
      </w:pPr>
    </w:p>
    <w:p w14:paraId="21991646">
      <w:pPr>
        <w:shd w:val="clear" w:color="auto" w:fill="auto"/>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14:paraId="2D3A9A38">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1.姓名栏必须将所有股东都统计在内，若非股份公司此行（第三行）无需填写；</w:t>
      </w:r>
    </w:p>
    <w:p w14:paraId="44F68790">
      <w:pPr>
        <w:shd w:val="clear" w:color="auto" w:fill="auto"/>
        <w:spacing w:line="360" w:lineRule="auto"/>
        <w:rPr>
          <w:rFonts w:hint="eastAsia" w:ascii="宋体" w:hAnsi="宋体" w:eastAsia="宋体" w:cs="宋体"/>
          <w:color w:val="auto"/>
          <w:sz w:val="24"/>
          <w:szCs w:val="32"/>
          <w:highlight w:val="none"/>
        </w:rPr>
      </w:pPr>
    </w:p>
    <w:p w14:paraId="49AAE19F">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14:paraId="1BEB7449">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eastAsia="zh-CN"/>
        </w:rPr>
        <w:t>法定代表人或授权委托</w:t>
      </w:r>
      <w:r>
        <w:rPr>
          <w:rFonts w:hint="eastAsia" w:ascii="宋体" w:hAnsi="宋体" w:eastAsia="宋体" w:cs="宋体"/>
          <w:color w:val="auto"/>
          <w:sz w:val="24"/>
          <w:highlight w:val="none"/>
          <w:lang w:val="en-US" w:eastAsia="zh-CN"/>
        </w:rPr>
        <w:t>代理</w:t>
      </w:r>
      <w:r>
        <w:rPr>
          <w:rFonts w:hint="eastAsia" w:ascii="宋体" w:hAnsi="宋体" w:eastAsia="宋体" w:cs="宋体"/>
          <w:color w:val="auto"/>
          <w:sz w:val="24"/>
          <w:highlight w:val="none"/>
          <w:lang w:val="zh-CN" w:eastAsia="zh-CN"/>
        </w:rPr>
        <w:t>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8BCA310">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0B865FBA">
      <w:pPr>
        <w:shd w:val="clear" w:color="auto" w:fill="auto"/>
        <w:spacing w:line="360" w:lineRule="auto"/>
        <w:rPr>
          <w:rFonts w:hint="eastAsia" w:ascii="宋体" w:hAnsi="宋体" w:eastAsia="宋体" w:cs="宋体"/>
          <w:color w:val="auto"/>
          <w:sz w:val="24"/>
          <w:szCs w:val="32"/>
          <w:highlight w:val="none"/>
        </w:rPr>
      </w:pPr>
    </w:p>
    <w:p w14:paraId="4704CCE5">
      <w:pPr>
        <w:shd w:val="clear" w:color="auto" w:fill="auto"/>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43BBFEA2">
      <w:pPr>
        <w:shd w:val="clear" w:color="auto" w:fill="auto"/>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项目实施人员一览表（标段）</w:t>
      </w:r>
    </w:p>
    <w:p w14:paraId="3883C71D">
      <w:pPr>
        <w:shd w:val="clear" w:color="auto" w:fill="auto"/>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（主要从业人员及其技术资格）</w:t>
      </w:r>
    </w:p>
    <w:tbl>
      <w:tblPr>
        <w:tblStyle w:val="30"/>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6DD54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1AF9A076">
            <w:pPr>
              <w:shd w:val="clear" w:color="auto" w:fill="auto"/>
              <w:snapToGrid w:val="0"/>
              <w:spacing w:before="158"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4C159538">
            <w:pPr>
              <w:shd w:val="clear" w:color="auto" w:fill="auto"/>
              <w:snapToGrid w:val="0"/>
              <w:spacing w:before="158"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F81D355">
            <w:pPr>
              <w:shd w:val="clear" w:color="auto" w:fill="auto"/>
              <w:snapToGrid w:val="0"/>
              <w:spacing w:before="158"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571A958">
            <w:pPr>
              <w:shd w:val="clear" w:color="auto" w:fill="auto"/>
              <w:snapToGrid w:val="0"/>
              <w:spacing w:before="158"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63B8E722">
            <w:pPr>
              <w:shd w:val="clear" w:color="auto" w:fill="auto"/>
              <w:snapToGrid w:val="0"/>
              <w:spacing w:before="158"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41752C50">
            <w:pPr>
              <w:shd w:val="clear" w:color="auto" w:fill="auto"/>
              <w:snapToGrid w:val="0"/>
              <w:spacing w:before="158"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137E5BAD">
            <w:pPr>
              <w:shd w:val="clear" w:color="auto" w:fill="auto"/>
              <w:snapToGrid w:val="0"/>
              <w:spacing w:before="158"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16119459">
            <w:pPr>
              <w:shd w:val="clear" w:color="auto" w:fill="auto"/>
              <w:snapToGrid w:val="0"/>
              <w:spacing w:before="158"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color w:val="auto"/>
                <w:sz w:val="24"/>
                <w:highlight w:val="none"/>
              </w:rPr>
              <w:t>劳动合同编号</w:t>
            </w:r>
          </w:p>
        </w:tc>
      </w:tr>
      <w:tr w14:paraId="1AA1B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330AC85">
            <w:pPr>
              <w:shd w:val="clear" w:color="auto" w:fill="auto"/>
              <w:snapToGrid w:val="0"/>
              <w:spacing w:before="158"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B1F3E00">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4E9C0E2">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F0DF435">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75C95A4">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2C1FEE2">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29387D0">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3E004AB">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r>
      <w:tr w14:paraId="748E1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6897071">
            <w:pPr>
              <w:shd w:val="clear" w:color="auto" w:fill="auto"/>
              <w:snapToGrid w:val="0"/>
              <w:spacing w:before="158"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8C9E04A">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08095BE">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605BC23">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28A7F9D">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8E8E227">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280791C">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D2520B7">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r>
      <w:tr w14:paraId="5FD31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E4156FB">
            <w:pPr>
              <w:shd w:val="clear" w:color="auto" w:fill="auto"/>
              <w:snapToGrid w:val="0"/>
              <w:spacing w:before="158"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E342A0C">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54C58E4">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70CCB61">
            <w:pPr>
              <w:pStyle w:val="18"/>
              <w:shd w:val="clear" w:color="auto" w:fill="auto"/>
              <w:snapToGrid w:val="0"/>
              <w:spacing w:before="158" w:beforeLines="50" w:after="50" w:line="360" w:lineRule="auto"/>
              <w:ind w:left="525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D514921">
            <w:pPr>
              <w:pStyle w:val="18"/>
              <w:shd w:val="clear" w:color="auto" w:fill="auto"/>
              <w:snapToGrid w:val="0"/>
              <w:spacing w:before="158" w:beforeLines="50" w:after="50" w:line="360" w:lineRule="auto"/>
              <w:ind w:left="525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5E1D27DB">
            <w:pPr>
              <w:pStyle w:val="18"/>
              <w:shd w:val="clear" w:color="auto" w:fill="auto"/>
              <w:spacing w:line="360" w:lineRule="auto"/>
              <w:ind w:left="5250"/>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935D340">
            <w:pPr>
              <w:shd w:val="clear" w:color="auto" w:fill="auto"/>
              <w:snapToGrid w:val="0"/>
              <w:spacing w:before="158" w:beforeLines="50" w:after="50" w:line="360" w:lineRule="auto"/>
              <w:rPr>
                <w:rFonts w:hint="eastAsia" w:ascii="宋体" w:hAnsi="宋体" w:eastAsia="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2275B42">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r>
      <w:tr w14:paraId="10F09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560A1B3">
            <w:pPr>
              <w:shd w:val="clear" w:color="auto" w:fill="auto"/>
              <w:snapToGrid w:val="0"/>
              <w:spacing w:before="158"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5925FA7">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50A235E">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22E6EB3">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91A0033">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6A56474">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CCD96BA">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21502CC">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r>
      <w:tr w14:paraId="13AB2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10699DD">
            <w:pPr>
              <w:shd w:val="clear" w:color="auto" w:fill="auto"/>
              <w:snapToGrid w:val="0"/>
              <w:spacing w:before="158"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2637646">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B240625">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7D949E8">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BE02D0A">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62EA68E">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2D68FA0">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283CF33">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r>
      <w:tr w14:paraId="17043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4BF7141">
            <w:pPr>
              <w:shd w:val="clear" w:color="auto" w:fill="auto"/>
              <w:snapToGrid w:val="0"/>
              <w:spacing w:before="158"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59E8A0D">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82C8548">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E9A5614">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7112F86">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C81DBB8">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C984D68">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E1CE5EF">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r>
      <w:tr w14:paraId="07765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D384F82">
            <w:pPr>
              <w:shd w:val="clear" w:color="auto" w:fill="auto"/>
              <w:snapToGrid w:val="0"/>
              <w:spacing w:before="158"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1D42A7A">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04615ED">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7971A29">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6822EDF">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C75FF41">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61A719E">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8D9AE66">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r>
      <w:tr w14:paraId="3D6B2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58A8C76">
            <w:pPr>
              <w:shd w:val="clear" w:color="auto" w:fill="auto"/>
              <w:snapToGrid w:val="0"/>
              <w:spacing w:before="158"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DED4EFD">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13A793C">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D8A94D1">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C1274C0">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08757E8">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E0BC05D">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13ED5BD">
            <w:pPr>
              <w:shd w:val="clear" w:color="auto" w:fill="auto"/>
              <w:snapToGrid w:val="0"/>
              <w:spacing w:before="158" w:beforeLines="50" w:after="50" w:line="360" w:lineRule="auto"/>
              <w:rPr>
                <w:rFonts w:hint="eastAsia" w:ascii="宋体" w:hAnsi="宋体" w:eastAsia="宋体" w:cs="宋体"/>
                <w:b/>
                <w:color w:val="auto"/>
                <w:kern w:val="44"/>
                <w:sz w:val="24"/>
                <w:szCs w:val="20"/>
                <w:highlight w:val="none"/>
              </w:rPr>
            </w:pPr>
          </w:p>
        </w:tc>
      </w:tr>
    </w:tbl>
    <w:p w14:paraId="293DC6DB">
      <w:pPr>
        <w:shd w:val="clear" w:color="auto" w:fill="auto"/>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14:paraId="0C23A2EA">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1.在填写时，如本表格不适合供应商的实际情况，可根据本表格式自行划表填写。</w:t>
      </w:r>
    </w:p>
    <w:p w14:paraId="15C8EB97">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2.附人员证书复印件；</w:t>
      </w:r>
    </w:p>
    <w:p w14:paraId="0AA34E6C">
      <w:pPr>
        <w:shd w:val="clear" w:color="auto" w:fill="auto"/>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3.出具上述人员在本单位服务的外部证明，如：投标截止日之前六个月以内的代缴个税税单、参加社会保险的《投保单》或《社会保险参保人员证明》等。</w:t>
      </w:r>
    </w:p>
    <w:p w14:paraId="2D896F7E">
      <w:pPr>
        <w:shd w:val="clear" w:color="auto" w:fill="auto"/>
        <w:spacing w:line="360" w:lineRule="auto"/>
        <w:rPr>
          <w:rFonts w:hint="eastAsia" w:ascii="宋体" w:hAnsi="宋体" w:eastAsia="宋体" w:cs="宋体"/>
          <w:color w:val="auto"/>
          <w:sz w:val="24"/>
          <w:szCs w:val="32"/>
          <w:highlight w:val="none"/>
        </w:rPr>
      </w:pPr>
    </w:p>
    <w:p w14:paraId="4503C747">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14:paraId="03DF5911">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eastAsia="zh-CN"/>
        </w:rPr>
        <w:t>法定代表人或授权委托</w:t>
      </w:r>
      <w:r>
        <w:rPr>
          <w:rFonts w:hint="eastAsia" w:ascii="宋体" w:hAnsi="宋体" w:eastAsia="宋体" w:cs="宋体"/>
          <w:color w:val="auto"/>
          <w:sz w:val="24"/>
          <w:highlight w:val="none"/>
          <w:lang w:val="en-US" w:eastAsia="zh-CN"/>
        </w:rPr>
        <w:t>代理</w:t>
      </w:r>
      <w:r>
        <w:rPr>
          <w:rFonts w:hint="eastAsia" w:ascii="宋体" w:hAnsi="宋体" w:eastAsia="宋体" w:cs="宋体"/>
          <w:color w:val="auto"/>
          <w:sz w:val="24"/>
          <w:highlight w:val="none"/>
          <w:lang w:val="zh-CN" w:eastAsia="zh-CN"/>
        </w:rPr>
        <w:t>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3CEA0D8D">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4901E034">
      <w:pPr>
        <w:shd w:val="clear" w:color="auto" w:fill="auto"/>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10</w:t>
      </w:r>
    </w:p>
    <w:p w14:paraId="756A41C7">
      <w:pPr>
        <w:shd w:val="clear" w:color="auto" w:fill="auto"/>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证书一览表</w:t>
      </w:r>
    </w:p>
    <w:p w14:paraId="4F34E63D">
      <w:pPr>
        <w:shd w:val="clear" w:color="auto" w:fill="auto"/>
        <w:spacing w:line="360" w:lineRule="auto"/>
        <w:jc w:val="left"/>
        <w:rPr>
          <w:rFonts w:hint="eastAsia" w:ascii="宋体" w:hAnsi="宋体" w:eastAsia="宋体" w:cs="宋体"/>
          <w:b/>
          <w:bCs/>
          <w:color w:val="auto"/>
          <w:sz w:val="24"/>
          <w:szCs w:val="32"/>
          <w:highlight w:val="none"/>
          <w:lang w:val="zh-CN"/>
        </w:rPr>
      </w:pPr>
    </w:p>
    <w:tbl>
      <w:tblPr>
        <w:tblStyle w:val="3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2E43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0B9CE8CD">
            <w:pPr>
              <w:pStyle w:val="60"/>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证书名称</w:t>
            </w:r>
          </w:p>
        </w:tc>
        <w:tc>
          <w:tcPr>
            <w:tcW w:w="2258" w:type="dxa"/>
            <w:tcBorders>
              <w:top w:val="double" w:color="auto" w:sz="4" w:space="0"/>
            </w:tcBorders>
          </w:tcPr>
          <w:p w14:paraId="7DF66D0F">
            <w:pPr>
              <w:pStyle w:val="60"/>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发证单位</w:t>
            </w:r>
          </w:p>
        </w:tc>
        <w:tc>
          <w:tcPr>
            <w:tcW w:w="2260" w:type="dxa"/>
            <w:tcBorders>
              <w:top w:val="double" w:color="auto" w:sz="4" w:space="0"/>
            </w:tcBorders>
          </w:tcPr>
          <w:p w14:paraId="02E97181">
            <w:pPr>
              <w:pStyle w:val="60"/>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证书等级</w:t>
            </w:r>
          </w:p>
        </w:tc>
        <w:tc>
          <w:tcPr>
            <w:tcW w:w="2047" w:type="dxa"/>
            <w:tcBorders>
              <w:top w:val="double" w:color="auto" w:sz="4" w:space="0"/>
              <w:right w:val="single" w:color="auto" w:sz="4" w:space="0"/>
            </w:tcBorders>
          </w:tcPr>
          <w:p w14:paraId="2D788D95">
            <w:pPr>
              <w:pStyle w:val="60"/>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证书有效期</w:t>
            </w:r>
          </w:p>
        </w:tc>
      </w:tr>
      <w:tr w14:paraId="39696C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B789072">
            <w:pPr>
              <w:pStyle w:val="60"/>
              <w:shd w:val="clear" w:color="auto" w:fill="auto"/>
              <w:spacing w:line="360" w:lineRule="auto"/>
              <w:jc w:val="center"/>
              <w:rPr>
                <w:rFonts w:hint="eastAsia" w:ascii="宋体" w:hAnsi="宋体" w:eastAsia="宋体" w:cs="宋体"/>
                <w:color w:val="auto"/>
                <w:szCs w:val="21"/>
                <w:highlight w:val="none"/>
              </w:rPr>
            </w:pPr>
          </w:p>
        </w:tc>
        <w:tc>
          <w:tcPr>
            <w:tcW w:w="2258" w:type="dxa"/>
          </w:tcPr>
          <w:p w14:paraId="778B0FAA">
            <w:pPr>
              <w:pStyle w:val="60"/>
              <w:shd w:val="clear" w:color="auto" w:fill="auto"/>
              <w:spacing w:line="360" w:lineRule="auto"/>
              <w:jc w:val="center"/>
              <w:rPr>
                <w:rFonts w:hint="eastAsia" w:ascii="宋体" w:hAnsi="宋体" w:eastAsia="宋体" w:cs="宋体"/>
                <w:color w:val="auto"/>
                <w:szCs w:val="21"/>
                <w:highlight w:val="none"/>
              </w:rPr>
            </w:pPr>
          </w:p>
        </w:tc>
        <w:tc>
          <w:tcPr>
            <w:tcW w:w="2260" w:type="dxa"/>
          </w:tcPr>
          <w:p w14:paraId="0780FE98">
            <w:pPr>
              <w:pStyle w:val="60"/>
              <w:shd w:val="clear" w:color="auto" w:fill="auto"/>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75F28C1A">
            <w:pPr>
              <w:pStyle w:val="60"/>
              <w:shd w:val="clear" w:color="auto" w:fill="auto"/>
              <w:spacing w:line="360" w:lineRule="auto"/>
              <w:jc w:val="center"/>
              <w:rPr>
                <w:rFonts w:hint="eastAsia" w:ascii="宋体" w:hAnsi="宋体" w:eastAsia="宋体" w:cs="宋体"/>
                <w:color w:val="auto"/>
                <w:szCs w:val="21"/>
                <w:highlight w:val="none"/>
              </w:rPr>
            </w:pPr>
          </w:p>
        </w:tc>
      </w:tr>
      <w:tr w14:paraId="3F3748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6163C9F">
            <w:pPr>
              <w:pStyle w:val="60"/>
              <w:shd w:val="clear" w:color="auto" w:fill="auto"/>
              <w:spacing w:line="360" w:lineRule="auto"/>
              <w:jc w:val="center"/>
              <w:rPr>
                <w:rFonts w:hint="eastAsia" w:ascii="宋体" w:hAnsi="宋体" w:eastAsia="宋体" w:cs="宋体"/>
                <w:color w:val="auto"/>
                <w:szCs w:val="21"/>
                <w:highlight w:val="none"/>
              </w:rPr>
            </w:pPr>
          </w:p>
        </w:tc>
        <w:tc>
          <w:tcPr>
            <w:tcW w:w="2258" w:type="dxa"/>
          </w:tcPr>
          <w:p w14:paraId="18AB5442">
            <w:pPr>
              <w:pStyle w:val="60"/>
              <w:shd w:val="clear" w:color="auto" w:fill="auto"/>
              <w:spacing w:line="360" w:lineRule="auto"/>
              <w:jc w:val="center"/>
              <w:rPr>
                <w:rFonts w:hint="eastAsia" w:ascii="宋体" w:hAnsi="宋体" w:eastAsia="宋体" w:cs="宋体"/>
                <w:color w:val="auto"/>
                <w:szCs w:val="21"/>
                <w:highlight w:val="none"/>
              </w:rPr>
            </w:pPr>
          </w:p>
        </w:tc>
        <w:tc>
          <w:tcPr>
            <w:tcW w:w="2260" w:type="dxa"/>
          </w:tcPr>
          <w:p w14:paraId="187E6C49">
            <w:pPr>
              <w:pStyle w:val="60"/>
              <w:shd w:val="clear" w:color="auto" w:fill="auto"/>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56F4C04A">
            <w:pPr>
              <w:pStyle w:val="60"/>
              <w:shd w:val="clear" w:color="auto" w:fill="auto"/>
              <w:spacing w:line="360" w:lineRule="auto"/>
              <w:jc w:val="center"/>
              <w:rPr>
                <w:rFonts w:hint="eastAsia" w:ascii="宋体" w:hAnsi="宋体" w:eastAsia="宋体" w:cs="宋体"/>
                <w:color w:val="auto"/>
                <w:szCs w:val="21"/>
                <w:highlight w:val="none"/>
              </w:rPr>
            </w:pPr>
          </w:p>
        </w:tc>
      </w:tr>
      <w:tr w14:paraId="7545D6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9DBF5C6">
            <w:pPr>
              <w:pStyle w:val="60"/>
              <w:shd w:val="clear" w:color="auto" w:fill="auto"/>
              <w:spacing w:line="360" w:lineRule="auto"/>
              <w:jc w:val="center"/>
              <w:rPr>
                <w:rFonts w:hint="eastAsia" w:ascii="宋体" w:hAnsi="宋体" w:eastAsia="宋体" w:cs="宋体"/>
                <w:color w:val="auto"/>
                <w:szCs w:val="21"/>
                <w:highlight w:val="none"/>
              </w:rPr>
            </w:pPr>
          </w:p>
        </w:tc>
        <w:tc>
          <w:tcPr>
            <w:tcW w:w="2258" w:type="dxa"/>
          </w:tcPr>
          <w:p w14:paraId="7529C9AB">
            <w:pPr>
              <w:pStyle w:val="60"/>
              <w:shd w:val="clear" w:color="auto" w:fill="auto"/>
              <w:spacing w:line="360" w:lineRule="auto"/>
              <w:jc w:val="center"/>
              <w:rPr>
                <w:rFonts w:hint="eastAsia" w:ascii="宋体" w:hAnsi="宋体" w:eastAsia="宋体" w:cs="宋体"/>
                <w:color w:val="auto"/>
                <w:szCs w:val="21"/>
                <w:highlight w:val="none"/>
              </w:rPr>
            </w:pPr>
          </w:p>
        </w:tc>
        <w:tc>
          <w:tcPr>
            <w:tcW w:w="2260" w:type="dxa"/>
          </w:tcPr>
          <w:p w14:paraId="3B73AE1E">
            <w:pPr>
              <w:pStyle w:val="60"/>
              <w:shd w:val="clear" w:color="auto" w:fill="auto"/>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528E67F1">
            <w:pPr>
              <w:pStyle w:val="60"/>
              <w:shd w:val="clear" w:color="auto" w:fill="auto"/>
              <w:spacing w:line="360" w:lineRule="auto"/>
              <w:jc w:val="center"/>
              <w:rPr>
                <w:rFonts w:hint="eastAsia" w:ascii="宋体" w:hAnsi="宋体" w:eastAsia="宋体" w:cs="宋体"/>
                <w:color w:val="auto"/>
                <w:szCs w:val="21"/>
                <w:highlight w:val="none"/>
              </w:rPr>
            </w:pPr>
          </w:p>
        </w:tc>
      </w:tr>
      <w:tr w14:paraId="406B0F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1EE9834">
            <w:pPr>
              <w:pStyle w:val="60"/>
              <w:shd w:val="clear" w:color="auto" w:fill="auto"/>
              <w:spacing w:line="360" w:lineRule="auto"/>
              <w:jc w:val="center"/>
              <w:rPr>
                <w:rFonts w:hint="eastAsia" w:ascii="宋体" w:hAnsi="宋体" w:eastAsia="宋体" w:cs="宋体"/>
                <w:color w:val="auto"/>
                <w:szCs w:val="21"/>
                <w:highlight w:val="none"/>
              </w:rPr>
            </w:pPr>
          </w:p>
        </w:tc>
        <w:tc>
          <w:tcPr>
            <w:tcW w:w="2258" w:type="dxa"/>
          </w:tcPr>
          <w:p w14:paraId="1CF986F3">
            <w:pPr>
              <w:pStyle w:val="60"/>
              <w:shd w:val="clear" w:color="auto" w:fill="auto"/>
              <w:spacing w:line="360" w:lineRule="auto"/>
              <w:jc w:val="center"/>
              <w:rPr>
                <w:rFonts w:hint="eastAsia" w:ascii="宋体" w:hAnsi="宋体" w:eastAsia="宋体" w:cs="宋体"/>
                <w:color w:val="auto"/>
                <w:szCs w:val="21"/>
                <w:highlight w:val="none"/>
              </w:rPr>
            </w:pPr>
          </w:p>
        </w:tc>
        <w:tc>
          <w:tcPr>
            <w:tcW w:w="2260" w:type="dxa"/>
          </w:tcPr>
          <w:p w14:paraId="530A19C2">
            <w:pPr>
              <w:pStyle w:val="60"/>
              <w:shd w:val="clear" w:color="auto" w:fill="auto"/>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6B4EC351">
            <w:pPr>
              <w:pStyle w:val="60"/>
              <w:shd w:val="clear" w:color="auto" w:fill="auto"/>
              <w:spacing w:line="360" w:lineRule="auto"/>
              <w:jc w:val="center"/>
              <w:rPr>
                <w:rFonts w:hint="eastAsia" w:ascii="宋体" w:hAnsi="宋体" w:eastAsia="宋体" w:cs="宋体"/>
                <w:color w:val="auto"/>
                <w:szCs w:val="21"/>
                <w:highlight w:val="none"/>
              </w:rPr>
            </w:pPr>
          </w:p>
        </w:tc>
      </w:tr>
      <w:tr w14:paraId="1A600A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069464C">
            <w:pPr>
              <w:pStyle w:val="60"/>
              <w:shd w:val="clear" w:color="auto" w:fill="auto"/>
              <w:spacing w:line="360" w:lineRule="auto"/>
              <w:jc w:val="center"/>
              <w:rPr>
                <w:rFonts w:hint="eastAsia" w:ascii="宋体" w:hAnsi="宋体" w:eastAsia="宋体" w:cs="宋体"/>
                <w:color w:val="auto"/>
                <w:szCs w:val="21"/>
                <w:highlight w:val="none"/>
              </w:rPr>
            </w:pPr>
          </w:p>
        </w:tc>
        <w:tc>
          <w:tcPr>
            <w:tcW w:w="2258" w:type="dxa"/>
          </w:tcPr>
          <w:p w14:paraId="3FA2E48F">
            <w:pPr>
              <w:pStyle w:val="60"/>
              <w:shd w:val="clear" w:color="auto" w:fill="auto"/>
              <w:spacing w:line="360" w:lineRule="auto"/>
              <w:jc w:val="center"/>
              <w:rPr>
                <w:rFonts w:hint="eastAsia" w:ascii="宋体" w:hAnsi="宋体" w:eastAsia="宋体" w:cs="宋体"/>
                <w:color w:val="auto"/>
                <w:szCs w:val="21"/>
                <w:highlight w:val="none"/>
              </w:rPr>
            </w:pPr>
          </w:p>
        </w:tc>
        <w:tc>
          <w:tcPr>
            <w:tcW w:w="2260" w:type="dxa"/>
          </w:tcPr>
          <w:p w14:paraId="1C478F72">
            <w:pPr>
              <w:pStyle w:val="60"/>
              <w:shd w:val="clear" w:color="auto" w:fill="auto"/>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11FD3627">
            <w:pPr>
              <w:pStyle w:val="60"/>
              <w:shd w:val="clear" w:color="auto" w:fill="auto"/>
              <w:spacing w:line="360" w:lineRule="auto"/>
              <w:jc w:val="center"/>
              <w:rPr>
                <w:rFonts w:hint="eastAsia" w:ascii="宋体" w:hAnsi="宋体" w:eastAsia="宋体" w:cs="宋体"/>
                <w:color w:val="auto"/>
                <w:szCs w:val="21"/>
                <w:highlight w:val="none"/>
              </w:rPr>
            </w:pPr>
          </w:p>
        </w:tc>
      </w:tr>
      <w:tr w14:paraId="419276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20AD0CE">
            <w:pPr>
              <w:pStyle w:val="60"/>
              <w:shd w:val="clear" w:color="auto" w:fill="auto"/>
              <w:spacing w:line="360" w:lineRule="auto"/>
              <w:jc w:val="center"/>
              <w:rPr>
                <w:rFonts w:hint="eastAsia" w:ascii="宋体" w:hAnsi="宋体" w:eastAsia="宋体" w:cs="宋体"/>
                <w:color w:val="auto"/>
                <w:szCs w:val="21"/>
                <w:highlight w:val="none"/>
              </w:rPr>
            </w:pPr>
          </w:p>
        </w:tc>
        <w:tc>
          <w:tcPr>
            <w:tcW w:w="2258" w:type="dxa"/>
          </w:tcPr>
          <w:p w14:paraId="7EA00B6C">
            <w:pPr>
              <w:pStyle w:val="60"/>
              <w:shd w:val="clear" w:color="auto" w:fill="auto"/>
              <w:spacing w:line="360" w:lineRule="auto"/>
              <w:jc w:val="center"/>
              <w:rPr>
                <w:rFonts w:hint="eastAsia" w:ascii="宋体" w:hAnsi="宋体" w:eastAsia="宋体" w:cs="宋体"/>
                <w:color w:val="auto"/>
                <w:szCs w:val="21"/>
                <w:highlight w:val="none"/>
              </w:rPr>
            </w:pPr>
          </w:p>
        </w:tc>
        <w:tc>
          <w:tcPr>
            <w:tcW w:w="2260" w:type="dxa"/>
          </w:tcPr>
          <w:p w14:paraId="62C17FA6">
            <w:pPr>
              <w:pStyle w:val="60"/>
              <w:shd w:val="clear" w:color="auto" w:fill="auto"/>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7EF45DB6">
            <w:pPr>
              <w:pStyle w:val="60"/>
              <w:shd w:val="clear" w:color="auto" w:fill="auto"/>
              <w:spacing w:line="360" w:lineRule="auto"/>
              <w:jc w:val="center"/>
              <w:rPr>
                <w:rFonts w:hint="eastAsia" w:ascii="宋体" w:hAnsi="宋体" w:eastAsia="宋体" w:cs="宋体"/>
                <w:color w:val="auto"/>
                <w:szCs w:val="21"/>
                <w:highlight w:val="none"/>
              </w:rPr>
            </w:pPr>
          </w:p>
        </w:tc>
      </w:tr>
      <w:tr w14:paraId="22A329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4A0105DA">
            <w:pPr>
              <w:pStyle w:val="60"/>
              <w:shd w:val="clear" w:color="auto" w:fill="auto"/>
              <w:spacing w:line="360" w:lineRule="auto"/>
              <w:jc w:val="center"/>
              <w:rPr>
                <w:rFonts w:hint="eastAsia" w:ascii="宋体" w:hAnsi="宋体" w:eastAsia="宋体" w:cs="宋体"/>
                <w:color w:val="auto"/>
                <w:szCs w:val="21"/>
                <w:highlight w:val="none"/>
              </w:rPr>
            </w:pPr>
          </w:p>
        </w:tc>
        <w:tc>
          <w:tcPr>
            <w:tcW w:w="2258" w:type="dxa"/>
            <w:tcBorders>
              <w:bottom w:val="double" w:color="auto" w:sz="4" w:space="0"/>
            </w:tcBorders>
          </w:tcPr>
          <w:p w14:paraId="0A0CB7C9">
            <w:pPr>
              <w:pStyle w:val="60"/>
              <w:shd w:val="clear" w:color="auto" w:fill="auto"/>
              <w:spacing w:line="360" w:lineRule="auto"/>
              <w:jc w:val="center"/>
              <w:rPr>
                <w:rFonts w:hint="eastAsia" w:ascii="宋体" w:hAnsi="宋体" w:eastAsia="宋体" w:cs="宋体"/>
                <w:color w:val="auto"/>
                <w:szCs w:val="21"/>
                <w:highlight w:val="none"/>
              </w:rPr>
            </w:pPr>
          </w:p>
        </w:tc>
        <w:tc>
          <w:tcPr>
            <w:tcW w:w="2260" w:type="dxa"/>
            <w:tcBorders>
              <w:bottom w:val="double" w:color="auto" w:sz="4" w:space="0"/>
            </w:tcBorders>
          </w:tcPr>
          <w:p w14:paraId="4D90F70F">
            <w:pPr>
              <w:pStyle w:val="60"/>
              <w:shd w:val="clear" w:color="auto" w:fill="auto"/>
              <w:spacing w:line="360" w:lineRule="auto"/>
              <w:jc w:val="center"/>
              <w:rPr>
                <w:rFonts w:hint="eastAsia" w:ascii="宋体" w:hAnsi="宋体" w:eastAsia="宋体" w:cs="宋体"/>
                <w:color w:val="auto"/>
                <w:szCs w:val="21"/>
                <w:highlight w:val="none"/>
              </w:rPr>
            </w:pPr>
          </w:p>
        </w:tc>
        <w:tc>
          <w:tcPr>
            <w:tcW w:w="2047" w:type="dxa"/>
            <w:tcBorders>
              <w:bottom w:val="double" w:color="auto" w:sz="4" w:space="0"/>
              <w:right w:val="single" w:color="auto" w:sz="4" w:space="0"/>
            </w:tcBorders>
          </w:tcPr>
          <w:p w14:paraId="79F5F007">
            <w:pPr>
              <w:pStyle w:val="60"/>
              <w:shd w:val="clear" w:color="auto" w:fill="auto"/>
              <w:spacing w:line="360" w:lineRule="auto"/>
              <w:jc w:val="center"/>
              <w:rPr>
                <w:rFonts w:hint="eastAsia" w:ascii="宋体" w:hAnsi="宋体" w:eastAsia="宋体" w:cs="宋体"/>
                <w:color w:val="auto"/>
                <w:szCs w:val="21"/>
                <w:highlight w:val="none"/>
              </w:rPr>
            </w:pPr>
          </w:p>
        </w:tc>
      </w:tr>
    </w:tbl>
    <w:p w14:paraId="6B49078C">
      <w:pPr>
        <w:shd w:val="clear" w:color="auto" w:fill="auto"/>
        <w:spacing w:line="360" w:lineRule="auto"/>
        <w:jc w:val="left"/>
        <w:rPr>
          <w:rFonts w:hint="eastAsia" w:ascii="宋体" w:hAnsi="宋体" w:eastAsia="宋体" w:cs="宋体"/>
          <w:b/>
          <w:bCs/>
          <w:color w:val="auto"/>
          <w:sz w:val="24"/>
          <w:szCs w:val="32"/>
          <w:highlight w:val="none"/>
          <w:lang w:val="zh-CN"/>
        </w:rPr>
      </w:pPr>
    </w:p>
    <w:p w14:paraId="2D31ACE3">
      <w:pPr>
        <w:shd w:val="clear" w:color="auto" w:fill="auto"/>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4F0D989A">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1.填写供应商获得资质、认证或企业信誉证书；</w:t>
      </w:r>
    </w:p>
    <w:p w14:paraId="1B77EFA8">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2.附所列证书复印件或其他证明材料。</w:t>
      </w:r>
    </w:p>
    <w:p w14:paraId="42BF66B8">
      <w:pPr>
        <w:shd w:val="clear" w:color="auto" w:fill="auto"/>
        <w:spacing w:line="360" w:lineRule="auto"/>
        <w:jc w:val="left"/>
        <w:rPr>
          <w:rFonts w:hint="eastAsia" w:ascii="宋体" w:hAnsi="宋体" w:eastAsia="宋体" w:cs="宋体"/>
          <w:b/>
          <w:bCs/>
          <w:color w:val="auto"/>
          <w:sz w:val="24"/>
          <w:szCs w:val="32"/>
          <w:highlight w:val="none"/>
          <w:lang w:val="zh-CN"/>
        </w:rPr>
      </w:pPr>
    </w:p>
    <w:p w14:paraId="3F440319">
      <w:pPr>
        <w:shd w:val="clear" w:color="auto" w:fill="auto"/>
        <w:spacing w:line="360" w:lineRule="auto"/>
        <w:jc w:val="left"/>
        <w:rPr>
          <w:rFonts w:hint="eastAsia" w:ascii="宋体" w:hAnsi="宋体" w:eastAsia="宋体" w:cs="宋体"/>
          <w:b/>
          <w:bCs/>
          <w:color w:val="auto"/>
          <w:sz w:val="24"/>
          <w:szCs w:val="32"/>
          <w:highlight w:val="none"/>
          <w:lang w:val="zh-CN"/>
        </w:rPr>
      </w:pPr>
    </w:p>
    <w:p w14:paraId="681768B1">
      <w:pPr>
        <w:shd w:val="clear" w:color="auto" w:fill="auto"/>
        <w:spacing w:line="360" w:lineRule="auto"/>
        <w:jc w:val="left"/>
        <w:rPr>
          <w:rFonts w:hint="eastAsia" w:ascii="宋体" w:hAnsi="宋体" w:eastAsia="宋体" w:cs="宋体"/>
          <w:b/>
          <w:bCs/>
          <w:color w:val="auto"/>
          <w:sz w:val="24"/>
          <w:szCs w:val="32"/>
          <w:highlight w:val="none"/>
          <w:lang w:val="zh-CN"/>
        </w:rPr>
      </w:pPr>
    </w:p>
    <w:p w14:paraId="318ADD2B">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14:paraId="57D216D4">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eastAsia="zh-CN"/>
        </w:rPr>
        <w:t>法定代表人或授权委托</w:t>
      </w:r>
      <w:r>
        <w:rPr>
          <w:rFonts w:hint="eastAsia" w:ascii="宋体" w:hAnsi="宋体" w:eastAsia="宋体" w:cs="宋体"/>
          <w:color w:val="auto"/>
          <w:sz w:val="24"/>
          <w:highlight w:val="none"/>
          <w:lang w:val="en-US" w:eastAsia="zh-CN"/>
        </w:rPr>
        <w:t>代理</w:t>
      </w:r>
      <w:r>
        <w:rPr>
          <w:rFonts w:hint="eastAsia" w:ascii="宋体" w:hAnsi="宋体" w:eastAsia="宋体" w:cs="宋体"/>
          <w:color w:val="auto"/>
          <w:sz w:val="24"/>
          <w:highlight w:val="none"/>
          <w:lang w:val="zh-CN" w:eastAsia="zh-CN"/>
        </w:rPr>
        <w:t>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4FCBD463">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2383E07A">
      <w:pPr>
        <w:shd w:val="clear" w:color="auto" w:fill="auto"/>
        <w:spacing w:line="360" w:lineRule="auto"/>
        <w:rPr>
          <w:rFonts w:hint="eastAsia" w:ascii="宋体" w:hAnsi="宋体" w:eastAsia="宋体" w:cs="宋体"/>
          <w:b/>
          <w:bCs/>
          <w:color w:val="auto"/>
          <w:sz w:val="24"/>
          <w:highlight w:val="none"/>
        </w:rPr>
      </w:pPr>
    </w:p>
    <w:p w14:paraId="3E1F0B92">
      <w:pPr>
        <w:shd w:val="clear" w:color="auto" w:fill="auto"/>
        <w:spacing w:line="360" w:lineRule="auto"/>
        <w:rPr>
          <w:rFonts w:hint="eastAsia" w:ascii="宋体" w:hAnsi="宋体" w:eastAsia="宋体" w:cs="宋体"/>
          <w:b/>
          <w:bCs/>
          <w:color w:val="auto"/>
          <w:sz w:val="24"/>
          <w:highlight w:val="none"/>
        </w:rPr>
      </w:pPr>
    </w:p>
    <w:p w14:paraId="41DD8107">
      <w:pPr>
        <w:shd w:val="clear" w:color="auto" w:fill="auto"/>
        <w:spacing w:line="360" w:lineRule="auto"/>
        <w:rPr>
          <w:rFonts w:hint="eastAsia" w:ascii="宋体" w:hAnsi="宋体" w:eastAsia="宋体" w:cs="宋体"/>
          <w:b/>
          <w:bCs/>
          <w:color w:val="auto"/>
          <w:sz w:val="24"/>
          <w:highlight w:val="none"/>
        </w:rPr>
      </w:pPr>
    </w:p>
    <w:p w14:paraId="2096737D">
      <w:pPr>
        <w:shd w:val="clear" w:color="auto" w:fill="auto"/>
        <w:spacing w:line="360" w:lineRule="auto"/>
        <w:rPr>
          <w:rFonts w:hint="eastAsia" w:ascii="宋体" w:hAnsi="宋体" w:eastAsia="宋体" w:cs="宋体"/>
          <w:b/>
          <w:bCs/>
          <w:color w:val="auto"/>
          <w:sz w:val="24"/>
          <w:highlight w:val="none"/>
        </w:rPr>
      </w:pPr>
    </w:p>
    <w:p w14:paraId="3AAF2A41">
      <w:pPr>
        <w:shd w:val="clear" w:color="auto" w:fill="auto"/>
        <w:spacing w:line="360" w:lineRule="auto"/>
        <w:rPr>
          <w:rFonts w:hint="eastAsia" w:ascii="宋体" w:hAnsi="宋体" w:eastAsia="宋体" w:cs="宋体"/>
          <w:b/>
          <w:bCs/>
          <w:color w:val="auto"/>
          <w:sz w:val="24"/>
          <w:highlight w:val="none"/>
        </w:rPr>
      </w:pPr>
    </w:p>
    <w:p w14:paraId="26A4DD86">
      <w:pPr>
        <w:shd w:val="clear" w:color="auto" w:fill="auto"/>
        <w:spacing w:line="360" w:lineRule="auto"/>
        <w:rPr>
          <w:rFonts w:hint="eastAsia" w:ascii="宋体" w:hAnsi="宋体" w:eastAsia="宋体" w:cs="宋体"/>
          <w:b/>
          <w:bCs/>
          <w:color w:val="auto"/>
          <w:sz w:val="24"/>
          <w:highlight w:val="none"/>
        </w:rPr>
      </w:pPr>
    </w:p>
    <w:p w14:paraId="19800989">
      <w:pPr>
        <w:shd w:val="clear" w:color="auto" w:fill="auto"/>
        <w:spacing w:line="360" w:lineRule="auto"/>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11</w:t>
      </w:r>
    </w:p>
    <w:p w14:paraId="6E702245">
      <w:pPr>
        <w:shd w:val="clear" w:color="auto" w:fill="auto"/>
        <w:spacing w:before="158" w:beforeLines="50" w:after="158" w:afterLines="50" w:line="360" w:lineRule="auto"/>
        <w:ind w:right="-1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项目负责人资格情况表</w:t>
      </w:r>
    </w:p>
    <w:p w14:paraId="148D2DB4">
      <w:pPr>
        <w:shd w:val="clear" w:color="auto" w:fill="auto"/>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采购项目：                                        采购编号：</w:t>
      </w:r>
    </w:p>
    <w:tbl>
      <w:tblPr>
        <w:tblStyle w:val="30"/>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855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374C305C">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46D03D72">
            <w:pPr>
              <w:shd w:val="clear" w:color="auto" w:fill="auto"/>
              <w:jc w:val="center"/>
              <w:rPr>
                <w:rFonts w:hint="eastAsia" w:ascii="宋体" w:hAnsi="宋体" w:eastAsia="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44168528">
            <w:pPr>
              <w:shd w:val="clear" w:color="auto" w:fill="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zh-CN"/>
              </w:rPr>
              <w:t>近年来主要工作</w:t>
            </w:r>
            <w:r>
              <w:rPr>
                <w:rFonts w:hint="eastAsia" w:ascii="宋体" w:hAnsi="宋体" w:eastAsia="宋体" w:cs="宋体"/>
                <w:b/>
                <w:bCs/>
                <w:color w:val="auto"/>
                <w:sz w:val="24"/>
                <w:highlight w:val="none"/>
              </w:rPr>
              <w:t>经验</w:t>
            </w:r>
          </w:p>
        </w:tc>
      </w:tr>
      <w:tr w14:paraId="4C1B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310B8A4">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5DAD9B32">
            <w:pPr>
              <w:shd w:val="clear" w:color="auto" w:fill="auto"/>
              <w:jc w:val="center"/>
              <w:rPr>
                <w:rFonts w:hint="eastAsia" w:ascii="宋体" w:hAnsi="宋体" w:eastAsia="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7095B5EE">
            <w:pPr>
              <w:shd w:val="clear" w:color="auto" w:fill="auto"/>
              <w:jc w:val="center"/>
              <w:rPr>
                <w:rFonts w:hint="eastAsia" w:ascii="宋体" w:hAnsi="宋体" w:eastAsia="宋体" w:cs="宋体"/>
                <w:b/>
                <w:bCs/>
                <w:color w:val="auto"/>
                <w:sz w:val="24"/>
                <w:highlight w:val="none"/>
                <w:lang w:val="zh-CN"/>
              </w:rPr>
            </w:pPr>
          </w:p>
        </w:tc>
      </w:tr>
      <w:tr w14:paraId="613C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8635B75">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39040427">
            <w:pPr>
              <w:shd w:val="clear" w:color="auto" w:fill="auto"/>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3B257CD">
            <w:pPr>
              <w:shd w:val="clear" w:color="auto" w:fill="auto"/>
              <w:jc w:val="center"/>
              <w:rPr>
                <w:rFonts w:hint="eastAsia" w:ascii="宋体" w:hAnsi="宋体" w:eastAsia="宋体" w:cs="宋体"/>
                <w:b/>
                <w:bCs/>
                <w:color w:val="auto"/>
                <w:sz w:val="24"/>
                <w:highlight w:val="none"/>
                <w:lang w:val="zh-CN"/>
              </w:rPr>
            </w:pPr>
          </w:p>
        </w:tc>
      </w:tr>
      <w:tr w14:paraId="0ADB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29A0453">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50DD8EEA">
            <w:pPr>
              <w:shd w:val="clear" w:color="auto" w:fill="auto"/>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9327E07">
            <w:pPr>
              <w:shd w:val="clear" w:color="auto" w:fill="auto"/>
              <w:jc w:val="center"/>
              <w:rPr>
                <w:rFonts w:hint="eastAsia" w:ascii="宋体" w:hAnsi="宋体" w:eastAsia="宋体" w:cs="宋体"/>
                <w:b/>
                <w:bCs/>
                <w:color w:val="auto"/>
                <w:sz w:val="24"/>
                <w:highlight w:val="none"/>
                <w:lang w:val="zh-CN"/>
              </w:rPr>
            </w:pPr>
          </w:p>
        </w:tc>
      </w:tr>
      <w:tr w14:paraId="3122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231C1D4">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4B3FCBAA">
            <w:pPr>
              <w:shd w:val="clear" w:color="auto" w:fill="auto"/>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BA15CE5">
            <w:pPr>
              <w:shd w:val="clear" w:color="auto" w:fill="auto"/>
              <w:jc w:val="center"/>
              <w:rPr>
                <w:rFonts w:hint="eastAsia" w:ascii="宋体" w:hAnsi="宋体" w:eastAsia="宋体" w:cs="宋体"/>
                <w:b/>
                <w:bCs/>
                <w:color w:val="auto"/>
                <w:sz w:val="24"/>
                <w:highlight w:val="none"/>
                <w:lang w:val="zh-CN"/>
              </w:rPr>
            </w:pPr>
          </w:p>
        </w:tc>
      </w:tr>
      <w:tr w14:paraId="48FF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E80AF74">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44AD7325">
            <w:pPr>
              <w:shd w:val="clear" w:color="auto" w:fill="auto"/>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76406C7">
            <w:pPr>
              <w:shd w:val="clear" w:color="auto" w:fill="auto"/>
              <w:jc w:val="center"/>
              <w:rPr>
                <w:rFonts w:hint="eastAsia" w:ascii="宋体" w:hAnsi="宋体" w:eastAsia="宋体" w:cs="宋体"/>
                <w:b/>
                <w:bCs/>
                <w:color w:val="auto"/>
                <w:sz w:val="24"/>
                <w:highlight w:val="none"/>
                <w:lang w:val="zh-CN"/>
              </w:rPr>
            </w:pPr>
          </w:p>
        </w:tc>
      </w:tr>
      <w:tr w14:paraId="6AEA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D06A821">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535865ED">
            <w:pPr>
              <w:shd w:val="clear" w:color="auto" w:fill="auto"/>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C27C79F">
            <w:pPr>
              <w:shd w:val="clear" w:color="auto" w:fill="auto"/>
              <w:jc w:val="center"/>
              <w:rPr>
                <w:rFonts w:hint="eastAsia" w:ascii="宋体" w:hAnsi="宋体" w:eastAsia="宋体" w:cs="宋体"/>
                <w:b/>
                <w:bCs/>
                <w:color w:val="auto"/>
                <w:sz w:val="24"/>
                <w:highlight w:val="none"/>
                <w:lang w:val="zh-CN"/>
              </w:rPr>
            </w:pPr>
          </w:p>
        </w:tc>
      </w:tr>
      <w:tr w14:paraId="79D4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D6C90D2">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70E87B9B">
            <w:pPr>
              <w:shd w:val="clear" w:color="auto" w:fill="auto"/>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F78555F">
            <w:pPr>
              <w:shd w:val="clear" w:color="auto" w:fill="auto"/>
              <w:jc w:val="center"/>
              <w:rPr>
                <w:rFonts w:hint="eastAsia" w:ascii="宋体" w:hAnsi="宋体" w:eastAsia="宋体" w:cs="宋体"/>
                <w:b/>
                <w:bCs/>
                <w:color w:val="auto"/>
                <w:sz w:val="24"/>
                <w:highlight w:val="none"/>
                <w:lang w:val="zh-CN"/>
              </w:rPr>
            </w:pPr>
          </w:p>
        </w:tc>
      </w:tr>
      <w:tr w14:paraId="236B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12B55025">
            <w:pPr>
              <w:shd w:val="clear" w:color="auto" w:fill="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70FFCF3F">
            <w:pPr>
              <w:shd w:val="clear" w:color="auto" w:fill="auto"/>
              <w:jc w:val="center"/>
              <w:rPr>
                <w:rFonts w:hint="eastAsia" w:ascii="宋体" w:hAnsi="宋体" w:eastAsia="宋体" w:cs="宋体"/>
                <w:b/>
                <w:bCs/>
                <w:color w:val="auto"/>
                <w:sz w:val="24"/>
                <w:highlight w:val="none"/>
                <w:lang w:val="zh-CN"/>
              </w:rPr>
            </w:pPr>
          </w:p>
        </w:tc>
      </w:tr>
    </w:tbl>
    <w:p w14:paraId="6579CF48">
      <w:pPr>
        <w:shd w:val="clear" w:color="auto" w:fill="auto"/>
        <w:spacing w:line="360" w:lineRule="auto"/>
        <w:rPr>
          <w:rFonts w:hint="eastAsia" w:ascii="宋体" w:hAnsi="宋体" w:eastAsia="宋体" w:cs="宋体"/>
          <w:color w:val="auto"/>
          <w:sz w:val="24"/>
          <w:highlight w:val="none"/>
        </w:rPr>
      </w:pPr>
    </w:p>
    <w:p w14:paraId="6A2C6967">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14:paraId="6B1A081D">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eastAsia="zh-CN"/>
        </w:rPr>
        <w:t>法定代表人或授权委托</w:t>
      </w:r>
      <w:r>
        <w:rPr>
          <w:rFonts w:hint="eastAsia" w:ascii="宋体" w:hAnsi="宋体" w:eastAsia="宋体" w:cs="宋体"/>
          <w:color w:val="auto"/>
          <w:sz w:val="24"/>
          <w:highlight w:val="none"/>
          <w:lang w:val="en-US" w:eastAsia="zh-CN"/>
        </w:rPr>
        <w:t>代理</w:t>
      </w:r>
      <w:r>
        <w:rPr>
          <w:rFonts w:hint="eastAsia" w:ascii="宋体" w:hAnsi="宋体" w:eastAsia="宋体" w:cs="宋体"/>
          <w:color w:val="auto"/>
          <w:sz w:val="24"/>
          <w:highlight w:val="none"/>
          <w:lang w:val="zh-CN" w:eastAsia="zh-CN"/>
        </w:rPr>
        <w:t>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26072F80">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6FDDB675">
      <w:pPr>
        <w:shd w:val="clear" w:color="auto" w:fill="auto"/>
        <w:spacing w:line="360" w:lineRule="auto"/>
        <w:rPr>
          <w:rFonts w:hint="eastAsia" w:ascii="宋体" w:hAnsi="宋体" w:eastAsia="宋体" w:cs="宋体"/>
          <w:color w:val="auto"/>
          <w:sz w:val="24"/>
          <w:szCs w:val="32"/>
          <w:highlight w:val="none"/>
        </w:rPr>
      </w:pPr>
    </w:p>
    <w:p w14:paraId="751DCD46">
      <w:pPr>
        <w:shd w:val="clear" w:color="auto" w:fill="auto"/>
        <w:spacing w:line="360" w:lineRule="auto"/>
        <w:rPr>
          <w:rFonts w:hint="eastAsia" w:ascii="宋体" w:hAnsi="宋体" w:eastAsia="宋体" w:cs="宋体"/>
          <w:color w:val="auto"/>
          <w:sz w:val="24"/>
          <w:szCs w:val="32"/>
          <w:highlight w:val="none"/>
        </w:rPr>
      </w:pPr>
    </w:p>
    <w:p w14:paraId="3326F595">
      <w:pPr>
        <w:shd w:val="clear" w:color="auto" w:fill="auto"/>
        <w:spacing w:line="360" w:lineRule="auto"/>
        <w:rPr>
          <w:rFonts w:hint="eastAsia" w:ascii="宋体" w:hAnsi="宋体" w:eastAsia="宋体" w:cs="宋体"/>
          <w:color w:val="auto"/>
          <w:sz w:val="24"/>
          <w:szCs w:val="32"/>
          <w:highlight w:val="none"/>
        </w:rPr>
      </w:pPr>
    </w:p>
    <w:p w14:paraId="6560D237">
      <w:pPr>
        <w:shd w:val="clear" w:color="auto" w:fill="auto"/>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12</w:t>
      </w:r>
    </w:p>
    <w:p w14:paraId="67BFABA0">
      <w:pPr>
        <w:shd w:val="clear" w:color="auto" w:fill="auto"/>
        <w:spacing w:line="36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商务及技术响应表</w:t>
      </w:r>
    </w:p>
    <w:p w14:paraId="10824F5A">
      <w:pPr>
        <w:shd w:val="clear" w:color="auto" w:fill="auto"/>
        <w:spacing w:line="360" w:lineRule="auto"/>
        <w:rPr>
          <w:rFonts w:hint="eastAsia" w:ascii="宋体" w:hAnsi="宋体" w:eastAsia="宋体" w:cs="宋体"/>
          <w:color w:val="auto"/>
          <w:sz w:val="24"/>
          <w:highlight w:val="none"/>
        </w:rPr>
      </w:pPr>
    </w:p>
    <w:tbl>
      <w:tblPr>
        <w:tblStyle w:val="30"/>
        <w:tblW w:w="0" w:type="auto"/>
        <w:jc w:val="center"/>
        <w:tblLayout w:type="fixed"/>
        <w:tblCellMar>
          <w:top w:w="0" w:type="dxa"/>
          <w:left w:w="108" w:type="dxa"/>
          <w:bottom w:w="0" w:type="dxa"/>
          <w:right w:w="108" w:type="dxa"/>
        </w:tblCellMar>
      </w:tblPr>
      <w:tblGrid>
        <w:gridCol w:w="1202"/>
        <w:gridCol w:w="1831"/>
        <w:gridCol w:w="2160"/>
        <w:gridCol w:w="2127"/>
        <w:gridCol w:w="1472"/>
      </w:tblGrid>
      <w:tr w14:paraId="2E94C757">
        <w:tblPrEx>
          <w:tblCellMar>
            <w:top w:w="0" w:type="dxa"/>
            <w:left w:w="108" w:type="dxa"/>
            <w:bottom w:w="0" w:type="dxa"/>
            <w:right w:w="108" w:type="dxa"/>
          </w:tblCellMar>
        </w:tblPrEx>
        <w:trPr>
          <w:jc w:val="center"/>
        </w:trPr>
        <w:tc>
          <w:tcPr>
            <w:tcW w:w="1202" w:type="dxa"/>
            <w:tcBorders>
              <w:top w:val="single" w:color="auto" w:sz="4" w:space="0"/>
              <w:left w:val="single" w:color="auto" w:sz="4" w:space="0"/>
              <w:bottom w:val="single" w:color="auto" w:sz="4" w:space="0"/>
              <w:right w:val="single" w:color="auto" w:sz="4" w:space="0"/>
            </w:tcBorders>
            <w:vAlign w:val="center"/>
          </w:tcPr>
          <w:p w14:paraId="1C383844">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7E51519D">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627B0EF8">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磋商文件要求</w:t>
            </w:r>
          </w:p>
        </w:tc>
        <w:tc>
          <w:tcPr>
            <w:tcW w:w="2127" w:type="dxa"/>
            <w:tcBorders>
              <w:top w:val="single" w:color="auto" w:sz="4" w:space="0"/>
              <w:left w:val="single" w:color="auto" w:sz="4" w:space="0"/>
              <w:bottom w:val="single" w:color="auto" w:sz="4" w:space="0"/>
              <w:right w:val="single" w:color="auto" w:sz="4" w:space="0"/>
            </w:tcBorders>
            <w:vAlign w:val="center"/>
          </w:tcPr>
          <w:p w14:paraId="6CF16255">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磋商响应文件响应</w:t>
            </w:r>
          </w:p>
        </w:tc>
        <w:tc>
          <w:tcPr>
            <w:tcW w:w="1472" w:type="dxa"/>
            <w:tcBorders>
              <w:top w:val="single" w:color="auto" w:sz="4" w:space="0"/>
              <w:left w:val="single" w:color="auto" w:sz="4" w:space="0"/>
              <w:bottom w:val="single" w:color="auto" w:sz="4" w:space="0"/>
              <w:right w:val="single" w:color="auto" w:sz="4" w:space="0"/>
            </w:tcBorders>
            <w:vAlign w:val="center"/>
          </w:tcPr>
          <w:p w14:paraId="1F42DC1C">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r>
      <w:tr w14:paraId="4EBD723D">
        <w:tblPrEx>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right w:val="single" w:color="auto" w:sz="4" w:space="0"/>
            </w:tcBorders>
            <w:vAlign w:val="center"/>
          </w:tcPr>
          <w:p w14:paraId="4296DA15">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59B59CF0">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项目工期</w:t>
            </w:r>
          </w:p>
        </w:tc>
        <w:tc>
          <w:tcPr>
            <w:tcW w:w="2160" w:type="dxa"/>
            <w:tcBorders>
              <w:top w:val="single" w:color="auto" w:sz="4" w:space="0"/>
              <w:left w:val="single" w:color="auto" w:sz="4" w:space="0"/>
              <w:bottom w:val="single" w:color="auto" w:sz="4" w:space="0"/>
              <w:right w:val="single" w:color="auto" w:sz="4" w:space="0"/>
            </w:tcBorders>
            <w:vAlign w:val="center"/>
          </w:tcPr>
          <w:p w14:paraId="287E289C">
            <w:pPr>
              <w:shd w:val="clear" w:color="auto" w:fill="auto"/>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8B3A28B">
            <w:pPr>
              <w:shd w:val="clear" w:color="auto" w:fill="auto"/>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25F8389">
            <w:pPr>
              <w:shd w:val="clear" w:color="auto" w:fill="auto"/>
              <w:spacing w:line="360" w:lineRule="auto"/>
              <w:jc w:val="center"/>
              <w:rPr>
                <w:rFonts w:hint="eastAsia" w:ascii="宋体" w:hAnsi="宋体" w:eastAsia="宋体" w:cs="宋体"/>
                <w:color w:val="auto"/>
                <w:sz w:val="24"/>
                <w:highlight w:val="none"/>
              </w:rPr>
            </w:pPr>
          </w:p>
        </w:tc>
      </w:tr>
      <w:tr w14:paraId="45638CA9">
        <w:tblPrEx>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14:paraId="7F4AB319">
            <w:pPr>
              <w:shd w:val="clear" w:color="auto" w:fill="auto"/>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E998325">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2160" w:type="dxa"/>
            <w:tcBorders>
              <w:top w:val="single" w:color="auto" w:sz="4" w:space="0"/>
              <w:left w:val="single" w:color="auto" w:sz="4" w:space="0"/>
              <w:bottom w:val="single" w:color="auto" w:sz="4" w:space="0"/>
              <w:right w:val="single" w:color="auto" w:sz="4" w:space="0"/>
            </w:tcBorders>
            <w:vAlign w:val="center"/>
          </w:tcPr>
          <w:p w14:paraId="1762253C">
            <w:pPr>
              <w:shd w:val="clear" w:color="auto" w:fill="auto"/>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5FE185B">
            <w:pPr>
              <w:shd w:val="clear" w:color="auto" w:fill="auto"/>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3C8D6F42">
            <w:pPr>
              <w:shd w:val="clear" w:color="auto" w:fill="auto"/>
              <w:spacing w:line="360" w:lineRule="auto"/>
              <w:jc w:val="center"/>
              <w:rPr>
                <w:rFonts w:hint="eastAsia" w:ascii="宋体" w:hAnsi="宋体" w:eastAsia="宋体" w:cs="宋体"/>
                <w:color w:val="auto"/>
                <w:sz w:val="24"/>
                <w:highlight w:val="none"/>
              </w:rPr>
            </w:pPr>
          </w:p>
        </w:tc>
      </w:tr>
      <w:tr w14:paraId="7ACE69DD">
        <w:tblPrEx>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14:paraId="658C53D5">
            <w:pPr>
              <w:shd w:val="clear" w:color="auto" w:fill="auto"/>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7DA40C5">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14:paraId="5185668F">
            <w:pPr>
              <w:shd w:val="clear" w:color="auto" w:fill="auto"/>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BEA0969">
            <w:pPr>
              <w:shd w:val="clear" w:color="auto" w:fill="auto"/>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078FEA75">
            <w:pPr>
              <w:shd w:val="clear" w:color="auto" w:fill="auto"/>
              <w:spacing w:line="360" w:lineRule="auto"/>
              <w:jc w:val="center"/>
              <w:rPr>
                <w:rFonts w:hint="eastAsia" w:ascii="宋体" w:hAnsi="宋体" w:eastAsia="宋体" w:cs="宋体"/>
                <w:color w:val="auto"/>
                <w:sz w:val="24"/>
                <w:highlight w:val="none"/>
              </w:rPr>
            </w:pPr>
          </w:p>
        </w:tc>
      </w:tr>
      <w:tr w14:paraId="0CA2134F">
        <w:tblPrEx>
          <w:tblCellMar>
            <w:top w:w="0" w:type="dxa"/>
            <w:left w:w="108" w:type="dxa"/>
            <w:bottom w:w="0" w:type="dxa"/>
            <w:right w:w="108" w:type="dxa"/>
          </w:tblCellMar>
        </w:tblPrEx>
        <w:trPr>
          <w:jc w:val="center"/>
        </w:trPr>
        <w:tc>
          <w:tcPr>
            <w:tcW w:w="1202" w:type="dxa"/>
            <w:vMerge w:val="continue"/>
            <w:tcBorders>
              <w:left w:val="single" w:color="auto" w:sz="4" w:space="0"/>
              <w:bottom w:val="single" w:color="auto" w:sz="4" w:space="0"/>
              <w:right w:val="single" w:color="auto" w:sz="4" w:space="0"/>
            </w:tcBorders>
            <w:vAlign w:val="center"/>
          </w:tcPr>
          <w:p w14:paraId="1B142B7B">
            <w:pPr>
              <w:shd w:val="clear" w:color="auto" w:fill="auto"/>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BF95B67">
            <w:pPr>
              <w:shd w:val="clear" w:color="auto" w:fill="auto"/>
              <w:spacing w:line="360" w:lineRule="auto"/>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C8EDC77">
            <w:pPr>
              <w:shd w:val="clear" w:color="auto" w:fill="auto"/>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79FCB0F">
            <w:pPr>
              <w:shd w:val="clear" w:color="auto" w:fill="auto"/>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FD08BC4">
            <w:pPr>
              <w:shd w:val="clear" w:color="auto" w:fill="auto"/>
              <w:spacing w:line="360" w:lineRule="auto"/>
              <w:jc w:val="center"/>
              <w:rPr>
                <w:rFonts w:hint="eastAsia" w:ascii="宋体" w:hAnsi="宋体" w:eastAsia="宋体" w:cs="宋体"/>
                <w:color w:val="auto"/>
                <w:sz w:val="24"/>
                <w:highlight w:val="none"/>
              </w:rPr>
            </w:pPr>
          </w:p>
        </w:tc>
      </w:tr>
      <w:tr w14:paraId="0E10D224">
        <w:tblPrEx>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3005AB62">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7CE7083">
            <w:pPr>
              <w:shd w:val="clear" w:color="auto" w:fill="auto"/>
              <w:spacing w:line="360" w:lineRule="auto"/>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725BD99">
            <w:pPr>
              <w:shd w:val="clear" w:color="auto" w:fill="auto"/>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10F55F1">
            <w:pPr>
              <w:shd w:val="clear" w:color="auto" w:fill="auto"/>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3C11076">
            <w:pPr>
              <w:shd w:val="clear" w:color="auto" w:fill="auto"/>
              <w:spacing w:line="360" w:lineRule="auto"/>
              <w:jc w:val="center"/>
              <w:rPr>
                <w:rFonts w:hint="eastAsia" w:ascii="宋体" w:hAnsi="宋体" w:eastAsia="宋体" w:cs="宋体"/>
                <w:color w:val="auto"/>
                <w:sz w:val="24"/>
                <w:highlight w:val="none"/>
              </w:rPr>
            </w:pPr>
          </w:p>
        </w:tc>
      </w:tr>
      <w:tr w14:paraId="7A80C201">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79E3668">
            <w:pPr>
              <w:shd w:val="clear" w:color="auto" w:fill="auto"/>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7E01246">
            <w:pPr>
              <w:shd w:val="clear" w:color="auto" w:fill="auto"/>
              <w:spacing w:line="360" w:lineRule="auto"/>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A63A375">
            <w:pPr>
              <w:shd w:val="clear" w:color="auto" w:fill="auto"/>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9F9DD9C">
            <w:pPr>
              <w:shd w:val="clear" w:color="auto" w:fill="auto"/>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54852C9">
            <w:pPr>
              <w:shd w:val="clear" w:color="auto" w:fill="auto"/>
              <w:spacing w:line="360" w:lineRule="auto"/>
              <w:jc w:val="center"/>
              <w:rPr>
                <w:rFonts w:hint="eastAsia" w:ascii="宋体" w:hAnsi="宋体" w:eastAsia="宋体" w:cs="宋体"/>
                <w:color w:val="auto"/>
                <w:sz w:val="24"/>
                <w:highlight w:val="none"/>
              </w:rPr>
            </w:pPr>
          </w:p>
        </w:tc>
      </w:tr>
      <w:tr w14:paraId="71108CD4">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1D20D10">
            <w:pPr>
              <w:shd w:val="clear" w:color="auto" w:fill="auto"/>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892F102">
            <w:pPr>
              <w:shd w:val="clear" w:color="auto" w:fill="auto"/>
              <w:spacing w:line="360" w:lineRule="auto"/>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7B907E9">
            <w:pPr>
              <w:shd w:val="clear" w:color="auto" w:fill="auto"/>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ED7C65C">
            <w:pPr>
              <w:shd w:val="clear" w:color="auto" w:fill="auto"/>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3DA75762">
            <w:pPr>
              <w:shd w:val="clear" w:color="auto" w:fill="auto"/>
              <w:spacing w:line="360" w:lineRule="auto"/>
              <w:jc w:val="center"/>
              <w:rPr>
                <w:rFonts w:hint="eastAsia" w:ascii="宋体" w:hAnsi="宋体" w:eastAsia="宋体" w:cs="宋体"/>
                <w:color w:val="auto"/>
                <w:sz w:val="24"/>
                <w:highlight w:val="none"/>
              </w:rPr>
            </w:pPr>
          </w:p>
        </w:tc>
      </w:tr>
      <w:tr w14:paraId="7706BE04">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F41EF77">
            <w:pPr>
              <w:shd w:val="clear" w:color="auto" w:fill="auto"/>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28FBB3F">
            <w:pPr>
              <w:shd w:val="clear" w:color="auto" w:fill="auto"/>
              <w:spacing w:line="360" w:lineRule="auto"/>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302CD95">
            <w:pPr>
              <w:shd w:val="clear" w:color="auto" w:fill="auto"/>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E05DE05">
            <w:pPr>
              <w:shd w:val="clear" w:color="auto" w:fill="auto"/>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1236EF1">
            <w:pPr>
              <w:shd w:val="clear" w:color="auto" w:fill="auto"/>
              <w:spacing w:line="360" w:lineRule="auto"/>
              <w:jc w:val="center"/>
              <w:rPr>
                <w:rFonts w:hint="eastAsia" w:ascii="宋体" w:hAnsi="宋体" w:eastAsia="宋体" w:cs="宋体"/>
                <w:color w:val="auto"/>
                <w:sz w:val="24"/>
                <w:highlight w:val="none"/>
              </w:rPr>
            </w:pPr>
          </w:p>
        </w:tc>
      </w:tr>
      <w:tr w14:paraId="21831ECF">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F2F5C2E">
            <w:pPr>
              <w:shd w:val="clear" w:color="auto" w:fill="auto"/>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9938117">
            <w:pPr>
              <w:shd w:val="clear" w:color="auto" w:fill="auto"/>
              <w:spacing w:line="360" w:lineRule="auto"/>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FC074EA">
            <w:pPr>
              <w:shd w:val="clear" w:color="auto" w:fill="auto"/>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6783AF1">
            <w:pPr>
              <w:shd w:val="clear" w:color="auto" w:fill="auto"/>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72138AD">
            <w:pPr>
              <w:shd w:val="clear" w:color="auto" w:fill="auto"/>
              <w:spacing w:line="360" w:lineRule="auto"/>
              <w:jc w:val="center"/>
              <w:rPr>
                <w:rFonts w:hint="eastAsia" w:ascii="宋体" w:hAnsi="宋体" w:eastAsia="宋体" w:cs="宋体"/>
                <w:color w:val="auto"/>
                <w:sz w:val="24"/>
                <w:highlight w:val="none"/>
              </w:rPr>
            </w:pPr>
          </w:p>
        </w:tc>
      </w:tr>
      <w:tr w14:paraId="7FE28B65">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3AFDC54B">
            <w:pPr>
              <w:shd w:val="clear" w:color="auto" w:fill="auto"/>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CDFDE78">
            <w:pPr>
              <w:shd w:val="clear" w:color="auto" w:fill="auto"/>
              <w:spacing w:line="360" w:lineRule="auto"/>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2160BDE">
            <w:pPr>
              <w:shd w:val="clear" w:color="auto" w:fill="auto"/>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3C0723F">
            <w:pPr>
              <w:shd w:val="clear" w:color="auto" w:fill="auto"/>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89645F8">
            <w:pPr>
              <w:shd w:val="clear" w:color="auto" w:fill="auto"/>
              <w:spacing w:line="360" w:lineRule="auto"/>
              <w:jc w:val="center"/>
              <w:rPr>
                <w:rFonts w:hint="eastAsia" w:ascii="宋体" w:hAnsi="宋体" w:eastAsia="宋体" w:cs="宋体"/>
                <w:color w:val="auto"/>
                <w:sz w:val="24"/>
                <w:highlight w:val="none"/>
              </w:rPr>
            </w:pPr>
          </w:p>
        </w:tc>
      </w:tr>
      <w:tr w14:paraId="7A62CF7A">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BE9BCDE">
            <w:pPr>
              <w:shd w:val="clear" w:color="auto" w:fill="auto"/>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1D7CCEB">
            <w:pPr>
              <w:shd w:val="clear" w:color="auto" w:fill="auto"/>
              <w:spacing w:line="360" w:lineRule="auto"/>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28DA62D">
            <w:pPr>
              <w:shd w:val="clear" w:color="auto" w:fill="auto"/>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6BF12FC">
            <w:pPr>
              <w:shd w:val="clear" w:color="auto" w:fill="auto"/>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9EDE4EB">
            <w:pPr>
              <w:shd w:val="clear" w:color="auto" w:fill="auto"/>
              <w:spacing w:line="360" w:lineRule="auto"/>
              <w:jc w:val="center"/>
              <w:rPr>
                <w:rFonts w:hint="eastAsia" w:ascii="宋体" w:hAnsi="宋体" w:eastAsia="宋体" w:cs="宋体"/>
                <w:color w:val="auto"/>
                <w:sz w:val="24"/>
                <w:highlight w:val="none"/>
              </w:rPr>
            </w:pPr>
          </w:p>
        </w:tc>
      </w:tr>
    </w:tbl>
    <w:p w14:paraId="7FACCE45">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供应商在填写其中的“磋商响应文件产品技术响应”内容时，必须对照本磋商文件的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227D30DC">
      <w:pPr>
        <w:shd w:val="clear" w:color="auto" w:fill="auto"/>
        <w:spacing w:line="360" w:lineRule="auto"/>
        <w:rPr>
          <w:rFonts w:hint="eastAsia" w:ascii="宋体" w:hAnsi="宋体" w:eastAsia="宋体" w:cs="宋体"/>
          <w:color w:val="auto"/>
          <w:sz w:val="24"/>
          <w:highlight w:val="none"/>
        </w:rPr>
      </w:pPr>
    </w:p>
    <w:p w14:paraId="73B65AB3">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14:paraId="2BB5EE7C">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eastAsia="zh-CN"/>
        </w:rPr>
        <w:t>法定代表人或授权委托</w:t>
      </w:r>
      <w:r>
        <w:rPr>
          <w:rFonts w:hint="eastAsia" w:ascii="宋体" w:hAnsi="宋体" w:eastAsia="宋体" w:cs="宋体"/>
          <w:color w:val="auto"/>
          <w:sz w:val="24"/>
          <w:highlight w:val="none"/>
          <w:lang w:val="en-US" w:eastAsia="zh-CN"/>
        </w:rPr>
        <w:t>代理</w:t>
      </w:r>
      <w:r>
        <w:rPr>
          <w:rFonts w:hint="eastAsia" w:ascii="宋体" w:hAnsi="宋体" w:eastAsia="宋体" w:cs="宋体"/>
          <w:color w:val="auto"/>
          <w:sz w:val="24"/>
          <w:highlight w:val="none"/>
          <w:lang w:val="zh-CN" w:eastAsia="zh-CN"/>
        </w:rPr>
        <w:t>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DF5D8E4">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46860EFF">
      <w:pPr>
        <w:shd w:val="clear" w:color="auto" w:fill="auto"/>
        <w:spacing w:line="360" w:lineRule="auto"/>
        <w:rPr>
          <w:rFonts w:hint="eastAsia" w:ascii="宋体" w:hAnsi="宋体" w:eastAsia="宋体" w:cs="宋体"/>
          <w:color w:val="auto"/>
          <w:sz w:val="24"/>
          <w:highlight w:val="none"/>
        </w:rPr>
      </w:pPr>
    </w:p>
    <w:p w14:paraId="079816E1">
      <w:pPr>
        <w:shd w:val="clear" w:color="auto" w:fill="auto"/>
        <w:spacing w:line="360" w:lineRule="auto"/>
        <w:rPr>
          <w:rFonts w:hint="eastAsia" w:ascii="宋体" w:hAnsi="宋体" w:eastAsia="宋体" w:cs="宋体"/>
          <w:color w:val="auto"/>
          <w:sz w:val="24"/>
          <w:highlight w:val="none"/>
        </w:rPr>
      </w:pPr>
    </w:p>
    <w:p w14:paraId="3829A7C7">
      <w:pPr>
        <w:shd w:val="clear" w:color="auto" w:fill="auto"/>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13</w:t>
      </w:r>
    </w:p>
    <w:p w14:paraId="37BF8161">
      <w:pPr>
        <w:shd w:val="clear" w:color="auto" w:fill="auto"/>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售后服务情况表</w:t>
      </w:r>
    </w:p>
    <w:p w14:paraId="00568B62">
      <w:pPr>
        <w:shd w:val="clear" w:color="auto" w:fill="auto"/>
        <w:spacing w:line="360" w:lineRule="auto"/>
        <w:rPr>
          <w:rFonts w:hint="eastAsia" w:ascii="宋体" w:hAnsi="宋体" w:eastAsia="宋体" w:cs="宋体"/>
          <w:b/>
          <w:color w:val="auto"/>
          <w:sz w:val="24"/>
          <w:highlight w:val="none"/>
        </w:rPr>
      </w:pP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604EC6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5CE93AD7">
            <w:pPr>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355" w:type="dxa"/>
            <w:vAlign w:val="center"/>
          </w:tcPr>
          <w:p w14:paraId="08F5485E">
            <w:pPr>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w:t>
            </w:r>
          </w:p>
        </w:tc>
        <w:tc>
          <w:tcPr>
            <w:tcW w:w="4061" w:type="dxa"/>
            <w:vAlign w:val="center"/>
          </w:tcPr>
          <w:p w14:paraId="32ED7DB3">
            <w:pPr>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磋商供应商承诺</w:t>
            </w:r>
          </w:p>
        </w:tc>
        <w:tc>
          <w:tcPr>
            <w:tcW w:w="1373" w:type="dxa"/>
            <w:vAlign w:val="center"/>
          </w:tcPr>
          <w:p w14:paraId="5842757B">
            <w:pPr>
              <w:shd w:val="clear" w:color="auto" w:fill="auto"/>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r>
      <w:tr w14:paraId="3F6F47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2" w:hRule="atLeast"/>
          <w:jc w:val="center"/>
        </w:trPr>
        <w:tc>
          <w:tcPr>
            <w:tcW w:w="739" w:type="dxa"/>
            <w:vAlign w:val="center"/>
          </w:tcPr>
          <w:p w14:paraId="087CAE8C">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vAlign w:val="center"/>
          </w:tcPr>
          <w:p w14:paraId="322B0AC6">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售后服务情况(服务方式、服务网点、售后服务的内容和措施等等，可用附页和宣传材料)</w:t>
            </w:r>
          </w:p>
        </w:tc>
        <w:tc>
          <w:tcPr>
            <w:tcW w:w="4061" w:type="dxa"/>
            <w:vAlign w:val="center"/>
          </w:tcPr>
          <w:p w14:paraId="5C596584">
            <w:pPr>
              <w:shd w:val="clear" w:color="auto" w:fill="auto"/>
              <w:spacing w:line="360" w:lineRule="auto"/>
              <w:jc w:val="center"/>
              <w:rPr>
                <w:rFonts w:hint="eastAsia" w:ascii="宋体" w:hAnsi="宋体" w:eastAsia="宋体" w:cs="宋体"/>
                <w:color w:val="auto"/>
                <w:sz w:val="24"/>
                <w:highlight w:val="none"/>
              </w:rPr>
            </w:pPr>
          </w:p>
        </w:tc>
        <w:tc>
          <w:tcPr>
            <w:tcW w:w="1373" w:type="dxa"/>
            <w:vAlign w:val="center"/>
          </w:tcPr>
          <w:p w14:paraId="4761AEB1">
            <w:pPr>
              <w:shd w:val="clear" w:color="auto" w:fill="auto"/>
              <w:spacing w:line="360" w:lineRule="auto"/>
              <w:jc w:val="center"/>
              <w:rPr>
                <w:rFonts w:hint="eastAsia" w:ascii="宋体" w:hAnsi="宋体" w:eastAsia="宋体" w:cs="宋体"/>
                <w:color w:val="auto"/>
                <w:sz w:val="24"/>
                <w:highlight w:val="none"/>
              </w:rPr>
            </w:pPr>
          </w:p>
        </w:tc>
      </w:tr>
      <w:tr w14:paraId="6FCE26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4BF01179">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5" w:type="dxa"/>
            <w:vAlign w:val="center"/>
          </w:tcPr>
          <w:p w14:paraId="297C8418">
            <w:pPr>
              <w:shd w:val="clear" w:color="auto" w:fill="auto"/>
              <w:spacing w:line="360" w:lineRule="auto"/>
              <w:jc w:val="center"/>
              <w:rPr>
                <w:rFonts w:hint="eastAsia" w:ascii="宋体" w:hAnsi="宋体" w:eastAsia="宋体" w:cs="宋体"/>
                <w:color w:val="auto"/>
                <w:sz w:val="24"/>
                <w:highlight w:val="none"/>
              </w:rPr>
            </w:pPr>
          </w:p>
        </w:tc>
        <w:tc>
          <w:tcPr>
            <w:tcW w:w="4061" w:type="dxa"/>
            <w:vAlign w:val="center"/>
          </w:tcPr>
          <w:p w14:paraId="104989EF">
            <w:pPr>
              <w:shd w:val="clear" w:color="auto" w:fill="auto"/>
              <w:spacing w:line="360" w:lineRule="auto"/>
              <w:jc w:val="center"/>
              <w:rPr>
                <w:rFonts w:hint="eastAsia" w:ascii="宋体" w:hAnsi="宋体" w:eastAsia="宋体" w:cs="宋体"/>
                <w:color w:val="auto"/>
                <w:sz w:val="24"/>
                <w:highlight w:val="none"/>
              </w:rPr>
            </w:pPr>
          </w:p>
          <w:p w14:paraId="332A1E24">
            <w:pPr>
              <w:shd w:val="clear" w:color="auto" w:fill="auto"/>
              <w:spacing w:line="360" w:lineRule="auto"/>
              <w:jc w:val="center"/>
              <w:rPr>
                <w:rFonts w:hint="eastAsia" w:ascii="宋体" w:hAnsi="宋体" w:eastAsia="宋体" w:cs="宋体"/>
                <w:color w:val="auto"/>
                <w:sz w:val="24"/>
                <w:highlight w:val="none"/>
              </w:rPr>
            </w:pPr>
          </w:p>
          <w:p w14:paraId="054B0E74">
            <w:pPr>
              <w:shd w:val="clear" w:color="auto" w:fill="auto"/>
              <w:spacing w:line="360" w:lineRule="auto"/>
              <w:jc w:val="center"/>
              <w:rPr>
                <w:rFonts w:hint="eastAsia" w:ascii="宋体" w:hAnsi="宋体" w:eastAsia="宋体" w:cs="宋体"/>
                <w:color w:val="auto"/>
                <w:sz w:val="24"/>
                <w:highlight w:val="none"/>
              </w:rPr>
            </w:pPr>
          </w:p>
        </w:tc>
        <w:tc>
          <w:tcPr>
            <w:tcW w:w="1373" w:type="dxa"/>
            <w:vAlign w:val="center"/>
          </w:tcPr>
          <w:p w14:paraId="2016F2A4">
            <w:pPr>
              <w:shd w:val="clear" w:color="auto" w:fill="auto"/>
              <w:spacing w:line="360" w:lineRule="auto"/>
              <w:jc w:val="center"/>
              <w:rPr>
                <w:rFonts w:hint="eastAsia" w:ascii="宋体" w:hAnsi="宋体" w:eastAsia="宋体" w:cs="宋体"/>
                <w:color w:val="auto"/>
                <w:sz w:val="24"/>
                <w:highlight w:val="none"/>
              </w:rPr>
            </w:pPr>
          </w:p>
          <w:p w14:paraId="5BFFAB92">
            <w:pPr>
              <w:shd w:val="clear" w:color="auto" w:fill="auto"/>
              <w:spacing w:line="360" w:lineRule="auto"/>
              <w:jc w:val="center"/>
              <w:rPr>
                <w:rFonts w:hint="eastAsia" w:ascii="宋体" w:hAnsi="宋体" w:eastAsia="宋体" w:cs="宋体"/>
                <w:color w:val="auto"/>
                <w:sz w:val="24"/>
                <w:highlight w:val="none"/>
              </w:rPr>
            </w:pPr>
          </w:p>
          <w:p w14:paraId="4CE6EB24">
            <w:pPr>
              <w:shd w:val="clear" w:color="auto" w:fill="auto"/>
              <w:spacing w:line="360" w:lineRule="auto"/>
              <w:jc w:val="center"/>
              <w:rPr>
                <w:rFonts w:hint="eastAsia" w:ascii="宋体" w:hAnsi="宋体" w:eastAsia="宋体" w:cs="宋体"/>
                <w:color w:val="auto"/>
                <w:sz w:val="24"/>
                <w:highlight w:val="none"/>
              </w:rPr>
            </w:pPr>
          </w:p>
        </w:tc>
      </w:tr>
      <w:tr w14:paraId="2E154B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36EFD146">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5" w:type="dxa"/>
            <w:vAlign w:val="center"/>
          </w:tcPr>
          <w:p w14:paraId="554AF9E4">
            <w:pPr>
              <w:shd w:val="clear" w:color="auto" w:fill="auto"/>
              <w:spacing w:line="360" w:lineRule="auto"/>
              <w:jc w:val="center"/>
              <w:rPr>
                <w:rFonts w:hint="eastAsia" w:ascii="宋体" w:hAnsi="宋体" w:eastAsia="宋体" w:cs="宋体"/>
                <w:color w:val="auto"/>
                <w:sz w:val="24"/>
                <w:highlight w:val="none"/>
              </w:rPr>
            </w:pPr>
          </w:p>
        </w:tc>
        <w:tc>
          <w:tcPr>
            <w:tcW w:w="4061" w:type="dxa"/>
            <w:vAlign w:val="center"/>
          </w:tcPr>
          <w:p w14:paraId="01742907">
            <w:pPr>
              <w:shd w:val="clear" w:color="auto" w:fill="auto"/>
              <w:spacing w:line="360" w:lineRule="auto"/>
              <w:jc w:val="center"/>
              <w:rPr>
                <w:rFonts w:hint="eastAsia" w:ascii="宋体" w:hAnsi="宋体" w:eastAsia="宋体" w:cs="宋体"/>
                <w:color w:val="auto"/>
                <w:sz w:val="24"/>
                <w:highlight w:val="none"/>
              </w:rPr>
            </w:pPr>
          </w:p>
          <w:p w14:paraId="0D9D9676">
            <w:pPr>
              <w:shd w:val="clear" w:color="auto" w:fill="auto"/>
              <w:spacing w:line="360" w:lineRule="auto"/>
              <w:jc w:val="center"/>
              <w:rPr>
                <w:rFonts w:hint="eastAsia" w:ascii="宋体" w:hAnsi="宋体" w:eastAsia="宋体" w:cs="宋体"/>
                <w:color w:val="auto"/>
                <w:sz w:val="24"/>
                <w:highlight w:val="none"/>
              </w:rPr>
            </w:pPr>
          </w:p>
        </w:tc>
        <w:tc>
          <w:tcPr>
            <w:tcW w:w="1373" w:type="dxa"/>
            <w:vAlign w:val="center"/>
          </w:tcPr>
          <w:p w14:paraId="5B6C147A">
            <w:pPr>
              <w:shd w:val="clear" w:color="auto" w:fill="auto"/>
              <w:spacing w:line="360" w:lineRule="auto"/>
              <w:jc w:val="center"/>
              <w:rPr>
                <w:rFonts w:hint="eastAsia" w:ascii="宋体" w:hAnsi="宋体" w:eastAsia="宋体" w:cs="宋体"/>
                <w:color w:val="auto"/>
                <w:sz w:val="24"/>
                <w:highlight w:val="none"/>
              </w:rPr>
            </w:pPr>
          </w:p>
          <w:p w14:paraId="01898B66">
            <w:pPr>
              <w:shd w:val="clear" w:color="auto" w:fill="auto"/>
              <w:spacing w:line="360" w:lineRule="auto"/>
              <w:jc w:val="center"/>
              <w:rPr>
                <w:rFonts w:hint="eastAsia" w:ascii="宋体" w:hAnsi="宋体" w:eastAsia="宋体" w:cs="宋体"/>
                <w:color w:val="auto"/>
                <w:sz w:val="24"/>
                <w:highlight w:val="none"/>
              </w:rPr>
            </w:pPr>
          </w:p>
          <w:p w14:paraId="7DD3E1BF">
            <w:pPr>
              <w:shd w:val="clear" w:color="auto" w:fill="auto"/>
              <w:spacing w:line="360" w:lineRule="auto"/>
              <w:jc w:val="center"/>
              <w:rPr>
                <w:rFonts w:hint="eastAsia" w:ascii="宋体" w:hAnsi="宋体" w:eastAsia="宋体" w:cs="宋体"/>
                <w:color w:val="auto"/>
                <w:sz w:val="24"/>
                <w:highlight w:val="none"/>
              </w:rPr>
            </w:pPr>
          </w:p>
        </w:tc>
      </w:tr>
      <w:tr w14:paraId="58DF5F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2DC42CA5">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355" w:type="dxa"/>
            <w:vAlign w:val="center"/>
          </w:tcPr>
          <w:p w14:paraId="49EBEFCD">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061" w:type="dxa"/>
            <w:vAlign w:val="center"/>
          </w:tcPr>
          <w:p w14:paraId="29A1E315">
            <w:pPr>
              <w:shd w:val="clear" w:color="auto" w:fill="auto"/>
              <w:spacing w:line="360" w:lineRule="auto"/>
              <w:jc w:val="center"/>
              <w:rPr>
                <w:rFonts w:hint="eastAsia" w:ascii="宋体" w:hAnsi="宋体" w:eastAsia="宋体" w:cs="宋体"/>
                <w:color w:val="auto"/>
                <w:sz w:val="24"/>
                <w:highlight w:val="none"/>
              </w:rPr>
            </w:pPr>
          </w:p>
        </w:tc>
        <w:tc>
          <w:tcPr>
            <w:tcW w:w="1373" w:type="dxa"/>
            <w:vAlign w:val="center"/>
          </w:tcPr>
          <w:p w14:paraId="780D9210">
            <w:pPr>
              <w:shd w:val="clear" w:color="auto" w:fill="auto"/>
              <w:spacing w:line="360" w:lineRule="auto"/>
              <w:jc w:val="center"/>
              <w:rPr>
                <w:rFonts w:hint="eastAsia" w:ascii="宋体" w:hAnsi="宋体" w:eastAsia="宋体" w:cs="宋体"/>
                <w:color w:val="auto"/>
                <w:sz w:val="24"/>
                <w:highlight w:val="none"/>
              </w:rPr>
            </w:pPr>
          </w:p>
        </w:tc>
      </w:tr>
    </w:tbl>
    <w:p w14:paraId="795C567D">
      <w:pPr>
        <w:shd w:val="clear" w:color="auto" w:fill="auto"/>
        <w:spacing w:line="360" w:lineRule="auto"/>
        <w:rPr>
          <w:rFonts w:hint="eastAsia" w:ascii="宋体" w:hAnsi="宋体" w:eastAsia="宋体" w:cs="宋体"/>
          <w:b/>
          <w:color w:val="auto"/>
          <w:sz w:val="24"/>
          <w:highlight w:val="none"/>
        </w:rPr>
      </w:pPr>
    </w:p>
    <w:p w14:paraId="25DA43C6">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14:paraId="5DF00DFE">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eastAsia="zh-CN"/>
        </w:rPr>
        <w:t>法定代表人或授权委托</w:t>
      </w:r>
      <w:r>
        <w:rPr>
          <w:rFonts w:hint="eastAsia" w:ascii="宋体" w:hAnsi="宋体" w:eastAsia="宋体" w:cs="宋体"/>
          <w:color w:val="auto"/>
          <w:sz w:val="24"/>
          <w:highlight w:val="none"/>
          <w:lang w:val="en-US" w:eastAsia="zh-CN"/>
        </w:rPr>
        <w:t>代理</w:t>
      </w:r>
      <w:r>
        <w:rPr>
          <w:rFonts w:hint="eastAsia" w:ascii="宋体" w:hAnsi="宋体" w:eastAsia="宋体" w:cs="宋体"/>
          <w:color w:val="auto"/>
          <w:sz w:val="24"/>
          <w:highlight w:val="none"/>
          <w:lang w:val="zh-CN" w:eastAsia="zh-CN"/>
        </w:rPr>
        <w:t>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3136718A">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60534F22">
      <w:pPr>
        <w:shd w:val="clear" w:color="auto" w:fill="auto"/>
        <w:spacing w:line="360" w:lineRule="auto"/>
        <w:rPr>
          <w:rFonts w:hint="eastAsia" w:ascii="宋体" w:hAnsi="宋体" w:eastAsia="宋体" w:cs="宋体"/>
          <w:b/>
          <w:color w:val="auto"/>
          <w:sz w:val="24"/>
          <w:highlight w:val="none"/>
        </w:rPr>
      </w:pPr>
    </w:p>
    <w:p w14:paraId="47060749">
      <w:pPr>
        <w:shd w:val="clear" w:color="auto" w:fill="auto"/>
        <w:spacing w:line="360" w:lineRule="auto"/>
        <w:rPr>
          <w:rFonts w:hint="eastAsia" w:ascii="宋体" w:hAnsi="宋体" w:eastAsia="宋体" w:cs="宋体"/>
          <w:b/>
          <w:color w:val="auto"/>
          <w:sz w:val="24"/>
          <w:highlight w:val="none"/>
        </w:rPr>
      </w:pPr>
    </w:p>
    <w:p w14:paraId="22F83B59">
      <w:pPr>
        <w:shd w:val="clear" w:color="auto" w:fill="auto"/>
        <w:spacing w:line="360" w:lineRule="auto"/>
        <w:rPr>
          <w:rFonts w:hint="eastAsia" w:ascii="宋体" w:hAnsi="宋体" w:eastAsia="宋体" w:cs="宋体"/>
          <w:b/>
          <w:color w:val="auto"/>
          <w:sz w:val="24"/>
          <w:highlight w:val="none"/>
        </w:rPr>
      </w:pPr>
    </w:p>
    <w:p w14:paraId="141AE5AE">
      <w:pPr>
        <w:shd w:val="clear" w:color="auto" w:fill="auto"/>
        <w:spacing w:line="360" w:lineRule="auto"/>
        <w:rPr>
          <w:rFonts w:hint="eastAsia" w:ascii="宋体" w:hAnsi="宋体" w:eastAsia="宋体" w:cs="宋体"/>
          <w:b/>
          <w:color w:val="auto"/>
          <w:sz w:val="24"/>
          <w:highlight w:val="none"/>
        </w:rPr>
      </w:pPr>
    </w:p>
    <w:p w14:paraId="50C99F21">
      <w:pPr>
        <w:shd w:val="clear" w:color="auto" w:fill="auto"/>
        <w:spacing w:line="360" w:lineRule="auto"/>
        <w:rPr>
          <w:rFonts w:hint="eastAsia" w:ascii="宋体" w:hAnsi="宋体" w:eastAsia="宋体" w:cs="宋体"/>
          <w:b/>
          <w:color w:val="auto"/>
          <w:sz w:val="24"/>
          <w:highlight w:val="none"/>
        </w:rPr>
      </w:pPr>
    </w:p>
    <w:p w14:paraId="1AC37E51">
      <w:pPr>
        <w:shd w:val="clear" w:color="auto" w:fill="auto"/>
        <w:spacing w:line="360" w:lineRule="auto"/>
        <w:rPr>
          <w:rFonts w:hint="eastAsia" w:ascii="宋体" w:hAnsi="宋体" w:eastAsia="宋体" w:cs="宋体"/>
          <w:b/>
          <w:color w:val="auto"/>
          <w:sz w:val="24"/>
          <w:highlight w:val="none"/>
        </w:rPr>
      </w:pPr>
    </w:p>
    <w:p w14:paraId="56742C1F">
      <w:pPr>
        <w:shd w:val="clear" w:color="auto" w:fill="auto"/>
        <w:spacing w:line="360" w:lineRule="auto"/>
        <w:rPr>
          <w:rFonts w:hint="eastAsia" w:ascii="宋体" w:hAnsi="宋体" w:eastAsia="宋体" w:cs="宋体"/>
          <w:b/>
          <w:color w:val="auto"/>
          <w:sz w:val="24"/>
          <w:highlight w:val="none"/>
        </w:rPr>
      </w:pPr>
    </w:p>
    <w:p w14:paraId="37B904B1">
      <w:pPr>
        <w:shd w:val="clear" w:color="auto" w:fill="auto"/>
        <w:spacing w:line="360" w:lineRule="auto"/>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14</w:t>
      </w:r>
    </w:p>
    <w:p w14:paraId="089B574F">
      <w:pPr>
        <w:shd w:val="clear" w:color="auto" w:fill="auto"/>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首次报价一览表</w:t>
      </w:r>
    </w:p>
    <w:p w14:paraId="63F05ECC">
      <w:pPr>
        <w:shd w:val="clear" w:color="auto" w:fill="auto"/>
        <w:spacing w:line="360" w:lineRule="auto"/>
        <w:jc w:val="left"/>
        <w:rPr>
          <w:rFonts w:hint="eastAsia" w:ascii="宋体" w:hAnsi="宋体" w:eastAsia="宋体" w:cs="宋体"/>
          <w:color w:val="auto"/>
          <w:sz w:val="24"/>
          <w:szCs w:val="32"/>
          <w:highlight w:val="none"/>
        </w:rPr>
      </w:pPr>
    </w:p>
    <w:p w14:paraId="3750ABB6">
      <w:pPr>
        <w:shd w:val="clear" w:color="auto" w:fill="auto"/>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项目编号：</w:t>
      </w:r>
    </w:p>
    <w:p w14:paraId="5B73D24A">
      <w:pPr>
        <w:shd w:val="clear" w:color="auto" w:fill="auto"/>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项目名称：</w:t>
      </w:r>
      <w:r>
        <w:rPr>
          <w:rFonts w:hint="eastAsia" w:ascii="宋体" w:hAnsi="宋体" w:eastAsia="宋体" w:cs="宋体"/>
          <w:color w:val="auto"/>
          <w:sz w:val="24"/>
          <w:szCs w:val="32"/>
          <w:highlight w:val="none"/>
        </w:rPr>
        <w:t xml:space="preserve">                                      [货币单位：人民币/元]</w:t>
      </w:r>
    </w:p>
    <w:tbl>
      <w:tblPr>
        <w:tblStyle w:val="30"/>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6301"/>
      </w:tblGrid>
      <w:tr w14:paraId="32CD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237" w:type="dxa"/>
            <w:vAlign w:val="center"/>
          </w:tcPr>
          <w:p w14:paraId="35A75581">
            <w:pPr>
              <w:shd w:val="clear" w:color="auto" w:fill="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6301" w:type="dxa"/>
            <w:vAlign w:val="center"/>
          </w:tcPr>
          <w:p w14:paraId="63DC7594">
            <w:pPr>
              <w:shd w:val="clear" w:color="auto" w:fill="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14:paraId="3A12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2237" w:type="dxa"/>
            <w:vAlign w:val="center"/>
          </w:tcPr>
          <w:p w14:paraId="7265E433">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投标总报价</w:t>
            </w:r>
          </w:p>
        </w:tc>
        <w:tc>
          <w:tcPr>
            <w:tcW w:w="6301" w:type="dxa"/>
            <w:vAlign w:val="center"/>
          </w:tcPr>
          <w:p w14:paraId="52B1AA28">
            <w:pPr>
              <w:shd w:val="clear" w:color="auto" w:fill="auto"/>
              <w:spacing w:line="360" w:lineRule="auto"/>
              <w:ind w:firstLine="241" w:firstLineChars="1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none"/>
                <w:lang w:val="en-US" w:eastAsia="zh-CN"/>
              </w:rPr>
              <w:t>大写：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；小写：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元（≤</w:t>
            </w:r>
            <w:r>
              <w:rPr>
                <w:rFonts w:hint="eastAsia" w:ascii="宋体" w:hAnsi="宋体" w:cs="宋体"/>
                <w:color w:val="auto"/>
                <w:sz w:val="24"/>
                <w:highlight w:val="none"/>
                <w:lang w:val="en-US" w:eastAsia="zh-CN"/>
              </w:rPr>
              <w:t>2656708</w:t>
            </w:r>
            <w:r>
              <w:rPr>
                <w:rFonts w:hint="eastAsia" w:ascii="宋体" w:hAnsi="宋体" w:eastAsia="宋体" w:cs="宋体"/>
                <w:b/>
                <w:bCs/>
                <w:color w:val="auto"/>
                <w:sz w:val="24"/>
                <w:szCs w:val="24"/>
                <w:highlight w:val="none"/>
                <w:u w:val="none"/>
                <w:lang w:val="en-US" w:eastAsia="zh-CN"/>
              </w:rPr>
              <w:t>.00元）</w:t>
            </w:r>
          </w:p>
        </w:tc>
      </w:tr>
      <w:tr w14:paraId="4E92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2237" w:type="dxa"/>
            <w:vAlign w:val="center"/>
          </w:tcPr>
          <w:p w14:paraId="730C8334">
            <w:pPr>
              <w:shd w:val="clear" w:color="auto" w:fill="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本项目结算率（结算率＝投标报价/采购预算价）一次性包定</w:t>
            </w:r>
          </w:p>
        </w:tc>
        <w:tc>
          <w:tcPr>
            <w:tcW w:w="6301" w:type="dxa"/>
            <w:vAlign w:val="center"/>
          </w:tcPr>
          <w:p w14:paraId="1EA38CE0">
            <w:pPr>
              <w:shd w:val="clear" w:color="auto" w:fill="auto"/>
              <w:spacing w:line="360" w:lineRule="auto"/>
              <w:ind w:firstLine="1205" w:firstLineChars="5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 xml:space="preserve"> %</w:t>
            </w:r>
          </w:p>
        </w:tc>
      </w:tr>
    </w:tbl>
    <w:p w14:paraId="74BCFFDF">
      <w:pPr>
        <w:shd w:val="clear" w:color="auto" w:fill="auto"/>
        <w:spacing w:line="360" w:lineRule="auto"/>
        <w:jc w:val="left"/>
        <w:rPr>
          <w:rFonts w:hint="eastAsia" w:ascii="宋体" w:hAnsi="宋体" w:eastAsia="宋体" w:cs="宋体"/>
          <w:b/>
          <w:bCs/>
          <w:color w:val="auto"/>
          <w:sz w:val="24"/>
          <w:szCs w:val="32"/>
          <w:highlight w:val="none"/>
        </w:rPr>
      </w:pPr>
    </w:p>
    <w:p w14:paraId="5DB3ABC7">
      <w:pPr>
        <w:shd w:val="clear" w:color="auto" w:fill="auto"/>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填报要求：</w:t>
      </w:r>
    </w:p>
    <w:p w14:paraId="7D9D18C1">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1.投标总报价是包括货款、标准附件、备品备件、专用工具、包装、运输、装卸、保险、税金、货到就位以及安装、调试、培训、保修、合同包含的所有风险责任等各项费用及不可预见费等所需的全部费用。</w:t>
      </w:r>
    </w:p>
    <w:p w14:paraId="573599A1">
      <w:pPr>
        <w:shd w:val="clear" w:color="auto" w:fill="auto"/>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2.报价一经涂改，应在涂改处加盖单位公章，或者由法定代表人或授权委托代理人签字或盖章，否则其投标作无效标处理。</w:t>
      </w:r>
    </w:p>
    <w:p w14:paraId="7A853722">
      <w:pPr>
        <w:shd w:val="clear" w:color="auto" w:fill="auto"/>
        <w:spacing w:line="360" w:lineRule="auto"/>
        <w:ind w:firstLine="480" w:firstLineChars="200"/>
        <w:jc w:val="left"/>
        <w:rPr>
          <w:rFonts w:hint="eastAsia" w:ascii="宋体" w:hAnsi="宋体" w:eastAsia="宋体" w:cs="宋体"/>
          <w:color w:val="auto"/>
          <w:sz w:val="24"/>
          <w:szCs w:val="32"/>
          <w:highlight w:val="none"/>
        </w:rPr>
      </w:pPr>
    </w:p>
    <w:p w14:paraId="446B55DF">
      <w:pPr>
        <w:shd w:val="clear" w:color="auto" w:fill="auto"/>
        <w:spacing w:line="360" w:lineRule="auto"/>
        <w:ind w:firstLine="480" w:firstLineChars="200"/>
        <w:jc w:val="left"/>
        <w:rPr>
          <w:rFonts w:hint="eastAsia" w:ascii="宋体" w:hAnsi="宋体" w:eastAsia="宋体" w:cs="宋体"/>
          <w:color w:val="auto"/>
          <w:sz w:val="24"/>
          <w:szCs w:val="32"/>
          <w:highlight w:val="none"/>
        </w:rPr>
      </w:pPr>
    </w:p>
    <w:p w14:paraId="50833276">
      <w:pPr>
        <w:shd w:val="clear" w:color="auto" w:fill="auto"/>
        <w:spacing w:line="360" w:lineRule="auto"/>
        <w:ind w:firstLine="480" w:firstLineChars="200"/>
        <w:jc w:val="left"/>
        <w:rPr>
          <w:rFonts w:hint="eastAsia" w:ascii="宋体" w:hAnsi="宋体" w:eastAsia="宋体" w:cs="宋体"/>
          <w:color w:val="auto"/>
          <w:sz w:val="24"/>
          <w:szCs w:val="32"/>
          <w:highlight w:val="none"/>
        </w:rPr>
      </w:pPr>
    </w:p>
    <w:p w14:paraId="3CD6B748">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65781623">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eastAsia="zh-CN"/>
        </w:rPr>
        <w:t>法定代表人或授权委托</w:t>
      </w:r>
      <w:r>
        <w:rPr>
          <w:rFonts w:hint="eastAsia" w:ascii="宋体" w:hAnsi="宋体" w:eastAsia="宋体" w:cs="宋体"/>
          <w:color w:val="auto"/>
          <w:sz w:val="24"/>
          <w:highlight w:val="none"/>
          <w:lang w:val="en-US" w:eastAsia="zh-CN"/>
        </w:rPr>
        <w:t>代理</w:t>
      </w:r>
      <w:r>
        <w:rPr>
          <w:rFonts w:hint="eastAsia" w:ascii="宋体" w:hAnsi="宋体" w:eastAsia="宋体" w:cs="宋体"/>
          <w:color w:val="auto"/>
          <w:sz w:val="24"/>
          <w:highlight w:val="none"/>
          <w:lang w:val="zh-CN" w:eastAsia="zh-CN"/>
        </w:rPr>
        <w:t>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rPr>
        <w:t>：</w:t>
      </w:r>
    </w:p>
    <w:p w14:paraId="646B4CEC">
      <w:pPr>
        <w:shd w:val="clear" w:color="auto" w:fill="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sectPr>
      <w:headerReference r:id="rId4" w:type="default"/>
      <w:footerReference r:id="rId5"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B0604020002020204"/>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B0604020002020204"/>
    <w:charset w:val="86"/>
    <w:family w:val="script"/>
    <w:pitch w:val="default"/>
    <w:sig w:usb0="00000000" w:usb1="00000000" w:usb2="00000010" w:usb3="00000000" w:csb0="00040000" w:csb1="00000000"/>
  </w:font>
  <w:font w:name="Helvetica">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768F6">
    <w:pPr>
      <w:pStyle w:val="20"/>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3E06DEB">
      <w:pPr>
        <w:pStyle w:val="23"/>
        <w:snapToGrid w:val="0"/>
      </w:pPr>
      <w:r>
        <w:rPr>
          <w:rStyle w:val="36"/>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 w:id="1">
    <w:p w14:paraId="4EA4407A">
      <w:pPr>
        <w:pStyle w:val="23"/>
        <w:snapToGrid w:val="0"/>
      </w:pPr>
      <w:r>
        <w:rPr>
          <w:rStyle w:val="36"/>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DE85">
    <w:pPr>
      <w:spacing w:line="20" w:lineRule="atLeast"/>
      <w:rPr>
        <w:b/>
        <w:color w:val="000000"/>
        <w:sz w:val="10"/>
        <w:u w:val="single"/>
      </w:rPr>
    </w:pPr>
    <w:r>
      <w:rPr>
        <w:rFonts w:hint="eastAsia"/>
        <w:b/>
        <w:i/>
        <w:color w:val="000000"/>
        <w:kern w:val="0"/>
        <w:sz w:val="18"/>
        <w:u w:val="single"/>
      </w:rPr>
      <w:t>台州市路桥区政府采购电子竞争性磋商文件</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51</w:t>
    </w:r>
    <w:r>
      <w:rPr>
        <w:b/>
        <w:i/>
        <w:color w:val="000000"/>
        <w:spacing w:val="-20"/>
        <w:kern w:val="0"/>
        <w:sz w:val="18"/>
        <w:u w:val="single"/>
      </w:rPr>
      <w:fldChar w:fldCharType="end"/>
    </w:r>
    <w:r>
      <w:rPr>
        <w:rFonts w:hint="eastAsia"/>
        <w:b/>
        <w:i/>
        <w:color w:val="000000"/>
        <w:spacing w:val="-20"/>
        <w:kern w:val="0"/>
        <w:sz w:val="18"/>
        <w:u w:val="single"/>
      </w:rPr>
      <w:t>页</w:t>
    </w:r>
  </w:p>
  <w:p w14:paraId="5644D056">
    <w:pPr>
      <w:pStyle w:val="2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suff w:val="nothing"/>
      <w:lvlText w:val="%1、"/>
      <w:lvlJc w:val="left"/>
    </w:lvl>
  </w:abstractNum>
  <w:abstractNum w:abstractNumId="1">
    <w:nsid w:val="00000001"/>
    <w:multiLevelType w:val="singleLevel"/>
    <w:tmpl w:val="00000001"/>
    <w:lvl w:ilvl="0" w:tentative="0">
      <w:start w:val="1"/>
      <w:numFmt w:val="decimal"/>
      <w:pStyle w:val="9"/>
      <w:lvlText w:val="%1."/>
      <w:lvlJc w:val="left"/>
      <w:pPr>
        <w:tabs>
          <w:tab w:val="left" w:pos="360"/>
        </w:tabs>
        <w:ind w:left="360" w:hanging="360"/>
      </w:pPr>
      <w:rPr>
        <w:rFonts w:cs="Times New Roman"/>
      </w:rPr>
    </w:lvl>
  </w:abstractNum>
  <w:abstractNum w:abstractNumId="2">
    <w:nsid w:val="00000002"/>
    <w:multiLevelType w:val="singleLevel"/>
    <w:tmpl w:val="00000002"/>
    <w:lvl w:ilvl="0" w:tentative="0">
      <w:start w:val="2"/>
      <w:numFmt w:val="chineseCounting"/>
      <w:suff w:val="nothing"/>
      <w:lvlText w:val="%1、"/>
      <w:lvlJc w:val="left"/>
      <w:rPr>
        <w:rFonts w:hint="eastAsia"/>
      </w:rPr>
    </w:lvl>
  </w:abstractNum>
  <w:abstractNum w:abstractNumId="3">
    <w:nsid w:val="00000003"/>
    <w:multiLevelType w:val="singleLevel"/>
    <w:tmpl w:val="00000003"/>
    <w:lvl w:ilvl="0" w:tentative="0">
      <w:start w:val="3"/>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4"/>
    <w:footnote w:id="5"/>
  </w:foot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YTg5OTA0Y2ExMDI5YWM2YjM4OThhZmVmNTlmYjQifQ=="/>
  </w:docVars>
  <w:rsids>
    <w:rsidRoot w:val="00000000"/>
    <w:rsid w:val="04485CB6"/>
    <w:rsid w:val="0A8257C5"/>
    <w:rsid w:val="13B908AB"/>
    <w:rsid w:val="15A31BE9"/>
    <w:rsid w:val="16695657"/>
    <w:rsid w:val="19A46C70"/>
    <w:rsid w:val="1A552C8D"/>
    <w:rsid w:val="1B125618"/>
    <w:rsid w:val="24525F90"/>
    <w:rsid w:val="2BC45FEE"/>
    <w:rsid w:val="3307616D"/>
    <w:rsid w:val="3A780F78"/>
    <w:rsid w:val="3AC56A51"/>
    <w:rsid w:val="4FF55455"/>
    <w:rsid w:val="5A737E20"/>
    <w:rsid w:val="5DBC34F2"/>
    <w:rsid w:val="65DA0E8F"/>
    <w:rsid w:val="69AB4CC7"/>
    <w:rsid w:val="70B03B0A"/>
    <w:rsid w:val="76CF4586"/>
    <w:rsid w:val="784071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0"/>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79"/>
    <w:qFormat/>
    <w:uiPriority w:val="99"/>
    <w:pPr>
      <w:keepNext/>
      <w:keepLines/>
      <w:spacing w:before="260" w:after="260" w:line="416" w:lineRule="auto"/>
      <w:outlineLvl w:val="1"/>
    </w:pPr>
    <w:rPr>
      <w:rFonts w:ascii="Calibri Light" w:hAnsi="Calibri Light"/>
      <w:b/>
      <w:bCs/>
      <w:sz w:val="32"/>
      <w:szCs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2">
    <w:name w:val="Default Paragraph Font"/>
    <w:qFormat/>
    <w:uiPriority w:val="1"/>
  </w:style>
  <w:style w:type="table" w:default="1" w:styleId="30">
    <w:name w:val="Normal Table"/>
    <w:qFormat/>
    <w:uiPriority w:val="99"/>
    <w:tblPr>
      <w:tblCellMar>
        <w:top w:w="0" w:type="dxa"/>
        <w:left w:w="108" w:type="dxa"/>
        <w:bottom w:w="0" w:type="dxa"/>
        <w:right w:w="108" w:type="dxa"/>
      </w:tblCellMar>
    </w:tblPr>
  </w:style>
  <w:style w:type="paragraph" w:customStyle="1" w:styleId="2">
    <w:name w:val="Body Text First Indent1"/>
    <w:basedOn w:val="3"/>
    <w:qFormat/>
    <w:uiPriority w:val="0"/>
    <w:pPr>
      <w:spacing w:after="0" w:line="500" w:lineRule="exact"/>
      <w:ind w:firstLine="420"/>
    </w:pPr>
    <w:rPr>
      <w:rFonts w:ascii="仿宋_GB2312" w:hAnsi="Times New Roman" w:eastAsia="仿宋_GB2312" w:cs="Times New Roman"/>
      <w:sz w:val="28"/>
    </w:rPr>
  </w:style>
  <w:style w:type="paragraph" w:styleId="3">
    <w:name w:val="Body Text"/>
    <w:basedOn w:val="1"/>
    <w:next w:val="4"/>
    <w:link w:val="43"/>
    <w:qFormat/>
    <w:uiPriority w:val="99"/>
    <w:pPr>
      <w:spacing w:line="360" w:lineRule="exact"/>
    </w:pPr>
    <w:rPr>
      <w:sz w:val="24"/>
    </w:rPr>
  </w:style>
  <w:style w:type="paragraph" w:styleId="4">
    <w:name w:val="Body Text First Indent"/>
    <w:basedOn w:val="3"/>
    <w:next w:val="3"/>
    <w:qFormat/>
    <w:uiPriority w:val="99"/>
    <w:pPr>
      <w:ind w:firstLine="420"/>
    </w:pPr>
    <w:rPr>
      <w:sz w:val="21"/>
    </w:rPr>
  </w:style>
  <w:style w:type="paragraph" w:styleId="9">
    <w:name w:val="List Number"/>
    <w:basedOn w:val="1"/>
    <w:qFormat/>
    <w:uiPriority w:val="99"/>
    <w:pPr>
      <w:numPr>
        <w:ilvl w:val="0"/>
        <w:numId w:val="1"/>
      </w:numPr>
    </w:pPr>
  </w:style>
  <w:style w:type="paragraph" w:styleId="10">
    <w:name w:val="Normal Indent"/>
    <w:basedOn w:val="1"/>
    <w:next w:val="1"/>
    <w:qFormat/>
    <w:uiPriority w:val="99"/>
    <w:pPr>
      <w:ind w:firstLine="420"/>
    </w:pPr>
    <w:rPr>
      <w:szCs w:val="20"/>
    </w:rPr>
  </w:style>
  <w:style w:type="paragraph" w:styleId="11">
    <w:name w:val="annotation text"/>
    <w:basedOn w:val="1"/>
    <w:link w:val="44"/>
    <w:qFormat/>
    <w:uiPriority w:val="99"/>
    <w:pPr>
      <w:jc w:val="left"/>
    </w:pPr>
  </w:style>
  <w:style w:type="paragraph" w:styleId="12">
    <w:name w:val="Body Text 3"/>
    <w:basedOn w:val="1"/>
    <w:qFormat/>
    <w:uiPriority w:val="0"/>
    <w:pPr>
      <w:spacing w:line="360" w:lineRule="auto"/>
      <w:jc w:val="center"/>
    </w:pPr>
    <w:rPr>
      <w:rFonts w:ascii="宋体" w:hAnsi="宋体" w:eastAsia="宋体"/>
      <w:bCs/>
      <w:iCs/>
      <w:sz w:val="21"/>
      <w:szCs w:val="28"/>
    </w:rPr>
  </w:style>
  <w:style w:type="paragraph" w:styleId="13">
    <w:name w:val="Body Text Indent"/>
    <w:basedOn w:val="1"/>
    <w:next w:val="1"/>
    <w:link w:val="45"/>
    <w:qFormat/>
    <w:uiPriority w:val="99"/>
    <w:pPr>
      <w:spacing w:after="120"/>
      <w:ind w:left="420" w:leftChars="200"/>
    </w:pPr>
  </w:style>
  <w:style w:type="paragraph" w:styleId="14">
    <w:name w:val="Block Text"/>
    <w:basedOn w:val="1"/>
    <w:qFormat/>
    <w:uiPriority w:val="99"/>
    <w:pPr>
      <w:adjustRightInd w:val="0"/>
      <w:spacing w:line="300" w:lineRule="auto"/>
      <w:ind w:left="958" w:right="-120" w:rightChars="-120"/>
      <w:jc w:val="left"/>
    </w:pPr>
    <w:rPr>
      <w:rFonts w:ascii="宋体" w:hAnsi="宋体"/>
      <w:sz w:val="28"/>
    </w:rPr>
  </w:style>
  <w:style w:type="paragraph" w:styleId="15">
    <w:name w:val="Plain Text"/>
    <w:basedOn w:val="1"/>
    <w:next w:val="16"/>
    <w:link w:val="46"/>
    <w:qFormat/>
    <w:uiPriority w:val="99"/>
    <w:rPr>
      <w:rFonts w:ascii="宋体" w:hAnsi="Courier New"/>
    </w:rPr>
  </w:style>
  <w:style w:type="paragraph" w:customStyle="1" w:styleId="16">
    <w:name w:val="_Style 4"/>
    <w:next w:val="1"/>
    <w:qFormat/>
    <w:uiPriority w:val="0"/>
    <w:pPr>
      <w:wordWrap w:val="0"/>
    </w:pPr>
    <w:rPr>
      <w:rFonts w:ascii="Times New Roman" w:hAnsi="Times New Roman" w:eastAsia="宋体" w:cs="Times New Roman"/>
      <w:sz w:val="32"/>
      <w:lang w:val="en-US" w:eastAsia="zh-CN" w:bidi="ar-SA"/>
    </w:rPr>
  </w:style>
  <w:style w:type="paragraph" w:styleId="17">
    <w:name w:val="toc 8"/>
    <w:basedOn w:val="1"/>
    <w:next w:val="1"/>
    <w:qFormat/>
    <w:uiPriority w:val="0"/>
    <w:pPr>
      <w:ind w:left="2940" w:leftChars="1400"/>
    </w:pPr>
    <w:rPr>
      <w:rFonts w:ascii="Calibri" w:hAnsi="Calibri"/>
      <w:szCs w:val="22"/>
    </w:rPr>
  </w:style>
  <w:style w:type="paragraph" w:styleId="18">
    <w:name w:val="Date"/>
    <w:basedOn w:val="1"/>
    <w:next w:val="1"/>
    <w:link w:val="47"/>
    <w:qFormat/>
    <w:uiPriority w:val="99"/>
    <w:pPr>
      <w:ind w:left="2500" w:leftChars="2500"/>
    </w:pPr>
    <w:rPr>
      <w:rFonts w:ascii="Calibri" w:hAnsi="Calibri" w:eastAsia="楷体_GB2312"/>
      <w:sz w:val="32"/>
      <w:szCs w:val="22"/>
    </w:rPr>
  </w:style>
  <w:style w:type="paragraph" w:styleId="19">
    <w:name w:val="Balloon Text"/>
    <w:basedOn w:val="1"/>
    <w:link w:val="48"/>
    <w:qFormat/>
    <w:uiPriority w:val="99"/>
    <w:rPr>
      <w:sz w:val="18"/>
      <w:szCs w:val="18"/>
    </w:rPr>
  </w:style>
  <w:style w:type="paragraph" w:styleId="20">
    <w:name w:val="footer"/>
    <w:basedOn w:val="1"/>
    <w:link w:val="49"/>
    <w:qFormat/>
    <w:uiPriority w:val="99"/>
    <w:pPr>
      <w:tabs>
        <w:tab w:val="center" w:pos="4153"/>
        <w:tab w:val="right" w:pos="8306"/>
      </w:tabs>
      <w:snapToGrid w:val="0"/>
      <w:jc w:val="left"/>
    </w:pPr>
    <w:rPr>
      <w:sz w:val="18"/>
    </w:rPr>
  </w:style>
  <w:style w:type="paragraph" w:styleId="21">
    <w:name w:val="header"/>
    <w:basedOn w:val="1"/>
    <w:link w:val="5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List"/>
    <w:basedOn w:val="1"/>
    <w:qFormat/>
    <w:uiPriority w:val="0"/>
    <w:pPr>
      <w:ind w:left="200" w:hanging="200" w:hangingChars="200"/>
    </w:pPr>
  </w:style>
  <w:style w:type="paragraph" w:styleId="23">
    <w:name w:val="footnote text"/>
    <w:basedOn w:val="1"/>
    <w:qFormat/>
    <w:uiPriority w:val="99"/>
    <w:pPr>
      <w:snapToGrid w:val="0"/>
      <w:jc w:val="left"/>
    </w:pPr>
    <w:rPr>
      <w:sz w:val="18"/>
    </w:rPr>
  </w:style>
  <w:style w:type="paragraph" w:styleId="24">
    <w:name w:val="toc 6"/>
    <w:basedOn w:val="1"/>
    <w:next w:val="1"/>
    <w:qFormat/>
    <w:uiPriority w:val="39"/>
    <w:pPr>
      <w:widowControl/>
      <w:ind w:left="1000"/>
      <w:jc w:val="left"/>
    </w:pPr>
    <w:rPr>
      <w:kern w:val="0"/>
      <w:sz w:val="18"/>
      <w:szCs w:val="20"/>
    </w:rPr>
  </w:style>
  <w:style w:type="paragraph" w:styleId="25">
    <w:name w:val="toc 2"/>
    <w:basedOn w:val="1"/>
    <w:next w:val="1"/>
    <w:qFormat/>
    <w:uiPriority w:val="99"/>
    <w:pPr>
      <w:ind w:left="420" w:leftChars="200"/>
    </w:pPr>
  </w:style>
  <w:style w:type="paragraph" w:styleId="26">
    <w:name w:val="Normal (Web)"/>
    <w:basedOn w:val="1"/>
    <w:qFormat/>
    <w:uiPriority w:val="99"/>
    <w:pPr>
      <w:widowControl/>
      <w:spacing w:before="100" w:beforeAutospacing="1" w:after="100" w:afterAutospacing="1"/>
      <w:jc w:val="left"/>
    </w:pPr>
    <w:rPr>
      <w:rFonts w:ascii="宋体" w:hAnsi="宋体"/>
      <w:kern w:val="0"/>
      <w:sz w:val="24"/>
    </w:rPr>
  </w:style>
  <w:style w:type="paragraph" w:styleId="27">
    <w:name w:val="Title"/>
    <w:basedOn w:val="1"/>
    <w:next w:val="1"/>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8">
    <w:name w:val="annotation subject"/>
    <w:basedOn w:val="11"/>
    <w:next w:val="11"/>
    <w:link w:val="51"/>
    <w:qFormat/>
    <w:uiPriority w:val="99"/>
    <w:rPr>
      <w:b/>
      <w:bCs/>
    </w:rPr>
  </w:style>
  <w:style w:type="paragraph" w:styleId="29">
    <w:name w:val="Body Text First Indent 2"/>
    <w:basedOn w:val="13"/>
    <w:qFormat/>
    <w:uiPriority w:val="0"/>
    <w:pPr>
      <w:ind w:firstLine="420"/>
    </w:p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Hyperlink"/>
    <w:qFormat/>
    <w:uiPriority w:val="0"/>
    <w:rPr>
      <w:color w:val="0000FF"/>
      <w:u w:val="single"/>
    </w:rPr>
  </w:style>
  <w:style w:type="character" w:styleId="35">
    <w:name w:val="annotation reference"/>
    <w:qFormat/>
    <w:uiPriority w:val="99"/>
    <w:rPr>
      <w:rFonts w:cs="Times New Roman"/>
      <w:sz w:val="21"/>
      <w:szCs w:val="21"/>
    </w:rPr>
  </w:style>
  <w:style w:type="character" w:styleId="36">
    <w:name w:val="footnote reference"/>
    <w:basedOn w:val="32"/>
    <w:qFormat/>
    <w:uiPriority w:val="99"/>
    <w:rPr>
      <w:vertAlign w:val="superscript"/>
    </w:rPr>
  </w:style>
  <w:style w:type="character" w:customStyle="1" w:styleId="37">
    <w:name w:val="NormalCharacter"/>
    <w:qFormat/>
    <w:uiPriority w:val="0"/>
    <w:rPr>
      <w:rFonts w:ascii="Times New Roman" w:hAnsi="Times New Roman" w:eastAsia="宋体" w:cs="Times New Roman"/>
      <w:kern w:val="2"/>
      <w:sz w:val="21"/>
      <w:szCs w:val="24"/>
      <w:lang w:val="en-US" w:eastAsia="zh-CN" w:bidi="ar-SA"/>
    </w:rPr>
  </w:style>
  <w:style w:type="paragraph" w:customStyle="1" w:styleId="38">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39">
    <w:name w:val="正文（首行缩进2字符）"/>
    <w:basedOn w:val="1"/>
    <w:qFormat/>
    <w:uiPriority w:val="0"/>
    <w:pPr>
      <w:spacing w:line="360" w:lineRule="auto"/>
      <w:ind w:firstLine="420" w:firstLineChars="200"/>
    </w:pPr>
    <w:rPr>
      <w:szCs w:val="21"/>
    </w:rPr>
  </w:style>
  <w:style w:type="character" w:customStyle="1" w:styleId="40">
    <w:name w:val="标题 1 字符"/>
    <w:link w:val="5"/>
    <w:qFormat/>
    <w:uiPriority w:val="99"/>
    <w:rPr>
      <w:rFonts w:ascii="Times New Roman" w:hAnsi="Times New Roman" w:cs="Times New Roman"/>
      <w:b/>
      <w:bCs/>
      <w:kern w:val="44"/>
      <w:sz w:val="44"/>
      <w:szCs w:val="44"/>
    </w:rPr>
  </w:style>
  <w:style w:type="character" w:customStyle="1" w:styleId="41">
    <w:name w:val="标题 2 字符"/>
    <w:link w:val="6"/>
    <w:qFormat/>
    <w:uiPriority w:val="99"/>
    <w:rPr>
      <w:rFonts w:ascii="Cambria" w:hAnsi="Cambria" w:eastAsia="宋体" w:cs="Times New Roman"/>
      <w:b/>
      <w:bCs/>
      <w:sz w:val="32"/>
      <w:szCs w:val="32"/>
    </w:rPr>
  </w:style>
  <w:style w:type="character" w:customStyle="1" w:styleId="42">
    <w:name w:val="标题 3 字符"/>
    <w:link w:val="7"/>
    <w:qFormat/>
    <w:uiPriority w:val="99"/>
    <w:rPr>
      <w:rFonts w:cs="Times New Roman"/>
      <w:b/>
      <w:bCs/>
      <w:sz w:val="32"/>
      <w:szCs w:val="32"/>
    </w:rPr>
  </w:style>
  <w:style w:type="character" w:customStyle="1" w:styleId="43">
    <w:name w:val="正文文本 字符"/>
    <w:link w:val="3"/>
    <w:qFormat/>
    <w:uiPriority w:val="99"/>
    <w:rPr>
      <w:rFonts w:cs="Times New Roman"/>
      <w:sz w:val="24"/>
      <w:szCs w:val="24"/>
    </w:rPr>
  </w:style>
  <w:style w:type="character" w:customStyle="1" w:styleId="44">
    <w:name w:val="批注文字 字符"/>
    <w:link w:val="11"/>
    <w:qFormat/>
    <w:uiPriority w:val="99"/>
    <w:rPr>
      <w:rFonts w:ascii="Times New Roman" w:hAnsi="Times New Roman" w:eastAsia="宋体" w:cs="Times New Roman"/>
      <w:kern w:val="2"/>
      <w:sz w:val="24"/>
      <w:szCs w:val="24"/>
    </w:rPr>
  </w:style>
  <w:style w:type="character" w:customStyle="1" w:styleId="45">
    <w:name w:val="正文文本缩进 字符"/>
    <w:link w:val="13"/>
    <w:qFormat/>
    <w:uiPriority w:val="99"/>
    <w:rPr>
      <w:rFonts w:cs="Times New Roman"/>
      <w:kern w:val="2"/>
      <w:sz w:val="24"/>
      <w:szCs w:val="24"/>
    </w:rPr>
  </w:style>
  <w:style w:type="character" w:customStyle="1" w:styleId="46">
    <w:name w:val="纯文本 字符"/>
    <w:link w:val="15"/>
    <w:qFormat/>
    <w:uiPriority w:val="99"/>
    <w:rPr>
      <w:rFonts w:ascii="宋体" w:hAnsi="Courier New" w:cs="Courier New"/>
      <w:sz w:val="21"/>
      <w:szCs w:val="21"/>
    </w:rPr>
  </w:style>
  <w:style w:type="character" w:customStyle="1" w:styleId="47">
    <w:name w:val="日期 字符"/>
    <w:link w:val="18"/>
    <w:qFormat/>
    <w:uiPriority w:val="99"/>
    <w:rPr>
      <w:rFonts w:cs="Times New Roman"/>
      <w:sz w:val="24"/>
      <w:szCs w:val="24"/>
    </w:rPr>
  </w:style>
  <w:style w:type="character" w:customStyle="1" w:styleId="48">
    <w:name w:val="批注框文本 字符"/>
    <w:link w:val="19"/>
    <w:qFormat/>
    <w:uiPriority w:val="99"/>
    <w:rPr>
      <w:rFonts w:ascii="Times New Roman" w:hAnsi="Times New Roman" w:eastAsia="宋体" w:cs="Times New Roman"/>
      <w:kern w:val="2"/>
      <w:sz w:val="18"/>
      <w:szCs w:val="18"/>
    </w:rPr>
  </w:style>
  <w:style w:type="character" w:customStyle="1" w:styleId="49">
    <w:name w:val="页脚 字符"/>
    <w:link w:val="20"/>
    <w:qFormat/>
    <w:uiPriority w:val="99"/>
    <w:rPr>
      <w:rFonts w:cs="Times New Roman"/>
      <w:sz w:val="18"/>
      <w:szCs w:val="18"/>
    </w:rPr>
  </w:style>
  <w:style w:type="character" w:customStyle="1" w:styleId="50">
    <w:name w:val="页眉 字符"/>
    <w:link w:val="21"/>
    <w:qFormat/>
    <w:uiPriority w:val="99"/>
    <w:rPr>
      <w:rFonts w:cs="Times New Roman"/>
      <w:sz w:val="18"/>
      <w:szCs w:val="18"/>
    </w:rPr>
  </w:style>
  <w:style w:type="character" w:customStyle="1" w:styleId="51">
    <w:name w:val="批注主题 字符"/>
    <w:link w:val="28"/>
    <w:qFormat/>
    <w:uiPriority w:val="99"/>
    <w:rPr>
      <w:rFonts w:ascii="Times New Roman" w:hAnsi="Times New Roman" w:eastAsia="宋体" w:cs="Times New Roman"/>
      <w:b/>
      <w:bCs/>
      <w:kern w:val="2"/>
      <w:sz w:val="24"/>
      <w:szCs w:val="24"/>
    </w:rPr>
  </w:style>
  <w:style w:type="paragraph" w:customStyle="1" w:styleId="52">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53">
    <w:name w:val="List Paragraph"/>
    <w:basedOn w:val="1"/>
    <w:qFormat/>
    <w:uiPriority w:val="99"/>
    <w:pPr>
      <w:ind w:firstLine="420" w:firstLineChars="200"/>
    </w:pPr>
    <w:rPr>
      <w:rFonts w:ascii="Calibri" w:hAnsi="Calibri"/>
      <w:szCs w:val="22"/>
    </w:rPr>
  </w:style>
  <w:style w:type="paragraph" w:customStyle="1" w:styleId="54">
    <w:name w:val="列出段落1"/>
    <w:basedOn w:val="1"/>
    <w:qFormat/>
    <w:uiPriority w:val="99"/>
    <w:pPr>
      <w:ind w:firstLine="420" w:firstLineChars="200"/>
    </w:pPr>
    <w:rPr>
      <w:rFonts w:ascii="Calibri" w:hAnsi="Calibri"/>
      <w:kern w:val="0"/>
      <w:szCs w:val="20"/>
    </w:rPr>
  </w:style>
  <w:style w:type="paragraph" w:customStyle="1" w:styleId="55">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7">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4"/>
    <w:qFormat/>
    <w:uiPriority w:val="99"/>
    <w:rPr>
      <w:rFonts w:ascii="Times New Roman" w:hAnsi="Times New Roman" w:eastAsia="宋体" w:cs="Times New Roman"/>
      <w:sz w:val="21"/>
      <w:szCs w:val="22"/>
      <w:lang w:val="en-US" w:eastAsia="zh-CN" w:bidi="ar-SA"/>
    </w:rPr>
  </w:style>
  <w:style w:type="paragraph" w:customStyle="1" w:styleId="59">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纯文本_3"/>
    <w:basedOn w:val="61"/>
    <w:qFormat/>
    <w:uiPriority w:val="99"/>
    <w:pPr>
      <w:widowControl/>
      <w:jc w:val="left"/>
    </w:pPr>
    <w:rPr>
      <w:rFonts w:ascii="宋体" w:hAnsi="Courier New"/>
      <w:szCs w:val="21"/>
    </w:rPr>
  </w:style>
  <w:style w:type="paragraph" w:customStyle="1" w:styleId="63">
    <w:name w:val="纯文本_0_1"/>
    <w:basedOn w:val="1"/>
    <w:qFormat/>
    <w:uiPriority w:val="99"/>
    <w:pPr>
      <w:widowControl/>
      <w:jc w:val="left"/>
    </w:pPr>
    <w:rPr>
      <w:rFonts w:ascii="宋体" w:hAnsi="Courier New"/>
      <w:szCs w:val="21"/>
    </w:rPr>
  </w:style>
  <w:style w:type="paragraph" w:customStyle="1" w:styleId="64">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8">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69">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70">
    <w:name w:val="font11"/>
    <w:qFormat/>
    <w:uiPriority w:val="0"/>
    <w:rPr>
      <w:rFonts w:hint="default" w:ascii="Times New Roman" w:hAnsi="Times New Roman" w:cs="Times New Roman"/>
      <w:color w:val="000000"/>
      <w:sz w:val="24"/>
      <w:szCs w:val="24"/>
      <w:u w:val="none"/>
    </w:rPr>
  </w:style>
  <w:style w:type="character" w:customStyle="1" w:styleId="71">
    <w:name w:val="font01"/>
    <w:qFormat/>
    <w:uiPriority w:val="0"/>
    <w:rPr>
      <w:rFonts w:hint="eastAsia" w:ascii="宋体" w:hAnsi="宋体" w:eastAsia="宋体" w:cs="宋体"/>
      <w:color w:val="000000"/>
      <w:sz w:val="24"/>
      <w:szCs w:val="24"/>
      <w:u w:val="none"/>
    </w:rPr>
  </w:style>
  <w:style w:type="character" w:customStyle="1" w:styleId="72">
    <w:name w:val="font31"/>
    <w:qFormat/>
    <w:uiPriority w:val="0"/>
    <w:rPr>
      <w:rFonts w:hint="eastAsia" w:ascii="宋体" w:hAnsi="宋体" w:eastAsia="宋体" w:cs="宋体"/>
      <w:color w:val="000000"/>
      <w:sz w:val="24"/>
      <w:szCs w:val="24"/>
      <w:u w:val="none"/>
    </w:rPr>
  </w:style>
  <w:style w:type="paragraph" w:customStyle="1" w:styleId="7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4">
    <w:name w:val="p18"/>
    <w:basedOn w:val="1"/>
    <w:qFormat/>
    <w:uiPriority w:val="99"/>
    <w:pPr>
      <w:widowControl/>
      <w:spacing w:line="748" w:lineRule="atLeast"/>
      <w:ind w:left="-527" w:firstLine="527"/>
    </w:pPr>
    <w:rPr>
      <w:rFonts w:ascii="宋体" w:hAnsi="宋体" w:cs="宋体"/>
      <w:kern w:val="0"/>
      <w:sz w:val="24"/>
    </w:rPr>
  </w:style>
  <w:style w:type="paragraph" w:customStyle="1" w:styleId="75">
    <w:name w:val="表格文字"/>
    <w:basedOn w:val="1"/>
    <w:next w:val="3"/>
    <w:qFormat/>
    <w:uiPriority w:val="99"/>
    <w:pPr>
      <w:adjustRightInd w:val="0"/>
      <w:spacing w:line="420" w:lineRule="atLeast"/>
      <w:jc w:val="left"/>
      <w:textAlignment w:val="baseline"/>
    </w:pPr>
    <w:rPr>
      <w:kern w:val="0"/>
    </w:rPr>
  </w:style>
  <w:style w:type="paragraph" w:customStyle="1" w:styleId="76">
    <w:name w:val="正文2"/>
    <w:basedOn w:val="1"/>
    <w:qFormat/>
    <w:uiPriority w:val="0"/>
    <w:pPr>
      <w:spacing w:before="156" w:line="360" w:lineRule="auto"/>
      <w:ind w:firstLine="510" w:firstLineChars="200"/>
    </w:pPr>
    <w:rPr>
      <w:rFonts w:ascii="Calibri" w:hAnsi="Calibri"/>
      <w:sz w:val="24"/>
      <w:szCs w:val="20"/>
    </w:rPr>
  </w:style>
  <w:style w:type="paragraph" w:customStyle="1" w:styleId="77">
    <w:name w:val="样式 标题 2 + Times New Roman 四号 非加粗 段前: 5 磅 段后: 0 磅 行距: 固定值 20..."/>
    <w:basedOn w:val="6"/>
    <w:qFormat/>
    <w:uiPriority w:val="0"/>
    <w:pPr>
      <w:keepNext/>
      <w:keepLines/>
      <w:numPr>
        <w:ilvl w:val="0"/>
        <w:numId w:val="0"/>
      </w:numPr>
      <w:spacing w:before="100" w:line="400" w:lineRule="exact"/>
      <w:jc w:val="both"/>
    </w:pPr>
    <w:rPr>
      <w:rFonts w:cs="宋体"/>
      <w:b w:val="0"/>
      <w:sz w:val="28"/>
      <w:szCs w:val="20"/>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79">
    <w:name w:val="标题 2 Char"/>
    <w:link w:val="6"/>
    <w:qFormat/>
    <w:uiPriority w:val="0"/>
    <w:rPr>
      <w:rFonts w:ascii="Arial" w:hAnsi="Arial" w:eastAsia="黑体"/>
      <w:b/>
      <w:bCs/>
      <w:sz w:val="32"/>
      <w:szCs w:val="32"/>
    </w:rPr>
  </w:style>
  <w:style w:type="paragraph" w:customStyle="1" w:styleId="80">
    <w:name w:val="城建正文"/>
    <w:basedOn w:val="1"/>
    <w:qFormat/>
    <w:uiPriority w:val="0"/>
    <w:pPr>
      <w:spacing w:line="500" w:lineRule="exact"/>
      <w:ind w:firstLine="200" w:firstLineChars="200"/>
    </w:pPr>
    <w:rPr>
      <w:kern w:val="0"/>
      <w:sz w:val="24"/>
    </w:rPr>
  </w:style>
  <w:style w:type="paragraph" w:customStyle="1" w:styleId="81">
    <w:name w:val="Body Text First Indent 21"/>
    <w:basedOn w:val="82"/>
    <w:qFormat/>
    <w:uiPriority w:val="0"/>
    <w:pPr>
      <w:autoSpaceDE w:val="0"/>
      <w:autoSpaceDN w:val="0"/>
      <w:adjustRightInd w:val="0"/>
      <w:ind w:firstLine="420"/>
      <w:textAlignment w:val="baseline"/>
    </w:pPr>
    <w:rPr>
      <w:rFonts w:ascii="宋体" w:cs="宋体"/>
      <w:kern w:val="0"/>
      <w:szCs w:val="21"/>
    </w:rPr>
  </w:style>
  <w:style w:type="paragraph" w:customStyle="1" w:styleId="82">
    <w:name w:val="Body Text Indent1"/>
    <w:basedOn w:val="1"/>
    <w:qFormat/>
    <w:uiPriority w:val="0"/>
    <w:pPr>
      <w:spacing w:after="120"/>
      <w:ind w:left="420" w:leftChars="200"/>
    </w:pPr>
  </w:style>
  <w:style w:type="paragraph" w:customStyle="1" w:styleId="83">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8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71</Pages>
  <Words>40862</Words>
  <Characters>43124</Characters>
  <Paragraphs>2040</Paragraphs>
  <TotalTime>37</TotalTime>
  <ScaleCrop>false</ScaleCrop>
  <LinksUpToDate>false</LinksUpToDate>
  <CharactersWithSpaces>47580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jin</cp:lastModifiedBy>
  <dcterms:modified xsi:type="dcterms:W3CDTF">2024-08-14T03:09:37Z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22D09F9199704173B83116184F0F27A9_13</vt:lpwstr>
  </property>
</Properties>
</file>