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auto"/>
          <w:kern w:val="0"/>
          <w:sz w:val="52"/>
          <w:szCs w:val="52"/>
          <w:highlight w:val="none"/>
        </w:rPr>
      </w:pPr>
    </w:p>
    <w:p>
      <w:pPr>
        <w:shd w:val="clear"/>
        <w:jc w:val="center"/>
        <w:rPr>
          <w:rFonts w:ascii="宋体" w:hAnsi="宋体" w:cs="宋体"/>
          <w:color w:val="auto"/>
          <w:sz w:val="36"/>
          <w:szCs w:val="36"/>
          <w:highlight w:val="none"/>
        </w:rPr>
      </w:pPr>
      <w:r>
        <w:rPr>
          <w:rFonts w:ascii="宋体" w:hAnsi="宋体" w:eastAsia="宋体" w:cs="宋体"/>
          <w:color w:val="auto"/>
          <w:kern w:val="2"/>
          <w:sz w:val="21"/>
          <w:szCs w:val="24"/>
          <w:highlight w:val="none"/>
          <w:lang w:val="en-US" w:eastAsia="zh-CN" w:bidi="ar-SA"/>
        </w:rPr>
        <w:drawing>
          <wp:anchor distT="0" distB="0" distL="0" distR="0" simplePos="0" relativeHeight="251659264" behindDoc="1" locked="0" layoutInCell="1" allowOverlap="1">
            <wp:simplePos x="0" y="0"/>
            <wp:positionH relativeFrom="page">
              <wp:posOffset>677545</wp:posOffset>
            </wp:positionH>
            <wp:positionV relativeFrom="page">
              <wp:posOffset>1565910</wp:posOffset>
            </wp:positionV>
            <wp:extent cx="2971800" cy="2091690"/>
            <wp:effectExtent l="0" t="0" r="0" b="3810"/>
            <wp:wrapNone/>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8" cstate="print">
                      <a:lum contrast="12000"/>
                    </a:blip>
                    <a:srcRect/>
                    <a:stretch>
                      <a:fillRect/>
                    </a:stretch>
                  </pic:blipFill>
                  <pic:spPr>
                    <a:xfrm>
                      <a:off x="0" y="0"/>
                      <a:ext cx="2971800" cy="2091690"/>
                    </a:xfrm>
                    <a:prstGeom prst="rect">
                      <a:avLst/>
                    </a:prstGeom>
                    <a:ln>
                      <a:noFill/>
                    </a:ln>
                  </pic:spPr>
                </pic:pic>
              </a:graphicData>
            </a:graphic>
          </wp:anchor>
        </w:drawing>
      </w:r>
    </w:p>
    <w:p>
      <w:pPr>
        <w:shd w:val="clear"/>
        <w:jc w:val="center"/>
        <w:rPr>
          <w:rFonts w:ascii="宋体" w:hAnsi="宋体" w:cs="宋体"/>
          <w:color w:val="auto"/>
          <w:sz w:val="52"/>
          <w:szCs w:val="52"/>
          <w:highlight w:val="none"/>
        </w:rPr>
      </w:pPr>
    </w:p>
    <w:p>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shd w:val="clear"/>
        <w:jc w:val="center"/>
        <w:rPr>
          <w:rFonts w:ascii="宋体" w:hAnsi="宋体" w:cs="宋体"/>
          <w:color w:val="auto"/>
          <w:sz w:val="36"/>
          <w:szCs w:val="36"/>
          <w:highlight w:val="none"/>
        </w:rPr>
      </w:pPr>
    </w:p>
    <w:p>
      <w:pPr>
        <w:shd w:val="clear"/>
        <w:jc w:val="center"/>
        <w:rPr>
          <w:rFonts w:ascii="宋体" w:hAnsi="宋体" w:cs="宋体"/>
          <w:b/>
          <w:color w:val="auto"/>
          <w:sz w:val="72"/>
          <w:szCs w:val="72"/>
          <w:highlight w:val="none"/>
        </w:rPr>
      </w:pPr>
    </w:p>
    <w:p>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政府采购电子竞争性磋商文件</w:t>
      </w:r>
    </w:p>
    <w:p>
      <w:pPr>
        <w:shd w:val="clear" w:color="auto"/>
        <w:spacing w:line="360" w:lineRule="auto"/>
        <w:jc w:val="center"/>
        <w:textAlignment w:val="bottom"/>
        <w:rPr>
          <w:rFonts w:ascii="宋体" w:hAnsi="宋体" w:cs="宋体"/>
          <w:color w:val="auto"/>
          <w:sz w:val="28"/>
          <w:szCs w:val="28"/>
          <w:highlight w:val="none"/>
        </w:rPr>
      </w:pPr>
    </w:p>
    <w:p>
      <w:pPr>
        <w:shd w:val="clear" w:color="auto"/>
        <w:spacing w:line="360" w:lineRule="auto"/>
        <w:jc w:val="center"/>
        <w:textAlignment w:val="bottom"/>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ZJWS2024-LQ130</w:t>
      </w:r>
    </w:p>
    <w:p>
      <w:pPr>
        <w:shd w:val="clear" w:color="auto"/>
        <w:tabs>
          <w:tab w:val="left" w:pos="1860"/>
        </w:tabs>
        <w:spacing w:line="360" w:lineRule="auto"/>
        <w:jc w:val="center"/>
        <w:textAlignment w:val="bottom"/>
        <w:rPr>
          <w:rFonts w:ascii="宋体" w:hAnsi="宋体" w:cs="宋体"/>
          <w:color w:val="auto"/>
          <w:kern w:val="0"/>
          <w:sz w:val="28"/>
          <w:highlight w:val="none"/>
        </w:rPr>
      </w:pPr>
    </w:p>
    <w:p>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食堂劳务外包服务项目</w:t>
      </w:r>
    </w:p>
    <w:p>
      <w:pPr>
        <w:shd w:val="clear"/>
        <w:autoSpaceDE w:val="0"/>
        <w:autoSpaceDN w:val="0"/>
        <w:adjustRightInd w:val="0"/>
        <w:spacing w:line="360" w:lineRule="auto"/>
        <w:jc w:val="center"/>
        <w:rPr>
          <w:rFonts w:ascii="宋体" w:hAnsi="宋体" w:cs="宋体"/>
          <w:color w:val="auto"/>
          <w:kern w:val="0"/>
          <w:sz w:val="28"/>
          <w:highlight w:val="none"/>
        </w:rPr>
      </w:pPr>
    </w:p>
    <w:p>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台州市路桥区人民法院</w:t>
      </w:r>
    </w:p>
    <w:p>
      <w:pPr>
        <w:shd w:val="clear"/>
        <w:autoSpaceDE w:val="0"/>
        <w:autoSpaceDN w:val="0"/>
        <w:adjustRightInd w:val="0"/>
        <w:spacing w:line="360" w:lineRule="auto"/>
        <w:jc w:val="center"/>
        <w:rPr>
          <w:rFonts w:ascii="宋体" w:hAnsi="宋体" w:cs="宋体"/>
          <w:color w:val="auto"/>
          <w:kern w:val="0"/>
          <w:sz w:val="28"/>
          <w:highlight w:val="none"/>
        </w:rPr>
      </w:pPr>
      <w:bookmarkStart w:id="3" w:name="_GoBack"/>
      <w:bookmarkEnd w:id="3"/>
    </w:p>
    <w:p>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采购代理机构：</w:t>
      </w:r>
      <w:r>
        <w:rPr>
          <w:rFonts w:hint="eastAsia" w:ascii="宋体" w:hAnsi="宋体" w:cs="宋体"/>
          <w:color w:val="auto"/>
          <w:kern w:val="0"/>
          <w:sz w:val="28"/>
          <w:highlight w:val="none"/>
          <w:lang w:eastAsia="zh-CN"/>
        </w:rPr>
        <w:t>浙江五石中正工程咨询有限公司</w:t>
      </w:r>
    </w:p>
    <w:p>
      <w:pPr>
        <w:shd w:val="clear"/>
        <w:autoSpaceDE w:val="0"/>
        <w:autoSpaceDN w:val="0"/>
        <w:adjustRightInd w:val="0"/>
        <w:spacing w:line="360" w:lineRule="auto"/>
        <w:jc w:val="center"/>
        <w:rPr>
          <w:rFonts w:hint="eastAsia" w:ascii="宋体" w:hAnsi="宋体" w:cs="宋体"/>
          <w:color w:val="auto"/>
          <w:kern w:val="0"/>
          <w:sz w:val="28"/>
          <w:highlight w:val="none"/>
        </w:rPr>
      </w:pPr>
    </w:p>
    <w:p>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二○二四年</w:t>
      </w:r>
      <w:r>
        <w:rPr>
          <w:rFonts w:hint="eastAsia" w:ascii="宋体" w:hAnsi="宋体" w:cs="宋体"/>
          <w:color w:val="auto"/>
          <w:kern w:val="0"/>
          <w:sz w:val="28"/>
          <w:highlight w:val="none"/>
          <w:lang w:val="en-US" w:eastAsia="zh-CN"/>
        </w:rPr>
        <w:t>八</w:t>
      </w:r>
      <w:r>
        <w:rPr>
          <w:rFonts w:hint="eastAsia" w:ascii="宋体" w:hAnsi="宋体" w:cs="宋体"/>
          <w:color w:val="auto"/>
          <w:kern w:val="0"/>
          <w:sz w:val="28"/>
          <w:highlight w:val="none"/>
          <w:lang w:eastAsia="zh-CN"/>
        </w:rPr>
        <w:t>月</w:t>
      </w: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一、竞争性磋商公告</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二、供应商须知</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三、评审办法及评审标准  </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四、项目需求</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五、政府采购合同主要条款指引       </w:t>
      </w:r>
    </w:p>
    <w:p>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六、响应文件格式附件</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27"/>
        <w:shd w:val="clear"/>
        <w:ind w:firstLine="720"/>
        <w:rPr>
          <w:color w:val="auto"/>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第一部分 竞争性磋商公告</w:t>
      </w:r>
    </w:p>
    <w:p>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根据《中华人民共和国政府采购法》及《浙江省政府向社会力量购买服务指导性目录（20</w:t>
      </w:r>
      <w:r>
        <w:rPr>
          <w:rFonts w:hint="eastAsia" w:ascii="宋体" w:hAnsi="宋体" w:cs="宋体"/>
          <w:b/>
          <w:bCs/>
          <w:color w:val="auto"/>
          <w:sz w:val="24"/>
          <w:szCs w:val="32"/>
          <w:highlight w:val="none"/>
          <w:lang w:val="en-US" w:eastAsia="zh-CN"/>
        </w:rPr>
        <w:t>24</w:t>
      </w:r>
      <w:r>
        <w:rPr>
          <w:rFonts w:hint="eastAsia" w:ascii="宋体" w:hAnsi="宋体" w:cs="宋体"/>
          <w:b/>
          <w:bCs/>
          <w:color w:val="auto"/>
          <w:sz w:val="24"/>
          <w:szCs w:val="32"/>
          <w:highlight w:val="none"/>
        </w:rPr>
        <w:t>年度）》第B1105条</w:t>
      </w:r>
      <w:r>
        <w:rPr>
          <w:rFonts w:hint="eastAsia" w:ascii="宋体" w:hAnsi="宋体" w:cs="宋体"/>
          <w:color w:val="auto"/>
          <w:sz w:val="24"/>
          <w:szCs w:val="32"/>
          <w:highlight w:val="none"/>
        </w:rPr>
        <w:t>，本项目为餐饮服务项目，采用竞争性磋商方式开展采购。</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u w:val="none"/>
        </w:rPr>
        <w:t>台州市路桥区人民法院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u w:val="none"/>
        </w:rPr>
        <w:t>食堂劳务外包服务项目</w:t>
      </w:r>
      <w:r>
        <w:rPr>
          <w:rFonts w:hint="eastAsia" w:ascii="宋体" w:hAnsi="宋体" w:cs="宋体"/>
          <w:color w:val="auto"/>
          <w:sz w:val="24"/>
          <w:szCs w:val="32"/>
          <w:highlight w:val="none"/>
        </w:rPr>
        <w:t>进行竞争性磋商采购，欢迎合格供应商前来磋商。</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ZJWS2024-LQ130</w:t>
      </w:r>
    </w:p>
    <w:p>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二、磋商内容：</w:t>
      </w:r>
    </w:p>
    <w:tbl>
      <w:tblPr>
        <w:tblStyle w:val="2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96"/>
        <w:gridCol w:w="1163"/>
        <w:gridCol w:w="637"/>
        <w:gridCol w:w="511"/>
        <w:gridCol w:w="1602"/>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序</w:t>
            </w:r>
            <w:r>
              <w:rPr>
                <w:rFonts w:hint="eastAsia" w:ascii="宋体" w:hAnsi="宋体"/>
                <w:b/>
                <w:color w:val="auto"/>
                <w:sz w:val="24"/>
                <w:szCs w:val="24"/>
                <w:highlight w:val="none"/>
              </w:rPr>
              <w:t>号</w:t>
            </w:r>
          </w:p>
        </w:tc>
        <w:tc>
          <w:tcPr>
            <w:tcW w:w="1696"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项目名称</w:t>
            </w:r>
          </w:p>
        </w:tc>
        <w:tc>
          <w:tcPr>
            <w:tcW w:w="1163"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cs="宋体"/>
                <w:b/>
                <w:color w:val="auto"/>
                <w:kern w:val="0"/>
                <w:sz w:val="24"/>
                <w:szCs w:val="24"/>
                <w:highlight w:val="none"/>
              </w:rPr>
              <w:t>简要技术要求</w:t>
            </w:r>
          </w:p>
        </w:tc>
        <w:tc>
          <w:tcPr>
            <w:tcW w:w="637"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511"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1602" w:type="dxa"/>
            <w:noWrap w:val="0"/>
            <w:vAlign w:val="center"/>
          </w:tcPr>
          <w:p>
            <w:pPr>
              <w:tabs>
                <w:tab w:val="left" w:pos="8280"/>
              </w:tabs>
              <w:autoSpaceDE w:val="0"/>
              <w:autoSpaceDN w:val="0"/>
              <w:adjustRightInd w:val="0"/>
              <w:ind w:right="25"/>
              <w:jc w:val="center"/>
              <w:rPr>
                <w:rFonts w:hint="eastAsia" w:ascii="宋体" w:hAnsi="宋体"/>
                <w:b/>
                <w:color w:val="auto"/>
                <w:sz w:val="24"/>
                <w:szCs w:val="24"/>
                <w:highlight w:val="none"/>
              </w:rPr>
            </w:pPr>
            <w:r>
              <w:rPr>
                <w:rFonts w:hint="eastAsia" w:ascii="宋体" w:hAnsi="宋体"/>
                <w:b/>
                <w:color w:val="auto"/>
                <w:sz w:val="24"/>
                <w:szCs w:val="24"/>
                <w:highlight w:val="none"/>
              </w:rPr>
              <w:t>预算</w:t>
            </w:r>
          </w:p>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（万元）</w:t>
            </w:r>
          </w:p>
        </w:tc>
        <w:tc>
          <w:tcPr>
            <w:tcW w:w="3160" w:type="dxa"/>
            <w:noWrap w:val="0"/>
            <w:vAlign w:val="center"/>
          </w:tcPr>
          <w:p>
            <w:pPr>
              <w:tabs>
                <w:tab w:val="left" w:pos="8280"/>
              </w:tabs>
              <w:autoSpaceDE w:val="0"/>
              <w:autoSpaceDN w:val="0"/>
              <w:adjustRightInd w:val="0"/>
              <w:ind w:right="25" w:firstLine="240"/>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pPr>
              <w:tabs>
                <w:tab w:val="left" w:pos="8280"/>
              </w:tabs>
              <w:autoSpaceDE w:val="0"/>
              <w:autoSpaceDN w:val="0"/>
              <w:adjustRightInd w:val="0"/>
              <w:ind w:right="25"/>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696" w:type="dxa"/>
            <w:noWrap w:val="0"/>
            <w:vAlign w:val="center"/>
          </w:tcPr>
          <w:p>
            <w:pPr>
              <w:tabs>
                <w:tab w:val="left" w:pos="8280"/>
              </w:tabs>
              <w:autoSpaceDE w:val="0"/>
              <w:autoSpaceDN w:val="0"/>
              <w:adjustRightInd w:val="0"/>
              <w:ind w:right="25"/>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食堂劳务外包服务项目</w:t>
            </w:r>
          </w:p>
        </w:tc>
        <w:tc>
          <w:tcPr>
            <w:tcW w:w="1163" w:type="dxa"/>
            <w:noWrap w:val="0"/>
            <w:vAlign w:val="center"/>
          </w:tcPr>
          <w:p>
            <w:pPr>
              <w:tabs>
                <w:tab w:val="left" w:pos="8280"/>
              </w:tabs>
              <w:autoSpaceDE w:val="0"/>
              <w:autoSpaceDN w:val="0"/>
              <w:adjustRightInd w:val="0"/>
              <w:ind w:right="25"/>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详见项目需求</w:t>
            </w:r>
          </w:p>
        </w:tc>
        <w:tc>
          <w:tcPr>
            <w:tcW w:w="637" w:type="dxa"/>
            <w:noWrap w:val="0"/>
            <w:vAlign w:val="center"/>
          </w:tcPr>
          <w:p>
            <w:pPr>
              <w:tabs>
                <w:tab w:val="left" w:pos="8280"/>
              </w:tabs>
              <w:autoSpaceDE w:val="0"/>
              <w:autoSpaceDN w:val="0"/>
              <w:adjustRightInd w:val="0"/>
              <w:ind w:right="25"/>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511" w:type="dxa"/>
            <w:noWrap w:val="0"/>
            <w:vAlign w:val="center"/>
          </w:tcPr>
          <w:p>
            <w:pPr>
              <w:widowControl/>
              <w:jc w:val="center"/>
              <w:rPr>
                <w:rFonts w:ascii="宋体" w:hAnsi="宋体"/>
                <w:color w:val="auto"/>
                <w:sz w:val="24"/>
                <w:szCs w:val="24"/>
                <w:highlight w:val="none"/>
              </w:rPr>
            </w:pPr>
            <w:r>
              <w:rPr>
                <w:rFonts w:hint="eastAsia" w:ascii="宋体" w:hAnsi="宋体"/>
                <w:color w:val="auto"/>
                <w:sz w:val="24"/>
                <w:szCs w:val="24"/>
                <w:highlight w:val="none"/>
                <w:lang w:val="en-US" w:eastAsia="zh-CN"/>
              </w:rPr>
              <w:t>项</w:t>
            </w:r>
          </w:p>
        </w:tc>
        <w:tc>
          <w:tcPr>
            <w:tcW w:w="1602" w:type="dxa"/>
            <w:noWrap w:val="0"/>
            <w:vAlign w:val="center"/>
          </w:tcPr>
          <w:p>
            <w:pPr>
              <w:tabs>
                <w:tab w:val="left" w:pos="8280"/>
              </w:tabs>
              <w:autoSpaceDE w:val="0"/>
              <w:autoSpaceDN w:val="0"/>
              <w:adjustRightInd w:val="0"/>
              <w:ind w:right="25"/>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134.2/两年</w:t>
            </w:r>
          </w:p>
        </w:tc>
        <w:tc>
          <w:tcPr>
            <w:tcW w:w="3160" w:type="dxa"/>
            <w:noWrap w:val="0"/>
            <w:vAlign w:val="center"/>
          </w:tcPr>
          <w:p>
            <w:pPr>
              <w:tabs>
                <w:tab w:val="left" w:pos="8280"/>
              </w:tabs>
              <w:autoSpaceDE w:val="0"/>
              <w:autoSpaceDN w:val="0"/>
              <w:adjustRightInd w:val="0"/>
              <w:ind w:right="25"/>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服务期限：两年。</w:t>
            </w:r>
            <w:r>
              <w:rPr>
                <w:rFonts w:hint="eastAsia" w:ascii="宋体" w:hAnsi="宋体" w:cs="宋体"/>
                <w:b/>
                <w:bCs/>
                <w:color w:val="auto"/>
                <w:sz w:val="24"/>
                <w:szCs w:val="24"/>
                <w:highlight w:val="none"/>
                <w:lang w:val="en-US" w:eastAsia="zh-CN"/>
              </w:rPr>
              <w:t>合同一年一签</w:t>
            </w:r>
            <w:r>
              <w:rPr>
                <w:rFonts w:hint="eastAsia" w:ascii="宋体" w:hAnsi="宋体" w:cs="宋体"/>
                <w:b w:val="0"/>
                <w:bCs w:val="0"/>
                <w:color w:val="auto"/>
                <w:sz w:val="24"/>
                <w:szCs w:val="24"/>
                <w:highlight w:val="none"/>
                <w:lang w:val="en-US" w:eastAsia="zh-CN"/>
              </w:rPr>
              <w:t>（</w:t>
            </w:r>
            <w:r>
              <w:rPr>
                <w:rFonts w:hint="default" w:cs="Times New Roman"/>
                <w:b w:val="0"/>
                <w:bCs w:val="0"/>
                <w:color w:val="auto"/>
                <w:sz w:val="24"/>
                <w:szCs w:val="24"/>
                <w:highlight w:val="none"/>
                <w:lang w:val="en-US" w:eastAsia="zh-CN"/>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r>
              <w:rPr>
                <w:rFonts w:hint="eastAsia" w:cs="Times New Roman"/>
                <w:b w:val="0"/>
                <w:bCs w:val="0"/>
                <w:color w:val="auto"/>
                <w:sz w:val="24"/>
                <w:szCs w:val="24"/>
                <w:highlight w:val="none"/>
                <w:lang w:val="en-US" w:eastAsia="zh-CN"/>
              </w:rPr>
              <w:t>）</w:t>
            </w:r>
          </w:p>
        </w:tc>
      </w:tr>
    </w:tbl>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三、合格磋商供应商的资格条件：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符合《中华人民共和国政府采购法》第二十二条及其他法律、行政法规规定的对投标主体的要求；</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2、落实政府采购政策需满足的资格要求</w:t>
      </w:r>
      <w:r>
        <w:rPr>
          <w:rFonts w:hint="eastAsia" w:ascii="宋体" w:hAnsi="宋体" w:eastAsia="宋体" w:cs="宋体"/>
          <w:color w:val="auto"/>
          <w:sz w:val="24"/>
          <w:highlight w:val="none"/>
        </w:rPr>
        <w:t>：本项目专门面向中小企业采购（须在资格证明文件里提供《中小企业声明函》）</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32"/>
          <w:highlight w:val="none"/>
          <w:lang w:val="en-US" w:eastAsia="zh-CN"/>
        </w:rPr>
        <w:t>3、本项目的特定资格要求：具有餐饮服务许可证或食品经营许可证，并能提供本项目服务的餐饮服务企业</w:t>
      </w:r>
    </w:p>
    <w:p>
      <w:pPr>
        <w:pStyle w:val="10"/>
        <w:ind w:firstLine="480" w:firstLineChars="200"/>
        <w:rPr>
          <w:rFonts w:hint="eastAsia" w:eastAsia="宋体"/>
          <w:color w:val="auto"/>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szCs w:val="32"/>
          <w:highlight w:val="none"/>
        </w:rPr>
        <w:t>本项目</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lang w:eastAsia="zh-CN"/>
        </w:rPr>
        <w:t>接受联合体投标</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四、磋商文件获取的时间、方式：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1、本项目磋商文件于“政府采购云平台”在线获取，不提供磋商文件纸质版。供应商获取磋商文件前应先完成“政府采购云平台”的账号注册。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2、获取时间：自本公告发布之日起至响应文件递交截止时间止（以供应商完成获取磋商文件申请后下载磋商文件的时间为准）。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lang w:eastAsia="zh-CN"/>
        </w:rPr>
        <w:t>https://zfcg.czt.zj.gov.cn/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hd w:val="clear"/>
        <w:spacing w:line="360" w:lineRule="auto"/>
        <w:ind w:firstLine="480" w:firstLineChars="200"/>
        <w:rPr>
          <w:color w:val="auto"/>
          <w:highlight w:val="none"/>
        </w:rPr>
      </w:pPr>
      <w:r>
        <w:rPr>
          <w:rFonts w:hint="eastAsia" w:ascii="宋体" w:hAnsi="宋体" w:eastAsia="宋体" w:cs="宋体"/>
          <w:color w:val="auto"/>
          <w:sz w:val="24"/>
          <w:szCs w:val="32"/>
          <w:highlight w:val="none"/>
          <w:lang w:val="en-US" w:eastAsia="zh-CN"/>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供应商应按照本项目采购文件和政采云平台的要求编制、加密并递交响应文件。供应商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eastAsia="zh-CN"/>
        </w:rPr>
        <w:t>95763</w:t>
      </w:r>
      <w:r>
        <w:rPr>
          <w:rFonts w:hint="eastAsia" w:ascii="宋体" w:hAnsi="宋体" w:cs="宋体"/>
          <w:color w:val="auto"/>
          <w:kern w:val="0"/>
          <w:sz w:val="24"/>
          <w:highlight w:val="none"/>
          <w:u w:val="single"/>
        </w:rPr>
        <w:t>。</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sz w:val="24"/>
          <w:szCs w:val="24"/>
          <w:highlight w:val="none"/>
          <w:u w:val="single"/>
        </w:rPr>
        <w:t>https://zfcg.czt.zj.gov.cn/luban/detail?parentId=600030&amp;articleId=ZoGATzO%2FwUdM7eXAIXLAyg%3D%3D&amp;utm=luban.luban-PC-37000.979-pc-websitegroup-zhejiang-secondPage-front.1.58e482b00f1311eea8dfcb72d7241801</w:t>
      </w:r>
      <w:r>
        <w:rPr>
          <w:rFonts w:hint="eastAsia" w:ascii="宋体" w:hAnsi="宋体" w:cs="宋体"/>
          <w:color w:val="auto"/>
          <w:kern w:val="0"/>
          <w:sz w:val="24"/>
          <w:highlight w:val="none"/>
          <w:u w:val="single"/>
        </w:rPr>
        <w:t>）。</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3.供应商应在开标前完成CA数字证书办理。（办理流程详见</w:t>
      </w:r>
      <w:r>
        <w:rPr>
          <w:rFonts w:hint="eastAsia" w:ascii="宋体" w:hAnsi="宋体" w:eastAsia="宋体" w:cs="宋体"/>
          <w:color w:val="auto"/>
          <w:sz w:val="24"/>
          <w:szCs w:val="24"/>
          <w:highlight w:val="none"/>
          <w:u w:val="single"/>
        </w:rPr>
        <w:t>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single"/>
        </w:rPr>
        <w:t>）</w:t>
      </w:r>
    </w:p>
    <w:p>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在开标后规定的投标有效期内，供应商不能撤销响应文件。</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5.响应文件的组成、份数、密封、效力</w:t>
      </w:r>
    </w:p>
    <w:p>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本项目实行电子投标，供应商应准备电子响应文件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以介质（U盘）存储的数据电文形式、纸质备份响应文件</w:t>
      </w:r>
      <w:r>
        <w:rPr>
          <w:rFonts w:hint="eastAsia" w:ascii="宋体" w:hAnsi="宋体" w:cs="宋体"/>
          <w:color w:val="auto"/>
          <w:sz w:val="24"/>
          <w:highlight w:val="none"/>
          <w:lang w:eastAsia="zh-CN"/>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5.1电子响应文件，按政采云平台项目采购--电子招投标操作指南及本采购文件要求编制。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0" w:name="_Hlk34638143"/>
      <w:r>
        <w:rPr>
          <w:rFonts w:hint="eastAsia" w:ascii="宋体" w:hAnsi="宋体" w:cs="宋体"/>
          <w:color w:val="auto"/>
          <w:sz w:val="24"/>
          <w:highlight w:val="none"/>
        </w:rPr>
        <w:t>纸质</w:t>
      </w:r>
      <w:bookmarkEnd w:id="0"/>
      <w:r>
        <w:rPr>
          <w:rFonts w:hint="eastAsia" w:ascii="宋体" w:hAnsi="宋体" w:cs="宋体"/>
          <w:color w:val="auto"/>
          <w:sz w:val="24"/>
          <w:highlight w:val="none"/>
        </w:rPr>
        <w:t>备份响应文件以纸质文件的形式编制，</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u w:val="none"/>
        </w:rPr>
      </w:pPr>
      <w:bookmarkStart w:id="1" w:name="_Hlk34639647"/>
      <w:r>
        <w:rPr>
          <w:rFonts w:hint="eastAsia" w:ascii="宋体" w:hAnsi="宋体" w:cs="宋体"/>
          <w:color w:val="auto"/>
          <w:sz w:val="24"/>
          <w:highlight w:val="none"/>
        </w:rPr>
        <w:t>5.3</w:t>
      </w:r>
      <w:r>
        <w:rPr>
          <w:rFonts w:hint="eastAsia" w:ascii="宋体" w:hAnsi="宋体" w:cs="宋体"/>
          <w:color w:val="auto"/>
          <w:sz w:val="24"/>
          <w:highlight w:val="none"/>
          <w:u w:val="none"/>
        </w:rPr>
        <w:t>磋商供应商在“政府采购云平台”完成“电子加密响应文件”的上传递交后，还可以在投标截止时间前递交以介质（U盘）存储的数据电文形式和纸质形式的“备份响应文件”，“备份响应文件”应当密封包装并在包装上标注投标项目名称、供应商名称并加盖公章。以介质（U盘）存储的数据电文形式和纸质形式的“备份响应文件”需分别密封，可采用以下两种方式其中一种送达（逾期送达或未密封将被拒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p>
    <w:bookmarkEnd w:id="1"/>
    <w:p>
      <w:pPr>
        <w:shd w:val="clear"/>
        <w:spacing w:line="360" w:lineRule="auto"/>
        <w:ind w:firstLine="480" w:firstLineChars="200"/>
        <w:rPr>
          <w:rFonts w:ascii="宋体" w:hAnsi="宋体" w:cs="宋体"/>
          <w:color w:val="auto"/>
          <w:sz w:val="24"/>
          <w:highlight w:val="none"/>
          <w:u w:val="none"/>
        </w:rPr>
      </w:pPr>
      <w:bookmarkStart w:id="2" w:name="_Hlk34638256"/>
      <w:r>
        <w:rPr>
          <w:rFonts w:hint="eastAsia" w:ascii="宋体" w:hAnsi="宋体" w:cs="宋体"/>
          <w:color w:val="auto"/>
          <w:sz w:val="24"/>
          <w:highlight w:val="none"/>
          <w:u w:val="none"/>
        </w:rPr>
        <w:t>5.5响应文件启用顺序和效力：</w:t>
      </w:r>
      <w:bookmarkEnd w:id="2"/>
      <w:r>
        <w:rPr>
          <w:rFonts w:hint="eastAsia" w:ascii="宋体" w:hAnsi="宋体" w:cs="宋体"/>
          <w:color w:val="auto"/>
          <w:sz w:val="24"/>
          <w:highlight w:val="none"/>
          <w:u w:val="none"/>
        </w:rPr>
        <w:t>磋商响应文件的启用，按先后顺位分别为电子磋商响应文件、以介质（U盘）存储的数据电文形式的备份磋商响应文件。通过“政府采购云平台”上传递交的磋商响应文件已按时解密的，备份磋商响应文件自动失效。</w:t>
      </w:r>
    </w:p>
    <w:p>
      <w:pPr>
        <w:shd w:val="clea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5.6▲未传输递交电子响应文件的，投标无效。</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2024年08月19日下午14:30</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rPr>
        <w:t>投标及开标地址</w:t>
      </w:r>
      <w:r>
        <w:rPr>
          <w:rFonts w:hint="eastAsia" w:ascii="宋体" w:hAnsi="宋体" w:cs="宋体"/>
          <w:b/>
          <w:bCs/>
          <w:color w:val="auto"/>
          <w:sz w:val="24"/>
          <w:szCs w:val="32"/>
          <w:highlight w:val="none"/>
        </w:rPr>
        <w:t>：</w:t>
      </w:r>
      <w:r>
        <w:rPr>
          <w:rFonts w:hint="eastAsia" w:ascii="宋体" w:hAnsi="宋体" w:cs="宋体"/>
          <w:color w:val="auto"/>
          <w:sz w:val="24"/>
          <w:szCs w:val="32"/>
          <w:highlight w:val="none"/>
          <w:lang w:eastAsia="zh-CN"/>
        </w:rPr>
        <w:t>“政府采购云平台”线上开标</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lang w:eastAsia="zh-CN"/>
        </w:rPr>
        <w:t>台州市路桥区财富大道999号区政府商城办公区（商城国际）五楼政府采购中心开标室（二）</w:t>
      </w:r>
      <w:r>
        <w:rPr>
          <w:rFonts w:hint="eastAsia" w:ascii="宋体" w:hAnsi="宋体" w:cs="宋体"/>
          <w:color w:val="auto"/>
          <w:sz w:val="24"/>
          <w:szCs w:val="32"/>
          <w:highlight w:val="none"/>
        </w:rPr>
        <w:t>。</w:t>
      </w:r>
    </w:p>
    <w:p>
      <w:pPr>
        <w:shd w:val="clear"/>
        <w:spacing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供应商如对采购文件有异议应按规定的时间提出，且应当在采购响应截止时间之前，逾期提出的，采购组织机构可不予受理、答复。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4）信用信息的使用规则：供应商存在不良信用记录的，其投标将被作为无效投标被拒绝。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4.开标时间后30分钟内，供应商须登录“政采云”平台，用“项目采购-开标评标”功能解密响应文件，供应商未按时解密或解密失败的，其上传的电子响应文件自动失效。电脑及CA解密设备自备。</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w:t>
      </w:r>
      <w:r>
        <w:rPr>
          <w:rFonts w:hint="eastAsia" w:ascii="宋体" w:hAnsi="宋体" w:cs="宋体"/>
          <w:color w:val="auto"/>
          <w:sz w:val="24"/>
          <w:szCs w:val="32"/>
          <w:highlight w:val="none"/>
          <w:lang w:val="en-US" w:eastAsia="zh-CN"/>
        </w:rPr>
        <w:t>名峰</w:t>
      </w:r>
      <w:r>
        <w:rPr>
          <w:rFonts w:hint="eastAsia" w:ascii="宋体" w:hAnsi="宋体" w:cs="宋体"/>
          <w:color w:val="auto"/>
          <w:sz w:val="24"/>
          <w:szCs w:val="24"/>
          <w:highlight w:val="none"/>
          <w:lang w:eastAsia="zh-CN"/>
        </w:rPr>
        <w:t>、</w:t>
      </w:r>
      <w:r>
        <w:rPr>
          <w:rFonts w:hint="eastAsia" w:ascii="宋体" w:hAnsi="宋体" w:eastAsia="宋体" w:cs="宋体"/>
          <w:b w:val="0"/>
          <w:bCs w:val="0"/>
          <w:i w:val="0"/>
          <w:iCs w:val="0"/>
          <w:caps w:val="0"/>
          <w:color w:val="auto"/>
          <w:spacing w:val="0"/>
          <w:sz w:val="24"/>
          <w:szCs w:val="24"/>
          <w:highlight w:val="none"/>
          <w:shd w:val="clear" w:color="auto" w:fill="FFFFFF"/>
        </w:rPr>
        <w:t>石晓林、高琳</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15088711407</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徐少媚</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eastAsia="zh-CN"/>
        </w:rPr>
        <w:t>0576-</w:t>
      </w:r>
      <w:r>
        <w:rPr>
          <w:rFonts w:hint="eastAsia" w:ascii="宋体" w:hAnsi="宋体" w:cs="宋体"/>
          <w:color w:val="auto"/>
          <w:sz w:val="24"/>
          <w:szCs w:val="32"/>
          <w:highlight w:val="none"/>
          <w:lang w:val="en-US" w:eastAsia="zh-CN"/>
        </w:rPr>
        <w:t>88785265</w:t>
      </w:r>
      <w:r>
        <w:rPr>
          <w:rFonts w:hint="eastAsia" w:ascii="宋体" w:hAnsi="宋体" w:cs="宋体"/>
          <w:color w:val="auto"/>
          <w:sz w:val="24"/>
          <w:szCs w:val="32"/>
          <w:highlight w:val="none"/>
        </w:rPr>
        <w:t>；传真：0571-85342190；</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采购单位：台州市路桥区人民法院；</w:t>
      </w:r>
    </w:p>
    <w:p>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联系人：潘女士；联系电话：0576-82510239；</w:t>
      </w:r>
    </w:p>
    <w:p>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质疑联系人：王女士；联系电话：0576-82510599；</w:t>
      </w:r>
    </w:p>
    <w:p>
      <w:pPr>
        <w:shd w:val="clea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地址：台州市路桥区腾达路969号。</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lang w:val="en-US" w:eastAsia="zh-CN"/>
        </w:rPr>
        <w:t>2</w:t>
      </w:r>
      <w:r>
        <w:rPr>
          <w:rFonts w:hint="eastAsia" w:ascii="宋体" w:hAnsi="宋体" w:cs="宋体"/>
          <w:b/>
          <w:bCs/>
          <w:color w:val="auto"/>
          <w:sz w:val="24"/>
          <w:szCs w:val="32"/>
          <w:highlight w:val="none"/>
        </w:rPr>
        <w:t>、同级政府采购监管管理部门：</w:t>
      </w:r>
      <w:r>
        <w:rPr>
          <w:rFonts w:hint="eastAsia" w:ascii="宋体" w:hAnsi="宋体" w:cs="宋体"/>
          <w:color w:val="auto"/>
          <w:sz w:val="24"/>
          <w:szCs w:val="32"/>
          <w:highlight w:val="none"/>
        </w:rPr>
        <w:t>台州市路桥区财政局监督绩效管理与采购监管科；</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联系人：吴女士；监督投诉电话：0576-82517851；</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地址：台州市路桥区西路桥大道58号。</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3</w:t>
      </w:r>
      <w:r>
        <w:rPr>
          <w:rFonts w:hint="eastAsia" w:ascii="宋体" w:hAnsi="宋体" w:cs="宋体"/>
          <w:b/>
          <w:bCs/>
          <w:color w:val="auto"/>
          <w:sz w:val="24"/>
          <w:szCs w:val="32"/>
          <w:highlight w:val="none"/>
        </w:rPr>
        <w:t>、银行（中标项目贷款咨询）</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中标人可根据项目情况及自身需求向以下银行申请企业贷款，利率从优。</w:t>
      </w:r>
    </w:p>
    <w:tbl>
      <w:tblPr>
        <w:tblStyle w:val="28"/>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2"/>
        <w:gridCol w:w="5346"/>
        <w:gridCol w:w="1663"/>
        <w:gridCol w:w="900"/>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序号</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银 行 名 称</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政采贷年利率</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联系人</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中国建设银行股份有限公司台州路桥支行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4.80%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徐剑鸿</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中国工商银行股份有限公司台州路桥支行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3.8%起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倪  昊</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中国农业银行股份有限公司台州路桥支行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3.85%起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丁道兵</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中国银行股份有限公司台州市路桥区支行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车  斌</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台州银行股份有限公司</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7.08%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黄红芹</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浙江泰隆商业银行股份有限公司</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7.08%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冯观凤</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中国邮政储蓄银行股份有限公司台州市路桥区支行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4.35%起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沈丹华</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交通银行股份有限公司台州路桥支行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3.80%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刘鲁浙</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兴业银行股份有限公司台州路桥支行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4%起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蒋  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中信银行股份有限公司台州路桥支行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4.15%起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曹筱婕</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浙商银行股份有限公司台州路桥小微企业专营支行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6.75%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庄道勇</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广发银行股份有限公司台州路桥小微企业专营支行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5.65%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林  春</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平安银行股份有限公司台州路桥小微企业专营支行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李俊丽</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宁波银行股份有限公司台州路桥小微企业专营支行</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5%-6%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李诚杰</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5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浙江台州路桥富民村镇银行股份有限公司</w:t>
            </w:r>
          </w:p>
        </w:tc>
        <w:tc>
          <w:tcPr>
            <w:tcW w:w="1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7.80%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金根灵</w:t>
            </w:r>
          </w:p>
        </w:tc>
        <w:tc>
          <w:tcPr>
            <w:tcW w:w="1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13157608788</w:t>
            </w:r>
          </w:p>
        </w:tc>
      </w:tr>
    </w:tbl>
    <w:p>
      <w:pPr>
        <w:widowControl/>
        <w:shd w:val="clear"/>
        <w:jc w:val="right"/>
        <w:textAlignment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 xml:space="preserve"> </w:t>
      </w:r>
    </w:p>
    <w:p>
      <w:pPr>
        <w:widowControl/>
        <w:shd w:val="clear"/>
        <w:jc w:val="right"/>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浙江五石中正工程咨询有限公司</w:t>
      </w:r>
    </w:p>
    <w:p>
      <w:pPr>
        <w:shd w:val="clear"/>
        <w:rPr>
          <w:rFonts w:ascii="宋体" w:hAnsi="宋体" w:cs="宋体"/>
          <w:b/>
          <w:bCs/>
          <w:color w:val="auto"/>
          <w:sz w:val="36"/>
          <w:szCs w:val="4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2024年8月</w:t>
      </w:r>
    </w:p>
    <w:p>
      <w:pPr>
        <w:shd w:val="clear"/>
        <w:spacing w:line="360" w:lineRule="auto"/>
        <w:jc w:val="both"/>
        <w:rPr>
          <w:rFonts w:ascii="宋体" w:hAnsi="宋体" w:cs="宋体"/>
          <w:b/>
          <w:bCs/>
          <w:color w:val="auto"/>
          <w:sz w:val="36"/>
          <w:szCs w:val="44"/>
          <w:highlight w:val="none"/>
        </w:rPr>
      </w:pPr>
      <w:r>
        <w:rPr>
          <w:rFonts w:hint="eastAsia" w:ascii="宋体" w:hAnsi="宋体" w:cs="宋体"/>
          <w:b/>
          <w:bCs/>
          <w:color w:val="auto"/>
          <w:sz w:val="36"/>
          <w:szCs w:val="44"/>
          <w:highlight w:val="none"/>
        </w:rPr>
        <w:br w:type="page"/>
      </w:r>
      <w:r>
        <w:rPr>
          <w:rFonts w:hint="eastAsia" w:ascii="宋体" w:hAnsi="宋体" w:cs="宋体"/>
          <w:b/>
          <w:bCs/>
          <w:color w:val="auto"/>
          <w:sz w:val="36"/>
          <w:szCs w:val="44"/>
          <w:highlight w:val="none"/>
          <w:lang w:val="en-US" w:eastAsia="zh-CN"/>
        </w:rPr>
        <w:t xml:space="preserve">             </w:t>
      </w:r>
      <w:r>
        <w:rPr>
          <w:rFonts w:hint="eastAsia" w:ascii="宋体" w:hAnsi="宋体" w:cs="宋体"/>
          <w:b/>
          <w:bCs/>
          <w:color w:val="auto"/>
          <w:sz w:val="36"/>
          <w:szCs w:val="44"/>
          <w:highlight w:val="none"/>
        </w:rPr>
        <w:t>第二部分 供应商须知</w:t>
      </w:r>
    </w:p>
    <w:p>
      <w:pPr>
        <w:shd w:val="clea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30"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7212"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153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7212"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153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7212"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各磋商供应商自行前往勘察现场和周围环境，所产生的费用由磋商供应商自理。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1530" w:type="dxa"/>
            <w:vAlign w:val="center"/>
          </w:tcPr>
          <w:p>
            <w:pPr>
              <w:shd w:val="clear"/>
              <w:jc w:val="center"/>
              <w:rPr>
                <w:rFonts w:ascii="宋体" w:hAnsi="宋体" w:cs="宋体"/>
                <w:color w:val="auto"/>
                <w:kern w:val="0"/>
                <w:sz w:val="24"/>
                <w:highlight w:val="none"/>
              </w:rPr>
            </w:pPr>
            <w:r>
              <w:rPr>
                <w:rFonts w:hint="eastAsia" w:ascii="宋体" w:hAnsi="宋体" w:cs="宋体"/>
                <w:color w:val="auto"/>
                <w:sz w:val="24"/>
                <w:highlight w:val="none"/>
              </w:rPr>
              <w:t>磋商响应文件有效期</w:t>
            </w:r>
          </w:p>
        </w:tc>
        <w:tc>
          <w:tcPr>
            <w:tcW w:w="7212"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磋商响应有效期为磋商后90天，磋商响应有效期从提交磋商响应文件的截止之日起算。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jc w:val="center"/>
        </w:trPr>
        <w:tc>
          <w:tcPr>
            <w:tcW w:w="7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153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磋商响应文件递交</w:t>
            </w:r>
          </w:p>
        </w:tc>
        <w:tc>
          <w:tcPr>
            <w:tcW w:w="7212" w:type="dxa"/>
            <w:vAlign w:val="center"/>
          </w:tcPr>
          <w:p>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本项目实行电子投标，供应商应准备电子响应文件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以介质存储的数据电文形式的备份响应文件、纸质备份响应文件</w:t>
            </w:r>
            <w:r>
              <w:rPr>
                <w:rFonts w:hint="eastAsia" w:ascii="宋体" w:hAnsi="宋体" w:cs="宋体"/>
                <w:color w:val="auto"/>
                <w:sz w:val="24"/>
                <w:highlight w:val="none"/>
                <w:lang w:eastAsia="zh-CN"/>
              </w:rPr>
              <w:t>。</w:t>
            </w:r>
          </w:p>
          <w:p>
            <w:pPr>
              <w:shd w:val="clear"/>
              <w:rPr>
                <w:rFonts w:ascii="宋体" w:hAnsi="宋体" w:cs="宋体"/>
                <w:color w:val="auto"/>
                <w:sz w:val="24"/>
                <w:highlight w:val="none"/>
              </w:rPr>
            </w:pPr>
            <w:r>
              <w:rPr>
                <w:rFonts w:hint="eastAsia" w:ascii="宋体" w:hAnsi="宋体" w:cs="宋体"/>
                <w:color w:val="auto"/>
                <w:sz w:val="24"/>
                <w:highlight w:val="none"/>
              </w:rPr>
              <w:t>1.电子响应文件，按政采云平台项目采购--电子招投标操作指南及本采购文件要求编制、递交。</w:t>
            </w:r>
          </w:p>
          <w:p>
            <w:pPr>
              <w:shd w:val="clear"/>
              <w:rPr>
                <w:rFonts w:ascii="宋体" w:hAnsi="宋体" w:cs="宋体"/>
                <w:b w:val="0"/>
                <w:bCs w:val="0"/>
                <w:color w:val="auto"/>
                <w:sz w:val="24"/>
                <w:highlight w:val="none"/>
              </w:rPr>
            </w:pPr>
            <w:r>
              <w:rPr>
                <w:rFonts w:hint="eastAsia" w:ascii="宋体" w:hAnsi="宋体" w:cs="宋体"/>
                <w:color w:val="auto"/>
                <w:sz w:val="24"/>
                <w:highlight w:val="none"/>
              </w:rPr>
              <w:t>2.以介质存储的数据电文形式的备份响应文件，按政采云平台项目采购-电子招投标操作指南中上传的电子响应文件格式，以U盘形式提供。数量为1份。</w:t>
            </w:r>
          </w:p>
          <w:p>
            <w:pPr>
              <w:shd w:val="clear"/>
              <w:rPr>
                <w:rFonts w:ascii="宋体" w:hAnsi="宋体" w:cs="宋体"/>
                <w:b w:val="0"/>
                <w:bCs w:val="0"/>
                <w:color w:val="auto"/>
                <w:sz w:val="24"/>
                <w:highlight w:val="none"/>
              </w:rPr>
            </w:pPr>
            <w:r>
              <w:rPr>
                <w:rFonts w:hint="eastAsia" w:ascii="宋体" w:hAnsi="宋体" w:cs="宋体"/>
                <w:b w:val="0"/>
                <w:bCs w:val="0"/>
                <w:color w:val="auto"/>
                <w:sz w:val="24"/>
                <w:highlight w:val="none"/>
              </w:rPr>
              <w:t>3.纸质备份响应文件以纸质文件的形式编制，数量均为2份（正本一份，副本一份）。</w:t>
            </w:r>
          </w:p>
          <w:p>
            <w:pPr>
              <w:shd w:val="clear"/>
              <w:rPr>
                <w:rFonts w:ascii="宋体" w:hAnsi="宋体" w:cs="宋体"/>
                <w:color w:val="auto"/>
                <w:sz w:val="24"/>
                <w:highlight w:val="none"/>
              </w:rPr>
            </w:pPr>
            <w:r>
              <w:rPr>
                <w:rFonts w:hint="eastAsia" w:ascii="宋体" w:hAnsi="宋体" w:cs="宋体"/>
                <w:color w:val="auto"/>
                <w:sz w:val="24"/>
                <w:highlight w:val="none"/>
              </w:rPr>
              <w:t>4.响应文件启用顺序和效力：</w:t>
            </w:r>
            <w:r>
              <w:rPr>
                <w:rFonts w:hint="eastAsia" w:ascii="宋体" w:hAnsi="宋体" w:cs="宋体"/>
                <w:color w:val="auto"/>
                <w:sz w:val="24"/>
                <w:highlight w:val="none"/>
              </w:rPr>
              <w:t>磋商响应文件</w:t>
            </w:r>
            <w:r>
              <w:rPr>
                <w:rFonts w:hint="eastAsia" w:ascii="宋体" w:hAnsi="宋体" w:eastAsia="宋体" w:cs="宋体"/>
                <w:color w:val="auto"/>
                <w:sz w:val="24"/>
                <w:szCs w:val="24"/>
                <w:highlight w:val="none"/>
                <w:lang w:val="en-US" w:eastAsia="zh-CN"/>
              </w:rPr>
              <w:t>的启用，按先后顺位分别为电子</w:t>
            </w:r>
            <w:r>
              <w:rPr>
                <w:rFonts w:hint="eastAsia" w:ascii="宋体" w:hAnsi="宋体" w:cs="宋体"/>
                <w:color w:val="auto"/>
                <w:sz w:val="24"/>
                <w:highlight w:val="none"/>
              </w:rPr>
              <w:t>磋商响应文件</w:t>
            </w:r>
            <w:r>
              <w:rPr>
                <w:rFonts w:hint="eastAsia" w:ascii="宋体" w:hAnsi="宋体" w:eastAsia="宋体" w:cs="宋体"/>
                <w:color w:val="auto"/>
                <w:sz w:val="24"/>
                <w:szCs w:val="24"/>
                <w:highlight w:val="none"/>
                <w:lang w:val="en-US" w:eastAsia="zh-CN"/>
              </w:rPr>
              <w:t>、以介质（U盘）存储的数据电文形式的备份</w:t>
            </w:r>
            <w:r>
              <w:rPr>
                <w:rFonts w:hint="eastAsia" w:ascii="宋体" w:hAnsi="宋体" w:cs="宋体"/>
                <w:color w:val="auto"/>
                <w:sz w:val="24"/>
                <w:highlight w:val="none"/>
              </w:rPr>
              <w:t>磋商响应文件</w:t>
            </w:r>
            <w:r>
              <w:rPr>
                <w:rFonts w:hint="eastAsia" w:ascii="宋体" w:hAnsi="宋体" w:eastAsia="宋体" w:cs="宋体"/>
                <w:color w:val="auto"/>
                <w:sz w:val="24"/>
                <w:szCs w:val="24"/>
                <w:highlight w:val="none"/>
                <w:lang w:val="en-US" w:eastAsia="zh-CN"/>
              </w:rPr>
              <w:t>。通过“政府采购云平台”上传递交的</w:t>
            </w:r>
            <w:r>
              <w:rPr>
                <w:rFonts w:hint="eastAsia" w:ascii="宋体" w:hAnsi="宋体" w:cs="宋体"/>
                <w:color w:val="auto"/>
                <w:sz w:val="24"/>
                <w:highlight w:val="none"/>
              </w:rPr>
              <w:t>磋商响应文件</w:t>
            </w:r>
            <w:r>
              <w:rPr>
                <w:rFonts w:hint="eastAsia" w:ascii="宋体" w:hAnsi="宋体" w:eastAsia="宋体" w:cs="宋体"/>
                <w:color w:val="auto"/>
                <w:sz w:val="24"/>
                <w:szCs w:val="24"/>
                <w:highlight w:val="none"/>
                <w:lang w:val="en-US" w:eastAsia="zh-CN"/>
              </w:rPr>
              <w:t>已按时解密的，备份</w:t>
            </w:r>
            <w:r>
              <w:rPr>
                <w:rFonts w:hint="eastAsia" w:ascii="宋体" w:hAnsi="宋体" w:cs="宋体"/>
                <w:color w:val="auto"/>
                <w:sz w:val="24"/>
                <w:highlight w:val="none"/>
              </w:rPr>
              <w:t>磋商响应文件</w:t>
            </w:r>
            <w:r>
              <w:rPr>
                <w:rFonts w:hint="eastAsia" w:ascii="宋体" w:hAnsi="宋体" w:eastAsia="宋体" w:cs="宋体"/>
                <w:color w:val="auto"/>
                <w:sz w:val="24"/>
                <w:szCs w:val="24"/>
                <w:highlight w:val="none"/>
                <w:lang w:val="en-US" w:eastAsia="zh-CN"/>
              </w:rPr>
              <w:t>自动失效</w:t>
            </w:r>
            <w:r>
              <w:rPr>
                <w:rFonts w:hint="eastAsia" w:ascii="宋体" w:hAnsi="宋体" w:cs="宋体"/>
                <w:color w:val="auto"/>
                <w:sz w:val="24"/>
                <w:highlight w:val="none"/>
              </w:rPr>
              <w:t>。</w:t>
            </w:r>
          </w:p>
          <w:p>
            <w:pPr>
              <w:shd w:val="clear"/>
              <w:rPr>
                <w:rFonts w:ascii="宋体" w:hAnsi="宋体" w:cs="宋体"/>
                <w:color w:val="auto"/>
                <w:sz w:val="24"/>
                <w:highlight w:val="none"/>
              </w:rPr>
            </w:pPr>
            <w:r>
              <w:rPr>
                <w:rFonts w:hint="eastAsia" w:ascii="宋体" w:hAnsi="宋体" w:cs="宋体"/>
                <w:color w:val="auto"/>
                <w:sz w:val="24"/>
                <w:highlight w:val="none"/>
              </w:rPr>
              <w:t>5.▲未传输递交电子响应文件的，投标无效。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153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磋商时间及评审地址</w:t>
            </w:r>
          </w:p>
        </w:tc>
        <w:tc>
          <w:tcPr>
            <w:tcW w:w="7212" w:type="dxa"/>
            <w:vAlign w:val="center"/>
          </w:tcPr>
          <w:p>
            <w:pPr>
              <w:shd w:val="clea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时间：北京时间</w:t>
            </w:r>
            <w:r>
              <w:rPr>
                <w:rFonts w:hint="eastAsia" w:ascii="宋体" w:hAnsi="宋体" w:cs="宋体"/>
                <w:color w:val="auto"/>
                <w:sz w:val="24"/>
                <w:highlight w:val="none"/>
                <w:lang w:eastAsia="zh-CN"/>
              </w:rPr>
              <w:t>2024年08月19日下午14:30</w:t>
            </w:r>
          </w:p>
          <w:p>
            <w:pPr>
              <w:shd w:val="clea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地点：“政府采购云平台”线上开标</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eastAsia="zh-CN"/>
              </w:rPr>
              <w:t>台州市路桥区财富大道999号区政府商城办公区（商城国际）五楼政府采购中心开标室（二）</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0"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30"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212" w:type="dxa"/>
            <w:vAlign w:val="center"/>
          </w:tcPr>
          <w:p>
            <w:pPr>
              <w:shd w:val="clea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供应商在收到中标通知书后一周内向采购单位交纳本项目履约保证金，金额为中标合同价的1%，整体项目验收通过合格后无息退还。（履约保证金可以采用保函、担保、保险等形式）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30" w:type="dxa"/>
            <w:vAlign w:val="center"/>
          </w:tcPr>
          <w:p>
            <w:pPr>
              <w:shd w:val="clear"/>
              <w:spacing w:line="360" w:lineRule="auto"/>
              <w:ind w:left="1"/>
              <w:jc w:val="center"/>
              <w:textAlignment w:val="bottom"/>
              <w:rPr>
                <w:rFonts w:ascii="宋体" w:hAnsi="宋体" w:cs="宋体"/>
                <w:color w:val="auto"/>
                <w:sz w:val="24"/>
                <w:highlight w:val="none"/>
              </w:rPr>
            </w:pPr>
            <w:r>
              <w:rPr>
                <w:rFonts w:hint="eastAsia" w:ascii="宋体" w:hAnsi="宋体" w:cs="宋体"/>
                <w:color w:val="auto"/>
                <w:sz w:val="24"/>
                <w:highlight w:val="none"/>
              </w:rPr>
              <w:t>样品及演示</w:t>
            </w:r>
          </w:p>
        </w:tc>
        <w:tc>
          <w:tcPr>
            <w:tcW w:w="7212" w:type="dxa"/>
            <w:vAlign w:val="center"/>
          </w:tcPr>
          <w:p>
            <w:pPr>
              <w:shd w:val="clear"/>
              <w:spacing w:line="360" w:lineRule="auto"/>
              <w:ind w:left="1"/>
              <w:textAlignment w:val="bottom"/>
              <w:rPr>
                <w:rFonts w:ascii="宋体" w:hAnsi="宋体" w:cs="宋体"/>
                <w:color w:val="auto"/>
                <w:sz w:val="24"/>
                <w:highlight w:val="none"/>
              </w:rPr>
            </w:pPr>
            <w:r>
              <w:rPr>
                <w:rFonts w:hint="eastAsia" w:ascii="宋体" w:hAnsi="宋体" w:cs="宋体"/>
                <w:color w:val="auto"/>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0"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30" w:type="dxa"/>
            <w:vAlign w:val="center"/>
          </w:tcPr>
          <w:p>
            <w:pPr>
              <w:shd w:val="clear"/>
              <w:spacing w:line="360" w:lineRule="auto"/>
              <w:ind w:left="1"/>
              <w:jc w:val="center"/>
              <w:textAlignment w:val="bottom"/>
              <w:rPr>
                <w:rFonts w:ascii="宋体" w:hAnsi="宋体" w:cs="宋体"/>
                <w:color w:val="auto"/>
                <w:sz w:val="24"/>
                <w:highlight w:val="none"/>
              </w:rPr>
            </w:pPr>
            <w:r>
              <w:rPr>
                <w:rFonts w:hint="eastAsia" w:ascii="宋体" w:hAnsi="宋体" w:cs="宋体"/>
                <w:color w:val="auto"/>
                <w:sz w:val="24"/>
                <w:highlight w:val="none"/>
              </w:rPr>
              <w:t>节能环保</w:t>
            </w:r>
          </w:p>
        </w:tc>
        <w:tc>
          <w:tcPr>
            <w:tcW w:w="7212" w:type="dxa"/>
            <w:vAlign w:val="center"/>
          </w:tcPr>
          <w:p>
            <w:pPr>
              <w:shd w:val="clear"/>
              <w:spacing w:line="360" w:lineRule="auto"/>
              <w:ind w:left="1"/>
              <w:textAlignment w:val="bottom"/>
              <w:rPr>
                <w:rFonts w:ascii="宋体" w:hAnsi="宋体" w:cs="宋体"/>
                <w:color w:val="auto"/>
                <w:sz w:val="24"/>
                <w:highlight w:val="none"/>
              </w:rPr>
            </w:pPr>
            <w:r>
              <w:rPr>
                <w:rFonts w:hint="eastAsia" w:ascii="宋体" w:hAnsi="宋体" w:cs="宋体"/>
                <w:color w:val="auto"/>
                <w:sz w:val="24"/>
                <w:highlight w:val="none"/>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9</w:t>
            </w:r>
          </w:p>
        </w:tc>
        <w:tc>
          <w:tcPr>
            <w:tcW w:w="153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7212" w:type="dxa"/>
            <w:vAlign w:val="center"/>
          </w:tcPr>
          <w:p>
            <w:pPr>
              <w:shd w:val="clear"/>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▲”的条款是实质性条款，磋商响应文件须做出实质性响应，否则终止磋商。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530" w:type="dxa"/>
            <w:vAlign w:val="center"/>
          </w:tcPr>
          <w:p>
            <w:pPr>
              <w:autoSpaceDE w:val="0"/>
              <w:autoSpaceDN w:val="0"/>
              <w:adjustRightInd w:val="0"/>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rPr>
              <w:t>其他事项</w:t>
            </w:r>
          </w:p>
        </w:tc>
        <w:tc>
          <w:tcPr>
            <w:tcW w:w="7212" w:type="dxa"/>
            <w:vAlign w:val="center"/>
          </w:tcPr>
          <w:p>
            <w:pPr>
              <w:autoSpaceDE w:val="0"/>
              <w:autoSpaceDN w:val="0"/>
              <w:adjustRightInd w:val="0"/>
              <w:spacing w:line="24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530" w:type="dxa"/>
            <w:vAlign w:val="center"/>
          </w:tcPr>
          <w:p>
            <w:pPr>
              <w:autoSpaceDE w:val="0"/>
              <w:autoSpaceDN w:val="0"/>
              <w:adjustRightIn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Hans"/>
              </w:rPr>
              <w:t>所属行业</w:t>
            </w:r>
          </w:p>
        </w:tc>
        <w:tc>
          <w:tcPr>
            <w:tcW w:w="7212" w:type="dxa"/>
            <w:vAlign w:val="center"/>
          </w:tcPr>
          <w:p>
            <w:pPr>
              <w:autoSpaceDE w:val="0"/>
              <w:autoSpaceDN w:val="0"/>
              <w:adjustRightInd w:val="0"/>
              <w:spacing w:line="240"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Hans" w:bidi="ar-SA"/>
              </w:rPr>
              <w:t>餐饮业</w:t>
            </w:r>
          </w:p>
        </w:tc>
      </w:tr>
    </w:tbl>
    <w:p>
      <w:pPr>
        <w:shd w:val="clear"/>
        <w:spacing w:line="360" w:lineRule="auto"/>
        <w:rPr>
          <w:rFonts w:hint="eastAsia"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本磋商文件适用于本次项目的磋商、评审、确定成交供应商、验收、合同履约、付款等行为（法律、法规另有规定的，从其规定）。</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1、“采购组织机构”：是指采购人委托组织磋商的采购代理机构。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3、磋商供应商：是指向采购组织机构提交磋商响应文件的单位或个人。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6、“▲”系指实质性要求条款。</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（三）磋商费用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不论磋商结果如何，供应商均应自行承担所有与磋商有关的全部费用（磋商文件有相关规定除外）。</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1、供应商磋商所使用的资格、信誉、荣誉、业绩与企业认证必须为本法人所拥有。供应商磋商所使用的采购项目实施人员必须为本法人员工（指必须为本法人或控股公司正式员工）。</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3、供应商不得相互串通磋商报价，不得妨碍其他供应商的公平竞争，不得损害采购人或其他供应商的合法权益，供应商不得以向采购人、磋商小组成员行贿或者采取其他不正当手段谋取成交。</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5、磋商响应文件（即响应文件）格式中的表格式样可以根据项目差别做适当调整，但应当保持表格样式基本形态不变。</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7、本项目不允许分包</w:t>
      </w:r>
      <w:r>
        <w:rPr>
          <w:rFonts w:hint="eastAsia" w:ascii="宋体" w:hAnsi="宋体" w:cs="宋体"/>
          <w:color w:val="auto"/>
          <w:sz w:val="24"/>
          <w:highlight w:val="none"/>
        </w:rPr>
        <w:t>。</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二、磋商响应文件</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（一）磋商响应文件的组成</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供应商应仔细阅读磋商采购文件的所有内容，按磋商采购文件的要求，详细编制磋商响应文件。</w:t>
      </w:r>
      <w:r>
        <w:rPr>
          <w:rFonts w:hint="eastAsia" w:ascii="宋体" w:hAnsi="宋体" w:cs="宋体"/>
          <w:color w:val="auto"/>
          <w:sz w:val="24"/>
          <w:szCs w:val="32"/>
          <w:highlight w:val="none"/>
          <w:lang w:val="zh-CN"/>
        </w:rPr>
        <w:t>【特别提示：如有要求提供资料原件的，原件另行包装，并与磋商响应文件一起提交，磋商响应截止时间后所有原件不予接收。资料原件也可以用与原件相符的公证原件替代】</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（一）磋商响应文件的组成</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供应商应仔细阅读磋商采购文件的所有内容，按磋商采购文件的要求，详细编制磋商响应文件。</w:t>
      </w:r>
      <w:r>
        <w:rPr>
          <w:rFonts w:hint="eastAsia" w:ascii="宋体" w:hAnsi="宋体" w:cs="宋体"/>
          <w:color w:val="auto"/>
          <w:sz w:val="24"/>
          <w:szCs w:val="32"/>
          <w:highlight w:val="none"/>
          <w:lang w:val="zh-CN"/>
        </w:rPr>
        <w:t>【特别提示：如有要求提供资料原件的，原件另行包装，并与磋商响应文件一起提交，磋商响应截止时间后所有原件不予接收。资料原件也可以用与原件相符的公证原件替代】</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rPr>
        <w:t>1、资格证明内容的组成：</w:t>
      </w:r>
    </w:p>
    <w:p>
      <w:pPr>
        <w:shd w:val="clear"/>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磋商声明书</w:t>
      </w:r>
      <w:r>
        <w:rPr>
          <w:rFonts w:hint="eastAsia" w:ascii="宋体" w:hAnsi="宋体" w:cs="宋体"/>
          <w:color w:val="auto"/>
          <w:sz w:val="24"/>
          <w:szCs w:val="32"/>
          <w:highlight w:val="none"/>
          <w:lang w:eastAsia="zh-CN"/>
        </w:rPr>
        <w:t>；</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）授权委托书（法定代表人（单位负责人）亲自办理磋商响应事宜的，则无需提交）；</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）法人或者其他组织的营业执照等证明文件，自然人的身份证明；</w:t>
      </w:r>
    </w:p>
    <w:p>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）具有良好的商业信誉和健全的财务会计制度的承诺；</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依法缴纳税收和社会保障资金的承诺</w:t>
      </w:r>
      <w:r>
        <w:rPr>
          <w:rFonts w:hint="eastAsia" w:ascii="宋体" w:hAnsi="宋体" w:cs="宋体"/>
          <w:color w:val="auto"/>
          <w:sz w:val="24"/>
          <w:szCs w:val="32"/>
          <w:highlight w:val="none"/>
        </w:rPr>
        <w:t>；</w:t>
      </w:r>
    </w:p>
    <w:p>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）具备履行合同所必需的设备和专业技术能力的证明材料（根据项目性质提供）；</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参加政府采购活动前三年内，在经营活动中没有重大违法记录（承诺函）</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）提供采购公告中符合供应商特定条件的有效资质证书复印件（具有餐饮服务许可证或食品经营许可证，并能提供本项目服务的餐饮服务企业），以</w:t>
      </w:r>
      <w:r>
        <w:rPr>
          <w:rFonts w:hint="eastAsia" w:ascii="宋体" w:hAnsi="宋体" w:eastAsia="宋体" w:cs="宋体"/>
          <w:color w:val="auto"/>
          <w:sz w:val="24"/>
          <w:szCs w:val="32"/>
          <w:highlight w:val="none"/>
        </w:rPr>
        <w:t>及需要说明的其他资料</w:t>
      </w:r>
      <w:r>
        <w:rPr>
          <w:rFonts w:hint="eastAsia" w:ascii="宋体" w:hAnsi="宋体" w:eastAsia="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rPr>
        <w:t>落实政府采购政策需满足的资格要求所对应的证明材料</w:t>
      </w:r>
      <w:r>
        <w:rPr>
          <w:rFonts w:hint="eastAsia" w:ascii="宋体" w:hAnsi="宋体" w:cs="宋体"/>
          <w:color w:val="auto"/>
          <w:sz w:val="24"/>
          <w:szCs w:val="32"/>
          <w:highlight w:val="none"/>
          <w:lang w:val="en-US" w:eastAsia="zh-CN"/>
        </w:rPr>
        <w:t>（中小企业声明函）</w:t>
      </w:r>
      <w:r>
        <w:rPr>
          <w:rFonts w:hint="eastAsia" w:ascii="宋体" w:hAnsi="宋体" w:eastAsia="宋体" w:cs="宋体"/>
          <w:color w:val="auto"/>
          <w:sz w:val="24"/>
          <w:szCs w:val="32"/>
          <w:highlight w:val="none"/>
          <w:lang w:eastAsia="zh-CN"/>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2、商务与技术内容的组成：</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（1）供应商情况介绍。</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（2）磋商响应方案描述：</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B.项目组织实施方案（包括项目实施进度安排、项目实施人员及项目负责人的资质等）。</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（3）磋商响应描述及相关资料：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（4）供应商通过的质量管理和质量保证体系、自主创新相关证书、软件著作权证等等与本项目相关的认证证书或文件；</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（5）近三年来类似项目的成功案例（供应商类似项目实施情况一览表、合同复印件及其相应的发票、用户验收报告等；</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（6）供应商认为需要提供的其他资料（包括可能影响供应商商务与技术内容评分的各类证明材料）。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B.针对本项目的售后服务措施及承诺（售后技术服务方案、人员配备、响应时间、技术培训方案等）。</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3、报价内容的组成</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（1）报价内容由首次报价一览表、报价明细表，以及供应商认为其他需要说明的内容组成。</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）总报价应当包括合同包含的所有风险责任、</w:t>
      </w:r>
      <w:r>
        <w:rPr>
          <w:rFonts w:hint="eastAsia" w:ascii="宋体" w:hAnsi="宋体" w:cs="宋体"/>
          <w:color w:val="auto"/>
          <w:sz w:val="24"/>
          <w:szCs w:val="32"/>
          <w:highlight w:val="none"/>
        </w:rPr>
        <w:t>管理费</w:t>
      </w:r>
      <w:r>
        <w:rPr>
          <w:rFonts w:hint="eastAsia" w:ascii="宋体" w:hAnsi="宋体" w:cs="宋体"/>
          <w:color w:val="auto"/>
          <w:sz w:val="24"/>
          <w:szCs w:val="32"/>
          <w:highlight w:val="none"/>
          <w:lang w:val="zh-CN"/>
        </w:rPr>
        <w:t>等各项费用及不可预见费等所需的全部费用。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）相关报价表需打印或用不退色的墨水填写， 磋商响应报价表不得涂改和增删，如有错漏必须修改，修改处须由同一签署人签字或盖章。由于字迹模糊或表达不清引起的后果由供应商负责。</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）报价有关表格应按磋商采购文件中相关附表格式填写。</w:t>
      </w:r>
    </w:p>
    <w:p>
      <w:pPr>
        <w:shd w:val="clear"/>
        <w:spacing w:line="360" w:lineRule="auto"/>
        <w:ind w:firstLine="241" w:firstLineChars="100"/>
        <w:rPr>
          <w:rFonts w:ascii="宋体" w:hAnsi="宋体" w:cs="宋体"/>
          <w:b/>
          <w:bCs/>
          <w:color w:val="auto"/>
          <w:sz w:val="24"/>
          <w:szCs w:val="32"/>
          <w:highlight w:val="none"/>
          <w:lang w:val="zh-CN"/>
        </w:rPr>
      </w:pPr>
      <w:r>
        <w:rPr>
          <w:rFonts w:hint="eastAsia" w:ascii="宋体" w:hAnsi="宋体" w:cs="宋体"/>
          <w:b/>
          <w:bCs/>
          <w:color w:val="auto"/>
          <w:sz w:val="24"/>
          <w:szCs w:val="32"/>
          <w:highlight w:val="none"/>
        </w:rPr>
        <w:t>（二）磋商响应文件的制作、封装及递交要求</w:t>
      </w:r>
    </w:p>
    <w:p>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1、磋商响应文件的制作要求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1.1本项目通过“政府采购云平台（www.zcygov.cn）”实行在线投标响应（电子投标）。供应商应通过“政采云电子交易客户端”，并按照本</w:t>
      </w:r>
      <w:r>
        <w:rPr>
          <w:rFonts w:hint="eastAsia" w:ascii="宋体" w:hAnsi="宋体" w:cs="宋体"/>
          <w:color w:val="auto"/>
          <w:sz w:val="24"/>
          <w:szCs w:val="32"/>
          <w:highlight w:val="none"/>
          <w:lang w:val="zh-CN"/>
        </w:rPr>
        <w:t>磋商</w:t>
      </w:r>
      <w:r>
        <w:rPr>
          <w:rFonts w:hint="eastAsia" w:ascii="宋体" w:hAnsi="宋体" w:cs="宋体"/>
          <w:color w:val="auto"/>
          <w:sz w:val="24"/>
          <w:szCs w:val="32"/>
          <w:highlight w:val="none"/>
        </w:rPr>
        <w:t>文件和“政府采购云平台”的要求编制并加密</w:t>
      </w:r>
      <w:r>
        <w:rPr>
          <w:rFonts w:hint="eastAsia" w:ascii="宋体" w:hAnsi="宋体" w:cs="宋体"/>
          <w:color w:val="auto"/>
          <w:sz w:val="24"/>
          <w:szCs w:val="32"/>
          <w:highlight w:val="none"/>
          <w:lang w:val="zh-CN"/>
        </w:rPr>
        <w:t>磋商响应文件</w:t>
      </w:r>
      <w:r>
        <w:rPr>
          <w:rFonts w:hint="eastAsia" w:ascii="宋体" w:hAnsi="宋体" w:cs="宋体"/>
          <w:color w:val="auto"/>
          <w:sz w:val="24"/>
          <w:szCs w:val="32"/>
          <w:highlight w:val="none"/>
        </w:rPr>
        <w:t>。</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zh-CN"/>
        </w:rPr>
        <w:t>1.2各供应商在编制磋商响应文件时请按照磋商文件第六部分规定的格式进行，</w:t>
      </w:r>
      <w:r>
        <w:rPr>
          <w:rFonts w:hint="eastAsia" w:ascii="宋体" w:hAnsi="宋体" w:cs="宋体"/>
          <w:color w:val="auto"/>
          <w:sz w:val="24"/>
          <w:szCs w:val="32"/>
          <w:highlight w:val="none"/>
        </w:rPr>
        <w:t>并按格式要求在指定位置根据要求进行签章，否则视为未提供，未提供格式的，请各供应商自行拟定格式。</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1.4磋商响应文件以及磋商供应商与采购组织机构就有关磋商事宜的所有来往函电，均应以中文汉语书写。除签字、盖章、专用名称等特殊情形外，以中文汉语以外的文字表述的磋商响应文件视同未提供。</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1.5 若磋商供应商不按采购文件的要求提供资格审查材料，其风险由磋商供应商自行承担。</w:t>
      </w:r>
    </w:p>
    <w:p>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2、提供纸质响应文件要求：见《前附表》</w:t>
      </w:r>
    </w:p>
    <w:p>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3、响应文件的签章</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zh-CN"/>
        </w:rPr>
        <w:t>磋商响应</w:t>
      </w:r>
      <w:r>
        <w:rPr>
          <w:rFonts w:hint="eastAsia" w:ascii="宋体" w:hAnsi="宋体" w:cs="宋体"/>
          <w:color w:val="auto"/>
          <w:sz w:val="24"/>
          <w:szCs w:val="32"/>
          <w:highlight w:val="none"/>
        </w:rPr>
        <w:t>文件按照</w:t>
      </w:r>
      <w:r>
        <w:rPr>
          <w:rFonts w:hint="eastAsia" w:ascii="宋体" w:hAnsi="宋体" w:cs="宋体"/>
          <w:color w:val="auto"/>
          <w:sz w:val="24"/>
          <w:szCs w:val="32"/>
          <w:highlight w:val="none"/>
          <w:lang w:val="zh-CN"/>
        </w:rPr>
        <w:t>磋商</w:t>
      </w:r>
      <w:r>
        <w:rPr>
          <w:rFonts w:hint="eastAsia" w:ascii="宋体" w:hAnsi="宋体" w:cs="宋体"/>
          <w:color w:val="auto"/>
          <w:sz w:val="24"/>
          <w:szCs w:val="32"/>
          <w:highlight w:val="none"/>
        </w:rPr>
        <w:t>文件第六部分格式要求进行签署、盖章。供应商的响应文件未按照</w:t>
      </w:r>
      <w:r>
        <w:rPr>
          <w:rFonts w:hint="eastAsia" w:ascii="宋体" w:hAnsi="宋体" w:cs="宋体"/>
          <w:color w:val="auto"/>
          <w:sz w:val="24"/>
          <w:szCs w:val="32"/>
          <w:highlight w:val="none"/>
          <w:lang w:val="zh-CN"/>
        </w:rPr>
        <w:t>磋商</w:t>
      </w:r>
      <w:r>
        <w:rPr>
          <w:rFonts w:hint="eastAsia" w:ascii="宋体" w:hAnsi="宋体" w:cs="宋体"/>
          <w:color w:val="auto"/>
          <w:sz w:val="24"/>
          <w:szCs w:val="32"/>
          <w:highlight w:val="none"/>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4、备份响应文件的密封与标志</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4.1备份响应文件须密封包装。没有密封包装的响应文件，将被拒收。</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4.2备份响应文件包装封面物应写明项目名称、供应商名称。</w:t>
      </w:r>
    </w:p>
    <w:p>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5、磋商响应文件的上传和递交</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5.1“磋商响应文件”的上传、递交：见</w:t>
      </w:r>
      <w:r>
        <w:rPr>
          <w:rFonts w:hint="eastAsia" w:ascii="宋体" w:hAnsi="宋体" w:cs="宋体"/>
          <w:color w:val="auto"/>
          <w:sz w:val="24"/>
          <w:szCs w:val="32"/>
          <w:highlight w:val="none"/>
          <w:lang w:val="zh-CN"/>
        </w:rPr>
        <w:t>竞争性磋商公告及</w:t>
      </w:r>
      <w:r>
        <w:rPr>
          <w:rFonts w:hint="eastAsia" w:ascii="宋体" w:hAnsi="宋体" w:cs="宋体"/>
          <w:color w:val="auto"/>
          <w:sz w:val="24"/>
          <w:szCs w:val="32"/>
          <w:highlight w:val="none"/>
        </w:rPr>
        <w:t>《前附表》。▲未传输递交电子响应文件的，投标无效。</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2</w:t>
      </w:r>
      <w:r>
        <w:rPr>
          <w:rFonts w:hint="eastAsia" w:ascii="宋体" w:hAnsi="宋体" w:cs="宋体"/>
          <w:color w:val="auto"/>
          <w:sz w:val="24"/>
          <w:szCs w:val="32"/>
          <w:highlight w:val="none"/>
        </w:rPr>
        <w:t>供应商应当在投标截止时间将以介质存储的数据电文形式的备份磋商响应文件送交到</w:t>
      </w:r>
      <w:r>
        <w:rPr>
          <w:rFonts w:hint="eastAsia" w:ascii="宋体" w:hAnsi="宋体" w:cs="宋体"/>
          <w:color w:val="auto"/>
          <w:sz w:val="24"/>
          <w:szCs w:val="32"/>
          <w:highlight w:val="none"/>
          <w:lang w:val="en-US" w:eastAsia="zh-CN"/>
        </w:rPr>
        <w:t>磋商文件</w:t>
      </w:r>
      <w:r>
        <w:rPr>
          <w:rFonts w:hint="eastAsia" w:ascii="宋体" w:hAnsi="宋体" w:cs="宋体"/>
          <w:color w:val="auto"/>
          <w:sz w:val="24"/>
          <w:szCs w:val="32"/>
          <w:highlight w:val="none"/>
        </w:rPr>
        <w:t>规定的地点。未按规定提供相应的备份磋商响应文件，造成项目开评标活动无法进行下去的，投标无效。采购机构将拒绝接受逾期送达的磋商响应文件。</w:t>
      </w:r>
    </w:p>
    <w:p>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6、响应文件的补充、修改、撤回</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2</w:t>
      </w:r>
      <w:r>
        <w:rPr>
          <w:rFonts w:hint="eastAsia" w:ascii="宋体" w:hAnsi="宋体" w:cs="宋体"/>
          <w:color w:val="auto"/>
          <w:sz w:val="24"/>
          <w:szCs w:val="32"/>
          <w:highlight w:val="none"/>
        </w:rPr>
        <w:t>投标截止时间后，磋商供应商不得撤回、修改响应文件。</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zh-CN"/>
        </w:rPr>
        <w:t>6.3</w:t>
      </w:r>
      <w:r>
        <w:rPr>
          <w:rFonts w:hint="eastAsia" w:ascii="宋体" w:hAnsi="宋体" w:cs="宋体"/>
          <w:color w:val="auto"/>
          <w:sz w:val="24"/>
          <w:szCs w:val="32"/>
          <w:highlight w:val="none"/>
        </w:rPr>
        <w:t>在开标后规定的投标有效期内，供应商不能撤销响应文件。</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（三）磋商响应文件的有效期</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自磋商响应截止日起90天磋商响应文件应保持有效。有效期不足的磋商响应文件将被拒绝。</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2、在特殊情况下，采购人可与磋商供应商协商延长磋商响应文件的有效期，这种要求和答复均以书面形式进行。</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3、成交供应商的磋商响应文件自磋商之日起至合同履行完毕均应保持有效。</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三、磋商</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（一）磋商程序</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1、采购组织机构将在“磋商公告”规定的时间和地点进行磋商，磋商采购会议由采购组织机构工作人员主持。</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主持人宣布磋商采购会议开始，介绍磋商现场的人员情况，宣读提交磋商响应文件的供应商名单、磋商纪律、应当回避的情形等注意事项，组织供应商签署不存在影响公平竞争的《政府采购活动现场确认声明书》。</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3、向各供应商发出电子加密响应文件【开始解密】通知，由供应商按磋商文件规定的时间内自行进行响应文件解密。磋商响应文件的制作和解密应使用同一个数字证书，否则将可能解密失败。</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4、采购组织机构点击【开启标书信息】，开启标书成功后进入开标流程。</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本项目原则上采用电子评审方法，若因政采云平台原因无法读取或电子开评标无法正常进行，采购代理机构将开启所有供应商递交的纸质备份响应文件，以完成开、评标，电子响应文件及以介质存储的数据电文形式的备份响应文件自动失效。</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6、磋商小组必须按照客观、公正、审慎的原则，根据磋商文件规定的评审程序、评审方法和评审标准进行独立评审。未实质性响应磋商文件的响应文件按无效响应处理，磋商小组应当告知提交响应文件的供应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7、磋商小组所有成员集中与单一供应商分别进行磋商，并给予所有参加磋商的供应商平等的磋商机会。</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9、磋商文件能够详细列明采购标的技术、服务要求的，磋商结束后，磋商小组将要求所有实质性响应的供应商在规定时间内提交最后报价，最后报价是供应商响应文件的有效组成部分。 </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10、经磋商确定最终采购需求和提交最后报价的供应商后，由磋商小组采用综合评分法对提交最后报价的供应商的响应文件和最后报价进行综合评分。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11、磋商小组根据综合评分情况，按照评审得分由高到低顺序确定预成交供应商，编写评审报告。</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12、采购组织机构对磋商小组专家成员进行评价；</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13、主持人到磋商采购会现场宣布磋商结果（含技术得分、最后报价、报价得分及总得分），磋商采购会议结束。</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（二）澄清问题的形式</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磋商供应商的澄清、说明或者补正应当采用书面形式，并加盖公章，或者由法定代理人或其授权的代表签字，并不得超出磋商响应文件的范围或者改变磋商响应文件的实质性内容。</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（三）错误修正</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磋商响应文件报价出现前后不一致的，除磋商采购文件另有规定外，按照下列规定修正：</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1、磋商响应文件中首次报价一览表内容与磋商响应文件中相应内容不一致的，以首次报价一览表为准；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2、大写金额和小写金额不一致的，以大写金额为准；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3、单价金额小数点或者百分比有明显错位的，以首次报价一览表的总价为准，并修改单价；</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4、总价金额与按单价汇总金额不一致的，以单价金额计算结果为准。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（四）磋商供应商存在下列情况之一的，响应无效，终止磋商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1、磋商响应文件中的商务与技术内容中的服务出现重大偏差的；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2、不具备磋商采购文件中规定的资格要求的。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3、磋商响应文件含有采购人不能接受的附加条件的。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4、供应商代表人未能出具身份证明或与法定代表人（单位负责人）授权委托</w:t>
      </w:r>
      <w:r>
        <w:rPr>
          <w:rFonts w:hint="eastAsia" w:ascii="宋体" w:hAnsi="宋体" w:cs="宋体"/>
          <w:color w:val="auto"/>
          <w:sz w:val="24"/>
          <w:szCs w:val="32"/>
          <w:highlight w:val="none"/>
          <w:lang w:val="en-US" w:eastAsia="zh-CN"/>
        </w:rPr>
        <w:t>代理</w:t>
      </w:r>
      <w:r>
        <w:rPr>
          <w:rFonts w:hint="eastAsia" w:ascii="宋体" w:hAnsi="宋体" w:cs="宋体"/>
          <w:color w:val="auto"/>
          <w:sz w:val="24"/>
          <w:szCs w:val="32"/>
          <w:highlight w:val="none"/>
          <w:lang w:val="zh-CN"/>
        </w:rPr>
        <w:t>人身份不符的；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6、报价超过磋商采购文件中规定的预算金额/最高限价。</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val="zh-CN"/>
        </w:rPr>
        <w:t>、磋商响应文件提供虚假材料的。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val="zh-CN"/>
        </w:rPr>
        <w:t>、不同供应商的磋商响应文件由同一单位或者个人编制；</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val="zh-CN"/>
        </w:rPr>
        <w:t>、不同供应商委托同一单位或者个人办理磋商事宜；</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lang w:val="zh-CN"/>
        </w:rPr>
        <w:t>、不同供应商的磋商响应文件载明的项目管理成员或者联系人员为同一人；</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val="zh-CN"/>
        </w:rPr>
        <w:t>、不同供应商的磋商响应文件异常一致或者报价呈规律性差异；</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、不同供应商的磋商响应文件相互混装；</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、不同供应商的磋商保证金从同一单位或者个人的账户转出；</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val="zh-CN"/>
        </w:rPr>
        <w:t>、不符合法律、法规和磋商采购文件中规定的其他实质性要求的（磋商采购文件中打“▲”内容及被拒绝的条款）。</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val="zh-CN"/>
        </w:rPr>
        <w:t>、未传输递交电子响应文件的或者未按规定提供相应的备份响应文件，造成项目开评标活动无法进行下去的。</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（五）有下列情况之一的，本次磋商终止。</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1、出现影响采购公正的违法、违规行为的；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2、磋商小组发现磋商文件存在歧义、重大缺陷导致评审工作无法进行，或者磋商文件内容违反国家有关强制性规定的； </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3、因重大变故，采购任务取消的；</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4、法律、法规和磋商文件规定的其他导致评审结果无效的。</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（六）磋商原则和方法</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2、磋商办法。具体磋商内容及评分标准等详见《评审办法及评审标准》。</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（七）评审过程的监控</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本项目评审过程实行全程录音、录像监控，政府采购监管部门视情进行现场监督，供应商在评审过程中所进行的试图影响评审结果的不公正活动，可能导致其被拒绝磋商。</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四、磋商结果确定</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2、发布成交结果公告。采购组织机构应当在成交供应商确定后2个工作日内，在省级以上财政部门指定的政府采购信息发布媒体及相关网站上公告成交结果，并将磋商文件随同公告。</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3、发出成交通知书。采购组织机构在发布成交结果同时，向成交供应商发出成交通知书。</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eastAsia="宋体" w:cs="宋体"/>
          <w:color w:val="auto"/>
          <w:sz w:val="24"/>
          <w:szCs w:val="32"/>
          <w:highlight w:val="none"/>
          <w:lang w:val="en-US" w:eastAsia="zh-CN"/>
        </w:rPr>
        <w:t>招标代理费</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招标代理服务费</w:t>
      </w:r>
      <w:r>
        <w:rPr>
          <w:rFonts w:hint="eastAsia" w:ascii="宋体" w:hAnsi="宋体" w:cs="宋体"/>
          <w:color w:val="auto"/>
          <w:sz w:val="24"/>
          <w:szCs w:val="32"/>
          <w:highlight w:val="none"/>
          <w:lang w:val="en-US" w:eastAsia="zh-CN"/>
        </w:rPr>
        <w:t>按定额壹万元整</w:t>
      </w:r>
      <w:r>
        <w:rPr>
          <w:rFonts w:hint="eastAsia" w:ascii="宋体" w:hAnsi="宋体" w:eastAsia="宋体" w:cs="宋体"/>
          <w:color w:val="auto"/>
          <w:sz w:val="24"/>
          <w:szCs w:val="32"/>
          <w:highlight w:val="none"/>
        </w:rPr>
        <w:t>向中标单位收取招标代理费，该费用中标人须在中标公告发出5日内一次性付清。（户名：浙江五石中正工程咨询有限公司；账号：1202003209900014176；开户银行：中国工商银行杭州潮王路支行）,财务联系电话：0571-88271625。</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五、合同签订及公告</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eastAsia="宋体" w:cs="宋体"/>
          <w:color w:val="auto"/>
          <w:sz w:val="24"/>
          <w:szCs w:val="32"/>
          <w:highlight w:val="none"/>
        </w:rPr>
        <w:t>采购人应当自中标通知书发出之日起</w:t>
      </w:r>
      <w:r>
        <w:rPr>
          <w:rFonts w:hint="eastAsia" w:ascii="宋体" w:hAnsi="宋体" w:eastAsia="宋体" w:cs="宋体"/>
          <w:color w:val="auto"/>
          <w:sz w:val="24"/>
          <w:szCs w:val="32"/>
          <w:highlight w:val="none"/>
          <w:lang w:val="en-US" w:eastAsia="zh-CN"/>
        </w:rPr>
        <w:t>30天</w:t>
      </w:r>
      <w:r>
        <w:rPr>
          <w:rFonts w:hint="eastAsia" w:ascii="宋体" w:hAnsi="宋体" w:eastAsia="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3、成交供应商无故拖延、拒签合同的，磋商保证金将不予退还并取消成交资格。</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做出处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5、询问或者质疑事项可能影响成交结果的，采购人应当暂停签订合同，已经签订合同的，应当中止履行合同（成交结果的质疑期为成交结果公告期限届满之日起七个工作日）。</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1、采购人应当自政府采购合同签订之日起2个工作日内，在省级以上财政部门指定的政府采购信息发布媒体及相关网站上公告。</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2、采购人应当自政府采购合同签订之日起7个工作日内，将政府采购合同副本报同级人民政府财政部门备案以及采购组织机构存档。</w:t>
      </w:r>
    </w:p>
    <w:p>
      <w:pPr>
        <w:shd w:val="clear"/>
        <w:spacing w:line="360" w:lineRule="auto"/>
        <w:ind w:firstLine="480" w:firstLineChars="200"/>
        <w:jc w:val="left"/>
        <w:rPr>
          <w:rFonts w:ascii="宋体" w:hAnsi="宋体" w:cs="宋体"/>
          <w:color w:val="auto"/>
          <w:sz w:val="24"/>
          <w:szCs w:val="32"/>
          <w:highlight w:val="none"/>
          <w:lang w:val="zh-CN"/>
        </w:rPr>
      </w:pPr>
    </w:p>
    <w:p>
      <w:pPr>
        <w:shd w:val="clear"/>
        <w:spacing w:line="360" w:lineRule="auto"/>
        <w:ind w:firstLine="480" w:firstLineChars="200"/>
        <w:jc w:val="left"/>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10"/>
        <w:shd w:val="clear"/>
        <w:rPr>
          <w:rFonts w:ascii="宋体" w:hAnsi="宋体" w:cs="宋体"/>
          <w:color w:val="auto"/>
          <w:szCs w:val="32"/>
          <w:highlight w:val="none"/>
        </w:rPr>
      </w:pPr>
    </w:p>
    <w:p>
      <w:pPr>
        <w:pStyle w:val="11"/>
        <w:rPr>
          <w:rFonts w:ascii="宋体" w:hAnsi="宋体" w:cs="宋体"/>
          <w:color w:val="auto"/>
          <w:szCs w:val="32"/>
          <w:highlight w:val="none"/>
        </w:rPr>
      </w:pPr>
    </w:p>
    <w:p>
      <w:pPr>
        <w:rPr>
          <w:rFonts w:ascii="宋体" w:hAnsi="宋体" w:cs="宋体"/>
          <w:color w:val="auto"/>
          <w:szCs w:val="32"/>
          <w:highlight w:val="none"/>
        </w:rPr>
      </w:pPr>
    </w:p>
    <w:p>
      <w:pPr>
        <w:pStyle w:val="10"/>
        <w:rPr>
          <w:rFonts w:ascii="宋体" w:hAnsi="宋体" w:cs="宋体"/>
          <w:color w:val="auto"/>
          <w:szCs w:val="32"/>
          <w:highlight w:val="none"/>
        </w:rPr>
      </w:pPr>
    </w:p>
    <w:p>
      <w:pPr>
        <w:pStyle w:val="11"/>
        <w:rPr>
          <w:rFonts w:ascii="宋体" w:hAnsi="宋体" w:cs="宋体"/>
          <w:color w:val="auto"/>
          <w:szCs w:val="32"/>
          <w:highlight w:val="none"/>
        </w:rPr>
      </w:pPr>
    </w:p>
    <w:p>
      <w:pPr>
        <w:rPr>
          <w:color w:val="auto"/>
          <w:highlight w:val="none"/>
        </w:rPr>
      </w:pPr>
    </w:p>
    <w:p>
      <w:pPr>
        <w:pStyle w:val="10"/>
        <w:shd w:val="clear"/>
        <w:rPr>
          <w:rFonts w:ascii="宋体" w:hAnsi="宋体" w:cs="宋体"/>
          <w:color w:val="auto"/>
          <w:szCs w:val="32"/>
          <w:highlight w:val="none"/>
        </w:rPr>
      </w:pPr>
    </w:p>
    <w:p>
      <w:pPr>
        <w:pStyle w:val="11"/>
        <w:shd w:val="clear"/>
        <w:rPr>
          <w:rFonts w:ascii="宋体" w:hAnsi="宋体" w:cs="宋体"/>
          <w:color w:val="auto"/>
          <w:sz w:val="24"/>
          <w:szCs w:val="32"/>
          <w:highlight w:val="none"/>
        </w:rPr>
      </w:pPr>
    </w:p>
    <w:p>
      <w:pPr>
        <w:shd w:val="clear"/>
        <w:spacing w:line="360" w:lineRule="auto"/>
        <w:ind w:firstLine="1446" w:firstLineChars="400"/>
        <w:jc w:val="both"/>
        <w:rPr>
          <w:rFonts w:hint="eastAsia" w:ascii="宋体" w:hAnsi="宋体" w:cs="宋体"/>
          <w:b/>
          <w:bCs/>
          <w:color w:val="auto"/>
          <w:sz w:val="36"/>
          <w:szCs w:val="44"/>
          <w:highlight w:val="none"/>
        </w:rPr>
      </w:pPr>
    </w:p>
    <w:p>
      <w:pPr>
        <w:shd w:val="clear"/>
        <w:spacing w:line="360" w:lineRule="auto"/>
        <w:ind w:firstLine="1446" w:firstLineChars="400"/>
        <w:jc w:val="both"/>
        <w:rPr>
          <w:rFonts w:hint="eastAsia" w:ascii="宋体" w:hAnsi="宋体" w:cs="宋体"/>
          <w:b/>
          <w:bCs/>
          <w:color w:val="auto"/>
          <w:sz w:val="36"/>
          <w:szCs w:val="44"/>
          <w:highlight w:val="none"/>
        </w:rPr>
      </w:pPr>
    </w:p>
    <w:p>
      <w:pPr>
        <w:shd w:val="clear"/>
        <w:spacing w:line="360" w:lineRule="auto"/>
        <w:ind w:firstLine="1446" w:firstLineChars="400"/>
        <w:jc w:val="both"/>
        <w:rPr>
          <w:rFonts w:hint="eastAsia" w:ascii="宋体" w:hAnsi="宋体" w:cs="宋体"/>
          <w:b/>
          <w:bCs/>
          <w:color w:val="auto"/>
          <w:sz w:val="36"/>
          <w:szCs w:val="44"/>
          <w:highlight w:val="none"/>
        </w:rPr>
      </w:pPr>
    </w:p>
    <w:p>
      <w:pPr>
        <w:shd w:val="clear"/>
        <w:spacing w:line="360" w:lineRule="auto"/>
        <w:ind w:firstLine="1446" w:firstLineChars="400"/>
        <w:jc w:val="both"/>
        <w:rPr>
          <w:rFonts w:hint="eastAsia" w:ascii="宋体" w:hAnsi="宋体" w:cs="宋体"/>
          <w:b/>
          <w:bCs/>
          <w:color w:val="auto"/>
          <w:sz w:val="36"/>
          <w:szCs w:val="44"/>
          <w:highlight w:val="none"/>
        </w:rPr>
      </w:pPr>
    </w:p>
    <w:p>
      <w:pPr>
        <w:shd w:val="clear"/>
        <w:spacing w:line="360" w:lineRule="auto"/>
        <w:ind w:firstLine="1446" w:firstLineChars="400"/>
        <w:jc w:val="both"/>
        <w:rPr>
          <w:rFonts w:hint="eastAsia" w:ascii="宋体" w:hAnsi="宋体" w:cs="宋体"/>
          <w:b/>
          <w:bCs/>
          <w:color w:val="auto"/>
          <w:sz w:val="36"/>
          <w:szCs w:val="44"/>
          <w:highlight w:val="none"/>
        </w:rPr>
      </w:pPr>
    </w:p>
    <w:p>
      <w:pPr>
        <w:shd w:val="clear"/>
        <w:spacing w:line="360" w:lineRule="auto"/>
        <w:ind w:firstLine="1446" w:firstLineChars="400"/>
        <w:jc w:val="both"/>
        <w:rPr>
          <w:rFonts w:hint="eastAsia" w:ascii="宋体" w:hAnsi="宋体" w:cs="宋体"/>
          <w:b/>
          <w:bCs/>
          <w:color w:val="auto"/>
          <w:sz w:val="36"/>
          <w:szCs w:val="44"/>
          <w:highlight w:val="none"/>
        </w:rPr>
      </w:pPr>
    </w:p>
    <w:p>
      <w:pPr>
        <w:shd w:val="clear"/>
        <w:spacing w:line="360" w:lineRule="auto"/>
        <w:ind w:firstLine="1446" w:firstLineChars="400"/>
        <w:jc w:val="both"/>
        <w:rPr>
          <w:rFonts w:ascii="宋体" w:hAnsi="宋体" w:cs="宋体"/>
          <w:b/>
          <w:bCs/>
          <w:color w:val="auto"/>
          <w:sz w:val="36"/>
          <w:szCs w:val="44"/>
          <w:highlight w:val="none"/>
        </w:rPr>
      </w:pPr>
      <w:r>
        <w:rPr>
          <w:rFonts w:hint="eastAsia" w:ascii="宋体" w:hAnsi="宋体" w:cs="宋体"/>
          <w:b/>
          <w:bCs/>
          <w:color w:val="auto"/>
          <w:sz w:val="36"/>
          <w:szCs w:val="44"/>
          <w:highlight w:val="none"/>
        </w:rPr>
        <w:t>第三部分 评审办法及评审标准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一、采购组织机构将组织磋商小组，磋商小组由3人以上单数组成，对供应商提供的磋商响应文件进行综合评审。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二、本次磋商项目的评审方法为</w:t>
      </w:r>
      <w:r>
        <w:rPr>
          <w:rFonts w:hint="eastAsia" w:ascii="宋体" w:hAnsi="宋体" w:cs="宋体"/>
          <w:b/>
          <w:bCs/>
          <w:color w:val="auto"/>
          <w:sz w:val="24"/>
          <w:szCs w:val="32"/>
          <w:highlight w:val="none"/>
        </w:rPr>
        <w:t>综合评分法</w:t>
      </w:r>
      <w:r>
        <w:rPr>
          <w:rFonts w:hint="eastAsia" w:ascii="宋体" w:hAnsi="宋体" w:cs="宋体"/>
          <w:color w:val="auto"/>
          <w:sz w:val="24"/>
          <w:szCs w:val="32"/>
          <w:highlight w:val="none"/>
        </w:rPr>
        <w:t>，总计100分。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（一）商务与技术文件中的客观分由磋商小组讨论后统一打分；其余在规定的分值内单独评定打分。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（二）各磋商供应商商务与技术文件得分按照磋商小组成员的独立评分结果汇总后的算术平均分计算，计算公式为：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商务与技术文件得分=磋商小组所有成员评分合计数/磋商小组组成人员数。</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（三）综合评分法中的价格分统一采用低价优先法计算，即满足磋商文件要求通过一轮磋商且最后报价最低的供应商的价格作为磋商基准价，其报价得满分。其他供应商的价格分统一按照下列公式计算：</w:t>
      </w:r>
    </w:p>
    <w:p>
      <w:pPr>
        <w:shd w:val="clear"/>
        <w:spacing w:line="360" w:lineRule="auto"/>
        <w:ind w:firstLine="482" w:firstLineChars="200"/>
        <w:rPr>
          <w:rFonts w:hint="default" w:ascii="宋体" w:hAnsi="宋体" w:eastAsia="宋体" w:cs="宋体"/>
          <w:b/>
          <w:bCs/>
          <w:color w:val="auto"/>
          <w:sz w:val="24"/>
          <w:szCs w:val="32"/>
          <w:highlight w:val="none"/>
          <w:u w:val="single"/>
          <w:lang w:val="en-US" w:eastAsia="zh-CN"/>
        </w:rPr>
      </w:pPr>
      <w:r>
        <w:rPr>
          <w:rFonts w:hint="eastAsia" w:ascii="宋体" w:hAnsi="宋体" w:cs="宋体"/>
          <w:b/>
          <w:bCs/>
          <w:color w:val="auto"/>
          <w:sz w:val="24"/>
          <w:szCs w:val="32"/>
          <w:highlight w:val="none"/>
          <w:u w:val="single"/>
        </w:rPr>
        <w:t>投标报价得分＝（评标基准价</w:t>
      </w:r>
      <w:r>
        <w:rPr>
          <w:rFonts w:ascii="宋体" w:hAnsi="宋体" w:cs="宋体"/>
          <w:b/>
          <w:bCs/>
          <w:color w:val="auto"/>
          <w:sz w:val="24"/>
          <w:szCs w:val="32"/>
          <w:highlight w:val="none"/>
          <w:u w:val="single"/>
        </w:rPr>
        <w:t>/投标报价）×</w:t>
      </w:r>
      <w:r>
        <w:rPr>
          <w:rFonts w:hint="eastAsia" w:ascii="宋体" w:hAnsi="宋体" w:cs="宋体"/>
          <w:b/>
          <w:bCs/>
          <w:color w:val="auto"/>
          <w:sz w:val="24"/>
          <w:szCs w:val="32"/>
          <w:highlight w:val="none"/>
          <w:u w:val="single"/>
          <w:lang w:val="en-US" w:eastAsia="zh-CN"/>
        </w:rPr>
        <w:t>20</w:t>
      </w:r>
      <w:r>
        <w:rPr>
          <w:rFonts w:ascii="宋体" w:hAnsi="宋体" w:cs="宋体"/>
          <w:b/>
          <w:bCs/>
          <w:color w:val="auto"/>
          <w:sz w:val="24"/>
          <w:szCs w:val="32"/>
          <w:highlight w:val="none"/>
          <w:u w:val="single"/>
        </w:rPr>
        <w:t>%×100。（小数点后保留2位小数）</w:t>
      </w:r>
      <w:r>
        <w:rPr>
          <w:rFonts w:hint="eastAsia" w:ascii="宋体" w:hAnsi="宋体" w:cs="宋体"/>
          <w:b/>
          <w:bCs/>
          <w:color w:val="auto"/>
          <w:sz w:val="24"/>
          <w:szCs w:val="32"/>
          <w:highlight w:val="none"/>
          <w:u w:val="single"/>
          <w:lang w:val="en-US" w:eastAsia="zh-CN"/>
        </w:rPr>
        <w:t xml:space="preserve">  </w:t>
      </w:r>
    </w:p>
    <w:p>
      <w:pPr>
        <w:numPr>
          <w:ilvl w:val="0"/>
          <w:numId w:val="3"/>
        </w:num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政府采购政策及优惠：</w:t>
      </w:r>
    </w:p>
    <w:p>
      <w:pPr>
        <w:shd w:val="clear"/>
        <w:spacing w:line="360" w:lineRule="auto"/>
        <w:ind w:left="479" w:leftChars="228" w:firstLine="0" w:firstLineChars="0"/>
        <w:rPr>
          <w:rFonts w:ascii="宋体" w:hAnsi="宋体" w:cs="宋体"/>
          <w:color w:val="auto"/>
          <w:sz w:val="24"/>
          <w:szCs w:val="32"/>
          <w:highlight w:val="none"/>
        </w:rPr>
      </w:pPr>
      <w:r>
        <w:rPr>
          <w:rFonts w:hint="eastAsia" w:ascii="宋体" w:hAnsi="宋体" w:cs="宋体"/>
          <w:color w:val="auto"/>
          <w:kern w:val="0"/>
          <w:sz w:val="24"/>
          <w:highlight w:val="none"/>
        </w:rPr>
        <w:t>本项目专门面向中小企业采购，价格评审时，小微企业的投标价格不做扣除。</w:t>
      </w:r>
      <w:r>
        <w:rPr>
          <w:rFonts w:hint="eastAsia" w:ascii="宋体" w:hAnsi="宋体" w:cs="宋体"/>
          <w:color w:val="auto"/>
          <w:sz w:val="24"/>
          <w:szCs w:val="32"/>
          <w:highlight w:val="none"/>
        </w:rPr>
        <w:t>注：得分以系统计算为准，保留2位小数。</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三、</w:t>
      </w:r>
      <w:r>
        <w:rPr>
          <w:rFonts w:hint="eastAsia" w:ascii="宋体" w:hAnsi="宋体" w:eastAsia="宋体" w:cs="宋体"/>
          <w:color w:val="auto"/>
          <w:sz w:val="24"/>
          <w:highlight w:val="none"/>
          <w:lang w:val="zh-CN"/>
        </w:rPr>
        <w:t>在最大限度地满足磋商文件实质性要求前提下，</w:t>
      </w:r>
      <w:r>
        <w:rPr>
          <w:rFonts w:hint="eastAsia" w:ascii="宋体" w:hAnsi="宋体" w:eastAsia="宋体" w:cs="宋体"/>
          <w:color w:val="auto"/>
          <w:sz w:val="24"/>
          <w:highlight w:val="none"/>
        </w:rPr>
        <w:t>磋商小组</w:t>
      </w:r>
      <w:r>
        <w:rPr>
          <w:rFonts w:hint="eastAsia" w:ascii="宋体" w:hAnsi="宋体" w:eastAsia="宋体" w:cs="宋体"/>
          <w:color w:val="auto"/>
          <w:sz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四、如综合得分相同，最后报价低者为先；如综合得分且最后报价相同的，服务类采购项目以实力信誉及业绩得分较高者为先。</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五、本次评分具体分值细化条款如下表</w:t>
      </w:r>
      <w:r>
        <w:rPr>
          <w:rFonts w:hint="eastAsia" w:ascii="宋体" w:hAnsi="宋体" w:cs="宋体"/>
          <w:color w:val="auto"/>
          <w:sz w:val="24"/>
          <w:szCs w:val="32"/>
          <w:highlight w:val="none"/>
          <w:lang w:val="zh-CN"/>
        </w:rPr>
        <w:t>：</w:t>
      </w:r>
    </w:p>
    <w:tbl>
      <w:tblPr>
        <w:tblStyle w:val="28"/>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283"/>
        <w:gridCol w:w="71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73" w:type="dxa"/>
            <w:gridSpan w:val="2"/>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118" w:type="dxa"/>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08" w:type="dxa"/>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90" w:type="dxa"/>
            <w:vMerge w:val="restart"/>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283" w:type="dxa"/>
            <w:vMerge w:val="restart"/>
            <w:noWrap w:val="0"/>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Style w:val="91"/>
                <w:rFonts w:hint="eastAsia" w:ascii="宋体" w:hAnsi="宋体" w:eastAsia="宋体" w:cs="宋体"/>
                <w:color w:val="auto"/>
                <w:sz w:val="24"/>
                <w:szCs w:val="24"/>
                <w:highlight w:val="none"/>
                <w:lang w:val="en-US" w:eastAsia="zh-CN"/>
              </w:rPr>
              <w:t>承接经验</w:t>
            </w:r>
          </w:p>
        </w:tc>
        <w:tc>
          <w:tcPr>
            <w:tcW w:w="7118" w:type="dxa"/>
            <w:noWrap w:val="0"/>
            <w:vAlign w:val="center"/>
          </w:tcPr>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自2021年1月1日以来</w:t>
            </w:r>
            <w:r>
              <w:rPr>
                <w:rFonts w:hint="eastAsia" w:ascii="宋体" w:hAnsi="宋体" w:eastAsia="宋体" w:cs="宋体"/>
                <w:b w:val="0"/>
                <w:bCs w:val="0"/>
                <w:color w:val="auto"/>
                <w:kern w:val="0"/>
                <w:sz w:val="24"/>
                <w:szCs w:val="24"/>
                <w:highlight w:val="none"/>
                <w:u w:val="none"/>
                <w:lang w:val="zh-CN"/>
              </w:rPr>
              <w:t>（以合同签订时间为准），</w:t>
            </w:r>
            <w:r>
              <w:rPr>
                <w:rFonts w:hint="eastAsia" w:ascii="宋体" w:hAnsi="宋体" w:eastAsia="宋体" w:cs="宋体"/>
                <w:b w:val="0"/>
                <w:bCs w:val="0"/>
                <w:color w:val="auto"/>
                <w:kern w:val="0"/>
                <w:sz w:val="24"/>
                <w:szCs w:val="24"/>
                <w:highlight w:val="none"/>
                <w:u w:val="none"/>
                <w:lang w:val="en-US" w:eastAsia="zh-CN"/>
              </w:rPr>
              <w:t>承接过类似项目的，每提供1个合同得</w:t>
            </w:r>
            <w:r>
              <w:rPr>
                <w:rFonts w:hint="eastAsia" w:ascii="宋体" w:hAnsi="宋体" w:cs="宋体"/>
                <w:b w:val="0"/>
                <w:bCs w:val="0"/>
                <w:color w:val="auto"/>
                <w:kern w:val="0"/>
                <w:sz w:val="24"/>
                <w:szCs w:val="24"/>
                <w:highlight w:val="none"/>
                <w:u w:val="none"/>
                <w:lang w:val="en-US" w:eastAsia="zh-CN"/>
              </w:rPr>
              <w:t>1</w:t>
            </w:r>
            <w:r>
              <w:rPr>
                <w:rFonts w:hint="eastAsia" w:ascii="宋体" w:hAnsi="宋体" w:eastAsia="宋体" w:cs="宋体"/>
                <w:b w:val="0"/>
                <w:bCs w:val="0"/>
                <w:color w:val="auto"/>
                <w:kern w:val="0"/>
                <w:sz w:val="24"/>
                <w:szCs w:val="24"/>
                <w:highlight w:val="none"/>
                <w:u w:val="none"/>
                <w:lang w:val="en-US" w:eastAsia="zh-CN"/>
              </w:rPr>
              <w:t>分，最高得2分。</w:t>
            </w:r>
          </w:p>
          <w:p>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kern w:val="2"/>
                <w:sz w:val="24"/>
                <w:szCs w:val="24"/>
                <w:highlight w:val="none"/>
              </w:rPr>
              <w:t>提供有效的合同扫描件</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w:t>
            </w:r>
            <w:r>
              <w:rPr>
                <w:rFonts w:hint="eastAsia" w:ascii="宋体" w:hAnsi="宋体" w:eastAsia="宋体" w:cs="宋体"/>
                <w:b/>
                <w:bCs/>
                <w:color w:val="auto"/>
                <w:sz w:val="24"/>
                <w:szCs w:val="24"/>
                <w:highlight w:val="none"/>
                <w:lang w:val="en-US" w:eastAsia="zh-CN"/>
              </w:rPr>
              <w:t>未提供的不得分</w:t>
            </w:r>
            <w:r>
              <w:rPr>
                <w:rFonts w:hint="eastAsia" w:ascii="宋体" w:hAnsi="宋体" w:eastAsia="宋体" w:cs="宋体"/>
                <w:b/>
                <w:bCs/>
                <w:color w:val="auto"/>
                <w:sz w:val="24"/>
                <w:szCs w:val="24"/>
                <w:highlight w:val="none"/>
              </w:rPr>
              <w:t>）</w:t>
            </w:r>
          </w:p>
        </w:tc>
        <w:tc>
          <w:tcPr>
            <w:tcW w:w="708" w:type="dxa"/>
            <w:noWrap w:val="0"/>
            <w:vAlign w:val="center"/>
          </w:tcPr>
          <w:p>
            <w:pPr>
              <w:pStyle w:val="13"/>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1283" w:type="dxa"/>
            <w:vMerge w:val="restart"/>
            <w:noWrap w:val="0"/>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Style w:val="91"/>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项目组成员</w:t>
            </w:r>
          </w:p>
        </w:tc>
        <w:tc>
          <w:tcPr>
            <w:tcW w:w="71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投标人拟投入本项目的项目负责人：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烹</w:t>
            </w:r>
            <w:r>
              <w:rPr>
                <w:rFonts w:hint="eastAsia" w:ascii="宋体" w:hAnsi="宋体" w:eastAsia="宋体" w:cs="宋体"/>
                <w:b w:val="0"/>
                <w:bCs w:val="0"/>
                <w:color w:val="auto"/>
                <w:sz w:val="24"/>
                <w:szCs w:val="24"/>
                <w:highlight w:val="none"/>
                <w:lang w:eastAsia="zh-CN"/>
              </w:rPr>
              <w:t>饪、餐饮、酒店等管理专业毕业的中专中技及以上的，</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具有公共营养师证书得2分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color w:val="auto"/>
                <w:kern w:val="2"/>
                <w:sz w:val="24"/>
                <w:szCs w:val="24"/>
                <w:highlight w:val="none"/>
                <w:lang w:val="en-US" w:eastAsia="zh-CN" w:bidi="ar-SA"/>
              </w:rPr>
              <w:t>高级餐厅服务员证书</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须提供相关证书扫描件、职业证书须提供人社国网或人社省网查询截图，</w:t>
            </w:r>
            <w:r>
              <w:rPr>
                <w:rFonts w:hint="eastAsia" w:ascii="宋体" w:hAnsi="宋体" w:eastAsia="宋体" w:cs="宋体"/>
                <w:b/>
                <w:bCs/>
                <w:color w:val="auto"/>
                <w:sz w:val="24"/>
                <w:szCs w:val="24"/>
                <w:highlight w:val="none"/>
                <w:lang w:eastAsia="zh-CN"/>
              </w:rPr>
              <w:t>未提供或提供不全的不得分</w:t>
            </w:r>
            <w:r>
              <w:rPr>
                <w:rFonts w:hint="eastAsia" w:ascii="宋体" w:hAnsi="宋体" w:eastAsia="宋体" w:cs="宋体"/>
                <w:b/>
                <w:bCs/>
                <w:color w:val="auto"/>
                <w:sz w:val="24"/>
                <w:szCs w:val="24"/>
                <w:highlight w:val="none"/>
              </w:rPr>
              <w:t>）</w:t>
            </w:r>
          </w:p>
        </w:tc>
        <w:tc>
          <w:tcPr>
            <w:tcW w:w="708" w:type="dxa"/>
            <w:noWrap w:val="0"/>
            <w:vAlign w:val="center"/>
          </w:tcPr>
          <w:p>
            <w:pPr>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128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 w:val="24"/>
                <w:szCs w:val="24"/>
                <w:highlight w:val="none"/>
              </w:rPr>
            </w:pPr>
          </w:p>
        </w:tc>
        <w:tc>
          <w:tcPr>
            <w:tcW w:w="7118" w:type="dxa"/>
            <w:noWrap w:val="0"/>
            <w:vAlign w:val="top"/>
          </w:tcPr>
          <w:p>
            <w:pPr>
              <w:pStyle w:val="10"/>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厨师长</w:t>
            </w:r>
            <w:r>
              <w:rPr>
                <w:rFonts w:hint="eastAsia" w:ascii="宋体" w:hAnsi="宋体" w:eastAsia="宋体" w:cs="宋体"/>
                <w:b/>
                <w:bCs/>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具有中式烹调高级技师（一级）得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2、具有</w:t>
            </w:r>
            <w:r>
              <w:rPr>
                <w:rFonts w:hint="eastAsia" w:ascii="宋体" w:hAnsi="宋体" w:eastAsia="宋体" w:cs="宋体"/>
                <w:color w:val="auto"/>
                <w:sz w:val="24"/>
                <w:szCs w:val="24"/>
                <w:highlight w:val="none"/>
              </w:rPr>
              <w:t>高级健康管理师（</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级）得2分</w:t>
            </w:r>
            <w:r>
              <w:rPr>
                <w:rFonts w:hint="eastAsia" w:ascii="宋体" w:hAnsi="宋体" w:eastAsia="宋体" w:cs="宋体"/>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食品安全</w:t>
            </w:r>
            <w:r>
              <w:rPr>
                <w:rFonts w:hint="eastAsia" w:ascii="宋体" w:hAnsi="宋体" w:eastAsia="宋体" w:cs="宋体"/>
                <w:b w:val="0"/>
                <w:bCs w:val="0"/>
                <w:color w:val="auto"/>
                <w:sz w:val="24"/>
                <w:szCs w:val="24"/>
                <w:highlight w:val="none"/>
                <w:lang w:val="en-US" w:eastAsia="zh-CN"/>
              </w:rPr>
              <w:t>知识培训合格证明或食品安全管理人员培训合格证明的，得1分。</w:t>
            </w:r>
          </w:p>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人社</w:t>
            </w:r>
            <w:r>
              <w:rPr>
                <w:rFonts w:hint="eastAsia" w:ascii="宋体" w:hAnsi="宋体" w:eastAsia="宋体" w:cs="宋体"/>
                <w:b/>
                <w:color w:val="auto"/>
                <w:sz w:val="24"/>
                <w:szCs w:val="24"/>
                <w:highlight w:val="none"/>
                <w:lang w:eastAsia="zh-CN"/>
              </w:rPr>
              <w:t>国</w:t>
            </w:r>
            <w:r>
              <w:rPr>
                <w:rFonts w:hint="eastAsia" w:ascii="宋体" w:hAnsi="宋体" w:eastAsia="宋体" w:cs="宋体"/>
                <w:b/>
                <w:color w:val="auto"/>
                <w:sz w:val="24"/>
                <w:szCs w:val="24"/>
                <w:highlight w:val="none"/>
              </w:rPr>
              <w:t>网</w:t>
            </w:r>
            <w:r>
              <w:rPr>
                <w:rFonts w:hint="eastAsia" w:ascii="宋体" w:hAnsi="宋体" w:eastAsia="宋体" w:cs="宋体"/>
                <w:b/>
                <w:color w:val="auto"/>
                <w:sz w:val="24"/>
                <w:szCs w:val="24"/>
                <w:highlight w:val="none"/>
                <w:lang w:eastAsia="zh-CN"/>
              </w:rPr>
              <w:t>或人</w:t>
            </w:r>
            <w:r>
              <w:rPr>
                <w:rFonts w:hint="eastAsia" w:ascii="宋体" w:hAnsi="宋体" w:eastAsia="宋体" w:cs="宋体"/>
                <w:b/>
                <w:color w:val="auto"/>
                <w:sz w:val="24"/>
                <w:szCs w:val="24"/>
                <w:highlight w:val="none"/>
              </w:rPr>
              <w:t>社</w:t>
            </w:r>
            <w:r>
              <w:rPr>
                <w:rFonts w:hint="eastAsia" w:ascii="宋体" w:hAnsi="宋体" w:eastAsia="宋体" w:cs="宋体"/>
                <w:b/>
                <w:color w:val="auto"/>
                <w:sz w:val="24"/>
                <w:szCs w:val="24"/>
                <w:highlight w:val="none"/>
                <w:lang w:eastAsia="zh-CN"/>
              </w:rPr>
              <w:t>省</w:t>
            </w:r>
            <w:r>
              <w:rPr>
                <w:rFonts w:hint="eastAsia" w:ascii="宋体" w:hAnsi="宋体" w:eastAsia="宋体" w:cs="宋体"/>
                <w:b/>
                <w:color w:val="auto"/>
                <w:sz w:val="24"/>
                <w:szCs w:val="24"/>
                <w:highlight w:val="none"/>
              </w:rPr>
              <w:t>网</w:t>
            </w:r>
            <w:r>
              <w:rPr>
                <w:rFonts w:hint="eastAsia" w:ascii="宋体" w:hAnsi="宋体" w:eastAsia="宋体" w:cs="宋体"/>
                <w:b/>
                <w:bCs/>
                <w:color w:val="auto"/>
                <w:sz w:val="24"/>
                <w:szCs w:val="24"/>
                <w:highlight w:val="none"/>
              </w:rPr>
              <w:t>查询截图</w:t>
            </w:r>
            <w:r>
              <w:rPr>
                <w:rFonts w:hint="eastAsia" w:ascii="宋体" w:hAnsi="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未提供或提供不全的不得分</w:t>
            </w:r>
            <w:r>
              <w:rPr>
                <w:rFonts w:hint="eastAsia" w:ascii="宋体" w:hAnsi="宋体" w:eastAsia="宋体" w:cs="宋体"/>
                <w:b/>
                <w:bCs/>
                <w:color w:val="auto"/>
                <w:sz w:val="24"/>
                <w:szCs w:val="24"/>
                <w:highlight w:val="none"/>
              </w:rPr>
              <w:t>）</w:t>
            </w:r>
          </w:p>
        </w:tc>
        <w:tc>
          <w:tcPr>
            <w:tcW w:w="708" w:type="dxa"/>
            <w:noWrap w:val="0"/>
            <w:vAlign w:val="center"/>
          </w:tcPr>
          <w:p>
            <w:pPr>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128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 w:val="24"/>
                <w:szCs w:val="24"/>
                <w:highlight w:val="none"/>
              </w:rPr>
            </w:pPr>
          </w:p>
        </w:tc>
        <w:tc>
          <w:tcPr>
            <w:tcW w:w="7118" w:type="dxa"/>
            <w:noWrap w:val="0"/>
            <w:vAlign w:val="top"/>
          </w:tcPr>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厨师：</w:t>
            </w:r>
          </w:p>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w:t>
            </w:r>
            <w:r>
              <w:rPr>
                <w:rFonts w:hint="eastAsia" w:ascii="宋体" w:hAnsi="宋体" w:eastAsia="宋体" w:cs="宋体"/>
                <w:color w:val="auto"/>
                <w:sz w:val="24"/>
                <w:szCs w:val="24"/>
                <w:highlight w:val="none"/>
                <w:lang w:eastAsia="zh-CN"/>
              </w:rPr>
              <w:t>技师</w:t>
            </w:r>
            <w:r>
              <w:rPr>
                <w:rFonts w:hint="eastAsia" w:ascii="宋体" w:hAnsi="宋体" w:eastAsia="宋体" w:cs="宋体"/>
                <w:color w:val="auto"/>
                <w:sz w:val="24"/>
                <w:szCs w:val="24"/>
                <w:highlight w:val="none"/>
              </w:rPr>
              <w:t>及以上中式烹调师证</w:t>
            </w:r>
            <w:r>
              <w:rPr>
                <w:rFonts w:hint="eastAsia" w:ascii="宋体" w:hAnsi="宋体" w:eastAsia="宋体" w:cs="宋体"/>
                <w:color w:val="auto"/>
                <w:sz w:val="24"/>
                <w:szCs w:val="24"/>
                <w:highlight w:val="none"/>
                <w:lang w:eastAsia="zh-CN"/>
              </w:rPr>
              <w:t>（二级）</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食品安全</w:t>
            </w:r>
            <w:r>
              <w:rPr>
                <w:rFonts w:hint="eastAsia" w:ascii="宋体" w:hAnsi="宋体" w:eastAsia="宋体" w:cs="宋体"/>
                <w:b w:val="0"/>
                <w:bCs w:val="0"/>
                <w:color w:val="auto"/>
                <w:sz w:val="24"/>
                <w:szCs w:val="24"/>
                <w:highlight w:val="none"/>
                <w:lang w:val="en-US" w:eastAsia="zh-CN"/>
              </w:rPr>
              <w:t>知识培训合格证明或食品安全管理人员培训合格证明的，得1分。</w:t>
            </w:r>
          </w:p>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人社</w:t>
            </w:r>
            <w:r>
              <w:rPr>
                <w:rFonts w:hint="eastAsia" w:ascii="宋体" w:hAnsi="宋体" w:eastAsia="宋体" w:cs="宋体"/>
                <w:b/>
                <w:color w:val="auto"/>
                <w:sz w:val="24"/>
                <w:szCs w:val="24"/>
                <w:highlight w:val="none"/>
                <w:lang w:eastAsia="zh-CN"/>
              </w:rPr>
              <w:t>国</w:t>
            </w:r>
            <w:r>
              <w:rPr>
                <w:rFonts w:hint="eastAsia" w:ascii="宋体" w:hAnsi="宋体" w:eastAsia="宋体" w:cs="宋体"/>
                <w:b/>
                <w:color w:val="auto"/>
                <w:sz w:val="24"/>
                <w:szCs w:val="24"/>
                <w:highlight w:val="none"/>
              </w:rPr>
              <w:t>网</w:t>
            </w:r>
            <w:r>
              <w:rPr>
                <w:rFonts w:hint="eastAsia" w:ascii="宋体" w:hAnsi="宋体" w:eastAsia="宋体" w:cs="宋体"/>
                <w:b/>
                <w:color w:val="auto"/>
                <w:sz w:val="24"/>
                <w:szCs w:val="24"/>
                <w:highlight w:val="none"/>
                <w:lang w:eastAsia="zh-CN"/>
              </w:rPr>
              <w:t>或人</w:t>
            </w:r>
            <w:r>
              <w:rPr>
                <w:rFonts w:hint="eastAsia" w:ascii="宋体" w:hAnsi="宋体" w:eastAsia="宋体" w:cs="宋体"/>
                <w:b/>
                <w:color w:val="auto"/>
                <w:sz w:val="24"/>
                <w:szCs w:val="24"/>
                <w:highlight w:val="none"/>
              </w:rPr>
              <w:t>社</w:t>
            </w:r>
            <w:r>
              <w:rPr>
                <w:rFonts w:hint="eastAsia" w:ascii="宋体" w:hAnsi="宋体" w:eastAsia="宋体" w:cs="宋体"/>
                <w:b/>
                <w:color w:val="auto"/>
                <w:sz w:val="24"/>
                <w:szCs w:val="24"/>
                <w:highlight w:val="none"/>
                <w:lang w:eastAsia="zh-CN"/>
              </w:rPr>
              <w:t>省</w:t>
            </w:r>
            <w:r>
              <w:rPr>
                <w:rFonts w:hint="eastAsia" w:ascii="宋体" w:hAnsi="宋体" w:eastAsia="宋体" w:cs="宋体"/>
                <w:b/>
                <w:color w:val="auto"/>
                <w:sz w:val="24"/>
                <w:szCs w:val="24"/>
                <w:highlight w:val="none"/>
              </w:rPr>
              <w:t>网</w:t>
            </w:r>
            <w:r>
              <w:rPr>
                <w:rFonts w:hint="eastAsia" w:ascii="宋体" w:hAnsi="宋体" w:eastAsia="宋体" w:cs="宋体"/>
                <w:b/>
                <w:bCs/>
                <w:color w:val="auto"/>
                <w:sz w:val="24"/>
                <w:szCs w:val="24"/>
                <w:highlight w:val="none"/>
              </w:rPr>
              <w:t>查询截图</w:t>
            </w:r>
            <w:r>
              <w:rPr>
                <w:rFonts w:hint="eastAsia" w:ascii="宋体" w:hAnsi="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未提供或提供不全的不得分</w:t>
            </w:r>
            <w:r>
              <w:rPr>
                <w:rFonts w:hint="eastAsia" w:ascii="宋体" w:hAnsi="宋体" w:eastAsia="宋体" w:cs="宋体"/>
                <w:b/>
                <w:bCs/>
                <w:color w:val="auto"/>
                <w:sz w:val="24"/>
                <w:szCs w:val="24"/>
                <w:highlight w:val="none"/>
              </w:rPr>
              <w:t>）</w:t>
            </w:r>
          </w:p>
        </w:tc>
        <w:tc>
          <w:tcPr>
            <w:tcW w:w="708" w:type="dxa"/>
            <w:noWrap w:val="0"/>
            <w:vAlign w:val="center"/>
          </w:tcPr>
          <w:p>
            <w:pPr>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128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 w:val="24"/>
                <w:szCs w:val="24"/>
                <w:highlight w:val="none"/>
              </w:rPr>
            </w:pPr>
          </w:p>
        </w:tc>
        <w:tc>
          <w:tcPr>
            <w:tcW w:w="7118" w:type="dxa"/>
            <w:noWrap w:val="0"/>
            <w:vAlign w:val="top"/>
          </w:tcPr>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面点师：</w:t>
            </w:r>
          </w:p>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中式</w:t>
            </w:r>
            <w:r>
              <w:rPr>
                <w:rFonts w:hint="eastAsia" w:ascii="宋体" w:hAnsi="宋体" w:eastAsia="宋体" w:cs="宋体"/>
                <w:color w:val="auto"/>
                <w:sz w:val="24"/>
                <w:szCs w:val="24"/>
                <w:highlight w:val="none"/>
              </w:rPr>
              <w:t>面点师</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西式面点师</w:t>
            </w:r>
            <w:r>
              <w:rPr>
                <w:rFonts w:hint="eastAsia" w:ascii="宋体" w:hAnsi="宋体" w:eastAsia="宋体" w:cs="宋体"/>
                <w:color w:val="auto"/>
                <w:sz w:val="24"/>
                <w:szCs w:val="24"/>
                <w:highlight w:val="none"/>
              </w:rPr>
              <w:t>证的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食品安全</w:t>
            </w:r>
            <w:r>
              <w:rPr>
                <w:rFonts w:hint="eastAsia" w:ascii="宋体" w:hAnsi="宋体" w:eastAsia="宋体" w:cs="宋体"/>
                <w:b w:val="0"/>
                <w:bCs w:val="0"/>
                <w:color w:val="auto"/>
                <w:sz w:val="24"/>
                <w:szCs w:val="24"/>
                <w:highlight w:val="none"/>
                <w:lang w:val="en-US" w:eastAsia="zh-CN"/>
              </w:rPr>
              <w:t>知识培训合格证明或食品安全管理人员培训合格证明的，得1分。</w:t>
            </w:r>
          </w:p>
          <w:p>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rPr>
              <w:t>证书扫描件</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人社</w:t>
            </w:r>
            <w:r>
              <w:rPr>
                <w:rFonts w:hint="eastAsia" w:ascii="宋体" w:hAnsi="宋体" w:eastAsia="宋体" w:cs="宋体"/>
                <w:b/>
                <w:color w:val="auto"/>
                <w:sz w:val="24"/>
                <w:szCs w:val="24"/>
                <w:highlight w:val="none"/>
                <w:lang w:eastAsia="zh-CN"/>
              </w:rPr>
              <w:t>国</w:t>
            </w:r>
            <w:r>
              <w:rPr>
                <w:rFonts w:hint="eastAsia" w:ascii="宋体" w:hAnsi="宋体" w:eastAsia="宋体" w:cs="宋体"/>
                <w:b/>
                <w:color w:val="auto"/>
                <w:sz w:val="24"/>
                <w:szCs w:val="24"/>
                <w:highlight w:val="none"/>
              </w:rPr>
              <w:t>网</w:t>
            </w:r>
            <w:r>
              <w:rPr>
                <w:rFonts w:hint="eastAsia" w:ascii="宋体" w:hAnsi="宋体" w:eastAsia="宋体" w:cs="宋体"/>
                <w:b/>
                <w:color w:val="auto"/>
                <w:sz w:val="24"/>
                <w:szCs w:val="24"/>
                <w:highlight w:val="none"/>
                <w:lang w:eastAsia="zh-CN"/>
              </w:rPr>
              <w:t>或人</w:t>
            </w:r>
            <w:r>
              <w:rPr>
                <w:rFonts w:hint="eastAsia" w:ascii="宋体" w:hAnsi="宋体" w:eastAsia="宋体" w:cs="宋体"/>
                <w:b/>
                <w:color w:val="auto"/>
                <w:sz w:val="24"/>
                <w:szCs w:val="24"/>
                <w:highlight w:val="none"/>
              </w:rPr>
              <w:t>社</w:t>
            </w:r>
            <w:r>
              <w:rPr>
                <w:rFonts w:hint="eastAsia" w:ascii="宋体" w:hAnsi="宋体" w:eastAsia="宋体" w:cs="宋体"/>
                <w:b/>
                <w:color w:val="auto"/>
                <w:sz w:val="24"/>
                <w:szCs w:val="24"/>
                <w:highlight w:val="none"/>
                <w:lang w:eastAsia="zh-CN"/>
              </w:rPr>
              <w:t>省</w:t>
            </w:r>
            <w:r>
              <w:rPr>
                <w:rFonts w:hint="eastAsia" w:ascii="宋体" w:hAnsi="宋体" w:eastAsia="宋体" w:cs="宋体"/>
                <w:b/>
                <w:color w:val="auto"/>
                <w:sz w:val="24"/>
                <w:szCs w:val="24"/>
                <w:highlight w:val="none"/>
              </w:rPr>
              <w:t>网</w:t>
            </w:r>
            <w:r>
              <w:rPr>
                <w:rFonts w:hint="eastAsia" w:ascii="宋体" w:hAnsi="宋体" w:eastAsia="宋体" w:cs="宋体"/>
                <w:b/>
                <w:bCs/>
                <w:color w:val="auto"/>
                <w:sz w:val="24"/>
                <w:szCs w:val="24"/>
                <w:highlight w:val="none"/>
              </w:rPr>
              <w:t>查询截图</w:t>
            </w:r>
            <w:r>
              <w:rPr>
                <w:rFonts w:hint="eastAsia" w:ascii="宋体" w:hAnsi="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未提供或提供不全的不得分</w:t>
            </w:r>
            <w:r>
              <w:rPr>
                <w:rFonts w:hint="eastAsia" w:ascii="宋体" w:hAnsi="宋体" w:eastAsia="宋体" w:cs="宋体"/>
                <w:b/>
                <w:bCs/>
                <w:color w:val="auto"/>
                <w:sz w:val="24"/>
                <w:szCs w:val="24"/>
                <w:highlight w:val="none"/>
              </w:rPr>
              <w:t>）</w:t>
            </w:r>
          </w:p>
        </w:tc>
        <w:tc>
          <w:tcPr>
            <w:tcW w:w="708" w:type="dxa"/>
            <w:noWrap w:val="0"/>
            <w:vAlign w:val="center"/>
          </w:tcPr>
          <w:p>
            <w:pPr>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restart"/>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pPr>
              <w:pStyle w:val="10"/>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283" w:type="dxa"/>
            <w:vMerge w:val="restart"/>
            <w:noWrap w:val="0"/>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olor w:val="auto"/>
                <w:sz w:val="24"/>
                <w:szCs w:val="24"/>
                <w:highlight w:val="none"/>
              </w:rPr>
              <w:t>对本项目食品安全、环境卫生、综合治理、人事管理等方面制度完善情况</w:t>
            </w:r>
          </w:p>
        </w:tc>
        <w:tc>
          <w:tcPr>
            <w:tcW w:w="7118" w:type="dxa"/>
            <w:noWrap w:val="0"/>
            <w:vAlign w:val="center"/>
          </w:tcPr>
          <w:p>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根据投标人是</w:t>
            </w:r>
            <w:r>
              <w:rPr>
                <w:rFonts w:hint="eastAsia" w:ascii="宋体" w:hAnsi="宋体" w:eastAsia="宋体" w:cs="宋体"/>
                <w:color w:val="auto"/>
                <w:sz w:val="24"/>
                <w:szCs w:val="24"/>
                <w:highlight w:val="none"/>
              </w:rPr>
              <w:t>否具备完整的各项管理制度，包括卫生管理制度、食品安全管理制度、综合治理管理制度、突发性事件处置制度、公众服务制度、内部岗位责任制度、管理运作制度、员工考核制度、成本核算方案及应急保障方案等</w:t>
            </w:r>
            <w:r>
              <w:rPr>
                <w:rFonts w:hint="eastAsia" w:ascii="宋体" w:hAnsi="宋体" w:eastAsia="宋体" w:cs="宋体"/>
                <w:color w:val="auto"/>
                <w:sz w:val="24"/>
                <w:szCs w:val="24"/>
                <w:highlight w:val="none"/>
                <w:lang w:val="en-US" w:eastAsia="zh-CN"/>
              </w:rPr>
              <w:t>内容进行打分。</w:t>
            </w:r>
          </w:p>
          <w:p>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各项管理制度</w:t>
            </w:r>
            <w:r>
              <w:rPr>
                <w:rFonts w:hint="eastAsia" w:ascii="宋体" w:hAnsi="宋体" w:eastAsia="宋体" w:cs="宋体"/>
                <w:color w:val="auto"/>
                <w:sz w:val="24"/>
                <w:szCs w:val="24"/>
                <w:highlight w:val="none"/>
              </w:rPr>
              <w:t>内容完整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且有详细介绍，合理</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能很好地满足招标需求、措施详尽且具有操作性</w:t>
            </w:r>
            <w:r>
              <w:rPr>
                <w:rFonts w:hint="eastAsia" w:ascii="宋体" w:hAnsi="宋体" w:eastAsia="宋体" w:cs="宋体"/>
                <w:color w:val="auto"/>
                <w:sz w:val="24"/>
                <w:szCs w:val="24"/>
                <w:highlight w:val="none"/>
                <w:lang w:val="en-US" w:eastAsia="zh-CN"/>
              </w:rPr>
              <w:t>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3.0-5.0</w:t>
            </w:r>
            <w:r>
              <w:rPr>
                <w:rFonts w:hint="eastAsia" w:ascii="宋体" w:hAnsi="宋体" w:eastAsia="宋体" w:cs="宋体"/>
                <w:color w:val="auto"/>
                <w:sz w:val="24"/>
                <w:szCs w:val="24"/>
                <w:highlight w:val="none"/>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各项管理制度</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均有提及，但较为简单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方案可行性一般</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0.1-2.9</w:t>
            </w:r>
            <w:r>
              <w:rPr>
                <w:rFonts w:hint="eastAsia" w:ascii="宋体" w:hAnsi="宋体" w:eastAsia="宋体" w:cs="宋体"/>
                <w:color w:val="auto"/>
                <w:sz w:val="24"/>
                <w:szCs w:val="24"/>
                <w:highlight w:val="none"/>
              </w:rPr>
              <w:t>分</w:t>
            </w:r>
            <w:r>
              <w:rPr>
                <w:rFonts w:hint="eastAsia" w:ascii="宋体" w:hAnsi="宋体" w:eastAsia="宋体" w:cs="宋体"/>
                <w:b w:val="0"/>
                <w:color w:val="auto"/>
                <w:sz w:val="24"/>
                <w:szCs w:val="24"/>
                <w:highlight w:val="none"/>
                <w:lang w:val="en-US" w:eastAsia="zh-CN"/>
              </w:rPr>
              <w:t>；</w:t>
            </w:r>
          </w:p>
          <w:p>
            <w:pPr>
              <w:keepLines w:val="0"/>
              <w:pageBreakBefore w:val="0"/>
              <w:kinsoku/>
              <w:wordWrap/>
              <w:overflowPunct/>
              <w:topLinePunct w:val="0"/>
              <w:bidi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p>
        </w:tc>
        <w:tc>
          <w:tcPr>
            <w:tcW w:w="708" w:type="dxa"/>
            <w:noWrap w:val="0"/>
            <w:vAlign w:val="center"/>
          </w:tcPr>
          <w:p>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vMerge w:val="continue"/>
            <w:noWrap w:val="0"/>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 w:val="24"/>
                <w:szCs w:val="24"/>
                <w:highlight w:val="none"/>
              </w:rPr>
            </w:pPr>
          </w:p>
        </w:tc>
        <w:tc>
          <w:tcPr>
            <w:tcW w:w="7118" w:type="dxa"/>
            <w:noWrap w:val="0"/>
            <w:vAlign w:val="center"/>
          </w:tcPr>
          <w:p>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根据各种卫生检查记录、员工考勤记录、食品留样记录和除四害记录等管理台账的建立与管理全面性、科学性和可行性</w:t>
            </w:r>
            <w:r>
              <w:rPr>
                <w:rFonts w:hint="eastAsia" w:ascii="宋体" w:hAnsi="宋体" w:eastAsia="宋体" w:cs="宋体"/>
                <w:color w:val="auto"/>
                <w:sz w:val="24"/>
                <w:szCs w:val="24"/>
                <w:highlight w:val="none"/>
                <w:lang w:val="en-US" w:eastAsia="zh-CN"/>
              </w:rPr>
              <w:t>等内容进行打分。</w:t>
            </w:r>
          </w:p>
          <w:p>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内容完整</w:t>
            </w:r>
            <w:r>
              <w:rPr>
                <w:rFonts w:hint="eastAsia" w:ascii="宋体" w:hAnsi="宋体" w:eastAsia="宋体" w:cs="宋体"/>
                <w:color w:val="auto"/>
                <w:sz w:val="24"/>
                <w:szCs w:val="24"/>
                <w:highlight w:val="none"/>
                <w:lang w:val="en-US" w:eastAsia="zh-CN"/>
              </w:rPr>
              <w:t>详细</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能很好地满足招标需求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措施详尽且具有操作性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3.0-5.0</w:t>
            </w:r>
            <w:r>
              <w:rPr>
                <w:rFonts w:hint="eastAsia" w:ascii="宋体" w:hAnsi="宋体" w:eastAsia="宋体" w:cs="宋体"/>
                <w:color w:val="auto"/>
                <w:sz w:val="24"/>
                <w:szCs w:val="24"/>
                <w:highlight w:val="none"/>
              </w:rPr>
              <w:t>分；</w:t>
            </w:r>
          </w:p>
          <w:p>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方案合理，但内容有欠缺，无法保障项目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质量的得0.1-2.9分；</w:t>
            </w:r>
          </w:p>
          <w:p>
            <w:pPr>
              <w:keepLines w:val="0"/>
              <w:pageBreakBefore w:val="0"/>
              <w:kinsoku/>
              <w:wordWrap/>
              <w:overflowPunct/>
              <w:topLinePunct w:val="0"/>
              <w:bidi w:val="0"/>
              <w:spacing w:line="240" w:lineRule="auto"/>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rPr>
              <w:t>未提及此项不得分</w:t>
            </w:r>
            <w:r>
              <w:rPr>
                <w:rFonts w:hint="eastAsia" w:ascii="宋体" w:hAnsi="宋体" w:eastAsia="宋体" w:cs="宋体"/>
                <w:b w:val="0"/>
                <w:color w:val="auto"/>
                <w:sz w:val="24"/>
                <w:szCs w:val="24"/>
                <w:highlight w:val="none"/>
                <w:lang w:val="en-US" w:eastAsia="zh-CN"/>
              </w:rPr>
              <w:t>。</w:t>
            </w:r>
          </w:p>
        </w:tc>
        <w:tc>
          <w:tcPr>
            <w:tcW w:w="708" w:type="dxa"/>
            <w:noWrap w:val="0"/>
            <w:vAlign w:val="center"/>
          </w:tcPr>
          <w:p>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菜谱及营养配比</w:t>
            </w:r>
          </w:p>
        </w:tc>
        <w:tc>
          <w:tcPr>
            <w:tcW w:w="7118" w:type="dxa"/>
            <w:noWrap w:val="0"/>
            <w:vAlign w:val="center"/>
          </w:tcPr>
          <w:p>
            <w:pPr>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按招标文件要求和标准，提供一份四季食谱，列出早中晚菜肴品种及价格，并作营养配比说明。根据菜肴营养合理、品种多样、荤素搭配情况</w:t>
            </w:r>
            <w:r>
              <w:rPr>
                <w:rFonts w:hint="eastAsia" w:ascii="宋体" w:hAnsi="宋体" w:eastAsia="宋体" w:cs="宋体"/>
                <w:color w:val="auto"/>
                <w:sz w:val="24"/>
                <w:szCs w:val="24"/>
                <w:highlight w:val="none"/>
                <w:lang w:val="en-US" w:eastAsia="zh-CN"/>
              </w:rPr>
              <w:t>进行打分。</w:t>
            </w:r>
          </w:p>
          <w:p>
            <w:pPr>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菜肴营养合理、品种多样、口味、荤素搭配合理的得</w:t>
            </w:r>
            <w:r>
              <w:rPr>
                <w:rFonts w:hint="eastAsia" w:ascii="宋体" w:hAnsi="宋体" w:eastAsia="宋体" w:cs="宋体"/>
                <w:bCs/>
                <w:color w:val="auto"/>
                <w:kern w:val="0"/>
                <w:sz w:val="24"/>
                <w:szCs w:val="24"/>
                <w:highlight w:val="none"/>
                <w:lang w:val="en-US" w:eastAsia="zh-CN"/>
              </w:rPr>
              <w:t>3.0-5.0</w:t>
            </w:r>
            <w:r>
              <w:rPr>
                <w:rFonts w:hint="eastAsia" w:ascii="宋体" w:hAnsi="宋体" w:eastAsia="宋体" w:cs="宋体"/>
                <w:bCs/>
                <w:color w:val="auto"/>
                <w:kern w:val="0"/>
                <w:sz w:val="24"/>
                <w:szCs w:val="24"/>
                <w:highlight w:val="none"/>
              </w:rPr>
              <w:t>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Cs/>
                <w:color w:val="auto"/>
                <w:kern w:val="0"/>
                <w:sz w:val="24"/>
                <w:szCs w:val="24"/>
                <w:highlight w:val="none"/>
              </w:rPr>
              <w:t>所列菜谱菜肴营养较合理、品种较多样、口味、荤素搭配较一般的</w:t>
            </w:r>
            <w:r>
              <w:rPr>
                <w:rFonts w:hint="eastAsia" w:ascii="宋体" w:hAnsi="宋体" w:eastAsia="宋体" w:cs="宋体"/>
                <w:b w:val="0"/>
                <w:color w:val="auto"/>
                <w:sz w:val="24"/>
                <w:szCs w:val="24"/>
                <w:highlight w:val="none"/>
                <w:lang w:val="en-US" w:eastAsia="zh-CN"/>
              </w:rPr>
              <w:t>得0.1-2.9分；</w:t>
            </w:r>
          </w:p>
          <w:p>
            <w:pPr>
              <w:keepLines w:val="0"/>
              <w:pageBreakBefore w:val="0"/>
              <w:numPr>
                <w:ilvl w:val="0"/>
                <w:numId w:val="0"/>
              </w:numPr>
              <w:kinsoku/>
              <w:wordWrap/>
              <w:overflowPunct/>
              <w:topLinePunct w:val="0"/>
              <w:bidi w:val="0"/>
              <w:spacing w:line="24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未提及此项不得分。</w:t>
            </w:r>
          </w:p>
        </w:tc>
        <w:tc>
          <w:tcPr>
            <w:tcW w:w="708" w:type="dxa"/>
            <w:noWrap w:val="0"/>
            <w:vAlign w:val="center"/>
          </w:tcPr>
          <w:p>
            <w:pPr>
              <w:pStyle w:val="3"/>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服务方案</w:t>
            </w:r>
          </w:p>
        </w:tc>
        <w:tc>
          <w:tcPr>
            <w:tcW w:w="71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根据投标</w:t>
            </w:r>
            <w:r>
              <w:rPr>
                <w:rFonts w:hint="eastAsia" w:ascii="宋体" w:hAnsi="宋体" w:eastAsia="宋体" w:cs="宋体"/>
                <w:snapToGrid w:val="0"/>
                <w:color w:val="auto"/>
                <w:kern w:val="0"/>
                <w:sz w:val="24"/>
                <w:szCs w:val="24"/>
                <w:highlight w:val="none"/>
                <w:lang w:val="en-US" w:eastAsia="zh-CN"/>
              </w:rPr>
              <w:t>针对本</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val="en-US" w:eastAsia="zh-CN"/>
              </w:rPr>
              <w:t>提供的</w:t>
            </w:r>
            <w:r>
              <w:rPr>
                <w:rFonts w:hint="eastAsia" w:ascii="宋体" w:hAnsi="宋体" w:eastAsia="宋体" w:cs="宋体"/>
                <w:snapToGrid w:val="0"/>
                <w:color w:val="auto"/>
                <w:kern w:val="0"/>
                <w:sz w:val="24"/>
                <w:szCs w:val="24"/>
                <w:highlight w:val="none"/>
              </w:rPr>
              <w:t>主要</w:t>
            </w:r>
            <w:r>
              <w:rPr>
                <w:rFonts w:hint="eastAsia" w:ascii="宋体" w:hAnsi="宋体" w:eastAsia="宋体" w:cs="宋体"/>
                <w:snapToGrid w:val="0"/>
                <w:color w:val="auto"/>
                <w:kern w:val="0"/>
                <w:sz w:val="24"/>
                <w:szCs w:val="24"/>
                <w:highlight w:val="none"/>
                <w:lang w:val="en-US" w:eastAsia="zh-CN"/>
              </w:rPr>
              <w:t>服务</w:t>
            </w:r>
            <w:r>
              <w:rPr>
                <w:rFonts w:hint="eastAsia" w:ascii="宋体" w:hAnsi="宋体" w:eastAsia="宋体" w:cs="宋体"/>
                <w:snapToGrid w:val="0"/>
                <w:color w:val="auto"/>
                <w:kern w:val="0"/>
                <w:sz w:val="24"/>
                <w:szCs w:val="24"/>
                <w:highlight w:val="none"/>
              </w:rPr>
              <w:t>思路是否明确、有针对性，方法的科学性、可操作性</w:t>
            </w:r>
            <w:r>
              <w:rPr>
                <w:rFonts w:hint="eastAsia" w:ascii="宋体" w:hAnsi="宋体" w:eastAsia="宋体" w:cs="宋体"/>
                <w:snapToGrid w:val="0"/>
                <w:color w:val="auto"/>
                <w:kern w:val="0"/>
                <w:sz w:val="24"/>
                <w:szCs w:val="24"/>
                <w:highlight w:val="none"/>
                <w:lang w:eastAsia="zh-CN"/>
              </w:rPr>
              <w:t>及</w:t>
            </w:r>
            <w:r>
              <w:rPr>
                <w:rFonts w:hint="eastAsia" w:ascii="宋体" w:hAnsi="宋体" w:eastAsia="宋体" w:cs="宋体"/>
                <w:bCs/>
                <w:color w:val="auto"/>
                <w:sz w:val="24"/>
                <w:szCs w:val="24"/>
                <w:highlight w:val="none"/>
              </w:rPr>
              <w:t>服务方案内容是否齐全、结构完整，表述准确、条理清晰程度</w:t>
            </w:r>
            <w:r>
              <w:rPr>
                <w:rFonts w:hint="eastAsia" w:ascii="宋体" w:hAnsi="宋体" w:eastAsia="宋体" w:cs="宋体"/>
                <w:snapToGrid w:val="0"/>
                <w:color w:val="auto"/>
                <w:kern w:val="0"/>
                <w:sz w:val="24"/>
                <w:szCs w:val="24"/>
                <w:highlight w:val="none"/>
              </w:rPr>
              <w:t>等方面</w:t>
            </w:r>
            <w:r>
              <w:rPr>
                <w:rFonts w:hint="eastAsia" w:ascii="宋体" w:hAnsi="宋体" w:eastAsia="宋体" w:cs="宋体"/>
                <w:snapToGrid w:val="0"/>
                <w:color w:val="auto"/>
                <w:kern w:val="0"/>
                <w:sz w:val="24"/>
                <w:szCs w:val="24"/>
                <w:highlight w:val="none"/>
                <w:lang w:val="en-US" w:eastAsia="zh-CN"/>
              </w:rPr>
              <w:t>进行打分。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方案内容全面，思路明确，方法合理可行能有效保障并有针对性的得</w:t>
            </w:r>
            <w:r>
              <w:rPr>
                <w:rFonts w:hint="eastAsia" w:ascii="宋体" w:hAnsi="宋体" w:eastAsia="宋体" w:cs="宋体"/>
                <w:bCs/>
                <w:color w:val="auto"/>
                <w:kern w:val="0"/>
                <w:sz w:val="24"/>
                <w:szCs w:val="24"/>
                <w:highlight w:val="none"/>
                <w:lang w:val="en-US" w:eastAsia="zh-CN"/>
              </w:rPr>
              <w:t>3.0-5.0</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方案内容简单，内容不完整但基本能保障的得</w:t>
            </w:r>
            <w:r>
              <w:rPr>
                <w:rFonts w:hint="eastAsia" w:ascii="宋体" w:hAnsi="宋体" w:eastAsia="宋体" w:cs="宋体"/>
                <w:b w:val="0"/>
                <w:color w:val="auto"/>
                <w:sz w:val="24"/>
                <w:szCs w:val="24"/>
                <w:highlight w:val="none"/>
                <w:lang w:val="en-US" w:eastAsia="zh-CN"/>
              </w:rPr>
              <w:t>0.1-2.9分</w:t>
            </w:r>
            <w:r>
              <w:rPr>
                <w:rFonts w:hint="eastAsia" w:ascii="宋体" w:hAnsi="宋体" w:eastAsia="宋体" w:cs="宋体"/>
                <w:bCs/>
                <w:color w:val="auto"/>
                <w:sz w:val="24"/>
                <w:szCs w:val="24"/>
                <w:highlight w:val="none"/>
                <w:lang w:val="en-US" w:eastAsia="zh-CN"/>
              </w:rPr>
              <w:t>；</w:t>
            </w:r>
          </w:p>
          <w:p>
            <w:pPr>
              <w:keepLines w:val="0"/>
              <w:pageBreakBefore w:val="0"/>
              <w:numPr>
                <w:ilvl w:val="0"/>
                <w:numId w:val="0"/>
              </w:numPr>
              <w:kinsoku/>
              <w:wordWrap/>
              <w:overflowPunct/>
              <w:topLinePunct w:val="0"/>
              <w:bidi w:val="0"/>
              <w:spacing w:line="240" w:lineRule="auto"/>
              <w:ind w:left="0" w:leftChars="0" w:firstLine="0" w:firstLineChars="0"/>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未提及此项不得分。</w:t>
            </w:r>
          </w:p>
        </w:tc>
        <w:tc>
          <w:tcPr>
            <w:tcW w:w="708" w:type="dxa"/>
            <w:noWrap w:val="0"/>
            <w:vAlign w:val="center"/>
          </w:tcPr>
          <w:p>
            <w:pPr>
              <w:pStyle w:val="3"/>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后勤管理方案</w:t>
            </w:r>
          </w:p>
        </w:tc>
        <w:tc>
          <w:tcPr>
            <w:tcW w:w="7118" w:type="dxa"/>
            <w:noWrap w:val="0"/>
            <w:vAlign w:val="center"/>
          </w:tcPr>
          <w:p>
            <w:pPr>
              <w:bidi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根据投标人</w:t>
            </w:r>
            <w:r>
              <w:rPr>
                <w:rFonts w:hint="eastAsia" w:ascii="宋体" w:hAnsi="宋体" w:eastAsia="宋体" w:cs="宋体"/>
                <w:b w:val="0"/>
                <w:bCs w:val="0"/>
                <w:color w:val="auto"/>
                <w:sz w:val="24"/>
                <w:szCs w:val="24"/>
                <w:highlight w:val="none"/>
              </w:rPr>
              <w:t>对食堂的后勤、卫生、保洁工作的描述及承诺进行打分</w:t>
            </w:r>
            <w:r>
              <w:rPr>
                <w:rFonts w:hint="eastAsia" w:ascii="宋体" w:hAnsi="宋体" w:eastAsia="宋体" w:cs="宋体"/>
                <w:b w:val="0"/>
                <w:bCs w:val="0"/>
                <w:color w:val="auto"/>
                <w:sz w:val="24"/>
                <w:szCs w:val="24"/>
                <w:highlight w:val="none"/>
                <w:lang w:eastAsia="zh-CN"/>
              </w:rPr>
              <w:t>。</w:t>
            </w:r>
          </w:p>
          <w:p>
            <w:pPr>
              <w:bidi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后勤保洁方案详细、有效保证卫生整洁的</w:t>
            </w:r>
            <w:r>
              <w:rPr>
                <w:rFonts w:hint="eastAsia" w:ascii="宋体" w:hAnsi="宋体" w:eastAsia="宋体" w:cs="宋体"/>
                <w:b w:val="0"/>
                <w:bCs w:val="0"/>
                <w:color w:val="auto"/>
                <w:sz w:val="24"/>
                <w:szCs w:val="24"/>
                <w:highlight w:val="none"/>
                <w:lang w:val="en-US" w:eastAsia="zh-CN"/>
              </w:rPr>
              <w:t>得3.0-5.0</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bidi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缺乏具体的后勤保洁方案，无法保证卫生整洁的</w:t>
            </w:r>
            <w:r>
              <w:rPr>
                <w:rFonts w:hint="eastAsia" w:ascii="宋体" w:hAnsi="宋体" w:eastAsia="宋体" w:cs="宋体"/>
                <w:b w:val="0"/>
                <w:bCs w:val="0"/>
                <w:color w:val="auto"/>
                <w:sz w:val="24"/>
                <w:szCs w:val="24"/>
                <w:highlight w:val="none"/>
                <w:lang w:val="en-US" w:eastAsia="zh-CN"/>
              </w:rPr>
              <w:t>得0.1-2.9</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bidi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未提及此项不得分。</w:t>
            </w:r>
          </w:p>
        </w:tc>
        <w:tc>
          <w:tcPr>
            <w:tcW w:w="708" w:type="dxa"/>
            <w:noWrap w:val="0"/>
            <w:vAlign w:val="center"/>
          </w:tcPr>
          <w:p>
            <w:pPr>
              <w:bidi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bidi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物品管理方案</w:t>
            </w:r>
          </w:p>
        </w:tc>
        <w:tc>
          <w:tcPr>
            <w:tcW w:w="7118" w:type="dxa"/>
            <w:noWrap w:val="0"/>
            <w:vAlign w:val="center"/>
          </w:tcPr>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highlight w:val="none"/>
              </w:rPr>
              <w:t>针对食堂内所提供的物品维护、保存、管理方案进行打分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管理方案先进、专业，能对物品完好保存的</w:t>
            </w:r>
            <w:r>
              <w:rPr>
                <w:rFonts w:hint="eastAsia" w:ascii="宋体" w:hAnsi="宋体" w:eastAsia="宋体" w:cs="宋体"/>
                <w:color w:val="auto"/>
                <w:sz w:val="24"/>
                <w:szCs w:val="24"/>
                <w:highlight w:val="none"/>
                <w:lang w:val="en-US" w:eastAsia="zh-CN"/>
              </w:rPr>
              <w:t>得3.0-5.0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管理方案简单、片面，容易造成物品丢失，缺乏严谨性的</w:t>
            </w:r>
            <w:r>
              <w:rPr>
                <w:rFonts w:hint="eastAsia" w:ascii="宋体" w:hAnsi="宋体" w:eastAsia="宋体" w:cs="宋体"/>
                <w:color w:val="auto"/>
                <w:sz w:val="24"/>
                <w:szCs w:val="24"/>
                <w:highlight w:val="none"/>
                <w:lang w:val="en-US" w:eastAsia="zh-CN"/>
              </w:rPr>
              <w:t>得0.1-2.9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未提及此项不得分。</w:t>
            </w:r>
          </w:p>
        </w:tc>
        <w:tc>
          <w:tcPr>
            <w:tcW w:w="708" w:type="dxa"/>
            <w:noWrap w:val="0"/>
            <w:vAlign w:val="center"/>
          </w:tcPr>
          <w:p>
            <w:pPr>
              <w:bidi w:val="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服务承诺</w:t>
            </w:r>
          </w:p>
        </w:tc>
        <w:tc>
          <w:tcPr>
            <w:tcW w:w="7118" w:type="dxa"/>
            <w:noWrap w:val="0"/>
            <w:vAlign w:val="center"/>
          </w:tcPr>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针对本项目服务质量、要求等相关承诺和支持力度</w:t>
            </w:r>
            <w:r>
              <w:rPr>
                <w:rFonts w:hint="eastAsia" w:ascii="宋体" w:hAnsi="宋体" w:eastAsia="宋体" w:cs="宋体"/>
                <w:color w:val="auto"/>
                <w:spacing w:val="-1"/>
                <w:sz w:val="24"/>
                <w:szCs w:val="24"/>
                <w:highlight w:val="none"/>
                <w:lang w:val="en-US" w:eastAsia="zh-CN"/>
              </w:rPr>
              <w:t>等情况进行打分。</w:t>
            </w:r>
          </w:p>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服务</w:t>
            </w:r>
            <w:r>
              <w:rPr>
                <w:rFonts w:hint="eastAsia" w:ascii="宋体" w:hAnsi="宋体" w:eastAsia="宋体" w:cs="宋体"/>
                <w:b w:val="0"/>
                <w:i w:val="0"/>
                <w:caps w:val="0"/>
                <w:color w:val="auto"/>
                <w:spacing w:val="0"/>
                <w:w w:val="100"/>
                <w:sz w:val="24"/>
                <w:szCs w:val="24"/>
                <w:highlight w:val="none"/>
                <w:lang w:val="en-US" w:eastAsia="zh-CN"/>
              </w:rPr>
              <w:t>承诺</w:t>
            </w:r>
            <w:r>
              <w:rPr>
                <w:rFonts w:hint="eastAsia" w:ascii="宋体" w:hAnsi="宋体" w:eastAsia="宋体" w:cs="宋体"/>
                <w:b w:val="0"/>
                <w:i w:val="0"/>
                <w:caps w:val="0"/>
                <w:color w:val="auto"/>
                <w:spacing w:val="0"/>
                <w:w w:val="100"/>
                <w:sz w:val="24"/>
                <w:szCs w:val="24"/>
                <w:highlight w:val="none"/>
              </w:rPr>
              <w:t>全面、后续保障措施合理有效的得</w:t>
            </w:r>
            <w:r>
              <w:rPr>
                <w:rFonts w:hint="eastAsia" w:ascii="宋体" w:hAnsi="宋体" w:eastAsia="宋体" w:cs="宋体"/>
                <w:b w:val="0"/>
                <w:i w:val="0"/>
                <w:caps w:val="0"/>
                <w:color w:val="auto"/>
                <w:spacing w:val="0"/>
                <w:w w:val="100"/>
                <w:sz w:val="24"/>
                <w:szCs w:val="24"/>
                <w:highlight w:val="none"/>
                <w:lang w:val="en-US" w:eastAsia="zh-CN"/>
              </w:rPr>
              <w:t>3.0-</w:t>
            </w:r>
            <w:r>
              <w:rPr>
                <w:rFonts w:hint="eastAsia" w:ascii="宋体" w:hAnsi="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lang w:val="en-US" w:eastAsia="zh-CN"/>
              </w:rPr>
              <w:t>.0</w:t>
            </w:r>
            <w:r>
              <w:rPr>
                <w:rFonts w:hint="eastAsia" w:ascii="宋体" w:hAnsi="宋体" w:eastAsia="宋体" w:cs="宋体"/>
                <w:b w:val="0"/>
                <w:i w:val="0"/>
                <w:caps w:val="0"/>
                <w:color w:val="auto"/>
                <w:spacing w:val="0"/>
                <w:w w:val="100"/>
                <w:sz w:val="24"/>
                <w:szCs w:val="24"/>
                <w:highlight w:val="none"/>
              </w:rPr>
              <w:t>分</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服务</w:t>
            </w:r>
            <w:r>
              <w:rPr>
                <w:rFonts w:hint="eastAsia" w:ascii="宋体" w:hAnsi="宋体" w:eastAsia="宋体" w:cs="宋体"/>
                <w:b w:val="0"/>
                <w:i w:val="0"/>
                <w:caps w:val="0"/>
                <w:color w:val="auto"/>
                <w:spacing w:val="0"/>
                <w:w w:val="100"/>
                <w:sz w:val="24"/>
                <w:szCs w:val="24"/>
                <w:highlight w:val="none"/>
                <w:lang w:val="en-US" w:eastAsia="zh-CN"/>
              </w:rPr>
              <w:t>承诺</w:t>
            </w:r>
            <w:r>
              <w:rPr>
                <w:rFonts w:hint="eastAsia" w:ascii="宋体" w:hAnsi="宋体" w:eastAsia="宋体" w:cs="宋体"/>
                <w:b w:val="0"/>
                <w:i w:val="0"/>
                <w:caps w:val="0"/>
                <w:color w:val="auto"/>
                <w:spacing w:val="0"/>
                <w:w w:val="100"/>
                <w:sz w:val="24"/>
                <w:szCs w:val="24"/>
                <w:highlight w:val="none"/>
              </w:rPr>
              <w:t>阐述较详尽，后续保障措施有欠缺的得0.1-</w:t>
            </w:r>
            <w:r>
              <w:rPr>
                <w:rFonts w:hint="eastAsia" w:ascii="宋体" w:hAnsi="宋体" w:eastAsia="宋体" w:cs="宋体"/>
                <w:b w:val="0"/>
                <w:i w:val="0"/>
                <w:caps w:val="0"/>
                <w:color w:val="auto"/>
                <w:spacing w:val="0"/>
                <w:w w:val="100"/>
                <w:sz w:val="24"/>
                <w:szCs w:val="24"/>
                <w:highlight w:val="none"/>
                <w:lang w:val="en-US" w:eastAsia="zh-CN"/>
              </w:rPr>
              <w:t>2.9</w:t>
            </w:r>
            <w:r>
              <w:rPr>
                <w:rFonts w:hint="eastAsia" w:ascii="宋体" w:hAnsi="宋体" w:eastAsia="宋体" w:cs="宋体"/>
                <w:b w:val="0"/>
                <w:i w:val="0"/>
                <w:caps w:val="0"/>
                <w:color w:val="auto"/>
                <w:spacing w:val="0"/>
                <w:w w:val="100"/>
                <w:sz w:val="24"/>
                <w:szCs w:val="24"/>
                <w:highlight w:val="none"/>
              </w:rPr>
              <w:t>分</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未提及此项不得分。</w:t>
            </w:r>
          </w:p>
        </w:tc>
        <w:tc>
          <w:tcPr>
            <w:tcW w:w="708" w:type="dxa"/>
            <w:noWrap w:val="0"/>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质量管控</w:t>
            </w:r>
          </w:p>
        </w:tc>
        <w:tc>
          <w:tcPr>
            <w:tcW w:w="71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根据投标人提供的质量保证措施，包括菜谱的品种，菜谱的质量保证，食材料的使用量控制等内容进行打分。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质控措施全面，合理可行，能有效保障并有针对性的得</w:t>
            </w:r>
            <w:r>
              <w:rPr>
                <w:rFonts w:hint="eastAsia" w:ascii="宋体" w:hAnsi="宋体" w:eastAsia="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措施简单，内容不完整但基本能保障的得</w:t>
            </w:r>
            <w:r>
              <w:rPr>
                <w:rFonts w:hint="eastAsia" w:ascii="宋体" w:hAnsi="宋体" w:eastAsia="宋体" w:cs="宋体"/>
                <w:b w:val="0"/>
                <w:color w:val="auto"/>
                <w:sz w:val="24"/>
                <w:szCs w:val="24"/>
                <w:highlight w:val="none"/>
                <w:lang w:val="en-US" w:eastAsia="zh-CN"/>
              </w:rPr>
              <w:t>0.1-2.9分</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未提及此项不得分。</w:t>
            </w:r>
          </w:p>
        </w:tc>
        <w:tc>
          <w:tcPr>
            <w:tcW w:w="708" w:type="dxa"/>
            <w:noWrap w:val="0"/>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应急预案</w:t>
            </w:r>
          </w:p>
        </w:tc>
        <w:tc>
          <w:tcPr>
            <w:tcW w:w="71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针对后续实际项目服务过程中可能遇到的紧急事件、异常处理等应急预案和对应的解决措施情况进行打分。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提出的应急措施科学可行的得</w:t>
            </w:r>
            <w:r>
              <w:rPr>
                <w:rFonts w:hint="eastAsia" w:ascii="宋体" w:hAnsi="宋体" w:eastAsia="宋体" w:cs="宋体"/>
                <w:bCs/>
                <w:color w:val="auto"/>
                <w:kern w:val="0"/>
                <w:sz w:val="24"/>
                <w:szCs w:val="24"/>
                <w:highlight w:val="none"/>
                <w:lang w:val="en-US" w:eastAsia="zh-CN"/>
              </w:rPr>
              <w:t>3.0-5.0</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提出的应急措施缺乏针对性和有效性的得</w:t>
            </w:r>
            <w:r>
              <w:rPr>
                <w:rFonts w:hint="eastAsia" w:ascii="宋体" w:hAnsi="宋体" w:eastAsia="宋体" w:cs="宋体"/>
                <w:b w:val="0"/>
                <w:color w:val="auto"/>
                <w:sz w:val="24"/>
                <w:szCs w:val="24"/>
                <w:highlight w:val="none"/>
                <w:lang w:val="en-US" w:eastAsia="zh-CN"/>
              </w:rPr>
              <w:t>0.1-2.9分</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未提及此项不得分。</w:t>
            </w:r>
          </w:p>
        </w:tc>
        <w:tc>
          <w:tcPr>
            <w:tcW w:w="708" w:type="dxa"/>
            <w:noWrap w:val="0"/>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rPr>
              <w:t>培训方案</w:t>
            </w:r>
          </w:p>
        </w:tc>
        <w:tc>
          <w:tcPr>
            <w:tcW w:w="71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投标人对投入本项目的工作人员，制定专业的</w:t>
            </w:r>
            <w:r>
              <w:rPr>
                <w:rFonts w:hint="eastAsia" w:ascii="宋体" w:hAnsi="宋体" w:eastAsia="宋体" w:cs="宋体"/>
                <w:color w:val="auto"/>
                <w:sz w:val="24"/>
                <w:szCs w:val="24"/>
                <w:highlight w:val="none"/>
              </w:rPr>
              <w:t>技术培训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根据提供的培训方案是否专业全面、培训计划是否切实可行进行</w:t>
            </w:r>
            <w:r>
              <w:rPr>
                <w:rFonts w:hint="eastAsia" w:ascii="宋体" w:hAnsi="宋体" w:eastAsia="宋体" w:cs="宋体"/>
                <w:color w:val="auto"/>
                <w:kern w:val="0"/>
                <w:sz w:val="24"/>
                <w:szCs w:val="24"/>
                <w:highlight w:val="none"/>
                <w:lang w:val="en-US" w:eastAsia="zh-CN"/>
              </w:rPr>
              <w:t>打分</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培训方案全面，</w:t>
            </w:r>
            <w:r>
              <w:rPr>
                <w:rFonts w:hint="eastAsia" w:ascii="宋体" w:hAnsi="宋体" w:eastAsia="宋体" w:cs="宋体"/>
                <w:bCs/>
                <w:color w:val="auto"/>
                <w:sz w:val="24"/>
                <w:szCs w:val="24"/>
                <w:highlight w:val="none"/>
                <w:lang w:val="en-US" w:eastAsia="zh-CN"/>
              </w:rPr>
              <w:t>安排合理</w:t>
            </w:r>
            <w:r>
              <w:rPr>
                <w:rFonts w:hint="eastAsia" w:ascii="宋体" w:hAnsi="宋体" w:eastAsia="宋体" w:cs="宋体"/>
                <w:bCs/>
                <w:color w:val="auto"/>
                <w:sz w:val="24"/>
                <w:szCs w:val="24"/>
                <w:highlight w:val="none"/>
              </w:rPr>
              <w:t>的得</w:t>
            </w:r>
            <w:r>
              <w:rPr>
                <w:rFonts w:hint="eastAsia" w:ascii="宋体" w:hAnsi="宋体" w:eastAsia="宋体" w:cs="宋体"/>
                <w:bCs/>
                <w:color w:val="auto"/>
                <w:kern w:val="0"/>
                <w:sz w:val="24"/>
                <w:szCs w:val="24"/>
                <w:highlight w:val="none"/>
                <w:lang w:val="en-US" w:eastAsia="zh-CN"/>
              </w:rPr>
              <w:t>3.0-5.0</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培训方案简单片面</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缺乏合理性</w:t>
            </w:r>
            <w:r>
              <w:rPr>
                <w:rFonts w:hint="eastAsia" w:ascii="宋体" w:hAnsi="宋体" w:eastAsia="宋体" w:cs="宋体"/>
                <w:bCs/>
                <w:color w:val="auto"/>
                <w:sz w:val="24"/>
                <w:szCs w:val="24"/>
                <w:highlight w:val="none"/>
              </w:rPr>
              <w:t>的得</w:t>
            </w:r>
            <w:r>
              <w:rPr>
                <w:rFonts w:hint="eastAsia" w:ascii="宋体" w:hAnsi="宋体" w:eastAsia="宋体" w:cs="宋体"/>
                <w:b w:val="0"/>
                <w:color w:val="auto"/>
                <w:sz w:val="24"/>
                <w:szCs w:val="24"/>
                <w:highlight w:val="none"/>
                <w:lang w:val="en-US" w:eastAsia="zh-CN"/>
              </w:rPr>
              <w:t>0.1-2.9分</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未提及此项不得分。</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节能措施</w:t>
            </w:r>
          </w:p>
        </w:tc>
        <w:tc>
          <w:tcPr>
            <w:tcW w:w="7118" w:type="dxa"/>
            <w:noWrap w:val="0"/>
            <w:vAlign w:val="center"/>
          </w:tcPr>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针对投标人提供的节能管理措施进行打分。</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节能措施全面，能有效保证食堂整体节能的</w:t>
            </w:r>
            <w:r>
              <w:rPr>
                <w:rFonts w:hint="eastAsia" w:ascii="宋体" w:hAnsi="宋体" w:eastAsia="宋体" w:cs="宋体"/>
                <w:color w:val="auto"/>
                <w:sz w:val="24"/>
                <w:szCs w:val="24"/>
                <w:highlight w:val="none"/>
                <w:lang w:val="en-US" w:eastAsia="zh-CN"/>
              </w:rPr>
              <w:t>得3.0-5.0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方案描述片面，缺乏针对性的</w:t>
            </w:r>
            <w:r>
              <w:rPr>
                <w:rFonts w:hint="eastAsia" w:ascii="宋体" w:hAnsi="宋体" w:eastAsia="宋体" w:cs="宋体"/>
                <w:color w:val="auto"/>
                <w:sz w:val="24"/>
                <w:szCs w:val="24"/>
                <w:highlight w:val="none"/>
                <w:lang w:val="en-US" w:eastAsia="zh-CN"/>
              </w:rPr>
              <w:t>得0.1-2.9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未提及此项不得分。</w:t>
            </w:r>
          </w:p>
        </w:tc>
        <w:tc>
          <w:tcPr>
            <w:tcW w:w="708" w:type="dxa"/>
            <w:noWrap w:val="0"/>
            <w:vAlign w:val="center"/>
          </w:tcPr>
          <w:p>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就餐投诉</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处理方案</w:t>
            </w:r>
          </w:p>
          <w:p>
            <w:pPr>
              <w:bidi w:val="0"/>
              <w:rPr>
                <w:rFonts w:hint="eastAsia" w:ascii="宋体" w:hAnsi="宋体" w:eastAsia="宋体" w:cs="宋体"/>
                <w:color w:val="auto"/>
                <w:sz w:val="24"/>
                <w:szCs w:val="24"/>
                <w:highlight w:val="none"/>
              </w:rPr>
            </w:pPr>
          </w:p>
        </w:tc>
        <w:tc>
          <w:tcPr>
            <w:tcW w:w="7118" w:type="dxa"/>
            <w:noWrap w:val="0"/>
            <w:vAlign w:val="center"/>
          </w:tcPr>
          <w:p>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针对本项目的就餐投诉处理的方案综合评分</w:t>
            </w:r>
            <w:r>
              <w:rPr>
                <w:rFonts w:hint="eastAsia" w:ascii="宋体" w:hAnsi="宋体" w:eastAsia="宋体" w:cs="宋体"/>
                <w:color w:val="auto"/>
                <w:sz w:val="24"/>
                <w:szCs w:val="24"/>
                <w:highlight w:val="none"/>
                <w:lang w:eastAsia="zh-CN"/>
              </w:rPr>
              <w:t>。</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方案完善、合理、针对性强的得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相关方案不全，操作性、针对性较差的得0.1-</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p>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未提供不得分。</w:t>
            </w:r>
          </w:p>
        </w:tc>
        <w:tc>
          <w:tcPr>
            <w:tcW w:w="708" w:type="dxa"/>
            <w:noWrap w:val="0"/>
            <w:vAlign w:val="center"/>
          </w:tcPr>
          <w:p>
            <w:pPr>
              <w:bidi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0" w:type="dxa"/>
            <w:vMerge w:val="continue"/>
            <w:noWrap w:val="0"/>
            <w:vAlign w:val="center"/>
          </w:tcPr>
          <w:p>
            <w:pPr>
              <w:pStyle w:val="11"/>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eastAsia="zh-CN"/>
              </w:rPr>
              <w:t>亮点及特色</w:t>
            </w:r>
          </w:p>
        </w:tc>
        <w:tc>
          <w:tcPr>
            <w:tcW w:w="711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根据投标人针对本项目实施中具有的亮点及特色的阐述情况进行打分。</w:t>
            </w:r>
          </w:p>
          <w:p>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bCs/>
                <w:color w:val="auto"/>
                <w:sz w:val="24"/>
                <w:szCs w:val="24"/>
                <w:highlight w:val="none"/>
                <w:lang w:val="en-US" w:eastAsia="zh-CN"/>
              </w:rPr>
              <w:t>针对本项目阐述的亮点及特色</w:t>
            </w:r>
            <w:r>
              <w:rPr>
                <w:rFonts w:hint="eastAsia" w:ascii="宋体" w:hAnsi="宋体" w:eastAsia="宋体" w:cs="宋体"/>
                <w:bCs/>
                <w:color w:val="auto"/>
                <w:sz w:val="24"/>
                <w:szCs w:val="24"/>
                <w:highlight w:val="none"/>
              </w:rPr>
              <w:t>内容全面，</w:t>
            </w:r>
            <w:r>
              <w:rPr>
                <w:rFonts w:hint="eastAsia" w:ascii="宋体" w:hAnsi="宋体" w:eastAsia="宋体" w:cs="宋体"/>
                <w:bCs/>
                <w:color w:val="auto"/>
                <w:sz w:val="24"/>
                <w:szCs w:val="24"/>
                <w:highlight w:val="none"/>
                <w:lang w:val="en-US" w:eastAsia="zh-CN"/>
              </w:rPr>
              <w:t>满足项目要求</w:t>
            </w:r>
            <w:r>
              <w:rPr>
                <w:rFonts w:hint="eastAsia" w:ascii="宋体" w:hAnsi="宋体" w:eastAsia="宋体" w:cs="宋体"/>
                <w:color w:val="auto"/>
                <w:spacing w:val="-4"/>
                <w:sz w:val="24"/>
                <w:szCs w:val="24"/>
                <w:highlight w:val="none"/>
              </w:rPr>
              <w:t>的得</w:t>
            </w:r>
            <w:r>
              <w:rPr>
                <w:rFonts w:hint="eastAsia" w:ascii="宋体" w:hAnsi="宋体" w:eastAsia="宋体" w:cs="宋体"/>
                <w:color w:val="auto"/>
                <w:spacing w:val="-4"/>
                <w:sz w:val="24"/>
                <w:szCs w:val="24"/>
                <w:highlight w:val="none"/>
                <w:lang w:val="en-US" w:eastAsia="zh-CN"/>
              </w:rPr>
              <w:t>1.0-2.0</w:t>
            </w:r>
            <w:r>
              <w:rPr>
                <w:rFonts w:hint="eastAsia" w:ascii="宋体" w:hAnsi="宋体" w:eastAsia="宋体" w:cs="宋体"/>
                <w:color w:val="auto"/>
                <w:spacing w:val="-4"/>
                <w:sz w:val="24"/>
                <w:szCs w:val="24"/>
                <w:highlight w:val="none"/>
              </w:rPr>
              <w:t>分；</w:t>
            </w:r>
          </w:p>
          <w:p>
            <w:pPr>
              <w:pStyle w:val="92"/>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阐述简单，内容有提及但不完整的</w:t>
            </w:r>
            <w:r>
              <w:rPr>
                <w:rFonts w:hint="eastAsia" w:ascii="宋体" w:hAnsi="宋体" w:eastAsia="宋体" w:cs="宋体"/>
                <w:color w:val="auto"/>
                <w:spacing w:val="-4"/>
                <w:sz w:val="24"/>
                <w:szCs w:val="24"/>
                <w:highlight w:val="none"/>
              </w:rPr>
              <w:t>得0.1-</w:t>
            </w:r>
            <w:r>
              <w:rPr>
                <w:rFonts w:hint="eastAsia" w:ascii="宋体" w:hAnsi="宋体" w:eastAsia="宋体" w:cs="宋体"/>
                <w:color w:val="auto"/>
                <w:spacing w:val="-4"/>
                <w:sz w:val="24"/>
                <w:szCs w:val="24"/>
                <w:highlight w:val="none"/>
                <w:lang w:val="en-US" w:eastAsia="zh-CN"/>
              </w:rPr>
              <w:t>0</w:t>
            </w:r>
            <w:r>
              <w:rPr>
                <w:rFonts w:hint="eastAsia" w:ascii="宋体" w:hAnsi="宋体" w:eastAsia="宋体" w:cs="宋体"/>
                <w:color w:val="auto"/>
                <w:spacing w:val="-4"/>
                <w:sz w:val="24"/>
                <w:szCs w:val="24"/>
                <w:highlight w:val="none"/>
              </w:rPr>
              <w:t>.9分；</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rPr>
              <w:t>未提及此项不得分。</w:t>
            </w:r>
          </w:p>
        </w:tc>
        <w:tc>
          <w:tcPr>
            <w:tcW w:w="708" w:type="dxa"/>
            <w:noWrap w:val="0"/>
            <w:vAlign w:val="center"/>
          </w:tcPr>
          <w:p>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3" w:type="dxa"/>
            <w:gridSpan w:val="2"/>
            <w:noWrap w:val="0"/>
            <w:vAlign w:val="center"/>
          </w:tcPr>
          <w:p>
            <w:pPr>
              <w:keepLines w:val="0"/>
              <w:pageBreakBefore w:val="0"/>
              <w:kinsoku/>
              <w:wordWrap/>
              <w:overflowPunct/>
              <w:topLinePunct w:val="0"/>
              <w:bidi w:val="0"/>
              <w:spacing w:beforeAutospacing="0" w:afterAutospacing="0" w:line="240" w:lineRule="auto"/>
              <w:ind w:left="0"/>
              <w:jc w:val="left"/>
              <w:textAlignment w:val="auto"/>
              <w:rPr>
                <w:rStyle w:val="91"/>
                <w:rFonts w:hint="eastAsia" w:ascii="宋体" w:hAnsi="宋体" w:eastAsia="宋体" w:cs="宋体"/>
                <w:color w:val="auto"/>
                <w:kern w:val="0"/>
                <w:sz w:val="24"/>
                <w:szCs w:val="24"/>
                <w:highlight w:val="none"/>
              </w:rPr>
            </w:pPr>
            <w:r>
              <w:rPr>
                <w:rStyle w:val="91"/>
                <w:rFonts w:hint="eastAsia" w:ascii="宋体" w:hAnsi="宋体" w:eastAsia="宋体" w:cs="宋体"/>
                <w:color w:val="auto"/>
                <w:kern w:val="0"/>
                <w:sz w:val="24"/>
                <w:szCs w:val="24"/>
                <w:highlight w:val="none"/>
              </w:rPr>
              <w:t>价格</w:t>
            </w:r>
          </w:p>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kern w:val="0"/>
                <w:sz w:val="24"/>
                <w:szCs w:val="24"/>
                <w:highlight w:val="none"/>
              </w:rPr>
            </w:pPr>
            <w:r>
              <w:rPr>
                <w:rStyle w:val="91"/>
                <w:rFonts w:hint="eastAsia" w:ascii="宋体" w:hAnsi="宋体" w:eastAsia="宋体" w:cs="宋体"/>
                <w:color w:val="auto"/>
                <w:kern w:val="0"/>
                <w:sz w:val="24"/>
                <w:szCs w:val="24"/>
                <w:highlight w:val="none"/>
              </w:rPr>
              <w:t>（</w:t>
            </w:r>
            <w:r>
              <w:rPr>
                <w:rStyle w:val="91"/>
                <w:rFonts w:hint="eastAsia" w:ascii="宋体" w:hAnsi="宋体" w:eastAsia="宋体" w:cs="宋体"/>
                <w:color w:val="auto"/>
                <w:kern w:val="0"/>
                <w:sz w:val="24"/>
                <w:szCs w:val="24"/>
                <w:highlight w:val="none"/>
                <w:lang w:val="en-US" w:eastAsia="zh-CN"/>
              </w:rPr>
              <w:t>20</w:t>
            </w:r>
            <w:r>
              <w:rPr>
                <w:rStyle w:val="91"/>
                <w:rFonts w:hint="eastAsia" w:ascii="宋体" w:hAnsi="宋体" w:eastAsia="宋体" w:cs="宋体"/>
                <w:color w:val="auto"/>
                <w:kern w:val="0"/>
                <w:sz w:val="24"/>
                <w:szCs w:val="24"/>
                <w:highlight w:val="none"/>
              </w:rPr>
              <w:t>分）</w:t>
            </w:r>
          </w:p>
        </w:tc>
        <w:tc>
          <w:tcPr>
            <w:tcW w:w="7118" w:type="dxa"/>
            <w:noWrap w:val="0"/>
            <w:vAlign w:val="center"/>
          </w:tcPr>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rPr>
              <w:t>取投标合格供应商的投标最终报价最低价</w:t>
            </w:r>
            <w:r>
              <w:rPr>
                <w:rFonts w:hint="eastAsia" w:ascii="宋体" w:hAnsi="宋体" w:eastAsia="宋体" w:cs="宋体"/>
                <w:color w:val="auto"/>
                <w:sz w:val="24"/>
                <w:szCs w:val="24"/>
                <w:highlight w:val="none"/>
                <w:lang w:val="zh-CN"/>
              </w:rPr>
              <w:t>为评标基准价，</w:t>
            </w:r>
            <w:r>
              <w:rPr>
                <w:rFonts w:hint="eastAsia" w:ascii="宋体" w:hAnsi="宋体" w:eastAsia="宋体" w:cs="宋体"/>
                <w:color w:val="auto"/>
                <w:sz w:val="24"/>
                <w:szCs w:val="24"/>
                <w:highlight w:val="none"/>
              </w:rPr>
              <w:t>基准价为2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。投标报价得分=(评标基准价／投标报价)×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%×100 。（</w:t>
            </w:r>
            <w:r>
              <w:rPr>
                <w:rFonts w:hint="eastAsia" w:ascii="宋体" w:hAnsi="宋体" w:eastAsia="宋体" w:cs="宋体"/>
                <w:color w:val="auto"/>
                <w:sz w:val="24"/>
                <w:szCs w:val="24"/>
                <w:highlight w:val="none"/>
              </w:rPr>
              <w:t>小数点后保留2位小数</w:t>
            </w:r>
            <w:r>
              <w:rPr>
                <w:rFonts w:hint="eastAsia" w:ascii="宋体" w:hAnsi="宋体" w:eastAsia="宋体" w:cs="宋体"/>
                <w:color w:val="auto"/>
                <w:sz w:val="24"/>
                <w:szCs w:val="24"/>
                <w:highlight w:val="none"/>
                <w:lang w:val="zh-CN"/>
              </w:rPr>
              <w:t>）。</w:t>
            </w:r>
          </w:p>
        </w:tc>
        <w:tc>
          <w:tcPr>
            <w:tcW w:w="708" w:type="dxa"/>
            <w:noWrap w:val="0"/>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p>
        </w:tc>
      </w:tr>
    </w:tbl>
    <w:p>
      <w:pPr>
        <w:pStyle w:val="10"/>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1"/>
        <w:rPr>
          <w:rFonts w:hint="eastAsia" w:ascii="宋体" w:hAnsi="宋体" w:cs="宋体"/>
          <w:color w:val="auto"/>
          <w:sz w:val="24"/>
          <w:szCs w:val="32"/>
          <w:highlight w:val="none"/>
          <w:lang w:val="zh-CN"/>
        </w:rPr>
      </w:pPr>
    </w:p>
    <w:p>
      <w:pPr>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1"/>
        <w:rPr>
          <w:rFonts w:hint="eastAsia" w:ascii="宋体" w:hAnsi="宋体" w:cs="宋体"/>
          <w:color w:val="auto"/>
          <w:sz w:val="24"/>
          <w:szCs w:val="32"/>
          <w:highlight w:val="none"/>
          <w:lang w:val="zh-CN"/>
        </w:rPr>
      </w:pPr>
    </w:p>
    <w:p>
      <w:pPr>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1"/>
        <w:rPr>
          <w:rFonts w:hint="eastAsia" w:ascii="宋体" w:hAnsi="宋体" w:cs="宋体"/>
          <w:color w:val="auto"/>
          <w:sz w:val="24"/>
          <w:szCs w:val="32"/>
          <w:highlight w:val="none"/>
          <w:lang w:val="zh-CN"/>
        </w:rPr>
      </w:pPr>
    </w:p>
    <w:p>
      <w:pPr>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1"/>
        <w:rPr>
          <w:rFonts w:hint="eastAsia" w:ascii="宋体" w:hAnsi="宋体" w:cs="宋体"/>
          <w:color w:val="auto"/>
          <w:sz w:val="24"/>
          <w:szCs w:val="32"/>
          <w:highlight w:val="none"/>
          <w:lang w:val="zh-CN"/>
        </w:rPr>
      </w:pPr>
    </w:p>
    <w:p>
      <w:pPr>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1"/>
        <w:rPr>
          <w:rFonts w:hint="eastAsia" w:ascii="宋体" w:hAnsi="宋体" w:cs="宋体"/>
          <w:color w:val="auto"/>
          <w:sz w:val="24"/>
          <w:szCs w:val="32"/>
          <w:highlight w:val="none"/>
          <w:lang w:val="zh-CN"/>
        </w:rPr>
      </w:pPr>
    </w:p>
    <w:p>
      <w:pPr>
        <w:rPr>
          <w:rFonts w:hint="eastAsia" w:ascii="宋体" w:hAnsi="宋体" w:cs="宋体"/>
          <w:color w:val="auto"/>
          <w:sz w:val="24"/>
          <w:szCs w:val="32"/>
          <w:highlight w:val="none"/>
          <w:lang w:val="zh-CN"/>
        </w:rPr>
      </w:pPr>
    </w:p>
    <w:p>
      <w:pPr>
        <w:pStyle w:val="10"/>
        <w:rPr>
          <w:rFonts w:hint="eastAsia" w:ascii="宋体" w:hAnsi="宋体" w:cs="宋体"/>
          <w:color w:val="auto"/>
          <w:sz w:val="24"/>
          <w:szCs w:val="32"/>
          <w:highlight w:val="none"/>
          <w:lang w:val="zh-CN"/>
        </w:rPr>
      </w:pPr>
    </w:p>
    <w:p>
      <w:pPr>
        <w:pStyle w:val="11"/>
        <w:rPr>
          <w:rFonts w:hint="eastAsia" w:ascii="宋体" w:hAnsi="宋体" w:cs="宋体"/>
          <w:color w:val="auto"/>
          <w:sz w:val="24"/>
          <w:szCs w:val="32"/>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numPr>
          <w:ilvl w:val="0"/>
          <w:numId w:val="5"/>
        </w:num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项目需求</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一、项目概况</w:t>
      </w:r>
    </w:p>
    <w:tbl>
      <w:tblPr>
        <w:tblStyle w:val="2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441"/>
        <w:gridCol w:w="420"/>
        <w:gridCol w:w="1020"/>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序</w:t>
            </w:r>
            <w:r>
              <w:rPr>
                <w:rFonts w:hint="eastAsia" w:ascii="宋体" w:hAnsi="宋体"/>
                <w:b/>
                <w:color w:val="auto"/>
                <w:sz w:val="24"/>
                <w:szCs w:val="24"/>
                <w:highlight w:val="none"/>
              </w:rPr>
              <w:t>号</w:t>
            </w:r>
          </w:p>
        </w:tc>
        <w:tc>
          <w:tcPr>
            <w:tcW w:w="2141"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项目名称</w:t>
            </w:r>
          </w:p>
        </w:tc>
        <w:tc>
          <w:tcPr>
            <w:tcW w:w="1105"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cs="宋体"/>
                <w:b/>
                <w:color w:val="auto"/>
                <w:kern w:val="0"/>
                <w:sz w:val="24"/>
                <w:szCs w:val="24"/>
                <w:highlight w:val="none"/>
              </w:rPr>
              <w:t>简要技术要求</w:t>
            </w:r>
          </w:p>
        </w:tc>
        <w:tc>
          <w:tcPr>
            <w:tcW w:w="441"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420" w:type="dxa"/>
            <w:noWrap w:val="0"/>
            <w:vAlign w:val="center"/>
          </w:tcPr>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1020" w:type="dxa"/>
            <w:noWrap w:val="0"/>
            <w:vAlign w:val="center"/>
          </w:tcPr>
          <w:p>
            <w:pPr>
              <w:tabs>
                <w:tab w:val="left" w:pos="8280"/>
              </w:tabs>
              <w:autoSpaceDE w:val="0"/>
              <w:autoSpaceDN w:val="0"/>
              <w:adjustRightInd w:val="0"/>
              <w:ind w:right="25"/>
              <w:jc w:val="center"/>
              <w:rPr>
                <w:rFonts w:hint="eastAsia" w:ascii="宋体" w:hAnsi="宋体"/>
                <w:b/>
                <w:color w:val="auto"/>
                <w:sz w:val="24"/>
                <w:szCs w:val="24"/>
                <w:highlight w:val="none"/>
              </w:rPr>
            </w:pPr>
            <w:r>
              <w:rPr>
                <w:rFonts w:hint="eastAsia" w:ascii="宋体" w:hAnsi="宋体"/>
                <w:b/>
                <w:color w:val="auto"/>
                <w:sz w:val="24"/>
                <w:szCs w:val="24"/>
                <w:highlight w:val="none"/>
              </w:rPr>
              <w:t>预算</w:t>
            </w:r>
          </w:p>
          <w:p>
            <w:pPr>
              <w:tabs>
                <w:tab w:val="left" w:pos="8280"/>
              </w:tabs>
              <w:autoSpaceDE w:val="0"/>
              <w:autoSpaceDN w:val="0"/>
              <w:adjustRightInd w:val="0"/>
              <w:ind w:right="25"/>
              <w:jc w:val="center"/>
              <w:rPr>
                <w:rFonts w:ascii="宋体" w:hAnsi="宋体"/>
                <w:b/>
                <w:color w:val="auto"/>
                <w:sz w:val="24"/>
                <w:szCs w:val="24"/>
                <w:highlight w:val="none"/>
              </w:rPr>
            </w:pPr>
            <w:r>
              <w:rPr>
                <w:rFonts w:hint="eastAsia" w:ascii="宋体" w:hAnsi="宋体"/>
                <w:b/>
                <w:color w:val="auto"/>
                <w:sz w:val="24"/>
                <w:szCs w:val="24"/>
                <w:highlight w:val="none"/>
              </w:rPr>
              <w:t>（万元）</w:t>
            </w:r>
          </w:p>
        </w:tc>
        <w:tc>
          <w:tcPr>
            <w:tcW w:w="3642" w:type="dxa"/>
            <w:noWrap w:val="0"/>
            <w:vAlign w:val="center"/>
          </w:tcPr>
          <w:p>
            <w:pPr>
              <w:tabs>
                <w:tab w:val="left" w:pos="8280"/>
              </w:tabs>
              <w:autoSpaceDE w:val="0"/>
              <w:autoSpaceDN w:val="0"/>
              <w:adjustRightInd w:val="0"/>
              <w:ind w:right="25" w:firstLine="240"/>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pPr>
              <w:tabs>
                <w:tab w:val="left" w:pos="8280"/>
              </w:tabs>
              <w:autoSpaceDE w:val="0"/>
              <w:autoSpaceDN w:val="0"/>
              <w:adjustRightInd w:val="0"/>
              <w:ind w:right="25"/>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2141" w:type="dxa"/>
            <w:noWrap w:val="0"/>
            <w:vAlign w:val="center"/>
          </w:tcPr>
          <w:p>
            <w:pPr>
              <w:tabs>
                <w:tab w:val="left" w:pos="8280"/>
              </w:tabs>
              <w:autoSpaceDE w:val="0"/>
              <w:autoSpaceDN w:val="0"/>
              <w:adjustRightInd w:val="0"/>
              <w:ind w:right="25"/>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食堂劳务外包服务项目</w:t>
            </w:r>
          </w:p>
        </w:tc>
        <w:tc>
          <w:tcPr>
            <w:tcW w:w="1105" w:type="dxa"/>
            <w:noWrap w:val="0"/>
            <w:vAlign w:val="center"/>
          </w:tcPr>
          <w:p>
            <w:pPr>
              <w:tabs>
                <w:tab w:val="left" w:pos="8280"/>
              </w:tabs>
              <w:autoSpaceDE w:val="0"/>
              <w:autoSpaceDN w:val="0"/>
              <w:adjustRightInd w:val="0"/>
              <w:ind w:right="25"/>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详见项目需求</w:t>
            </w:r>
          </w:p>
        </w:tc>
        <w:tc>
          <w:tcPr>
            <w:tcW w:w="441" w:type="dxa"/>
            <w:noWrap w:val="0"/>
            <w:vAlign w:val="center"/>
          </w:tcPr>
          <w:p>
            <w:pPr>
              <w:tabs>
                <w:tab w:val="left" w:pos="8280"/>
              </w:tabs>
              <w:autoSpaceDE w:val="0"/>
              <w:autoSpaceDN w:val="0"/>
              <w:adjustRightInd w:val="0"/>
              <w:ind w:right="25"/>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420" w:type="dxa"/>
            <w:noWrap w:val="0"/>
            <w:vAlign w:val="center"/>
          </w:tcPr>
          <w:p>
            <w:pPr>
              <w:widowControl/>
              <w:jc w:val="center"/>
              <w:rPr>
                <w:rFonts w:ascii="宋体" w:hAnsi="宋体"/>
                <w:color w:val="auto"/>
                <w:sz w:val="24"/>
                <w:szCs w:val="24"/>
                <w:highlight w:val="none"/>
              </w:rPr>
            </w:pPr>
            <w:r>
              <w:rPr>
                <w:rFonts w:hint="eastAsia" w:ascii="宋体" w:hAnsi="宋体"/>
                <w:color w:val="auto"/>
                <w:sz w:val="24"/>
                <w:szCs w:val="24"/>
                <w:highlight w:val="none"/>
                <w:lang w:val="en-US" w:eastAsia="zh-CN"/>
              </w:rPr>
              <w:t>项</w:t>
            </w:r>
          </w:p>
        </w:tc>
        <w:tc>
          <w:tcPr>
            <w:tcW w:w="1020" w:type="dxa"/>
            <w:noWrap w:val="0"/>
            <w:vAlign w:val="center"/>
          </w:tcPr>
          <w:p>
            <w:pPr>
              <w:tabs>
                <w:tab w:val="left" w:pos="8280"/>
              </w:tabs>
              <w:autoSpaceDE w:val="0"/>
              <w:autoSpaceDN w:val="0"/>
              <w:adjustRightInd w:val="0"/>
              <w:ind w:right="25"/>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134.2/两年</w:t>
            </w:r>
          </w:p>
        </w:tc>
        <w:tc>
          <w:tcPr>
            <w:tcW w:w="3642" w:type="dxa"/>
            <w:noWrap w:val="0"/>
            <w:vAlign w:val="center"/>
          </w:tcPr>
          <w:p>
            <w:pPr>
              <w:tabs>
                <w:tab w:val="left" w:pos="8280"/>
              </w:tabs>
              <w:autoSpaceDE w:val="0"/>
              <w:autoSpaceDN w:val="0"/>
              <w:adjustRightInd w:val="0"/>
              <w:ind w:right="25"/>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服务期限：两年。</w:t>
            </w:r>
            <w:r>
              <w:rPr>
                <w:rFonts w:hint="eastAsia" w:ascii="宋体" w:hAnsi="宋体" w:cs="宋体"/>
                <w:b/>
                <w:bCs/>
                <w:color w:val="auto"/>
                <w:sz w:val="24"/>
                <w:szCs w:val="24"/>
                <w:highlight w:val="none"/>
                <w:lang w:val="en-US" w:eastAsia="zh-CN"/>
              </w:rPr>
              <w:t>合同一年一签</w:t>
            </w:r>
            <w:r>
              <w:rPr>
                <w:rFonts w:hint="eastAsia" w:ascii="宋体" w:hAnsi="宋体" w:cs="宋体"/>
                <w:b w:val="0"/>
                <w:bCs w:val="0"/>
                <w:color w:val="auto"/>
                <w:sz w:val="24"/>
                <w:szCs w:val="24"/>
                <w:highlight w:val="none"/>
                <w:lang w:val="en-US" w:eastAsia="zh-CN"/>
              </w:rPr>
              <w:t>（</w:t>
            </w:r>
            <w:r>
              <w:rPr>
                <w:rFonts w:hint="default" w:cs="Times New Roman"/>
                <w:b w:val="0"/>
                <w:bCs w:val="0"/>
                <w:color w:val="auto"/>
                <w:sz w:val="24"/>
                <w:szCs w:val="24"/>
                <w:highlight w:val="none"/>
                <w:lang w:val="en-US" w:eastAsia="zh-CN"/>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r>
              <w:rPr>
                <w:rFonts w:hint="eastAsia" w:cs="Times New Roman"/>
                <w:b w:val="0"/>
                <w:bCs w:val="0"/>
                <w:color w:val="auto"/>
                <w:sz w:val="24"/>
                <w:szCs w:val="24"/>
                <w:highlight w:val="none"/>
                <w:lang w:val="en-US" w:eastAsia="zh-CN"/>
              </w:rPr>
              <w:t>）</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二、项目内容</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（一）承包内容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承包经营</w:t>
      </w:r>
      <w:r>
        <w:rPr>
          <w:rFonts w:hint="eastAsia" w:ascii="宋体" w:hAnsi="宋体" w:eastAsia="宋体" w:cs="宋体"/>
          <w:color w:val="auto"/>
          <w:sz w:val="24"/>
          <w:szCs w:val="24"/>
          <w:highlight w:val="none"/>
          <w:lang w:eastAsia="zh-CN"/>
        </w:rPr>
        <w:t>路桥法院</w:t>
      </w:r>
      <w:r>
        <w:rPr>
          <w:rFonts w:hint="eastAsia" w:ascii="宋体" w:hAnsi="宋体" w:eastAsia="宋体" w:cs="宋体"/>
          <w:color w:val="auto"/>
          <w:sz w:val="24"/>
          <w:szCs w:val="24"/>
          <w:highlight w:val="none"/>
        </w:rPr>
        <w:t>食堂，提供食堂炊事、保洁等劳务服务，负责供应职工早、中、晚餐，并根据实际需要提供会议（培训）和公务接待用餐服务。在确保上述就餐正常供应情况下，可根据职工需要，兼营小炒餐饮业务。食堂经营实行每周双休制</w:t>
      </w:r>
      <w:r>
        <w:rPr>
          <w:rFonts w:hint="eastAsia" w:ascii="宋体" w:hAnsi="宋体" w:eastAsia="宋体" w:cs="宋体"/>
          <w:color w:val="auto"/>
          <w:sz w:val="24"/>
          <w:szCs w:val="24"/>
          <w:highlight w:val="none"/>
          <w:lang w:eastAsia="zh-CN"/>
        </w:rPr>
        <w:t>（特殊情况除外）</w:t>
      </w:r>
      <w:r>
        <w:rPr>
          <w:rFonts w:hint="eastAsia" w:ascii="宋体" w:hAnsi="宋体" w:eastAsia="宋体" w:cs="宋体"/>
          <w:color w:val="auto"/>
          <w:sz w:val="24"/>
          <w:szCs w:val="24"/>
          <w:highlight w:val="none"/>
        </w:rPr>
        <w:t>，日常用餐规模人数约400人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早餐</w:t>
      </w:r>
      <w:r>
        <w:rPr>
          <w:rFonts w:hint="eastAsia" w:ascii="宋体" w:hAnsi="宋体" w:eastAsia="宋体" w:cs="宋体"/>
          <w:color w:val="auto"/>
          <w:sz w:val="24"/>
          <w:szCs w:val="24"/>
          <w:highlight w:val="none"/>
          <w:lang w:eastAsia="zh-CN"/>
        </w:rPr>
        <w:t>约</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0人，中餐约</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0人，晚餐视情况而定）</w:t>
      </w:r>
      <w:r>
        <w:rPr>
          <w:rFonts w:hint="eastAsia" w:ascii="宋体" w:hAnsi="宋体" w:eastAsia="宋体" w:cs="宋体"/>
          <w:color w:val="auto"/>
          <w:sz w:val="24"/>
          <w:szCs w:val="24"/>
          <w:highlight w:val="none"/>
        </w:rPr>
        <w:t>，其他用餐按实际情况提前告知予以保障。</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（二）具体要求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1.中标人应根据采购人的要求，于每周四下班前制订好下一周食谱，报采购人审定后实施。食谱的制订应按照应时、应地、应人的原则，倡导少油、少糖、少盐的健康理念，做到周周有创新，具体要求如下：</w:t>
      </w:r>
    </w:p>
    <w:p>
      <w:pPr>
        <w:keepNext w:val="0"/>
        <w:keepLines w:val="0"/>
        <w:pageBreakBefore w:val="0"/>
        <w:widowControl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①早餐主要为肉包、馒头、菜包、汤面、水饺、炒面</w:t>
      </w:r>
      <w:r>
        <w:rPr>
          <w:rFonts w:hint="eastAsia" w:ascii="宋体" w:hAnsi="宋体" w:eastAsia="宋体" w:cs="宋体"/>
          <w:color w:val="auto"/>
          <w:sz w:val="24"/>
          <w:szCs w:val="24"/>
          <w:highlight w:val="none"/>
          <w:lang w:eastAsia="zh-CN"/>
        </w:rPr>
        <w:t>、粥、西式点心</w:t>
      </w:r>
      <w:r>
        <w:rPr>
          <w:rFonts w:hint="eastAsia" w:ascii="宋体" w:hAnsi="宋体" w:eastAsia="宋体" w:cs="宋体"/>
          <w:color w:val="auto"/>
          <w:sz w:val="24"/>
          <w:szCs w:val="24"/>
          <w:highlight w:val="none"/>
        </w:rPr>
        <w:t>等不少于8</w:t>
      </w:r>
      <w:r>
        <w:rPr>
          <w:rFonts w:hint="eastAsia" w:ascii="宋体" w:hAnsi="宋体" w:eastAsia="宋体" w:cs="宋体"/>
          <w:color w:val="auto"/>
          <w:sz w:val="24"/>
          <w:szCs w:val="24"/>
          <w:highlight w:val="none"/>
          <w:lang w:eastAsia="zh-CN"/>
        </w:rPr>
        <w:t>种，小菜</w:t>
      </w:r>
      <w:r>
        <w:rPr>
          <w:rFonts w:hint="eastAsia" w:ascii="宋体" w:hAnsi="宋体" w:eastAsia="宋体" w:cs="宋体"/>
          <w:color w:val="auto"/>
          <w:sz w:val="24"/>
          <w:szCs w:val="24"/>
          <w:highlight w:val="none"/>
          <w:lang w:val="en-US" w:eastAsia="zh-CN"/>
        </w:rPr>
        <w:t>3种以上，为保证菜品新鲜当天提供的食品当天制作（特殊小菜除外）</w:t>
      </w:r>
      <w:r>
        <w:rPr>
          <w:rFonts w:hint="eastAsia" w:ascii="宋体" w:hAnsi="宋体" w:eastAsia="宋体" w:cs="宋体"/>
          <w:color w:val="auto"/>
          <w:sz w:val="24"/>
          <w:szCs w:val="24"/>
          <w:highlight w:val="none"/>
        </w:rPr>
        <w:t>，中餐至少保障</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0个品种以上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晚餐至少保障</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个品种以</w:t>
      </w:r>
      <w:r>
        <w:rPr>
          <w:rFonts w:hint="eastAsia" w:ascii="宋体" w:hAnsi="宋体" w:eastAsia="宋体" w:cs="宋体"/>
          <w:color w:val="auto"/>
          <w:sz w:val="24"/>
          <w:szCs w:val="24"/>
          <w:highlight w:val="none"/>
          <w:lang w:eastAsia="zh-CN"/>
        </w:rPr>
        <w:t>上，经采购人同意，适当穿插安排有特色的主食或营养健康餐等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品种要</w:t>
      </w:r>
      <w:r>
        <w:rPr>
          <w:rFonts w:hint="eastAsia" w:ascii="宋体" w:hAnsi="宋体" w:eastAsia="宋体" w:cs="宋体"/>
          <w:color w:val="auto"/>
          <w:sz w:val="24"/>
          <w:szCs w:val="24"/>
          <w:highlight w:val="none"/>
        </w:rPr>
        <w:t>荤素搭配，</w:t>
      </w:r>
      <w:r>
        <w:rPr>
          <w:rFonts w:hint="eastAsia" w:ascii="宋体" w:hAnsi="宋体" w:eastAsia="宋体" w:cs="宋体"/>
          <w:color w:val="auto"/>
          <w:sz w:val="24"/>
          <w:szCs w:val="24"/>
          <w:highlight w:val="none"/>
          <w:lang w:eastAsia="zh-CN"/>
        </w:rPr>
        <w:t>定期推出特色</w:t>
      </w:r>
      <w:r>
        <w:rPr>
          <w:rFonts w:hint="eastAsia" w:ascii="宋体" w:hAnsi="宋体" w:eastAsia="宋体" w:cs="宋体"/>
          <w:color w:val="auto"/>
          <w:sz w:val="24"/>
          <w:szCs w:val="24"/>
          <w:highlight w:val="none"/>
        </w:rPr>
        <w:t>卤</w:t>
      </w:r>
      <w:r>
        <w:rPr>
          <w:rFonts w:hint="eastAsia" w:ascii="宋体" w:hAnsi="宋体" w:eastAsia="宋体" w:cs="宋体"/>
          <w:color w:val="auto"/>
          <w:sz w:val="24"/>
          <w:szCs w:val="24"/>
          <w:highlight w:val="none"/>
          <w:lang w:eastAsia="zh-CN"/>
        </w:rPr>
        <w:t>品</w:t>
      </w:r>
      <w:r>
        <w:rPr>
          <w:rFonts w:hint="eastAsia" w:ascii="宋体" w:hAnsi="宋体" w:eastAsia="宋体" w:cs="宋体"/>
          <w:color w:val="auto"/>
          <w:sz w:val="24"/>
          <w:szCs w:val="24"/>
          <w:highlight w:val="none"/>
        </w:rPr>
        <w:t>，具体花色、品种调整核定由采购人负责审定。</w:t>
      </w:r>
      <w:r>
        <w:rPr>
          <w:rFonts w:hint="eastAsia" w:ascii="宋体" w:hAnsi="宋体" w:eastAsia="宋体" w:cs="宋体"/>
          <w:color w:val="auto"/>
          <w:sz w:val="24"/>
          <w:szCs w:val="24"/>
          <w:highlight w:val="none"/>
          <w:lang w:eastAsia="zh-CN"/>
        </w:rPr>
        <w:t>公务接待用餐中，需研究提供</w:t>
      </w:r>
      <w:r>
        <w:rPr>
          <w:rFonts w:hint="eastAsia" w:ascii="宋体" w:hAnsi="宋体" w:eastAsia="宋体" w:cs="宋体"/>
          <w:color w:val="auto"/>
          <w:sz w:val="24"/>
          <w:szCs w:val="24"/>
          <w:highlight w:val="none"/>
          <w:lang w:val="en-US" w:eastAsia="zh-CN"/>
        </w:rPr>
        <w:t>2-3个具有特色辨识度的菜品。</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标人根据就餐人数和食材成本及有关损耗，按照“保本经营”原则确定每个菜品的价格，并报采购人审定，价格一经审定后，中标人不得擅自改动。价格的制定既要让就餐机关干部职工吃得实惠，又要保证采购人每月不发生亏损的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2.原材料的采购由采购人负责，油、米、调料及低值易耗品也由采购人提供并计入成本。</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（三）承包费用和期限</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年承包费用。其中包括人工费、管理费、税费、服装费、</w:t>
      </w:r>
      <w:r>
        <w:rPr>
          <w:rFonts w:hint="eastAsia" w:ascii="宋体" w:hAnsi="宋体" w:eastAsia="宋体" w:cs="宋体"/>
          <w:color w:val="auto"/>
          <w:sz w:val="24"/>
          <w:szCs w:val="24"/>
          <w:highlight w:val="none"/>
          <w:lang w:eastAsia="zh-CN"/>
        </w:rPr>
        <w:t>公务或会议培训等接待服务费</w:t>
      </w:r>
      <w:r>
        <w:rPr>
          <w:rFonts w:hint="eastAsia" w:ascii="宋体" w:hAnsi="宋体" w:eastAsia="宋体" w:cs="宋体"/>
          <w:color w:val="auto"/>
          <w:sz w:val="24"/>
          <w:szCs w:val="24"/>
          <w:highlight w:val="none"/>
        </w:rPr>
        <w:t>及用工人员的一切费用。（不包括场租、煤气费、水电费）。</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承包方式：</w:t>
      </w:r>
      <w:r>
        <w:rPr>
          <w:rFonts w:hint="eastAsia" w:ascii="宋体" w:hAnsi="宋体" w:eastAsia="宋体" w:cs="宋体"/>
          <w:color w:val="auto"/>
          <w:sz w:val="24"/>
          <w:szCs w:val="24"/>
          <w:highlight w:val="none"/>
          <w:lang w:eastAsia="zh-CN"/>
        </w:rPr>
        <w:t>在承包期内，如采购人同意续签，</w:t>
      </w:r>
      <w:r>
        <w:rPr>
          <w:rFonts w:hint="eastAsia" w:ascii="宋体" w:hAnsi="宋体" w:eastAsia="宋体" w:cs="宋体"/>
          <w:color w:val="auto"/>
          <w:sz w:val="24"/>
          <w:szCs w:val="24"/>
          <w:highlight w:val="none"/>
        </w:rPr>
        <w:t>中标人必须无条件</w:t>
      </w:r>
      <w:r>
        <w:rPr>
          <w:rFonts w:hint="eastAsia" w:ascii="宋体" w:hAnsi="宋体" w:eastAsia="宋体" w:cs="宋体"/>
          <w:color w:val="auto"/>
          <w:sz w:val="24"/>
          <w:szCs w:val="24"/>
          <w:highlight w:val="none"/>
          <w:lang w:eastAsia="zh-CN"/>
        </w:rPr>
        <w:t>续签</w:t>
      </w:r>
      <w:r>
        <w:rPr>
          <w:rFonts w:hint="eastAsia" w:ascii="宋体" w:hAnsi="宋体" w:eastAsia="宋体" w:cs="宋体"/>
          <w:color w:val="auto"/>
          <w:sz w:val="24"/>
          <w:szCs w:val="24"/>
          <w:highlight w:val="none"/>
        </w:rPr>
        <w:t>并履行合同义务，否则合同履约保证金没收。</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3.承包服务起止时间：202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日至202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日。</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食堂服务外包一年一考核，如果</w:t>
      </w:r>
      <w:r>
        <w:rPr>
          <w:rFonts w:hint="eastAsia" w:ascii="宋体" w:hAnsi="宋体" w:eastAsia="宋体" w:cs="宋体"/>
          <w:b w:val="0"/>
          <w:bCs/>
          <w:color w:val="auto"/>
          <w:sz w:val="24"/>
          <w:szCs w:val="24"/>
          <w:highlight w:val="none"/>
          <w:lang w:eastAsia="zh-CN"/>
        </w:rPr>
        <w:t>通过采购人考评的，经甲方集体讨论后</w:t>
      </w:r>
      <w:r>
        <w:rPr>
          <w:rFonts w:hint="eastAsia" w:ascii="宋体" w:hAnsi="宋体" w:eastAsia="宋体" w:cs="宋体"/>
          <w:b w:val="0"/>
          <w:bCs/>
          <w:color w:val="auto"/>
          <w:sz w:val="24"/>
          <w:szCs w:val="24"/>
          <w:highlight w:val="none"/>
        </w:rPr>
        <w:t>，可</w:t>
      </w:r>
      <w:r>
        <w:rPr>
          <w:rFonts w:hint="eastAsia" w:ascii="宋体" w:hAnsi="宋体" w:eastAsia="宋体" w:cs="宋体"/>
          <w:b w:val="0"/>
          <w:bCs/>
          <w:color w:val="auto"/>
          <w:sz w:val="24"/>
          <w:szCs w:val="24"/>
          <w:highlight w:val="none"/>
          <w:lang w:val="en-US" w:eastAsia="zh-CN"/>
        </w:rPr>
        <w:t>继续由中标方承</w:t>
      </w:r>
      <w:r>
        <w:rPr>
          <w:rFonts w:hint="eastAsia" w:ascii="宋体" w:hAnsi="宋体" w:eastAsia="宋体" w:cs="宋体"/>
          <w:b w:val="0"/>
          <w:bCs/>
          <w:color w:val="auto"/>
          <w:sz w:val="24"/>
          <w:szCs w:val="24"/>
          <w:highlight w:val="none"/>
        </w:rPr>
        <w:t>包。如果由于</w:t>
      </w:r>
      <w:r>
        <w:rPr>
          <w:rFonts w:hint="eastAsia" w:ascii="宋体" w:hAnsi="宋体" w:eastAsia="宋体" w:cs="宋体"/>
          <w:b w:val="0"/>
          <w:bCs/>
          <w:color w:val="auto"/>
          <w:sz w:val="24"/>
          <w:szCs w:val="24"/>
          <w:highlight w:val="none"/>
          <w:lang w:val="en-US" w:eastAsia="zh-CN"/>
        </w:rPr>
        <w:t>中标</w:t>
      </w:r>
      <w:r>
        <w:rPr>
          <w:rFonts w:hint="eastAsia" w:ascii="宋体" w:hAnsi="宋体" w:eastAsia="宋体" w:cs="宋体"/>
          <w:b w:val="0"/>
          <w:bCs/>
          <w:color w:val="auto"/>
          <w:sz w:val="24"/>
          <w:szCs w:val="24"/>
          <w:highlight w:val="none"/>
        </w:rPr>
        <w:t>方的原因食堂出现重大事件或</w:t>
      </w:r>
      <w:r>
        <w:rPr>
          <w:rFonts w:hint="eastAsia" w:ascii="宋体" w:hAnsi="宋体" w:eastAsia="宋体" w:cs="宋体"/>
          <w:b w:val="0"/>
          <w:bCs/>
          <w:color w:val="auto"/>
          <w:sz w:val="24"/>
          <w:szCs w:val="24"/>
          <w:highlight w:val="none"/>
          <w:lang w:val="en-US" w:eastAsia="zh-CN"/>
        </w:rPr>
        <w:t>中标</w:t>
      </w:r>
      <w:r>
        <w:rPr>
          <w:rFonts w:hint="eastAsia" w:ascii="宋体" w:hAnsi="宋体" w:eastAsia="宋体" w:cs="宋体"/>
          <w:b w:val="0"/>
          <w:bCs/>
          <w:color w:val="auto"/>
          <w:sz w:val="24"/>
          <w:szCs w:val="24"/>
          <w:highlight w:val="none"/>
        </w:rPr>
        <w:t>方不听从</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方有理的建议、不协助</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方工作或因上级有关政策变更等，</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方有权中途终止合同。</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三、人员配置要求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1.派遣服务人员不少于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人。其中包括项目经理1名、厨师长1人、</w:t>
      </w:r>
      <w:r>
        <w:rPr>
          <w:rFonts w:hint="eastAsia" w:ascii="宋体" w:hAnsi="宋体" w:eastAsia="宋体" w:cs="宋体"/>
          <w:color w:val="auto"/>
          <w:sz w:val="24"/>
          <w:szCs w:val="24"/>
          <w:highlight w:val="none"/>
          <w:lang w:eastAsia="zh-CN"/>
        </w:rPr>
        <w:t>副</w:t>
      </w:r>
      <w:r>
        <w:rPr>
          <w:rFonts w:hint="eastAsia" w:ascii="宋体" w:hAnsi="宋体" w:eastAsia="宋体" w:cs="宋体"/>
          <w:color w:val="auto"/>
          <w:sz w:val="24"/>
          <w:szCs w:val="24"/>
          <w:highlight w:val="none"/>
        </w:rPr>
        <w:t>厨</w:t>
      </w:r>
      <w:r>
        <w:rPr>
          <w:rFonts w:hint="eastAsia" w:ascii="宋体" w:hAnsi="宋体" w:eastAsia="宋体" w:cs="宋体"/>
          <w:color w:val="auto"/>
          <w:sz w:val="24"/>
          <w:szCs w:val="24"/>
          <w:highlight w:val="none"/>
          <w:lang w:eastAsia="zh-CN"/>
        </w:rPr>
        <w:t>兼切配</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人、面点师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勤杂工</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eastAsia="zh-CN"/>
        </w:rPr>
        <w:t>，食堂工作人员（兼采购）</w:t>
      </w:r>
      <w:r>
        <w:rPr>
          <w:rFonts w:hint="eastAsia" w:ascii="宋体" w:hAnsi="宋体" w:eastAsia="宋体" w:cs="宋体"/>
          <w:b w:val="0"/>
          <w:bCs w:val="0"/>
          <w:color w:val="auto"/>
          <w:sz w:val="24"/>
          <w:szCs w:val="24"/>
          <w:highlight w:val="none"/>
          <w:lang w:val="en-US" w:eastAsia="zh-CN"/>
        </w:rPr>
        <w:t>1人</w:t>
      </w:r>
      <w:r>
        <w:rPr>
          <w:rFonts w:hint="eastAsia" w:ascii="宋体" w:hAnsi="宋体" w:eastAsia="宋体" w:cs="宋体"/>
          <w:b w:val="0"/>
          <w:bCs w:val="0"/>
          <w:color w:val="auto"/>
          <w:sz w:val="24"/>
          <w:szCs w:val="24"/>
          <w:highlight w:val="none"/>
          <w:lang w:eastAsia="zh-CN"/>
        </w:rPr>
        <w:t>，金清法庭厨师兼勤杂</w:t>
      </w:r>
      <w:r>
        <w:rPr>
          <w:rFonts w:hint="eastAsia" w:ascii="宋体" w:hAnsi="宋体" w:eastAsia="宋体" w:cs="宋体"/>
          <w:b w:val="0"/>
          <w:bCs w:val="0"/>
          <w:color w:val="auto"/>
          <w:sz w:val="24"/>
          <w:szCs w:val="24"/>
          <w:highlight w:val="none"/>
          <w:lang w:val="en-US" w:eastAsia="zh-CN"/>
        </w:rPr>
        <w:t>1人</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素质要求符合相应服务岗位工作要求。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2.所有人员都要有相应餐饮行业工作经验，新晋人员要有不少于一周时间的岗前培训。男性年龄需在</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周岁以下，女性年龄在5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周岁以下。</w:t>
      </w:r>
    </w:p>
    <w:p>
      <w:pPr>
        <w:pStyle w:val="10"/>
        <w:keepNext w:val="0"/>
        <w:keepLines w:val="0"/>
        <w:pageBreakBefore w:val="0"/>
        <w:widowControl w:val="0"/>
        <w:kinsoku/>
        <w:wordWrap/>
        <w:overflowPunct/>
        <w:topLinePunct w:val="0"/>
        <w:bidi w:val="0"/>
        <w:spacing w:after="0" w:line="360" w:lineRule="auto"/>
        <w:ind w:firstLine="480" w:firstLineChars="200"/>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3.项目经理要求具有中餐中级服务证书，并有三年以上知名酒店从业经验的服务师。厨师长要求具有中餐高级职业资格证书，并有五年以上知名酒店从业经验的专业厨师。面点师要求具有中式点心高级职业资格证书，并有五年以上知名酒店从业经验的专业点心师。</w:t>
      </w:r>
      <w:r>
        <w:rPr>
          <w:rFonts w:hint="eastAsia" w:ascii="宋体" w:hAnsi="宋体" w:cs="宋体"/>
          <w:color w:val="auto"/>
          <w:sz w:val="24"/>
          <w:szCs w:val="24"/>
          <w:highlight w:val="none"/>
          <w:u w:val="single"/>
          <w:lang w:eastAsia="zh-CN"/>
        </w:rPr>
        <w:t>以上人员业务能力派驻前需经采购方认可。</w:t>
      </w:r>
    </w:p>
    <w:p>
      <w:pPr>
        <w:pStyle w:val="10"/>
        <w:keepNext w:val="0"/>
        <w:keepLines w:val="0"/>
        <w:pageBreakBefore w:val="0"/>
        <w:widowControl w:val="0"/>
        <w:kinsoku/>
        <w:wordWrap/>
        <w:overflowPunct/>
        <w:topLinePunct w:val="0"/>
        <w:bidi w:val="0"/>
        <w:spacing w:after="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厨师长月工资不低于7500元（含社保），面点师月工资不低于7200元（含社保），食堂工作人员月工资不低于4900元，金清法庭厨师月工资不低于</w:t>
      </w:r>
      <w:r>
        <w:rPr>
          <w:rFonts w:hint="eastAsia" w:ascii="宋体" w:hAnsi="宋体" w:cs="宋体"/>
          <w:color w:val="auto"/>
          <w:sz w:val="24"/>
          <w:szCs w:val="24"/>
          <w:highlight w:val="none"/>
          <w:lang w:val="en-US" w:eastAsia="zh-CN"/>
        </w:rPr>
        <w:t>4000</w:t>
      </w:r>
      <w:r>
        <w:rPr>
          <w:rFonts w:hint="eastAsia" w:ascii="宋体" w:hAnsi="宋体" w:eastAsia="宋体" w:cs="宋体"/>
          <w:color w:val="auto"/>
          <w:sz w:val="24"/>
          <w:szCs w:val="24"/>
          <w:highlight w:val="none"/>
          <w:lang w:eastAsia="zh-CN"/>
        </w:rPr>
        <w:t>元。</w:t>
      </w:r>
    </w:p>
    <w:p>
      <w:pPr>
        <w:pStyle w:val="11"/>
        <w:spacing w:line="360" w:lineRule="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▲投标供应商投标时须承诺的人员中标后不得更换。</w:t>
      </w:r>
    </w:p>
    <w:p>
      <w:pPr>
        <w:pStyle w:val="11"/>
        <w:numPr>
          <w:ilvl w:val="0"/>
          <w:numId w:val="0"/>
        </w:numPr>
        <w:spacing w:line="360" w:lineRule="auto"/>
        <w:ind w:firstLine="482" w:firstLineChars="20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5.所有人员上岗前均须提供效健康合格证明给采购方备案。</w:t>
      </w:r>
    </w:p>
    <w:p>
      <w:pPr>
        <w:numPr>
          <w:ilvl w:val="0"/>
          <w:numId w:val="0"/>
        </w:numPr>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kern w:val="2"/>
          <w:sz w:val="24"/>
          <w:szCs w:val="24"/>
          <w:highlight w:val="none"/>
          <w:u w:val="none"/>
          <w:lang w:val="en-US" w:eastAsia="zh-CN" w:bidi="ar-SA"/>
        </w:rPr>
        <w:t>6.为便于开展工作，中标方工作人员统一在</w:t>
      </w:r>
      <w:r>
        <w:rPr>
          <w:rFonts w:hint="eastAsia" w:ascii="宋体" w:hAnsi="宋体" w:cs="宋体"/>
          <w:b/>
          <w:bCs/>
          <w:color w:val="auto"/>
          <w:kern w:val="2"/>
          <w:sz w:val="24"/>
          <w:szCs w:val="24"/>
          <w:highlight w:val="none"/>
          <w:u w:val="none"/>
          <w:lang w:val="en-US" w:eastAsia="zh-CN" w:bidi="ar-SA"/>
        </w:rPr>
        <w:t>采购方</w:t>
      </w:r>
      <w:r>
        <w:rPr>
          <w:rFonts w:hint="eastAsia" w:ascii="宋体" w:hAnsi="宋体" w:eastAsia="宋体" w:cs="宋体"/>
          <w:b/>
          <w:bCs/>
          <w:color w:val="auto"/>
          <w:kern w:val="2"/>
          <w:sz w:val="24"/>
          <w:szCs w:val="24"/>
          <w:highlight w:val="none"/>
          <w:u w:val="none"/>
          <w:lang w:val="en-US" w:eastAsia="zh-CN" w:bidi="ar-SA"/>
        </w:rPr>
        <w:t>食堂用餐，并按12元/人/天向</w:t>
      </w:r>
      <w:r>
        <w:rPr>
          <w:rFonts w:hint="eastAsia" w:ascii="宋体" w:hAnsi="宋体" w:cs="宋体"/>
          <w:b/>
          <w:bCs/>
          <w:color w:val="auto"/>
          <w:kern w:val="2"/>
          <w:sz w:val="24"/>
          <w:szCs w:val="24"/>
          <w:highlight w:val="none"/>
          <w:u w:val="none"/>
          <w:lang w:val="en-US" w:eastAsia="zh-CN" w:bidi="ar-SA"/>
        </w:rPr>
        <w:t>采购方</w:t>
      </w:r>
      <w:r>
        <w:rPr>
          <w:rFonts w:hint="eastAsia" w:ascii="宋体" w:hAnsi="宋体" w:eastAsia="宋体" w:cs="宋体"/>
          <w:b/>
          <w:bCs/>
          <w:color w:val="auto"/>
          <w:kern w:val="2"/>
          <w:sz w:val="24"/>
          <w:szCs w:val="24"/>
          <w:highlight w:val="none"/>
          <w:u w:val="none"/>
          <w:lang w:val="en-US" w:eastAsia="zh-CN" w:bidi="ar-SA"/>
        </w:rPr>
        <w:t>交纳伙食费。</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四、采购人权利及义务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1.按规定监督中标人依法经营、履行合同，做好协调工作。</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2.提供厨房、餐厅、全套厨房设备和结算系统等。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3.负责水电气费用支出和场地提供。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4.对中标人配菜、营养搭配、服务水平及卫生状况进行监督、检查、考核，并有权要求中标人限期整改。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color w:val="auto"/>
          <w:sz w:val="24"/>
          <w:szCs w:val="24"/>
          <w:highlight w:val="none"/>
        </w:rPr>
        <w:t>5.协助中标人维持食堂治安秩序。</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五、中标人的权利义务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w:t>
      </w:r>
      <w:r>
        <w:rPr>
          <w:rFonts w:hint="eastAsia" w:ascii="宋体" w:hAnsi="宋体" w:eastAsia="宋体" w:cs="宋体"/>
          <w:color w:val="auto"/>
          <w:sz w:val="24"/>
          <w:szCs w:val="24"/>
          <w:highlight w:val="none"/>
          <w:lang w:eastAsia="zh-CN"/>
        </w:rPr>
        <w:t>严格按照餐饮服务食品安全监督量化分级管理要求，</w:t>
      </w:r>
      <w:r>
        <w:rPr>
          <w:rFonts w:hint="eastAsia" w:ascii="宋体" w:hAnsi="宋体" w:eastAsia="宋体" w:cs="宋体"/>
          <w:color w:val="auto"/>
          <w:sz w:val="24"/>
          <w:szCs w:val="24"/>
          <w:highlight w:val="none"/>
        </w:rPr>
        <w:t>负责好食堂的食</w:t>
      </w:r>
      <w:r>
        <w:rPr>
          <w:rFonts w:hint="eastAsia" w:ascii="宋体" w:hAnsi="宋体" w:eastAsia="宋体" w:cs="宋体"/>
          <w:color w:val="auto"/>
          <w:sz w:val="24"/>
          <w:szCs w:val="24"/>
          <w:highlight w:val="none"/>
          <w:lang w:eastAsia="zh-CN"/>
        </w:rPr>
        <w:t>品</w:t>
      </w:r>
      <w:r>
        <w:rPr>
          <w:rFonts w:hint="eastAsia" w:ascii="宋体" w:hAnsi="宋体" w:eastAsia="宋体" w:cs="宋体"/>
          <w:color w:val="auto"/>
          <w:sz w:val="24"/>
          <w:szCs w:val="24"/>
          <w:highlight w:val="none"/>
        </w:rPr>
        <w:t>安全卫生，签约时还需与采购人签订《餐饮服务食品安全责任书》、《社会治安综合治理目标管理责任书》和《消防安全管理责任书》。中标人要落实好病媒生物防</w:t>
      </w:r>
      <w:r>
        <w:rPr>
          <w:rFonts w:hint="eastAsia" w:ascii="宋体" w:hAnsi="宋体" w:eastAsia="宋体" w:cs="宋体"/>
          <w:color w:val="auto"/>
          <w:sz w:val="24"/>
          <w:szCs w:val="24"/>
          <w:highlight w:val="none"/>
          <w:lang w:eastAsia="zh-CN"/>
        </w:rPr>
        <w:t>治</w:t>
      </w:r>
      <w:r>
        <w:rPr>
          <w:rFonts w:hint="eastAsia" w:ascii="宋体" w:hAnsi="宋体" w:eastAsia="宋体" w:cs="宋体"/>
          <w:color w:val="auto"/>
          <w:sz w:val="24"/>
          <w:szCs w:val="24"/>
          <w:highlight w:val="none"/>
        </w:rPr>
        <w:t>工作，定期组织除四害，保持四害密度少于食品卫生部门规定的要求。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2.负责食堂的经营管理，具体包括食堂人事、菜肴的搭配与制作、就餐环境卫生、服务等。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3.保持菜肴的新鲜和卫生。按时供应采购人工作日各餐，做到菜量适当、新鲜可口、花样翻新、营养搭配合理。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4.负责厨房设施的维护，若财产发生人为损坏，需照价赔偿。承包期内必须添置或更换厨房设备，由中标人提出，经采购人审核同意后由采购人负责购置。</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5.按照采购人用餐核定标准，自行加工，确保收支平衡。负责做好食堂食材、日报表报送工作。</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应每年组织所属员工进行办理上岗证所需的健康检查，确保所属人员持有有效健康证；中标人应定期开展职业道德、安全教育、卫生教育和技能培训等，不断提高员工素质；中标人员工应统一着装上岗，上岗时穿戴好工作服、工作帽和口罩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color w:val="auto"/>
          <w:sz w:val="24"/>
          <w:szCs w:val="24"/>
          <w:highlight w:val="none"/>
        </w:rPr>
        <w:t>7.中标人按时发放所属工作人员的工资、福利和奖金等，并负责对工作人员进行遵纪守法和安全卫生教育，必须与所聘用的从业人员签订劳动合同，并按规定缴纳五险一金。</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六、会议（培训）和公务接待用餐服务要求：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1.地点</w:t>
      </w:r>
      <w:r>
        <w:rPr>
          <w:rFonts w:hint="eastAsia" w:ascii="宋体" w:hAnsi="宋体" w:eastAsia="宋体" w:cs="宋体"/>
          <w:color w:val="auto"/>
          <w:sz w:val="24"/>
          <w:szCs w:val="24"/>
          <w:highlight w:val="none"/>
          <w:lang w:eastAsia="zh-CN"/>
        </w:rPr>
        <w:t>：区法院大楼</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2.服务时间：中、晚餐，具体时间根据实际需要。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3.服务费：</w:t>
      </w:r>
      <w:r>
        <w:rPr>
          <w:rFonts w:hint="eastAsia" w:ascii="宋体" w:hAnsi="宋体" w:eastAsia="宋体" w:cs="宋体"/>
          <w:color w:val="auto"/>
          <w:sz w:val="24"/>
          <w:szCs w:val="24"/>
          <w:highlight w:val="none"/>
          <w:lang w:eastAsia="zh-CN"/>
        </w:rPr>
        <w:t>含在总承包价内，不再另行结算。</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4.服务人员要求：公务接待根据用餐人数，即时提供相应的厨师与</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①具有中式烹调高级职业资格证书，并有五年以上知名酒店从业经验的专业厨师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②具有中式点心高级职业资格证书，并有五年以上知名酒店从业经验的专业点心师。</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七、其它有关说明</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color w:val="auto"/>
          <w:sz w:val="24"/>
          <w:szCs w:val="24"/>
          <w:highlight w:val="none"/>
        </w:rPr>
        <w:t>本招标预算价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134.2</w:t>
      </w:r>
      <w:r>
        <w:rPr>
          <w:rFonts w:hint="eastAsia" w:ascii="宋体" w:hAnsi="宋体" w:eastAsia="宋体" w:cs="宋体"/>
          <w:color w:val="auto"/>
          <w:sz w:val="24"/>
          <w:szCs w:val="24"/>
          <w:highlight w:val="none"/>
        </w:rPr>
        <w:t>万元即为最高限价，包含招标代理费，由中标人支付。</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1.承包服务费应包含费用：</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①人工工资费用</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②五险一金</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③福利</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④管理费用</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⑤法定税费</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⑥员工培训费用</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⑦服装费、房租</w:t>
      </w:r>
      <w:r>
        <w:rPr>
          <w:rFonts w:hint="eastAsia" w:ascii="宋体" w:hAnsi="宋体" w:eastAsia="宋体" w:cs="宋体"/>
          <w:color w:val="auto"/>
          <w:sz w:val="24"/>
          <w:szCs w:val="24"/>
          <w:highlight w:val="none"/>
          <w:lang w:eastAsia="zh-CN"/>
        </w:rPr>
        <w:t>、办理健康证</w:t>
      </w:r>
      <w:r>
        <w:rPr>
          <w:rFonts w:hint="eastAsia" w:ascii="宋体" w:hAnsi="宋体" w:eastAsia="宋体" w:cs="宋体"/>
          <w:color w:val="auto"/>
          <w:sz w:val="24"/>
          <w:szCs w:val="24"/>
          <w:highlight w:val="none"/>
        </w:rPr>
        <w:t>等用工人员的费用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中标方人员的固定加班费、岗位补助、住宿费等其他一切费用不再另行计算，全部纳入招标总额内。</w:t>
      </w:r>
      <w:r>
        <w:rPr>
          <w:rFonts w:hint="eastAsia" w:ascii="宋体" w:hAnsi="宋体" w:eastAsia="宋体" w:cs="宋体"/>
          <w:b/>
          <w:color w:val="auto"/>
          <w:sz w:val="24"/>
          <w:szCs w:val="24"/>
          <w:highlight w:val="none"/>
          <w:u w:val="none"/>
        </w:rPr>
        <w:t>（投标人在进行投标报价时要充分考虑</w:t>
      </w:r>
      <w:r>
        <w:rPr>
          <w:rFonts w:hint="eastAsia" w:ascii="宋体" w:hAnsi="宋体" w:eastAsia="宋体" w:cs="宋体"/>
          <w:b/>
          <w:color w:val="auto"/>
          <w:sz w:val="24"/>
          <w:szCs w:val="24"/>
          <w:highlight w:val="none"/>
          <w:u w:val="none"/>
          <w:lang w:val="en-US" w:eastAsia="zh-CN"/>
        </w:rPr>
        <w:t>2</w:t>
      </w:r>
      <w:r>
        <w:rPr>
          <w:rFonts w:hint="eastAsia" w:ascii="宋体" w:hAnsi="宋体" w:eastAsia="宋体" w:cs="宋体"/>
          <w:b/>
          <w:color w:val="auto"/>
          <w:sz w:val="24"/>
          <w:szCs w:val="24"/>
          <w:highlight w:val="none"/>
          <w:u w:val="none"/>
        </w:rPr>
        <w:t>年内全部产生费用的因素）</w:t>
      </w:r>
    </w:p>
    <w:p>
      <w:pPr>
        <w:keepNext w:val="0"/>
        <w:keepLines w:val="0"/>
        <w:pageBreakBefore w:val="0"/>
        <w:kinsoku/>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2.所需的岗位用品具体项目及数量由中标人负责人报采购人负责人同意后采购，费用由采购人负责。</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3.中标方需在本项目中指定一名负责人负责本项目的协调管理，按本项目管理的要求配备相应的工作人员。</w:t>
      </w:r>
    </w:p>
    <w:p>
      <w:pPr>
        <w:keepNext w:val="0"/>
        <w:keepLines w:val="0"/>
        <w:pageBreakBefore w:val="0"/>
        <w:kinsoku/>
        <w:wordWrap/>
        <w:overflowPunct/>
        <w:topLinePunct w:val="0"/>
        <w:bidi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4.中标方需服从业主单位管理，工作人员聘任、离职和请假，需向业主单位报人员进出表和请销假单，工作人员聘用需经过业主单位确定，未经过培训和无相关工作经验人员不得上岗使用。</w:t>
      </w:r>
    </w:p>
    <w:p>
      <w:pPr>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中标</w:t>
      </w:r>
      <w:r>
        <w:rPr>
          <w:rFonts w:hint="eastAsia" w:ascii="宋体" w:hAnsi="宋体" w:eastAsia="宋体" w:cs="宋体"/>
          <w:b/>
          <w:bCs/>
          <w:color w:val="auto"/>
          <w:sz w:val="24"/>
          <w:szCs w:val="24"/>
          <w:highlight w:val="none"/>
          <w:lang w:val="en-US" w:eastAsia="zh-CN"/>
        </w:rPr>
        <w:t>方</w:t>
      </w:r>
      <w:r>
        <w:rPr>
          <w:rFonts w:hint="eastAsia" w:ascii="宋体" w:hAnsi="宋体" w:eastAsia="宋体" w:cs="宋体"/>
          <w:b/>
          <w:bCs/>
          <w:color w:val="auto"/>
          <w:sz w:val="24"/>
          <w:szCs w:val="24"/>
          <w:highlight w:val="none"/>
        </w:rPr>
        <w:t>与采购</w:t>
      </w:r>
      <w:r>
        <w:rPr>
          <w:rFonts w:hint="eastAsia" w:ascii="宋体" w:hAnsi="宋体" w:eastAsia="宋体" w:cs="宋体"/>
          <w:b/>
          <w:bCs/>
          <w:color w:val="auto"/>
          <w:sz w:val="24"/>
          <w:szCs w:val="24"/>
          <w:highlight w:val="none"/>
          <w:lang w:val="en-US" w:eastAsia="zh-CN"/>
        </w:rPr>
        <w:t>方</w:t>
      </w:r>
      <w:r>
        <w:rPr>
          <w:rFonts w:hint="eastAsia" w:ascii="宋体" w:hAnsi="宋体" w:eastAsia="宋体" w:cs="宋体"/>
          <w:b/>
          <w:bCs/>
          <w:color w:val="auto"/>
          <w:sz w:val="24"/>
          <w:szCs w:val="24"/>
          <w:highlight w:val="none"/>
        </w:rPr>
        <w:t>签订食堂劳务服务承包合同时需向采购</w:t>
      </w:r>
      <w:r>
        <w:rPr>
          <w:rFonts w:hint="eastAsia" w:ascii="宋体" w:hAnsi="宋体" w:eastAsia="宋体" w:cs="宋体"/>
          <w:b/>
          <w:bCs/>
          <w:color w:val="auto"/>
          <w:sz w:val="24"/>
          <w:szCs w:val="24"/>
          <w:highlight w:val="none"/>
          <w:lang w:val="en-US" w:eastAsia="zh-CN"/>
        </w:rPr>
        <w:t>方</w:t>
      </w:r>
      <w:r>
        <w:rPr>
          <w:rFonts w:hint="eastAsia" w:ascii="宋体" w:hAnsi="宋体" w:eastAsia="宋体" w:cs="宋体"/>
          <w:b/>
          <w:bCs/>
          <w:color w:val="auto"/>
          <w:sz w:val="24"/>
          <w:szCs w:val="24"/>
          <w:highlight w:val="none"/>
        </w:rPr>
        <w:t>缴纳</w:t>
      </w:r>
      <w:r>
        <w:rPr>
          <w:rFonts w:hint="eastAsia" w:ascii="宋体" w:hAnsi="宋体" w:eastAsia="宋体" w:cs="宋体"/>
          <w:b/>
          <w:bCs/>
          <w:color w:val="auto"/>
          <w:sz w:val="24"/>
          <w:szCs w:val="24"/>
          <w:highlight w:val="none"/>
          <w:lang w:eastAsia="zh-CN"/>
        </w:rPr>
        <w:t>合同金额的1%</w:t>
      </w:r>
      <w:r>
        <w:rPr>
          <w:rFonts w:hint="eastAsia" w:ascii="宋体" w:hAnsi="宋体" w:eastAsia="宋体" w:cs="宋体"/>
          <w:b/>
          <w:bCs/>
          <w:color w:val="auto"/>
          <w:sz w:val="24"/>
          <w:szCs w:val="24"/>
          <w:highlight w:val="none"/>
        </w:rPr>
        <w:t>人民币作为履约保证金，</w:t>
      </w:r>
      <w:r>
        <w:rPr>
          <w:rFonts w:hint="eastAsia" w:ascii="宋体" w:hAnsi="宋体" w:eastAsia="宋体" w:cs="宋体"/>
          <w:b/>
          <w:color w:val="auto"/>
          <w:sz w:val="24"/>
          <w:szCs w:val="24"/>
          <w:highlight w:val="none"/>
        </w:rPr>
        <w:t>以保证中标方遵守本合同，包括担保、保函、保险等形式。</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.中标方提供餐饮服务时，因自身原因发生的一切安全事故责任均自行承担，事故责任和损失由中标方承担。</w:t>
      </w:r>
    </w:p>
    <w:p>
      <w:pPr>
        <w:snapToGrid w:val="0"/>
        <w:spacing w:line="360" w:lineRule="auto"/>
        <w:ind w:firstLine="361" w:firstLineChars="15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八、考核评分细则</w:t>
      </w:r>
    </w:p>
    <w:p>
      <w:pPr>
        <w:snapToGrid w:val="0"/>
        <w:spacing w:line="360" w:lineRule="auto"/>
        <w:ind w:firstLine="360" w:firstLineChars="15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为规范餐饮服务供应商工作，提升服务质量和满意度，完善对餐饮服务供应商的监督机制，根据餐饮服务标准及相关制度，制订以下考核细则：</w:t>
      </w:r>
    </w:p>
    <w:p>
      <w:pPr>
        <w:snapToGrid w:val="0"/>
        <w:spacing w:line="360" w:lineRule="auto"/>
        <w:ind w:firstLine="360" w:firstLineChars="15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每月不固定时间进行检查监督，并进行打分考核，满分100分，若当月考核得分低于80分，扣除当月考核押金的50%；考核得分低于70分，扣除当月的考核押金。若连续2个月考核低于70分，甲方有权终止合同。如发生一票否决事项，甲方有权终止合同。</w:t>
      </w:r>
    </w:p>
    <w:p>
      <w:pPr>
        <w:snapToGrid w:val="0"/>
        <w:spacing w:line="360" w:lineRule="auto"/>
        <w:ind w:firstLine="361" w:firstLineChars="150"/>
        <w:rPr>
          <w:rFonts w:hint="eastAsia" w:ascii="宋体" w:hAnsi="宋体" w:eastAsia="宋体" w:cs="宋体"/>
          <w:b/>
          <w:bCs/>
          <w:color w:val="auto"/>
          <w:sz w:val="24"/>
          <w:szCs w:val="24"/>
          <w:highlight w:val="none"/>
          <w:lang w:val="en-US" w:eastAsia="zh-CN"/>
        </w:rPr>
      </w:pPr>
    </w:p>
    <w:tbl>
      <w:tblPr>
        <w:tblStyle w:val="2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7"/>
        <w:gridCol w:w="771"/>
        <w:gridCol w:w="5190"/>
        <w:gridCol w:w="622"/>
        <w:gridCol w:w="1769"/>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771"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考核</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考核标准</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标准分</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响应程度</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提供每两周一次的外带菜品（有特殊情况可提前向甲方单位予以说明）。</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不提供一次扣</w:t>
            </w:r>
            <w:r>
              <w:rPr>
                <w:rFonts w:hint="eastAsia" w:ascii="宋体" w:hAnsi="宋体" w:eastAsia="宋体" w:cs="宋体"/>
                <w:color w:val="auto"/>
                <w:kern w:val="0"/>
                <w:sz w:val="24"/>
                <w:szCs w:val="24"/>
                <w:highlight w:val="none"/>
                <w:lang w:val="en-US" w:eastAsia="zh-CN"/>
              </w:rPr>
              <w:t>5分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每周晚餐提供</w:t>
            </w:r>
            <w:r>
              <w:rPr>
                <w:rFonts w:hint="eastAsia" w:ascii="宋体" w:hAnsi="宋体" w:eastAsia="宋体" w:cs="宋体"/>
                <w:color w:val="auto"/>
                <w:kern w:val="0"/>
                <w:sz w:val="24"/>
                <w:szCs w:val="24"/>
                <w:highlight w:val="none"/>
                <w:lang w:val="en-US" w:eastAsia="zh-CN"/>
              </w:rPr>
              <w:t>1-2次的小炒服务（根据现场用餐人数提供小锅当即现炒服务）</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积极配合得分，不配合不得分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桌菜服务按甲方标准用心排菜，菜单征求甲方同意后，按菜单备餐。</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积极配合得分，不配合不得分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服务满意度</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受到就餐机关干部来电、来信批评的</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每次扣一分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经常性开展意见征求活动，经常性听取就餐单位主要领导的意见和建议,努力实现零投诉</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未完成的扣4分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人员管理</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勤：按服务标准设定排班表，确保相关人员到岗，并定期向业主单位提供人员考勤表，缺岗的扣分(不按合同约定配备人员的)。人员进出必须填报《人员变动情况表》，新晋人员要报业主单位审核，未审核的扣分</w:t>
            </w:r>
          </w:p>
        </w:tc>
        <w:tc>
          <w:tcPr>
            <w:tcW w:w="622"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未办理请销假手续，每发现一人次扣2分；未审核的一次扣2分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按不低于合同要求配备工作人员，人员不足的，本项不得分</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未按合同配备人员的本大项不得分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着装规范：所有工作人员要按规定统一着装，必须做到服装整洁，无污渍，着工作帽、口罩及手套，未到位的扣分</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操作规范：服务人员仪态端庄，微笑热情，耐心细致，没达到要求的扣分</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不得与就餐人员发生争执，有上述情况的</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每发现一次扣5分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行为规范：有吸烟、吃东西、吐痰、玩手机、将私人物品带到工作场所的行为</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更衣室卫生管理，物品摆放整齐，入柜摆放</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严格执行员工工作餐规定；不得擅自带家属、朋友到食堂用餐；不得将公用卡借给他人使用</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所有人员必须持有健康证上岗，如有员工有发热、腹泻、皮肤伤口感染、咽喉炎症等有碍食品卫生病症的应立即</w:t>
            </w:r>
            <w:r>
              <w:rPr>
                <w:rFonts w:hint="eastAsia" w:ascii="宋体" w:hAnsi="宋体" w:eastAsia="宋体" w:cs="宋体"/>
                <w:color w:val="auto"/>
                <w:kern w:val="0"/>
                <w:sz w:val="24"/>
                <w:szCs w:val="24"/>
                <w:highlight w:val="none"/>
                <w:lang w:eastAsia="zh-CN"/>
              </w:rPr>
              <w:t>报备，做好人员调度</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服务质量管理</w:t>
            </w:r>
          </w:p>
        </w:tc>
        <w:tc>
          <w:tcPr>
            <w:tcW w:w="5190"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合理做好当日菜品的制作和销售安排，每餐剩余菜品在合理范围内，不得把留存菜品继续销售</w:t>
            </w:r>
          </w:p>
        </w:tc>
        <w:tc>
          <w:tcPr>
            <w:tcW w:w="622"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未完成的一次扣2分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开餐前做好准备工作，检查准备情况</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开餐时及时清理售餐台、餐桌上的菜汤和残食，清理地面水渍、汤渍等，保证台面、地面清洁</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正常开餐时间内保证</w:t>
            </w:r>
            <w:r>
              <w:rPr>
                <w:rFonts w:hint="eastAsia" w:ascii="宋体" w:hAnsi="宋体" w:eastAsia="宋体" w:cs="宋体"/>
                <w:color w:val="auto"/>
                <w:kern w:val="0"/>
                <w:sz w:val="24"/>
                <w:szCs w:val="24"/>
                <w:highlight w:val="none"/>
                <w:lang w:eastAsia="zh-CN"/>
              </w:rPr>
              <w:t>点餐者的</w:t>
            </w:r>
            <w:r>
              <w:rPr>
                <w:rFonts w:hint="eastAsia" w:ascii="宋体" w:hAnsi="宋体" w:eastAsia="宋体" w:cs="宋体"/>
                <w:color w:val="auto"/>
                <w:kern w:val="0"/>
                <w:sz w:val="24"/>
                <w:szCs w:val="24"/>
                <w:highlight w:val="none"/>
              </w:rPr>
              <w:t>饭菜供应</w:t>
            </w:r>
            <w:r>
              <w:rPr>
                <w:rFonts w:hint="eastAsia" w:ascii="宋体" w:hAnsi="宋体" w:eastAsia="宋体" w:cs="宋体"/>
                <w:color w:val="auto"/>
                <w:kern w:val="0"/>
                <w:sz w:val="24"/>
                <w:szCs w:val="24"/>
                <w:highlight w:val="none"/>
                <w:lang w:eastAsia="zh-CN"/>
              </w:rPr>
              <w:t>充足</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未点餐者适当</w:t>
            </w:r>
            <w:r>
              <w:rPr>
                <w:rFonts w:hint="eastAsia" w:ascii="宋体" w:hAnsi="宋体" w:eastAsia="宋体" w:cs="宋体"/>
                <w:color w:val="auto"/>
                <w:kern w:val="0"/>
                <w:sz w:val="24"/>
                <w:szCs w:val="24"/>
                <w:highlight w:val="none"/>
              </w:rPr>
              <w:t>有备菜</w:t>
            </w:r>
            <w:r>
              <w:rPr>
                <w:rFonts w:hint="eastAsia" w:ascii="宋体" w:hAnsi="宋体" w:eastAsia="宋体" w:cs="宋体"/>
                <w:color w:val="auto"/>
                <w:kern w:val="0"/>
                <w:sz w:val="24"/>
                <w:szCs w:val="24"/>
                <w:highlight w:val="none"/>
                <w:lang w:eastAsia="zh-CN"/>
              </w:rPr>
              <w:t>，或提供炒面、炒菜等</w:t>
            </w:r>
            <w:r>
              <w:rPr>
                <w:rFonts w:hint="eastAsia" w:ascii="宋体" w:hAnsi="宋体" w:cs="宋体"/>
                <w:color w:val="auto"/>
                <w:kern w:val="0"/>
                <w:sz w:val="24"/>
                <w:szCs w:val="24"/>
                <w:highlight w:val="none"/>
                <w:lang w:eastAsia="zh-CN"/>
              </w:rPr>
              <w:t>应急菜品。</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开餐后做好整理工作，没完成的扣分</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菜肴品质管理</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根据每周菜谱确定排菜是否合理，菜品品种是否多样，荤素搭配是否合理。每周四下午5点前餐饮服务单位必须把下周食谱报</w:t>
            </w:r>
            <w:r>
              <w:rPr>
                <w:rFonts w:hint="eastAsia" w:ascii="宋体" w:hAnsi="宋体" w:eastAsia="宋体" w:cs="宋体"/>
                <w:color w:val="auto"/>
                <w:kern w:val="0"/>
                <w:sz w:val="24"/>
                <w:szCs w:val="24"/>
                <w:highlight w:val="none"/>
                <w:lang w:eastAsia="zh-CN"/>
              </w:rPr>
              <w:t>综合办负责人</w:t>
            </w:r>
            <w:r>
              <w:rPr>
                <w:rFonts w:hint="eastAsia" w:ascii="宋体" w:hAnsi="宋体" w:eastAsia="宋体" w:cs="宋体"/>
                <w:color w:val="auto"/>
                <w:kern w:val="0"/>
                <w:sz w:val="24"/>
                <w:szCs w:val="24"/>
                <w:highlight w:val="none"/>
              </w:rPr>
              <w:t>处。如有调整的，应先征得业主单位同意，再进行调整，不得擅自变更</w:t>
            </w:r>
          </w:p>
        </w:tc>
        <w:tc>
          <w:tcPr>
            <w:tcW w:w="622"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未达到要求的一次扣1分</w:t>
            </w:r>
            <w:r>
              <w:rPr>
                <w:rFonts w:hint="eastAsia" w:ascii="宋体" w:hAnsi="宋体" w:eastAsia="宋体" w:cs="宋体"/>
                <w:color w:val="auto"/>
                <w:kern w:val="0"/>
                <w:sz w:val="24"/>
                <w:szCs w:val="24"/>
                <w:highlight w:val="none"/>
                <w:lang w:eastAsia="zh-CN"/>
              </w:rPr>
              <w:t>；擅自变更菜单的，一次扣</w:t>
            </w:r>
            <w:r>
              <w:rPr>
                <w:rFonts w:hint="eastAsia" w:ascii="宋体" w:hAnsi="宋体" w:eastAsia="宋体" w:cs="宋体"/>
                <w:color w:val="auto"/>
                <w:kern w:val="0"/>
                <w:sz w:val="24"/>
                <w:szCs w:val="24"/>
                <w:highlight w:val="none"/>
                <w:lang w:val="en-US" w:eastAsia="zh-CN"/>
              </w:rPr>
              <w:t>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严把采购验收关，对不符合质量要求，或缺斤少两的原辅料和调味品等，及时采取退货等措施</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未完成的一次扣1分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不定期抽查菜品是否咸淡适中，有无过油和过老等现象</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检查菜品质量，出品的菜肴里有杂物的扣分</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经常性地调整花色品种，每周要有二至三个新品种</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未完成的一次扣1分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减少剩菜数量，不得出售隔夜的蔬菜类菜肴，其它适合保存的菜肴，必须在保质期内使用，但原则上不超过两天</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未按要求的一次扣1分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有无应急预案，在菜量不够情况下，厨房有无备菜</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食品安全和环境卫生</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厨房操作区域、打菜区域严禁非工作人员进入</w:t>
            </w:r>
          </w:p>
        </w:tc>
        <w:tc>
          <w:tcPr>
            <w:tcW w:w="622"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餐用具清洗消毒，有消毒记录，已消毒餐具需存放在保洁设施内</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食品添加剂领用和使用记录完整，不超范围、超量使用</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清洗用具是否按规定存放，拖把扫帚等是否存放规范</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用具存放规范，生熟分开存放、分开使用，原材料和成品，待加工食品和直接入口食品分开放置，离地隔墙</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每发现一次扣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食品加工安全，留样齐全，记录完整，无发生食物中毒，无三无产品和过期食品，如发生食堂中毒事件本</w:t>
            </w:r>
            <w:r>
              <w:rPr>
                <w:rFonts w:hint="eastAsia" w:ascii="宋体" w:hAnsi="宋体" w:eastAsia="宋体" w:cs="宋体"/>
                <w:color w:val="auto"/>
                <w:kern w:val="0"/>
                <w:sz w:val="24"/>
                <w:szCs w:val="24"/>
                <w:highlight w:val="none"/>
                <w:lang w:eastAsia="zh-CN"/>
              </w:rPr>
              <w:t>大</w:t>
            </w:r>
            <w:r>
              <w:rPr>
                <w:rFonts w:hint="eastAsia" w:ascii="宋体" w:hAnsi="宋体" w:eastAsia="宋体" w:cs="宋体"/>
                <w:color w:val="auto"/>
                <w:kern w:val="0"/>
                <w:sz w:val="24"/>
                <w:szCs w:val="24"/>
                <w:highlight w:val="none"/>
              </w:rPr>
              <w:t>项扣完</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未达到要求的一次扣2分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食堂区域干净整洁，仓库、冷库等储存场所卫生整洁，做到每日一小扫，每周一大扫。</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有无卫生检查、除四害、餐厨垃圾处理台账，无的和台账不规范的扣分</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无相关台帐扣</w:t>
            </w:r>
            <w:r>
              <w:rPr>
                <w:rFonts w:hint="eastAsia" w:ascii="宋体" w:hAnsi="宋体" w:eastAsia="宋体" w:cs="宋体"/>
                <w:color w:val="auto"/>
                <w:kern w:val="0"/>
                <w:sz w:val="24"/>
                <w:szCs w:val="24"/>
                <w:highlight w:val="none"/>
                <w:lang w:val="en-US" w:eastAsia="zh-CN"/>
              </w:rPr>
              <w:t>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成本核算</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每月利润需保持在</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%到</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%之间，超过和未达到的扣分</w:t>
            </w:r>
          </w:p>
        </w:tc>
        <w:tc>
          <w:tcPr>
            <w:tcW w:w="622"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利润率没有达到规定范围内的每次扣2分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如当月发生亏损的</w:t>
            </w:r>
            <w:r>
              <w:rPr>
                <w:rFonts w:hint="eastAsia" w:ascii="宋体" w:hAnsi="宋体" w:eastAsia="宋体" w:cs="宋体"/>
                <w:color w:val="auto"/>
                <w:kern w:val="0"/>
                <w:sz w:val="24"/>
                <w:szCs w:val="24"/>
                <w:highlight w:val="none"/>
                <w:lang w:val="en-US" w:eastAsia="zh-CN"/>
              </w:rPr>
              <w:t>-10%及以上，</w:t>
            </w:r>
            <w:r>
              <w:rPr>
                <w:rFonts w:hint="eastAsia" w:ascii="宋体" w:hAnsi="宋体" w:eastAsia="宋体" w:cs="宋体"/>
                <w:color w:val="auto"/>
                <w:kern w:val="0"/>
                <w:sz w:val="24"/>
                <w:szCs w:val="24"/>
                <w:highlight w:val="none"/>
              </w:rPr>
              <w:t>本项扣完</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当月亏损的扣10分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w:t>
            </w:r>
          </w:p>
        </w:tc>
        <w:tc>
          <w:tcPr>
            <w:tcW w:w="771"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设备、设施、节能管理</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各种设备、设施责任人是否严格按规定进行操作，责任人需进行日常检查，有故障和安全隐患及时处理和上报</w:t>
            </w:r>
          </w:p>
        </w:tc>
        <w:tc>
          <w:tcPr>
            <w:tcW w:w="622"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设备每次使用后未清洗的、未关闭电源的扣分</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未达到要求的每次扣1分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771"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水、电、气、空调在使用后未及时关闭的</w:t>
            </w:r>
          </w:p>
        </w:tc>
        <w:tc>
          <w:tcPr>
            <w:tcW w:w="622"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未做到每次的扣2分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w:t>
            </w:r>
          </w:p>
        </w:tc>
        <w:tc>
          <w:tcPr>
            <w:tcW w:w="771"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反食堂浪费</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配合开展反食品浪费活动，每月浪费系数控制在标准范围内；取餐时提醒节约食品；回收时监督、劝阻食品浪费行为；优化切配流，做好边角料再利用。</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未做到每项扣</w:t>
            </w:r>
            <w:r>
              <w:rPr>
                <w:rFonts w:hint="eastAsia" w:ascii="宋体" w:hAnsi="宋体" w:eastAsia="宋体" w:cs="宋体"/>
                <w:color w:val="auto"/>
                <w:kern w:val="0"/>
                <w:sz w:val="24"/>
                <w:szCs w:val="24"/>
                <w:highlight w:val="none"/>
                <w:lang w:val="en-US" w:eastAsia="zh-CN"/>
              </w:rPr>
              <w:t>1分。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32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c>
          <w:tcPr>
            <w:tcW w:w="771"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其他工作</w:t>
            </w:r>
          </w:p>
        </w:tc>
        <w:tc>
          <w:tcPr>
            <w:tcW w:w="5190"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提高烹饪人员厨艺水平，</w:t>
            </w:r>
            <w:r>
              <w:rPr>
                <w:rFonts w:hint="eastAsia" w:ascii="宋体" w:hAnsi="宋体" w:cs="宋体"/>
                <w:color w:val="auto"/>
                <w:kern w:val="0"/>
                <w:sz w:val="24"/>
                <w:szCs w:val="24"/>
                <w:highlight w:val="none"/>
                <w:lang w:eastAsia="zh-CN"/>
              </w:rPr>
              <w:t>定期组织开展菜品的创新研究，每月</w:t>
            </w:r>
            <w:r>
              <w:rPr>
                <w:rFonts w:hint="eastAsia" w:ascii="宋体" w:hAnsi="宋体" w:eastAsia="宋体" w:cs="宋体"/>
                <w:color w:val="auto"/>
                <w:kern w:val="0"/>
                <w:sz w:val="24"/>
                <w:szCs w:val="24"/>
                <w:highlight w:val="none"/>
                <w:lang w:val="en-US" w:eastAsia="zh-CN"/>
              </w:rPr>
              <w:t>制定</w:t>
            </w:r>
            <w:r>
              <w:rPr>
                <w:rFonts w:hint="eastAsia" w:ascii="宋体" w:hAnsi="宋体" w:cs="宋体"/>
                <w:color w:val="auto"/>
                <w:kern w:val="0"/>
                <w:sz w:val="24"/>
                <w:szCs w:val="24"/>
                <w:highlight w:val="none"/>
                <w:lang w:val="en-US" w:eastAsia="zh-CN"/>
              </w:rPr>
              <w:t>研究培训</w:t>
            </w:r>
            <w:r>
              <w:rPr>
                <w:rFonts w:hint="eastAsia" w:ascii="宋体" w:hAnsi="宋体" w:eastAsia="宋体" w:cs="宋体"/>
                <w:color w:val="auto"/>
                <w:kern w:val="0"/>
                <w:sz w:val="24"/>
                <w:szCs w:val="24"/>
                <w:highlight w:val="none"/>
                <w:lang w:val="en-US" w:eastAsia="zh-CN"/>
              </w:rPr>
              <w:t>计划。</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未做到的本项不得分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5961" w:type="dxa"/>
            <w:gridSpan w:val="2"/>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扣分合计</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1" w:type="dxa"/>
            <w:gridSpan w:val="6"/>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加分</w:t>
            </w:r>
          </w:p>
          <w:p>
            <w:pPr>
              <w:pStyle w:val="10"/>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项</w:t>
            </w:r>
          </w:p>
        </w:tc>
        <w:tc>
          <w:tcPr>
            <w:tcW w:w="5961" w:type="dxa"/>
            <w:gridSpan w:val="2"/>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甲方服务团队人员获得市级及以上烹饪技能比武个人或团体前3名</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分别在当月得分中加</w:t>
            </w:r>
            <w:r>
              <w:rPr>
                <w:rFonts w:hint="eastAsia" w:ascii="宋体" w:hAnsi="宋体" w:eastAsia="宋体" w:cs="宋体"/>
                <w:color w:val="auto"/>
                <w:kern w:val="0"/>
                <w:sz w:val="24"/>
                <w:szCs w:val="24"/>
                <w:highlight w:val="none"/>
                <w:lang w:val="en-US" w:eastAsia="zh-CN"/>
              </w:rPr>
              <w:t>5分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5961" w:type="dxa"/>
            <w:gridSpan w:val="2"/>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当月推出的创新菜品</w:t>
            </w:r>
            <w:r>
              <w:rPr>
                <w:rFonts w:hint="eastAsia" w:ascii="宋体" w:hAnsi="宋体" w:cs="宋体"/>
                <w:color w:val="auto"/>
                <w:kern w:val="0"/>
                <w:sz w:val="24"/>
                <w:szCs w:val="24"/>
                <w:highlight w:val="none"/>
                <w:lang w:eastAsia="zh-CN"/>
              </w:rPr>
              <w:t>受到大家</w:t>
            </w:r>
            <w:r>
              <w:rPr>
                <w:rFonts w:hint="eastAsia" w:ascii="宋体" w:hAnsi="宋体" w:eastAsia="宋体" w:cs="宋体"/>
                <w:color w:val="auto"/>
                <w:kern w:val="0"/>
                <w:sz w:val="24"/>
                <w:szCs w:val="24"/>
                <w:highlight w:val="none"/>
                <w:lang w:eastAsia="zh-CN"/>
              </w:rPr>
              <w:t>普遍</w:t>
            </w:r>
            <w:r>
              <w:rPr>
                <w:rFonts w:hint="eastAsia" w:ascii="宋体" w:hAnsi="宋体" w:cs="宋体"/>
                <w:color w:val="auto"/>
                <w:kern w:val="0"/>
                <w:sz w:val="24"/>
                <w:szCs w:val="24"/>
                <w:highlight w:val="none"/>
                <w:lang w:eastAsia="zh-CN"/>
              </w:rPr>
              <w:t>好评</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在当月得分中加</w:t>
            </w:r>
            <w:r>
              <w:rPr>
                <w:rFonts w:hint="eastAsia" w:ascii="宋体" w:hAnsi="宋体" w:eastAsia="宋体" w:cs="宋体"/>
                <w:color w:val="auto"/>
                <w:kern w:val="0"/>
                <w:sz w:val="24"/>
                <w:szCs w:val="24"/>
                <w:highlight w:val="none"/>
                <w:lang w:val="en-US" w:eastAsia="zh-CN"/>
              </w:rPr>
              <w:t>5分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5961" w:type="dxa"/>
            <w:gridSpan w:val="2"/>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领导、就餐部门提出</w:t>
            </w:r>
            <w:r>
              <w:rPr>
                <w:rFonts w:hint="eastAsia" w:ascii="宋体" w:hAnsi="宋体" w:cs="宋体"/>
                <w:color w:val="auto"/>
                <w:kern w:val="0"/>
                <w:sz w:val="24"/>
                <w:szCs w:val="24"/>
                <w:highlight w:val="none"/>
                <w:lang w:eastAsia="zh-CN"/>
              </w:rPr>
              <w:t>正式</w:t>
            </w:r>
            <w:r>
              <w:rPr>
                <w:rFonts w:hint="eastAsia" w:ascii="宋体" w:hAnsi="宋体" w:eastAsia="宋体" w:cs="宋体"/>
                <w:color w:val="auto"/>
                <w:kern w:val="0"/>
                <w:sz w:val="24"/>
                <w:szCs w:val="24"/>
                <w:highlight w:val="none"/>
                <w:lang w:eastAsia="zh-CN"/>
              </w:rPr>
              <w:t>表扬的</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bidi="ar-SA"/>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在当月总得分中加</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27" w:type="dxa"/>
            <w:vMerge w:val="continue"/>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c>
          <w:tcPr>
            <w:tcW w:w="5961" w:type="dxa"/>
            <w:gridSpan w:val="2"/>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提出的创新性服务举措，采纳实施后，取得明显成效的</w:t>
            </w:r>
          </w:p>
        </w:tc>
        <w:tc>
          <w:tcPr>
            <w:tcW w:w="622"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p>
        </w:tc>
        <w:tc>
          <w:tcPr>
            <w:tcW w:w="1769"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在当月得分中加</w:t>
            </w:r>
            <w:r>
              <w:rPr>
                <w:rFonts w:hint="eastAsia" w:ascii="宋体" w:hAnsi="宋体" w:eastAsia="宋体" w:cs="宋体"/>
                <w:color w:val="auto"/>
                <w:kern w:val="0"/>
                <w:sz w:val="24"/>
                <w:szCs w:val="24"/>
                <w:highlight w:val="none"/>
                <w:lang w:val="en-US" w:eastAsia="zh-CN"/>
              </w:rPr>
              <w:t>10</w:t>
            </w:r>
          </w:p>
        </w:tc>
        <w:tc>
          <w:tcPr>
            <w:tcW w:w="552"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9231" w:type="dxa"/>
            <w:gridSpan w:val="6"/>
            <w:vMerge w:val="restart"/>
            <w:noWrap/>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注：1、本评分表由业主单位实行定期监管时进行打分，可以在一个评分周期内发现问题重复扣分。     2、此评分表作为对外包服务单位月度考核的主要依据。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9231" w:type="dxa"/>
            <w:gridSpan w:val="6"/>
            <w:vMerge w:val="continue"/>
            <w:noWrap/>
            <w:vAlign w:val="center"/>
          </w:tcPr>
          <w:p>
            <w:pPr>
              <w:widowControl/>
              <w:spacing w:line="360" w:lineRule="auto"/>
              <w:jc w:val="center"/>
              <w:rPr>
                <w:rFonts w:hint="eastAsia" w:ascii="宋体" w:hAnsi="宋体" w:eastAsia="宋体" w:cs="宋体"/>
                <w:color w:val="auto"/>
                <w:kern w:val="0"/>
                <w:sz w:val="24"/>
                <w:szCs w:val="24"/>
                <w:highlight w:val="none"/>
              </w:rPr>
            </w:pPr>
          </w:p>
        </w:tc>
      </w:tr>
    </w:tbl>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一票否决事项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1、发生重大安全生产事故或食品安全事故，造成重大损失的；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2、因管理不善，发生严重盗窃、人身伤害、火灾等责任事故的；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3、监管部门查出不合格事项或由媒体、舆论曝光，造成不良影响的；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4、不服从业主单位管理，和业主单位发生重大冲突或管理人员私自带人撒离的；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5、和就餐机关干部发生冲突或斗殴，造成重大影响的；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方有违反上述条款和相关规定，或因不服从招标方管理监督造成双方矛盾激化，被招标方解除合同的，具体解除合同时间由招标方确定，中标方不得私自带团队撤离，如私自带团队撤离，招标方有权没收合同履约保证金，并按合同价的百分之二十向招标方进行索赔，如中标方不履行的，招标方可向台州市仲裁委申请仲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满后，中标方应服从招标方安排，由招标方确定撤离时间，不得私自带团队撤离，如私自带团队撤离，影响食堂正常工作的，招标方有权没收合同履约保证金，并按合同价的百分之二十向招标方进行索赔，如中标方不履行的，招标方可向台州市仲裁委申请仲裁。</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扣款处罚事项：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1、中标人按投标承诺为本项目派驻的项目经理、厨师长、面点师和标书提供的人员不一致的，招标方有权进行处罚，每人次扣款</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000元，直至招标方无条件中止合同，并禁止中标方参加招标方今后组织的类似项目招标；</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招标方同意，中标方不得有下列行为：擅自安排人员到招标方食堂学习、考察和培训等；擅自调动本项目工作人员外出工作；擅自安排人员到本项目食堂免费用餐。上述行为一经发现，招标方有权视情节进行扣款处罚100-1000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、如由于中标人管理不善，出现中标方工作人员与就餐干部职工吵架等不良现象，根据情节每次扣款500-1000元；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、如中标方工作人员不服从招标方日常管理，或不落实招标方的合理工作要求和安排的，根据情节每次扣款500-1000元；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6、中标人管理及服务人员必须按投标承诺和进驻时间准时到位，如出现人员不到位的情况，每人次扣款</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000元，如无故私自推迟进驻时间，招标方按每推迟一天扣款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00元进行处罚；</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7、中标方应保证全员在岗，如因员工辞职，请假等原因出现缺勤情况，中标方应及时调整、补充人员，否则招标方有权按缺勤天数和人数，扣除每人每天300元；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8、以上扣款事项由招标方出具书面文件，从合同履约金中直接扣除。</w:t>
      </w:r>
    </w:p>
    <w:p>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color w:val="auto"/>
          <w:highlight w:val="none"/>
        </w:rPr>
      </w:pPr>
      <w:r>
        <w:rPr>
          <w:rFonts w:hint="eastAsia" w:hAnsi="宋体" w:cs="宋体"/>
          <w:b/>
          <w:color w:val="auto"/>
          <w:szCs w:val="21"/>
          <w:highlight w:val="none"/>
          <w:lang w:val="en-US" w:eastAsia="zh-CN"/>
        </w:rPr>
        <w:t>十</w:t>
      </w:r>
      <w:r>
        <w:rPr>
          <w:rFonts w:hint="eastAsia" w:hAnsi="宋体" w:cs="宋体"/>
          <w:b/>
          <w:color w:val="auto"/>
          <w:szCs w:val="21"/>
          <w:highlight w:val="none"/>
        </w:rPr>
        <w:t>、商务要求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cs="宋体"/>
          <w:b/>
          <w:color w:val="auto"/>
          <w:szCs w:val="21"/>
          <w:highlight w:val="none"/>
        </w:rPr>
        <w:t>承包服务起止时间：202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日至202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日。</w:t>
      </w:r>
    </w:p>
    <w:p>
      <w:pPr>
        <w:pStyle w:val="13"/>
        <w:keepLines w:val="0"/>
        <w:pageBreakBefore w:val="0"/>
        <w:tabs>
          <w:tab w:val="right" w:leader="dot" w:pos="8494"/>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val="0"/>
          <w:bCs w:val="0"/>
          <w:color w:val="auto"/>
          <w:kern w:val="0"/>
          <w:sz w:val="24"/>
          <w:highlight w:val="none"/>
          <w:lang w:val="en-US" w:eastAsia="zh-CN"/>
        </w:rPr>
      </w:pPr>
      <w:r>
        <w:rPr>
          <w:rFonts w:hint="eastAsia" w:ascii="宋体" w:hAnsi="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付款方式：</w:t>
      </w:r>
      <w:r>
        <w:rPr>
          <w:rFonts w:hint="eastAsia" w:hAnsi="宋体" w:cs="宋体"/>
          <w:b w:val="0"/>
          <w:bCs w:val="0"/>
          <w:color w:val="auto"/>
          <w:kern w:val="0"/>
          <w:sz w:val="24"/>
          <w:highlight w:val="none"/>
          <w:lang w:val="en-US" w:eastAsia="zh-CN"/>
        </w:rPr>
        <w:t>按月结算</w:t>
      </w:r>
      <w:r>
        <w:rPr>
          <w:rFonts w:hint="eastAsia" w:ascii="宋体" w:hAnsi="宋体" w:cs="宋体"/>
          <w:b w:val="0"/>
          <w:bCs w:val="0"/>
          <w:color w:val="auto"/>
          <w:kern w:val="0"/>
          <w:sz w:val="24"/>
          <w:highlight w:val="none"/>
          <w:lang w:eastAsia="zh-CN"/>
        </w:rPr>
        <w:t>，</w:t>
      </w:r>
      <w:r>
        <w:rPr>
          <w:rFonts w:hint="eastAsia" w:hAnsi="宋体" w:cs="宋体"/>
          <w:b w:val="0"/>
          <w:bCs w:val="0"/>
          <w:color w:val="auto"/>
          <w:kern w:val="0"/>
          <w:sz w:val="24"/>
          <w:highlight w:val="none"/>
          <w:lang w:eastAsia="zh-CN"/>
        </w:rPr>
        <w:t>乙方</w:t>
      </w:r>
      <w:r>
        <w:rPr>
          <w:rFonts w:hint="eastAsia" w:ascii="宋体" w:hAnsi="宋体" w:cs="宋体"/>
          <w:b w:val="0"/>
          <w:bCs w:val="0"/>
          <w:color w:val="auto"/>
          <w:kern w:val="0"/>
          <w:sz w:val="24"/>
          <w:highlight w:val="none"/>
          <w:lang w:eastAsia="zh-CN"/>
        </w:rPr>
        <w:t>提供正式发票后</w:t>
      </w:r>
      <w:r>
        <w:rPr>
          <w:rFonts w:hint="eastAsia" w:ascii="宋体" w:hAnsi="宋体" w:cs="宋体"/>
          <w:b w:val="0"/>
          <w:bCs w:val="0"/>
          <w:color w:val="auto"/>
          <w:kern w:val="0"/>
          <w:sz w:val="24"/>
          <w:highlight w:val="none"/>
          <w:lang w:val="en-US" w:eastAsia="zh-CN"/>
        </w:rPr>
        <w:t>10个工作日内以转帐方式支付上月服务费的95%经费，其余</w:t>
      </w:r>
      <w:r>
        <w:rPr>
          <w:rFonts w:hint="eastAsia" w:hAnsi="宋体" w:cs="宋体"/>
          <w:b w:val="0"/>
          <w:bCs w:val="0"/>
          <w:color w:val="auto"/>
          <w:kern w:val="0"/>
          <w:sz w:val="24"/>
          <w:highlight w:val="none"/>
          <w:lang w:val="en-US" w:eastAsia="zh-CN"/>
        </w:rPr>
        <w:t>5%</w:t>
      </w:r>
      <w:r>
        <w:rPr>
          <w:rFonts w:hint="eastAsia" w:ascii="宋体" w:hAnsi="宋体" w:cs="宋体"/>
          <w:b w:val="0"/>
          <w:bCs w:val="0"/>
          <w:color w:val="auto"/>
          <w:kern w:val="0"/>
          <w:sz w:val="24"/>
          <w:highlight w:val="none"/>
          <w:lang w:val="en-US" w:eastAsia="zh-CN"/>
        </w:rPr>
        <w:t>经费作为考核押金，按照管理业绩情况，在满一年</w:t>
      </w:r>
      <w:r>
        <w:rPr>
          <w:rFonts w:hint="eastAsia" w:ascii="宋体" w:hAnsi="宋体" w:cs="宋体"/>
          <w:b w:val="0"/>
          <w:bCs w:val="0"/>
          <w:color w:val="auto"/>
          <w:kern w:val="0"/>
          <w:sz w:val="24"/>
          <w:highlight w:val="none"/>
          <w:lang w:eastAsia="zh-CN"/>
        </w:rPr>
        <w:t>提供正式发票后</w:t>
      </w:r>
      <w:r>
        <w:rPr>
          <w:rFonts w:hint="eastAsia" w:ascii="宋体" w:hAnsi="宋体" w:cs="宋体"/>
          <w:b w:val="0"/>
          <w:bCs w:val="0"/>
          <w:color w:val="auto"/>
          <w:kern w:val="0"/>
          <w:sz w:val="24"/>
          <w:highlight w:val="none"/>
          <w:lang w:val="en-US" w:eastAsia="zh-CN"/>
        </w:rPr>
        <w:t>10个工作日一次性结清。</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Times New Roman"/>
          <w:color w:val="auto"/>
          <w:szCs w:val="21"/>
          <w:highlight w:val="none"/>
        </w:rPr>
      </w:pPr>
      <w:r>
        <w:rPr>
          <w:rFonts w:hint="eastAsia" w:ascii="宋体" w:hAnsi="宋体" w:cs="Times New Roman"/>
          <w:b/>
          <w:bCs/>
          <w:color w:val="auto"/>
          <w:szCs w:val="21"/>
          <w:highlight w:val="none"/>
          <w:lang w:val="en-US" w:eastAsia="zh-CN"/>
        </w:rPr>
        <w:t>3</w:t>
      </w:r>
      <w:r>
        <w:rPr>
          <w:rFonts w:hint="eastAsia" w:ascii="宋体" w:hAnsi="宋体" w:eastAsia="宋体" w:cs="Times New Roman"/>
          <w:b/>
          <w:bCs/>
          <w:color w:val="auto"/>
          <w:szCs w:val="21"/>
          <w:highlight w:val="none"/>
        </w:rPr>
        <w:t>、履约保证金：</w:t>
      </w:r>
      <w:r>
        <w:rPr>
          <w:rFonts w:hint="eastAsia" w:ascii="宋体" w:hAnsi="宋体" w:eastAsia="宋体" w:cs="Times New Roman"/>
          <w:color w:val="auto"/>
          <w:szCs w:val="21"/>
          <w:highlight w:val="none"/>
        </w:rPr>
        <w:t>中标</w:t>
      </w:r>
      <w:r>
        <w:rPr>
          <w:rFonts w:hint="eastAsia" w:ascii="宋体" w:hAnsi="宋体" w:eastAsia="宋体" w:cs="Times New Roman"/>
          <w:color w:val="auto"/>
          <w:szCs w:val="21"/>
          <w:highlight w:val="none"/>
          <w:lang w:val="en-US" w:eastAsia="zh-CN"/>
        </w:rPr>
        <w:t>方</w:t>
      </w:r>
      <w:r>
        <w:rPr>
          <w:rFonts w:hint="eastAsia" w:ascii="宋体" w:hAnsi="宋体" w:eastAsia="宋体" w:cs="Times New Roman"/>
          <w:color w:val="auto"/>
          <w:szCs w:val="21"/>
          <w:highlight w:val="none"/>
        </w:rPr>
        <w:t>与采购</w:t>
      </w:r>
      <w:r>
        <w:rPr>
          <w:rFonts w:hint="eastAsia" w:ascii="宋体" w:hAnsi="宋体" w:eastAsia="宋体" w:cs="Times New Roman"/>
          <w:color w:val="auto"/>
          <w:szCs w:val="21"/>
          <w:highlight w:val="none"/>
          <w:lang w:val="en-US" w:eastAsia="zh-CN"/>
        </w:rPr>
        <w:t>方</w:t>
      </w:r>
      <w:r>
        <w:rPr>
          <w:rFonts w:hint="eastAsia" w:ascii="宋体" w:hAnsi="宋体" w:eastAsia="宋体" w:cs="Times New Roman"/>
          <w:color w:val="auto"/>
          <w:szCs w:val="21"/>
          <w:highlight w:val="none"/>
        </w:rPr>
        <w:t>签订食堂劳务服务承包合同时需向采购</w:t>
      </w:r>
      <w:r>
        <w:rPr>
          <w:rFonts w:hint="eastAsia" w:ascii="宋体" w:hAnsi="宋体" w:eastAsia="宋体" w:cs="Times New Roman"/>
          <w:color w:val="auto"/>
          <w:szCs w:val="21"/>
          <w:highlight w:val="none"/>
          <w:lang w:val="en-US" w:eastAsia="zh-CN"/>
        </w:rPr>
        <w:t>方</w:t>
      </w:r>
      <w:r>
        <w:rPr>
          <w:rFonts w:hint="eastAsia" w:ascii="宋体" w:hAnsi="宋体" w:eastAsia="宋体" w:cs="Times New Roman"/>
          <w:color w:val="auto"/>
          <w:szCs w:val="21"/>
          <w:highlight w:val="none"/>
        </w:rPr>
        <w:t>缴纳</w:t>
      </w:r>
      <w:r>
        <w:rPr>
          <w:rFonts w:hint="eastAsia" w:ascii="宋体" w:hAnsi="宋体" w:eastAsia="宋体" w:cs="Times New Roman"/>
          <w:color w:val="auto"/>
          <w:szCs w:val="21"/>
          <w:highlight w:val="none"/>
          <w:lang w:eastAsia="zh-CN"/>
        </w:rPr>
        <w:t>合同金额的1%</w:t>
      </w:r>
      <w:r>
        <w:rPr>
          <w:rFonts w:hint="eastAsia" w:ascii="宋体" w:hAnsi="宋体" w:eastAsia="宋体" w:cs="Times New Roman"/>
          <w:color w:val="auto"/>
          <w:szCs w:val="21"/>
          <w:highlight w:val="none"/>
        </w:rPr>
        <w:t>人民币作为履约保证金，以保证中标方遵守本合同，包括担保、保函、保险等形式。</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Times New Roman"/>
          <w:color w:val="auto"/>
          <w:szCs w:val="21"/>
          <w:highlight w:val="none"/>
        </w:rPr>
        <w:t>采购方认为中标方在承包期内没有涉及违约行为，采购方在服务期满后一个月内全额退还履约保证金（不计息），否则，采购方将在扣除中标方应付金额或违约金后退还保证金余额。</w:t>
      </w:r>
    </w:p>
    <w:p>
      <w:pPr>
        <w:pStyle w:val="13"/>
        <w:spacing w:line="360" w:lineRule="auto"/>
        <w:ind w:firstLine="422" w:firstLineChars="200"/>
        <w:rPr>
          <w:rFonts w:hint="eastAsia" w:hAnsi="宋体" w:cs="宋体"/>
          <w:b/>
          <w:color w:val="auto"/>
          <w:szCs w:val="21"/>
          <w:highlight w:val="none"/>
        </w:rPr>
      </w:pPr>
    </w:p>
    <w:p>
      <w:pPr>
        <w:pStyle w:val="14"/>
        <w:rPr>
          <w:rFonts w:hint="eastAsia" w:hAnsi="宋体" w:cs="宋体"/>
          <w:b/>
          <w:color w:val="auto"/>
          <w:szCs w:val="21"/>
          <w:highlight w:val="none"/>
        </w:rPr>
      </w:pPr>
    </w:p>
    <w:p>
      <w:pPr>
        <w:rPr>
          <w:rFonts w:hint="eastAsia" w:hAnsi="宋体" w:cs="宋体"/>
          <w:b/>
          <w:color w:val="auto"/>
          <w:szCs w:val="21"/>
          <w:highlight w:val="none"/>
        </w:rPr>
      </w:pPr>
    </w:p>
    <w:p>
      <w:pPr>
        <w:pStyle w:val="10"/>
        <w:rPr>
          <w:rFonts w:hint="eastAsia" w:hAnsi="宋体" w:cs="宋体"/>
          <w:b/>
          <w:color w:val="auto"/>
          <w:szCs w:val="21"/>
          <w:highlight w:val="none"/>
        </w:rPr>
      </w:pPr>
    </w:p>
    <w:p>
      <w:pPr>
        <w:pStyle w:val="11"/>
        <w:rPr>
          <w:rFonts w:hint="eastAsia" w:hAnsi="宋体" w:cs="宋体"/>
          <w:b/>
          <w:color w:val="auto"/>
          <w:szCs w:val="21"/>
          <w:highlight w:val="none"/>
        </w:rPr>
      </w:pPr>
    </w:p>
    <w:p>
      <w:pPr>
        <w:pStyle w:val="10"/>
        <w:rPr>
          <w:rFonts w:hint="eastAsia"/>
          <w:color w:val="auto"/>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hint="eastAsia" w:ascii="宋体" w:hAnsi="宋体" w:cs="宋体"/>
          <w:b/>
          <w:bCs/>
          <w:color w:val="auto"/>
          <w:sz w:val="36"/>
          <w:szCs w:val="44"/>
          <w:highlight w:val="none"/>
        </w:rPr>
      </w:pPr>
    </w:p>
    <w:p>
      <w:pPr>
        <w:numPr>
          <w:ilvl w:val="0"/>
          <w:numId w:val="0"/>
        </w:numPr>
        <w:shd w:val="clear"/>
        <w:spacing w:line="360" w:lineRule="auto"/>
        <w:ind w:leftChars="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第五部分 政府采购合同主要条款指引</w:t>
      </w:r>
    </w:p>
    <w:p>
      <w:pPr>
        <w:pStyle w:val="10"/>
        <w:rPr>
          <w:rFonts w:hint="eastAsia" w:ascii="宋体" w:hAnsi="宋体"/>
          <w:b/>
          <w:color w:val="auto"/>
          <w:sz w:val="36"/>
          <w:szCs w:val="36"/>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合同将由</w:t>
      </w:r>
      <w:r>
        <w:rPr>
          <w:rFonts w:hint="eastAsia" w:ascii="宋体" w:hAnsi="宋体" w:eastAsia="宋体" w:cs="宋体"/>
          <w:color w:val="auto"/>
          <w:sz w:val="24"/>
          <w:szCs w:val="24"/>
          <w:highlight w:val="none"/>
          <w:lang w:eastAsia="zh-CN"/>
        </w:rPr>
        <w:t>台州市路桥区人民法院</w:t>
      </w:r>
      <w:r>
        <w:rPr>
          <w:rFonts w:hint="eastAsia" w:ascii="宋体" w:hAnsi="宋体" w:eastAsia="宋体" w:cs="宋体"/>
          <w:color w:val="auto"/>
          <w:sz w:val="24"/>
          <w:szCs w:val="24"/>
          <w:highlight w:val="none"/>
        </w:rPr>
        <w:t>（以下简称甲方）与经评审最终确定的</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（以下简称乙方）结合本项目具体情况协商后签订。以下为</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提出涉及乙方的主要条款，投标人在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文件中应对其进行确认或拒绝。如投标人在其</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文件中未做拒绝或提出调整完善要求的，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将视作认同。具体如下：</w:t>
      </w:r>
    </w:p>
    <w:p>
      <w:pPr>
        <w:pStyle w:val="13"/>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p>
    <w:p>
      <w:pPr>
        <w:pStyle w:val="13"/>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w:t>
      </w:r>
      <w:r>
        <w:rPr>
          <w:rFonts w:hint="eastAsia" w:ascii="宋体" w:hAnsi="宋体" w:eastAsia="宋体" w:cs="宋体"/>
          <w:color w:val="auto"/>
          <w:sz w:val="24"/>
          <w:szCs w:val="24"/>
          <w:highlight w:val="none"/>
        </w:rPr>
        <w:t>（采购方）</w:t>
      </w:r>
      <w:r>
        <w:rPr>
          <w:rFonts w:hint="eastAsia" w:ascii="宋体" w:hAnsi="宋体" w:eastAsia="宋体" w:cs="宋体"/>
          <w:color w:val="auto"/>
          <w:sz w:val="24"/>
          <w:szCs w:val="24"/>
          <w:highlight w:val="none"/>
          <w:lang w:eastAsia="zh-CN"/>
        </w:rPr>
        <w:t>台州市路桥区人民法院</w:t>
      </w:r>
    </w:p>
    <w:p>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color w:val="auto"/>
          <w:sz w:val="24"/>
          <w:szCs w:val="24"/>
          <w:highlight w:val="none"/>
        </w:rPr>
        <w:t>（供应商）</w:t>
      </w:r>
      <w:r>
        <w:rPr>
          <w:rFonts w:hint="eastAsia" w:ascii="宋体" w:hAnsi="宋体" w:eastAsia="宋体" w:cs="宋体"/>
          <w:b/>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val="0"/>
        <w:snapToGrid w:val="0"/>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lang w:eastAsia="zh-CN"/>
        </w:rPr>
        <w:t>食堂劳务外包服务项目</w:t>
      </w:r>
      <w:r>
        <w:rPr>
          <w:rFonts w:hint="eastAsia" w:ascii="宋体" w:hAnsi="宋体" w:eastAsia="宋体" w:cs="宋体"/>
          <w:color w:val="auto"/>
          <w:sz w:val="24"/>
          <w:szCs w:val="24"/>
          <w:highlight w:val="none"/>
          <w:u w:val="single"/>
        </w:rPr>
        <w:t>竞争性磋商</w:t>
      </w:r>
      <w:r>
        <w:rPr>
          <w:rFonts w:hint="eastAsia" w:ascii="宋体" w:hAnsi="宋体" w:eastAsia="宋体" w:cs="宋体"/>
          <w:color w:val="auto"/>
          <w:sz w:val="24"/>
          <w:szCs w:val="24"/>
          <w:highlight w:val="none"/>
        </w:rPr>
        <w:t>的结果，签署本合同。</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（一）承包内容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承包经营</w:t>
      </w:r>
      <w:r>
        <w:rPr>
          <w:rFonts w:hint="eastAsia" w:ascii="宋体" w:hAnsi="宋体" w:eastAsia="宋体" w:cs="宋体"/>
          <w:color w:val="auto"/>
          <w:sz w:val="24"/>
          <w:szCs w:val="24"/>
          <w:highlight w:val="none"/>
          <w:lang w:eastAsia="zh-CN"/>
        </w:rPr>
        <w:t>路桥法院</w:t>
      </w:r>
      <w:r>
        <w:rPr>
          <w:rFonts w:hint="eastAsia" w:ascii="宋体" w:hAnsi="宋体" w:eastAsia="宋体" w:cs="宋体"/>
          <w:color w:val="auto"/>
          <w:sz w:val="24"/>
          <w:szCs w:val="24"/>
          <w:highlight w:val="none"/>
        </w:rPr>
        <w:t>食堂，提供食堂炊事、保洁等劳务服务，负责供应职工早、中、晚餐，并根据实际需要提供会议（培训）和公务接待用餐服务。在确保上述就餐正常供应情况下，可根据职工需要，兼营小炒餐饮业务。食堂经营实行每周双休制</w:t>
      </w:r>
      <w:r>
        <w:rPr>
          <w:rFonts w:hint="eastAsia" w:ascii="宋体" w:hAnsi="宋体" w:eastAsia="宋体" w:cs="宋体"/>
          <w:color w:val="auto"/>
          <w:sz w:val="24"/>
          <w:szCs w:val="24"/>
          <w:highlight w:val="none"/>
          <w:lang w:eastAsia="zh-CN"/>
        </w:rPr>
        <w:t>（特殊情况除外）</w:t>
      </w:r>
      <w:r>
        <w:rPr>
          <w:rFonts w:hint="eastAsia" w:ascii="宋体" w:hAnsi="宋体" w:eastAsia="宋体" w:cs="宋体"/>
          <w:color w:val="auto"/>
          <w:sz w:val="24"/>
          <w:szCs w:val="24"/>
          <w:highlight w:val="none"/>
        </w:rPr>
        <w:t>，日常用餐规模人数约400人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早餐</w:t>
      </w:r>
      <w:r>
        <w:rPr>
          <w:rFonts w:hint="eastAsia" w:ascii="宋体" w:hAnsi="宋体" w:eastAsia="宋体" w:cs="宋体"/>
          <w:color w:val="auto"/>
          <w:sz w:val="24"/>
          <w:szCs w:val="24"/>
          <w:highlight w:val="none"/>
          <w:lang w:eastAsia="zh-CN"/>
        </w:rPr>
        <w:t>约</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0人，中餐约1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0人，晚餐视情况而定）</w:t>
      </w:r>
      <w:r>
        <w:rPr>
          <w:rFonts w:hint="eastAsia" w:ascii="宋体" w:hAnsi="宋体" w:eastAsia="宋体" w:cs="宋体"/>
          <w:color w:val="auto"/>
          <w:sz w:val="24"/>
          <w:szCs w:val="24"/>
          <w:highlight w:val="none"/>
        </w:rPr>
        <w:t>，其他用餐按实际情况提前告知予以保障。</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（二）具体要求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应根据</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的要求，于每周四下班前制订好下一周食谱，报</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审定后实施。食谱的制订应按照应时、应地、应人的原则，倡导少油、少糖、少盐的健康理念，做到周周有创新，具体要求如下：</w:t>
      </w:r>
    </w:p>
    <w:p>
      <w:pPr>
        <w:keepNext w:val="0"/>
        <w:keepLines w:val="0"/>
        <w:pageBreakBefore w:val="0"/>
        <w:widowControl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①早餐主要为肉包、馒头、菜包、汤面、水饺、炒面</w:t>
      </w:r>
      <w:r>
        <w:rPr>
          <w:rFonts w:hint="eastAsia" w:ascii="宋体" w:hAnsi="宋体" w:eastAsia="宋体" w:cs="宋体"/>
          <w:color w:val="auto"/>
          <w:sz w:val="24"/>
          <w:szCs w:val="24"/>
          <w:highlight w:val="none"/>
          <w:lang w:eastAsia="zh-CN"/>
        </w:rPr>
        <w:t>、粥、西式点心</w:t>
      </w:r>
      <w:r>
        <w:rPr>
          <w:rFonts w:hint="eastAsia" w:ascii="宋体" w:hAnsi="宋体" w:eastAsia="宋体" w:cs="宋体"/>
          <w:color w:val="auto"/>
          <w:sz w:val="24"/>
          <w:szCs w:val="24"/>
          <w:highlight w:val="none"/>
        </w:rPr>
        <w:t>等不少于8</w:t>
      </w:r>
      <w:r>
        <w:rPr>
          <w:rFonts w:hint="eastAsia" w:ascii="宋体" w:hAnsi="宋体" w:eastAsia="宋体" w:cs="宋体"/>
          <w:color w:val="auto"/>
          <w:sz w:val="24"/>
          <w:szCs w:val="24"/>
          <w:highlight w:val="none"/>
          <w:lang w:eastAsia="zh-CN"/>
        </w:rPr>
        <w:t>种，小菜</w:t>
      </w:r>
      <w:r>
        <w:rPr>
          <w:rFonts w:hint="eastAsia" w:ascii="宋体" w:hAnsi="宋体" w:eastAsia="宋体" w:cs="宋体"/>
          <w:color w:val="auto"/>
          <w:sz w:val="24"/>
          <w:szCs w:val="24"/>
          <w:highlight w:val="none"/>
          <w:lang w:val="en-US" w:eastAsia="zh-CN"/>
        </w:rPr>
        <w:t>3种以上，为保证菜品新鲜当天提供的食品当天制作（特殊小菜除外）</w:t>
      </w:r>
      <w:r>
        <w:rPr>
          <w:rFonts w:hint="eastAsia" w:ascii="宋体" w:hAnsi="宋体" w:eastAsia="宋体" w:cs="宋体"/>
          <w:color w:val="auto"/>
          <w:sz w:val="24"/>
          <w:szCs w:val="24"/>
          <w:highlight w:val="none"/>
        </w:rPr>
        <w:t>，中餐至少保障</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0个品种以上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晚餐至少保障</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个品种以</w:t>
      </w:r>
      <w:r>
        <w:rPr>
          <w:rFonts w:hint="eastAsia" w:ascii="宋体" w:hAnsi="宋体" w:eastAsia="宋体" w:cs="宋体"/>
          <w:color w:val="auto"/>
          <w:sz w:val="24"/>
          <w:szCs w:val="24"/>
          <w:highlight w:val="none"/>
          <w:lang w:eastAsia="zh-CN"/>
        </w:rPr>
        <w:t>上，经</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同意，适当穿插安排有特色的主食或营养健康餐等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品种要</w:t>
      </w:r>
      <w:r>
        <w:rPr>
          <w:rFonts w:hint="eastAsia" w:ascii="宋体" w:hAnsi="宋体" w:eastAsia="宋体" w:cs="宋体"/>
          <w:color w:val="auto"/>
          <w:sz w:val="24"/>
          <w:szCs w:val="24"/>
          <w:highlight w:val="none"/>
        </w:rPr>
        <w:t>荤素搭配，</w:t>
      </w:r>
      <w:r>
        <w:rPr>
          <w:rFonts w:hint="eastAsia" w:ascii="宋体" w:hAnsi="宋体" w:eastAsia="宋体" w:cs="宋体"/>
          <w:color w:val="auto"/>
          <w:sz w:val="24"/>
          <w:szCs w:val="24"/>
          <w:highlight w:val="none"/>
          <w:lang w:eastAsia="zh-CN"/>
        </w:rPr>
        <w:t>定期推出特色</w:t>
      </w:r>
      <w:r>
        <w:rPr>
          <w:rFonts w:hint="eastAsia" w:ascii="宋体" w:hAnsi="宋体" w:eastAsia="宋体" w:cs="宋体"/>
          <w:color w:val="auto"/>
          <w:sz w:val="24"/>
          <w:szCs w:val="24"/>
          <w:highlight w:val="none"/>
        </w:rPr>
        <w:t>卤</w:t>
      </w:r>
      <w:r>
        <w:rPr>
          <w:rFonts w:hint="eastAsia" w:ascii="宋体" w:hAnsi="宋体" w:eastAsia="宋体" w:cs="宋体"/>
          <w:color w:val="auto"/>
          <w:sz w:val="24"/>
          <w:szCs w:val="24"/>
          <w:highlight w:val="none"/>
          <w:lang w:eastAsia="zh-CN"/>
        </w:rPr>
        <w:t>品</w:t>
      </w:r>
      <w:r>
        <w:rPr>
          <w:rFonts w:hint="eastAsia" w:ascii="宋体" w:hAnsi="宋体" w:eastAsia="宋体" w:cs="宋体"/>
          <w:color w:val="auto"/>
          <w:sz w:val="24"/>
          <w:szCs w:val="24"/>
          <w:highlight w:val="none"/>
        </w:rPr>
        <w:t>，具体花色、品种调整核定由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负责审定。</w:t>
      </w:r>
      <w:r>
        <w:rPr>
          <w:rFonts w:hint="eastAsia" w:ascii="宋体" w:hAnsi="宋体" w:eastAsia="宋体" w:cs="宋体"/>
          <w:color w:val="auto"/>
          <w:sz w:val="24"/>
          <w:szCs w:val="24"/>
          <w:highlight w:val="none"/>
          <w:lang w:eastAsia="zh-CN"/>
        </w:rPr>
        <w:t>公务接待用餐中，需研究提供</w:t>
      </w:r>
      <w:r>
        <w:rPr>
          <w:rFonts w:hint="eastAsia" w:ascii="宋体" w:hAnsi="宋体" w:eastAsia="宋体" w:cs="宋体"/>
          <w:color w:val="auto"/>
          <w:sz w:val="24"/>
          <w:szCs w:val="24"/>
          <w:highlight w:val="none"/>
          <w:lang w:val="en-US" w:eastAsia="zh-CN"/>
        </w:rPr>
        <w:t>2-3个具有特色辨识度的菜品。</w:t>
      </w:r>
    </w:p>
    <w:p>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根据就餐人数和食材成本及有关损耗，按照“保本经营”原则确定每个菜品的价格，并报</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审定，价格一经审定后，</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不得擅自改动。价格的制定既要让就餐机关干部职工吃得实惠，又要保证</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每月不发生亏损的原则。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2.原材料的采购由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负责，油、米、调料及低值易耗品也由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提供并计入成本。</w:t>
      </w:r>
    </w:p>
    <w:p>
      <w:pPr>
        <w:keepNext w:val="0"/>
        <w:keepLines w:val="0"/>
        <w:pageBreakBefore w:val="0"/>
        <w:kinsoku/>
        <w:wordWrap/>
        <w:overflowPunct/>
        <w:topLinePunct w:val="0"/>
        <w:autoSpaceDE/>
        <w:autoSpaceDN/>
        <w:bidi w:val="0"/>
        <w:spacing w:line="360" w:lineRule="auto"/>
        <w:ind w:firstLine="482"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第二条：承包费用和期限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合同总金额</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人民币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年承包费用。其中包括人工费、管理费、税费、服装费、</w:t>
      </w:r>
      <w:r>
        <w:rPr>
          <w:rFonts w:hint="eastAsia" w:ascii="宋体" w:hAnsi="宋体" w:eastAsia="宋体" w:cs="宋体"/>
          <w:color w:val="auto"/>
          <w:sz w:val="24"/>
          <w:szCs w:val="24"/>
          <w:highlight w:val="none"/>
          <w:lang w:eastAsia="zh-CN"/>
        </w:rPr>
        <w:t>公务或会议培训等接待服务费</w:t>
      </w:r>
      <w:r>
        <w:rPr>
          <w:rFonts w:hint="eastAsia" w:ascii="宋体" w:hAnsi="宋体" w:eastAsia="宋体" w:cs="宋体"/>
          <w:color w:val="auto"/>
          <w:sz w:val="24"/>
          <w:szCs w:val="24"/>
          <w:highlight w:val="none"/>
        </w:rPr>
        <w:t>及用工人员的一切费用。（不包括场租、煤气费、水电费）</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承包方式：</w:t>
      </w:r>
      <w:r>
        <w:rPr>
          <w:rFonts w:hint="eastAsia" w:ascii="宋体" w:hAnsi="宋体" w:cs="宋体"/>
          <w:color w:val="auto"/>
          <w:szCs w:val="21"/>
          <w:highlight w:val="none"/>
          <w:lang w:eastAsia="zh-CN"/>
        </w:rPr>
        <w:t>在承包期内，如采购人同意续签，</w:t>
      </w:r>
      <w:r>
        <w:rPr>
          <w:rFonts w:hint="eastAsia" w:ascii="宋体" w:hAnsi="宋体" w:cs="宋体"/>
          <w:color w:val="auto"/>
          <w:szCs w:val="21"/>
          <w:highlight w:val="none"/>
        </w:rPr>
        <w:t>中标人必须无条件</w:t>
      </w:r>
      <w:r>
        <w:rPr>
          <w:rFonts w:hint="eastAsia" w:ascii="宋体" w:hAnsi="宋体" w:cs="宋体"/>
          <w:color w:val="auto"/>
          <w:szCs w:val="21"/>
          <w:highlight w:val="none"/>
          <w:lang w:eastAsia="zh-CN"/>
        </w:rPr>
        <w:t>续签</w:t>
      </w:r>
      <w:r>
        <w:rPr>
          <w:rFonts w:hint="eastAsia" w:ascii="宋体" w:hAnsi="宋体" w:cs="宋体"/>
          <w:color w:val="auto"/>
          <w:szCs w:val="21"/>
          <w:highlight w:val="none"/>
        </w:rPr>
        <w:t>并履行合同义务，否则合同履约保证金没收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b/>
          <w:color w:val="auto"/>
          <w:sz w:val="24"/>
          <w:szCs w:val="24"/>
          <w:highlight w:val="none"/>
        </w:rPr>
        <w:t>.承包服务起止时间：202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日至202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日。</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Cs w:val="21"/>
          <w:highlight w:val="none"/>
        </w:rPr>
        <w:t>堂服务外包一年一考核，如果</w:t>
      </w:r>
      <w:r>
        <w:rPr>
          <w:rFonts w:hint="eastAsia" w:ascii="宋体" w:hAnsi="宋体" w:cs="宋体"/>
          <w:b w:val="0"/>
          <w:bCs/>
          <w:color w:val="auto"/>
          <w:szCs w:val="21"/>
          <w:highlight w:val="none"/>
          <w:lang w:eastAsia="zh-CN"/>
        </w:rPr>
        <w:t>通过采购人考评的，经甲方集体讨论后</w:t>
      </w:r>
      <w:r>
        <w:rPr>
          <w:rFonts w:hint="eastAsia" w:ascii="宋体" w:hAnsi="宋体" w:eastAsia="宋体" w:cs="宋体"/>
          <w:b w:val="0"/>
          <w:bCs/>
          <w:color w:val="auto"/>
          <w:szCs w:val="21"/>
          <w:highlight w:val="none"/>
        </w:rPr>
        <w:t>，可</w:t>
      </w:r>
      <w:r>
        <w:rPr>
          <w:rFonts w:hint="eastAsia" w:ascii="宋体" w:hAnsi="宋体" w:eastAsia="宋体" w:cs="宋体"/>
          <w:b w:val="0"/>
          <w:bCs/>
          <w:color w:val="auto"/>
          <w:szCs w:val="21"/>
          <w:highlight w:val="none"/>
          <w:lang w:val="en-US" w:eastAsia="zh-CN"/>
        </w:rPr>
        <w:t>继续由中标方承</w:t>
      </w:r>
      <w:r>
        <w:rPr>
          <w:rFonts w:hint="eastAsia" w:ascii="宋体" w:hAnsi="宋体" w:eastAsia="宋体" w:cs="宋体"/>
          <w:b w:val="0"/>
          <w:bCs/>
          <w:color w:val="auto"/>
          <w:szCs w:val="21"/>
          <w:highlight w:val="none"/>
        </w:rPr>
        <w:t>包。如果由于</w:t>
      </w:r>
      <w:r>
        <w:rPr>
          <w:rFonts w:hint="eastAsia" w:ascii="宋体" w:hAnsi="宋体" w:eastAsia="宋体" w:cs="宋体"/>
          <w:b w:val="0"/>
          <w:bCs/>
          <w:color w:val="auto"/>
          <w:szCs w:val="21"/>
          <w:highlight w:val="none"/>
          <w:lang w:val="en-US" w:eastAsia="zh-CN"/>
        </w:rPr>
        <w:t>中标</w:t>
      </w:r>
      <w:r>
        <w:rPr>
          <w:rFonts w:hint="eastAsia" w:ascii="宋体" w:hAnsi="宋体" w:eastAsia="宋体" w:cs="宋体"/>
          <w:b w:val="0"/>
          <w:bCs/>
          <w:color w:val="auto"/>
          <w:szCs w:val="21"/>
          <w:highlight w:val="none"/>
        </w:rPr>
        <w:t>方的原因食堂出现重大事件或</w:t>
      </w:r>
      <w:r>
        <w:rPr>
          <w:rFonts w:hint="eastAsia" w:ascii="宋体" w:hAnsi="宋体" w:eastAsia="宋体" w:cs="宋体"/>
          <w:b w:val="0"/>
          <w:bCs/>
          <w:color w:val="auto"/>
          <w:szCs w:val="21"/>
          <w:highlight w:val="none"/>
          <w:lang w:val="en-US" w:eastAsia="zh-CN"/>
        </w:rPr>
        <w:t>中标</w:t>
      </w:r>
      <w:r>
        <w:rPr>
          <w:rFonts w:hint="eastAsia" w:ascii="宋体" w:hAnsi="宋体" w:eastAsia="宋体" w:cs="宋体"/>
          <w:b w:val="0"/>
          <w:bCs/>
          <w:color w:val="auto"/>
          <w:szCs w:val="21"/>
          <w:highlight w:val="none"/>
        </w:rPr>
        <w:t>方不听从</w:t>
      </w:r>
      <w:r>
        <w:rPr>
          <w:rFonts w:hint="eastAsia" w:ascii="宋体" w:hAnsi="宋体" w:eastAsia="宋体" w:cs="宋体"/>
          <w:b w:val="0"/>
          <w:bCs/>
          <w:color w:val="auto"/>
          <w:szCs w:val="21"/>
          <w:highlight w:val="none"/>
          <w:lang w:val="en-US" w:eastAsia="zh-CN"/>
        </w:rPr>
        <w:t>采购</w:t>
      </w:r>
      <w:r>
        <w:rPr>
          <w:rFonts w:hint="eastAsia" w:ascii="宋体" w:hAnsi="宋体" w:eastAsia="宋体" w:cs="宋体"/>
          <w:b w:val="0"/>
          <w:bCs/>
          <w:color w:val="auto"/>
          <w:szCs w:val="21"/>
          <w:highlight w:val="none"/>
        </w:rPr>
        <w:t>方有理的建议、不协助</w:t>
      </w:r>
      <w:r>
        <w:rPr>
          <w:rFonts w:hint="eastAsia" w:ascii="宋体" w:hAnsi="宋体" w:eastAsia="宋体" w:cs="宋体"/>
          <w:b w:val="0"/>
          <w:bCs/>
          <w:color w:val="auto"/>
          <w:szCs w:val="21"/>
          <w:highlight w:val="none"/>
          <w:lang w:val="en-US" w:eastAsia="zh-CN"/>
        </w:rPr>
        <w:t>采购</w:t>
      </w:r>
      <w:r>
        <w:rPr>
          <w:rFonts w:hint="eastAsia" w:ascii="宋体" w:hAnsi="宋体" w:eastAsia="宋体" w:cs="宋体"/>
          <w:b w:val="0"/>
          <w:bCs/>
          <w:color w:val="auto"/>
          <w:szCs w:val="21"/>
          <w:highlight w:val="none"/>
        </w:rPr>
        <w:t>方工作或因上级有关政策变更等，</w:t>
      </w:r>
      <w:r>
        <w:rPr>
          <w:rFonts w:hint="eastAsia" w:ascii="宋体" w:hAnsi="宋体" w:eastAsia="宋体" w:cs="宋体"/>
          <w:b w:val="0"/>
          <w:bCs/>
          <w:color w:val="auto"/>
          <w:szCs w:val="21"/>
          <w:highlight w:val="none"/>
          <w:lang w:val="en-US" w:eastAsia="zh-CN"/>
        </w:rPr>
        <w:t>采购</w:t>
      </w:r>
      <w:r>
        <w:rPr>
          <w:rFonts w:hint="eastAsia" w:ascii="宋体" w:hAnsi="宋体" w:eastAsia="宋体" w:cs="宋体"/>
          <w:b w:val="0"/>
          <w:bCs/>
          <w:color w:val="auto"/>
          <w:szCs w:val="21"/>
          <w:highlight w:val="none"/>
        </w:rPr>
        <w:t>方有权中途终止合同。</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第三条：人员配置要求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1.派遣服务人员不少于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人。其中包括项目经理1名、厨师长1人、</w:t>
      </w:r>
      <w:r>
        <w:rPr>
          <w:rFonts w:hint="eastAsia" w:ascii="宋体" w:hAnsi="宋体" w:eastAsia="宋体" w:cs="宋体"/>
          <w:color w:val="auto"/>
          <w:sz w:val="24"/>
          <w:szCs w:val="24"/>
          <w:highlight w:val="none"/>
          <w:lang w:eastAsia="zh-CN"/>
        </w:rPr>
        <w:t>副</w:t>
      </w:r>
      <w:r>
        <w:rPr>
          <w:rFonts w:hint="eastAsia" w:ascii="宋体" w:hAnsi="宋体" w:eastAsia="宋体" w:cs="宋体"/>
          <w:color w:val="auto"/>
          <w:sz w:val="24"/>
          <w:szCs w:val="24"/>
          <w:highlight w:val="none"/>
        </w:rPr>
        <w:t>厨</w:t>
      </w:r>
      <w:r>
        <w:rPr>
          <w:rFonts w:hint="eastAsia" w:ascii="宋体" w:hAnsi="宋体" w:eastAsia="宋体" w:cs="宋体"/>
          <w:color w:val="auto"/>
          <w:sz w:val="24"/>
          <w:szCs w:val="24"/>
          <w:highlight w:val="none"/>
          <w:lang w:eastAsia="zh-CN"/>
        </w:rPr>
        <w:t>兼切配</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人、面点师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勤杂工</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eastAsia="zh-CN"/>
        </w:rPr>
        <w:t>，食堂工作人员（兼采购）</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lang w:eastAsia="zh-CN"/>
        </w:rPr>
        <w:t>，金清法庭厨师兼勤杂</w:t>
      </w:r>
      <w:r>
        <w:rPr>
          <w:rFonts w:hint="eastAsia" w:ascii="宋体" w:hAnsi="宋体" w:eastAsia="宋体" w:cs="宋体"/>
          <w:b w:val="0"/>
          <w:bCs w:val="0"/>
          <w:color w:val="auto"/>
          <w:sz w:val="24"/>
          <w:szCs w:val="24"/>
          <w:highlight w:val="none"/>
          <w:lang w:val="en-US" w:eastAsia="zh-CN"/>
        </w:rPr>
        <w:t>1人</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素质要求符合相应服务岗位工作要求。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2.所有人员都要有相应餐饮行业工作经验，新晋人员要有不少于一周时间的岗前培训。男性年龄需在</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周岁以下，女性年龄在5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周岁以下。</w:t>
      </w:r>
    </w:p>
    <w:p>
      <w:pPr>
        <w:pStyle w:val="10"/>
        <w:keepNext w:val="0"/>
        <w:keepLines w:val="0"/>
        <w:pageBreakBefore w:val="0"/>
        <w:widowControl w:val="0"/>
        <w:kinsoku/>
        <w:wordWrap/>
        <w:overflowPunct/>
        <w:topLinePunct w:val="0"/>
        <w:bidi w:val="0"/>
        <w:spacing w:after="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经理要求具有中餐中级服务证书，并有三年以上知名酒店从业经验的服务师。厨师长要求具有中餐高级职业资格证书，并有五年以上知名酒店从业经验的专业厨师。面点师要求具有中式点心高级职业资格证书，并有五年以上知名酒店从业经验的专业点心师。</w:t>
      </w:r>
    </w:p>
    <w:p>
      <w:pPr>
        <w:pStyle w:val="10"/>
        <w:keepNext w:val="0"/>
        <w:keepLines w:val="0"/>
        <w:pageBreakBefore w:val="0"/>
        <w:widowControl w:val="0"/>
        <w:kinsoku/>
        <w:wordWrap/>
        <w:overflowPunct/>
        <w:topLinePunct w:val="0"/>
        <w:bidi w:val="0"/>
        <w:spacing w:after="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厨师长月工资不低于7500元（含社保），面点师月工资不低于7200元（含社保），食堂工作人员月工资不低于4900元，金清法庭厨师月工资不低于</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eastAsia="zh-CN"/>
        </w:rPr>
        <w:t>0元。</w:t>
      </w:r>
    </w:p>
    <w:p>
      <w:pPr>
        <w:pStyle w:val="11"/>
        <w:spacing w:line="360" w:lineRule="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▲投标供应商投标时须承诺的人员中标后不得更换。</w:t>
      </w:r>
    </w:p>
    <w:p>
      <w:pPr>
        <w:pStyle w:val="11"/>
        <w:numPr>
          <w:ilvl w:val="0"/>
          <w:numId w:val="0"/>
        </w:numPr>
        <w:spacing w:line="360" w:lineRule="auto"/>
        <w:ind w:firstLine="482" w:firstLineChars="20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5.所有人员上岗前均须提供效健康合格证明给采购方备案。</w:t>
      </w:r>
    </w:p>
    <w:p>
      <w:pPr>
        <w:numPr>
          <w:ilvl w:val="0"/>
          <w:numId w:val="0"/>
        </w:numPr>
        <w:spacing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kern w:val="2"/>
          <w:sz w:val="24"/>
          <w:szCs w:val="24"/>
          <w:highlight w:val="none"/>
          <w:u w:val="none"/>
          <w:lang w:val="en-US" w:eastAsia="zh-CN" w:bidi="ar-SA"/>
        </w:rPr>
        <w:t>6.为便于开展工作，中标方工作人员统一在甲方食堂用餐，并按12元/人/天向甲方交纳伙食费。</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第四条：会议（培训）和公务接待用餐服务要求：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1.地点</w:t>
      </w:r>
      <w:r>
        <w:rPr>
          <w:rFonts w:hint="eastAsia" w:ascii="宋体" w:hAnsi="宋体" w:eastAsia="宋体" w:cs="宋体"/>
          <w:color w:val="auto"/>
          <w:sz w:val="24"/>
          <w:szCs w:val="24"/>
          <w:highlight w:val="none"/>
          <w:lang w:eastAsia="zh-CN"/>
        </w:rPr>
        <w:t>：区法院大楼</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2.服务时间：中、晚餐，具体时间根据实际需要。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3.服务费：</w:t>
      </w:r>
      <w:r>
        <w:rPr>
          <w:rFonts w:hint="eastAsia" w:ascii="宋体" w:hAnsi="宋体" w:eastAsia="宋体" w:cs="宋体"/>
          <w:color w:val="auto"/>
          <w:sz w:val="24"/>
          <w:szCs w:val="24"/>
          <w:highlight w:val="none"/>
          <w:lang w:eastAsia="zh-CN"/>
        </w:rPr>
        <w:t>含在总承包价内，不再另行结算。</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4.服务人员要求：公务接待根据用餐人数，即时提供相应的厨师与</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①具有中式烹调高级职业资格证书，并有五年以上知名酒店从业经验的专业厨师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②具有中式点心高级职业资格证书，并有五年以上知名酒店从业经验的专业点心师。</w:t>
      </w:r>
    </w:p>
    <w:p>
      <w:pPr>
        <w:keepNext w:val="0"/>
        <w:keepLines w:val="0"/>
        <w:pageBreakBefore w:val="0"/>
        <w:kinsoku/>
        <w:wordWrap/>
        <w:overflowPunct/>
        <w:topLinePunct w:val="0"/>
        <w:autoSpaceDE/>
        <w:autoSpaceDN/>
        <w:bidi w:val="0"/>
        <w:spacing w:line="360" w:lineRule="auto"/>
        <w:ind w:firstLine="482" w:firstLineChars="2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第五条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双方权利义务</w:t>
      </w:r>
    </w:p>
    <w:p>
      <w:pPr>
        <w:keepNext w:val="0"/>
        <w:keepLines w:val="0"/>
        <w:pageBreakBefore w:val="0"/>
        <w:kinsoku/>
        <w:wordWrap/>
        <w:overflowPunct/>
        <w:topLinePunct w:val="0"/>
        <w:autoSpaceDE/>
        <w:autoSpaceDN/>
        <w:bidi w:val="0"/>
        <w:spacing w:line="360" w:lineRule="auto"/>
        <w:ind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（一）甲方权利义务：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1.按规定监督</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依法经营、履行合同，做好协调工作。</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2.提供厨房、餐厅、全套厨房设备和结算系统等。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3.负责水电气费用支出和场地提供。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配菜、营养搭配、服务水平及卫生状况进行监督、检查、考核，并有权要求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限期整改。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维持食堂治安秩序。</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（二）乙方的权利义务：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严格按照餐饮服务食品安全监督量化分级管理要求，</w:t>
      </w:r>
      <w:r>
        <w:rPr>
          <w:rFonts w:hint="eastAsia" w:ascii="宋体" w:hAnsi="宋体" w:eastAsia="宋体" w:cs="宋体"/>
          <w:color w:val="auto"/>
          <w:sz w:val="24"/>
          <w:szCs w:val="24"/>
          <w:highlight w:val="none"/>
        </w:rPr>
        <w:t>负责好食堂的食</w:t>
      </w:r>
      <w:r>
        <w:rPr>
          <w:rFonts w:hint="eastAsia" w:ascii="宋体" w:hAnsi="宋体" w:eastAsia="宋体" w:cs="宋体"/>
          <w:color w:val="auto"/>
          <w:sz w:val="24"/>
          <w:szCs w:val="24"/>
          <w:highlight w:val="none"/>
          <w:lang w:eastAsia="zh-CN"/>
        </w:rPr>
        <w:t>品</w:t>
      </w:r>
      <w:r>
        <w:rPr>
          <w:rFonts w:hint="eastAsia" w:ascii="宋体" w:hAnsi="宋体" w:eastAsia="宋体" w:cs="宋体"/>
          <w:color w:val="auto"/>
          <w:sz w:val="24"/>
          <w:szCs w:val="24"/>
          <w:highlight w:val="none"/>
        </w:rPr>
        <w:t>安全卫生，签约时还需与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签订《餐饮服务食品安全责任书》、《社会治安综合治理目标管理责任书》和《消防安全管理责任书》。</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要落实好病媒生物防</w:t>
      </w:r>
      <w:r>
        <w:rPr>
          <w:rFonts w:hint="eastAsia" w:ascii="宋体" w:hAnsi="宋体" w:eastAsia="宋体" w:cs="宋体"/>
          <w:color w:val="auto"/>
          <w:sz w:val="24"/>
          <w:szCs w:val="24"/>
          <w:highlight w:val="none"/>
          <w:lang w:eastAsia="zh-CN"/>
        </w:rPr>
        <w:t>治</w:t>
      </w:r>
      <w:r>
        <w:rPr>
          <w:rFonts w:hint="eastAsia" w:ascii="宋体" w:hAnsi="宋体" w:eastAsia="宋体" w:cs="宋体"/>
          <w:color w:val="auto"/>
          <w:sz w:val="24"/>
          <w:szCs w:val="24"/>
          <w:highlight w:val="none"/>
        </w:rPr>
        <w:t>工作，定期组织除四害，保持四害密度少于食品卫生部门规定的要求。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2.负责食堂的经营管理，具体包括食堂人事、菜肴的搭配与制作、就餐环境卫生、服务等。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3.保持菜肴的新鲜和卫生。按时供应</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工作日各餐，做到菜量适当、新鲜可口、花样翻新、营养搭配合理。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4.负责厨房设施的维护，若财产发生人为损坏，需照价赔偿。承包期内必须添置或更换厨房设备，由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提出，经</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审核同意后由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负责购置。</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用餐核定标准，自行加工，确保收支平衡。负责做好食堂食材、日报表报送工作。</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应每年组织所属员工进行办理上岗证所需的健康检查，确保所属人员持有有效健康证；</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应定期开展职业道德、安全教育、卫生教育和技能培训等，不断提高员工素质；</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员工应统一着装上岗，上岗时穿戴好工作服、工作帽和口罩等。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按时发放所属工作人员的工资、福利和奖金等，并负责对工作人员进行遵纪守法和安全卫生教育，必须与所聘用的从业人员签订劳动合同，并按规定缴纳五险一金。</w:t>
      </w:r>
    </w:p>
    <w:p>
      <w:pPr>
        <w:keepNext w:val="0"/>
        <w:keepLines w:val="0"/>
        <w:pageBreakBefore w:val="0"/>
        <w:kinsoku/>
        <w:wordWrap/>
        <w:overflowPunct/>
        <w:topLinePunct w:val="0"/>
        <w:autoSpaceDE/>
        <w:autoSpaceDN/>
        <w:bidi w:val="0"/>
        <w:spacing w:line="360" w:lineRule="auto"/>
        <w:ind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第六条：付款方式</w:t>
      </w:r>
    </w:p>
    <w:p>
      <w:pPr>
        <w:pStyle w:val="13"/>
        <w:keepLines w:val="0"/>
        <w:pageBreakBefore w:val="0"/>
        <w:tabs>
          <w:tab w:val="right" w:leader="dot" w:pos="849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kern w:val="0"/>
          <w:sz w:val="24"/>
          <w:highlight w:val="none"/>
          <w:lang w:val="en-US" w:eastAsia="zh-CN"/>
        </w:rPr>
      </w:pPr>
      <w:r>
        <w:rPr>
          <w:rFonts w:hint="eastAsia" w:hAnsi="宋体" w:cs="宋体"/>
          <w:b w:val="0"/>
          <w:bCs w:val="0"/>
          <w:color w:val="auto"/>
          <w:kern w:val="0"/>
          <w:sz w:val="24"/>
          <w:highlight w:val="none"/>
          <w:lang w:val="en-US" w:eastAsia="zh-CN"/>
        </w:rPr>
        <w:t>按月结算</w:t>
      </w:r>
      <w:r>
        <w:rPr>
          <w:rFonts w:hint="eastAsia" w:ascii="宋体" w:hAnsi="宋体" w:cs="宋体"/>
          <w:b w:val="0"/>
          <w:bCs w:val="0"/>
          <w:color w:val="auto"/>
          <w:kern w:val="0"/>
          <w:sz w:val="24"/>
          <w:highlight w:val="none"/>
          <w:lang w:eastAsia="zh-CN"/>
        </w:rPr>
        <w:t>，</w:t>
      </w:r>
      <w:r>
        <w:rPr>
          <w:rFonts w:hint="eastAsia" w:hAnsi="宋体" w:cs="宋体"/>
          <w:b w:val="0"/>
          <w:bCs w:val="0"/>
          <w:color w:val="auto"/>
          <w:kern w:val="0"/>
          <w:sz w:val="24"/>
          <w:highlight w:val="none"/>
          <w:lang w:eastAsia="zh-CN"/>
        </w:rPr>
        <w:t>乙方</w:t>
      </w:r>
      <w:r>
        <w:rPr>
          <w:rFonts w:hint="eastAsia" w:ascii="宋体" w:hAnsi="宋体" w:cs="宋体"/>
          <w:b w:val="0"/>
          <w:bCs w:val="0"/>
          <w:color w:val="auto"/>
          <w:kern w:val="0"/>
          <w:sz w:val="24"/>
          <w:highlight w:val="none"/>
          <w:lang w:eastAsia="zh-CN"/>
        </w:rPr>
        <w:t>提供正式发票后</w:t>
      </w:r>
      <w:r>
        <w:rPr>
          <w:rFonts w:hint="eastAsia" w:ascii="宋体" w:hAnsi="宋体" w:cs="宋体"/>
          <w:b w:val="0"/>
          <w:bCs w:val="0"/>
          <w:color w:val="auto"/>
          <w:kern w:val="0"/>
          <w:sz w:val="24"/>
          <w:highlight w:val="none"/>
          <w:lang w:val="en-US" w:eastAsia="zh-CN"/>
        </w:rPr>
        <w:t>10个工作日内以转帐方式支付上月服务费的95%经费，其余</w:t>
      </w:r>
      <w:r>
        <w:rPr>
          <w:rFonts w:hint="eastAsia" w:hAnsi="宋体" w:cs="宋体"/>
          <w:b w:val="0"/>
          <w:bCs w:val="0"/>
          <w:color w:val="auto"/>
          <w:kern w:val="0"/>
          <w:sz w:val="24"/>
          <w:highlight w:val="none"/>
          <w:lang w:val="en-US" w:eastAsia="zh-CN"/>
        </w:rPr>
        <w:t>5%</w:t>
      </w:r>
      <w:r>
        <w:rPr>
          <w:rFonts w:hint="eastAsia" w:ascii="宋体" w:hAnsi="宋体" w:cs="宋体"/>
          <w:b w:val="0"/>
          <w:bCs w:val="0"/>
          <w:color w:val="auto"/>
          <w:kern w:val="0"/>
          <w:sz w:val="24"/>
          <w:highlight w:val="none"/>
          <w:lang w:val="en-US" w:eastAsia="zh-CN"/>
        </w:rPr>
        <w:t>经费作为考核押金，按照管理业绩情况，在满一年</w:t>
      </w:r>
      <w:r>
        <w:rPr>
          <w:rFonts w:hint="eastAsia" w:ascii="宋体" w:hAnsi="宋体" w:cs="宋体"/>
          <w:b w:val="0"/>
          <w:bCs w:val="0"/>
          <w:color w:val="auto"/>
          <w:kern w:val="0"/>
          <w:sz w:val="24"/>
          <w:highlight w:val="none"/>
          <w:lang w:eastAsia="zh-CN"/>
        </w:rPr>
        <w:t>提供正式发票后</w:t>
      </w:r>
      <w:r>
        <w:rPr>
          <w:rFonts w:hint="eastAsia" w:ascii="宋体" w:hAnsi="宋体" w:cs="宋体"/>
          <w:b w:val="0"/>
          <w:bCs w:val="0"/>
          <w:color w:val="auto"/>
          <w:kern w:val="0"/>
          <w:sz w:val="24"/>
          <w:highlight w:val="none"/>
          <w:lang w:val="en-US" w:eastAsia="zh-CN"/>
        </w:rPr>
        <w:t>10个工作日一次性结清。</w:t>
      </w:r>
    </w:p>
    <w:p>
      <w:pPr>
        <w:pStyle w:val="10"/>
        <w:keepNext w:val="0"/>
        <w:keepLines w:val="0"/>
        <w:pageBreakBefore w:val="0"/>
        <w:kinsoku/>
        <w:wordWrap/>
        <w:overflowPunct/>
        <w:topLinePunct w:val="0"/>
        <w:autoSpaceDE/>
        <w:autoSpaceDN/>
        <w:bidi w:val="0"/>
        <w:spacing w:after="0" w:line="360" w:lineRule="auto"/>
        <w:ind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第七条：履约保证金</w:t>
      </w:r>
    </w:p>
    <w:p>
      <w:pPr>
        <w:pStyle w:val="13"/>
        <w:keepNext w:val="0"/>
        <w:keepLines w:val="0"/>
        <w:pageBreakBefore w:val="0"/>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签订食堂劳务服务承包合同时需向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缴纳</w:t>
      </w:r>
      <w:r>
        <w:rPr>
          <w:rFonts w:hint="eastAsia" w:ascii="宋体" w:hAnsi="宋体" w:eastAsia="宋体" w:cs="宋体"/>
          <w:color w:val="auto"/>
          <w:sz w:val="24"/>
          <w:szCs w:val="24"/>
          <w:highlight w:val="none"/>
          <w:lang w:eastAsia="zh-CN"/>
        </w:rPr>
        <w:t>合同金额的1%</w:t>
      </w:r>
      <w:r>
        <w:rPr>
          <w:rFonts w:hint="eastAsia" w:ascii="宋体" w:hAnsi="宋体" w:eastAsia="宋体" w:cs="宋体"/>
          <w:color w:val="auto"/>
          <w:sz w:val="24"/>
          <w:szCs w:val="24"/>
          <w:highlight w:val="none"/>
        </w:rPr>
        <w:t>人民币作为履约保证金，以保证乙方遵守本合同，包括担保、保函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保险</w:t>
      </w:r>
      <w:r>
        <w:rPr>
          <w:rFonts w:hint="eastAsia" w:ascii="宋体" w:hAnsi="宋体" w:eastAsia="宋体" w:cs="宋体"/>
          <w:color w:val="auto"/>
          <w:sz w:val="24"/>
          <w:szCs w:val="24"/>
          <w:highlight w:val="none"/>
        </w:rPr>
        <w:t>等形式。</w:t>
      </w:r>
    </w:p>
    <w:p>
      <w:pPr>
        <w:pStyle w:val="13"/>
        <w:keepNext w:val="0"/>
        <w:keepLines w:val="0"/>
        <w:pageBreakBefore w:val="0"/>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2、甲方认为乙方在承包期内没有涉及违约行为，甲方在服务期满后一个月内全额退还履约保证金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，否则，甲方将在扣除乙方应付金额或违约金后退还保证金余额。</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第八条：违约责任</w:t>
      </w:r>
    </w:p>
    <w:p>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1、甲方无正当理由拒收接受服务的，甲方向乙方支付合同款项百分之五作为违约金。</w:t>
      </w:r>
    </w:p>
    <w:p>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2、甲方无故逾期验收和办理款项支付手续的，甲方应按逾期付款总额向乙方支付每日万分之五违约金。</w:t>
      </w:r>
    </w:p>
    <w:p>
      <w:pPr>
        <w:keepNext w:val="0"/>
        <w:keepLines w:val="0"/>
        <w:pageBreakBefore w:val="0"/>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乙方私自带团队撤离，甲方有权没收合同履约保证金，并按合同价的百分之二十向招标方进行索赔。</w:t>
      </w:r>
    </w:p>
    <w:p>
      <w:pPr>
        <w:pStyle w:val="13"/>
        <w:keepNext w:val="0"/>
        <w:keepLines w:val="0"/>
        <w:pageBreakBefore w:val="0"/>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合同期满后，乙方应服从招标方安排，由甲方确定撤离时间，不得私自带团队撤离，如私自带团队撤离，影响食堂正常工作的，招标方有权没收合同履约保证金，并按合同价的百分之二十向招标方进行索赔。</w:t>
      </w:r>
    </w:p>
    <w:p>
      <w:pPr>
        <w:pStyle w:val="13"/>
        <w:keepNext w:val="0"/>
        <w:keepLines w:val="0"/>
        <w:pageBreakBefore w:val="0"/>
        <w:kinsoku/>
        <w:wordWrap/>
        <w:overflowPunct/>
        <w:topLinePunct w:val="0"/>
        <w:autoSpaceDE/>
        <w:autoSpaceDN/>
        <w:bidi w:val="0"/>
        <w:adjustRightInd w:val="0"/>
        <w:snapToGrid w:val="0"/>
        <w:spacing w:line="360" w:lineRule="auto"/>
        <w:ind w:firstLine="480"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4、若发生纠纷，由违约方赔偿守约方因纠纷所支付的费用（包括但不限于律师费、差旅费、诉讼费、保全费、鉴定费、评估费等）。</w:t>
      </w:r>
    </w:p>
    <w:p>
      <w:pPr>
        <w:pStyle w:val="13"/>
        <w:keepNext w:val="0"/>
        <w:keepLines w:val="0"/>
        <w:pageBreakBefore w:val="0"/>
        <w:kinsoku/>
        <w:wordWrap/>
        <w:overflowPunct/>
        <w:topLinePunct w:val="0"/>
        <w:autoSpaceDE/>
        <w:autoSpaceDN/>
        <w:bidi w:val="0"/>
        <w:snapToGrid w:val="0"/>
        <w:spacing w:line="360" w:lineRule="auto"/>
        <w:ind w:firstLine="482" w:firstLineChars="200"/>
        <w:jc w:val="both"/>
        <w:textAlignment w:val="baseline"/>
        <w:outlineLvl w:val="9"/>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第</w:t>
      </w:r>
      <w:r>
        <w:rPr>
          <w:rFonts w:hint="eastAsia" w:ascii="宋体" w:hAnsi="宋体" w:eastAsia="宋体" w:cs="宋体"/>
          <w:b/>
          <w:bCs/>
          <w:snapToGrid w:val="0"/>
          <w:color w:val="auto"/>
          <w:sz w:val="24"/>
          <w:szCs w:val="24"/>
          <w:highlight w:val="none"/>
          <w:lang w:val="en-US" w:eastAsia="zh-CN"/>
        </w:rPr>
        <w:t>九</w:t>
      </w:r>
      <w:r>
        <w:rPr>
          <w:rFonts w:hint="eastAsia" w:ascii="宋体" w:hAnsi="宋体" w:eastAsia="宋体" w:cs="宋体"/>
          <w:b/>
          <w:bCs/>
          <w:snapToGrid w:val="0"/>
          <w:color w:val="auto"/>
          <w:sz w:val="24"/>
          <w:szCs w:val="24"/>
          <w:highlight w:val="none"/>
        </w:rPr>
        <w:t>条：不可抗力事件处理</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1、在合同有效期内，任何一方因不可抗力事件导致不能履行合同，则合同履行期可延长，其延长期与不可抗力影响期相同。</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2、不可抗力事件发生后，应立即通知对方，并寄送有关权威机构出具的证明。</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3、不可抗力事件延续120天以上，双方应通过友好协商，确定是否继续履行合同。</w:t>
      </w:r>
    </w:p>
    <w:p>
      <w:pPr>
        <w:pStyle w:val="13"/>
        <w:keepNext w:val="0"/>
        <w:keepLines w:val="0"/>
        <w:pageBreakBefore w:val="0"/>
        <w:kinsoku/>
        <w:wordWrap/>
        <w:overflowPunct/>
        <w:topLinePunct w:val="0"/>
        <w:autoSpaceDE/>
        <w:autoSpaceDN/>
        <w:bidi w:val="0"/>
        <w:snapToGrid w:val="0"/>
        <w:spacing w:line="360" w:lineRule="auto"/>
        <w:ind w:firstLine="482" w:firstLineChars="200"/>
        <w:jc w:val="both"/>
        <w:textAlignment w:val="baseline"/>
        <w:outlineLvl w:val="9"/>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第十条：诉讼</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双方在执行合同中所发生的一切争议，应通过协商解决。如协商不成，可向甲方所在地法院起诉。</w:t>
      </w:r>
    </w:p>
    <w:p>
      <w:pPr>
        <w:pStyle w:val="13"/>
        <w:keepNext w:val="0"/>
        <w:keepLines w:val="0"/>
        <w:pageBreakBefore w:val="0"/>
        <w:kinsoku/>
        <w:wordWrap/>
        <w:overflowPunct/>
        <w:topLinePunct w:val="0"/>
        <w:autoSpaceDE/>
        <w:autoSpaceDN/>
        <w:bidi w:val="0"/>
        <w:snapToGrid w:val="0"/>
        <w:spacing w:line="360" w:lineRule="auto"/>
        <w:ind w:firstLine="482" w:firstLineChars="200"/>
        <w:jc w:val="both"/>
        <w:textAlignment w:val="baseline"/>
        <w:outlineLvl w:val="9"/>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第十</w:t>
      </w:r>
      <w:r>
        <w:rPr>
          <w:rFonts w:hint="eastAsia" w:ascii="宋体" w:hAnsi="宋体" w:eastAsia="宋体" w:cs="宋体"/>
          <w:b/>
          <w:bCs/>
          <w:snapToGrid w:val="0"/>
          <w:color w:val="auto"/>
          <w:sz w:val="24"/>
          <w:szCs w:val="24"/>
          <w:highlight w:val="none"/>
          <w:lang w:val="en-US" w:eastAsia="zh-CN"/>
        </w:rPr>
        <w:t>一</w:t>
      </w:r>
      <w:r>
        <w:rPr>
          <w:rFonts w:hint="eastAsia" w:ascii="宋体" w:hAnsi="宋体" w:eastAsia="宋体" w:cs="宋体"/>
          <w:b/>
          <w:bCs/>
          <w:snapToGrid w:val="0"/>
          <w:color w:val="auto"/>
          <w:sz w:val="24"/>
          <w:szCs w:val="24"/>
          <w:highlight w:val="none"/>
        </w:rPr>
        <w:t>条：合同生效及其它</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1、合同经双方法定代表人或授权代表签字并加盖单位公章后生效。</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pPr>
        <w:pStyle w:val="13"/>
        <w:keepNext w:val="0"/>
        <w:keepLines w:val="0"/>
        <w:pageBreakBefore w:val="0"/>
        <w:kinsoku/>
        <w:wordWrap/>
        <w:overflowPunct/>
        <w:topLinePunct w:val="0"/>
        <w:autoSpaceDE/>
        <w:autoSpaceDN/>
        <w:bidi w:val="0"/>
        <w:snapToGrid w:val="0"/>
        <w:spacing w:line="360" w:lineRule="auto"/>
        <w:ind w:firstLine="480" w:firstLineChars="200"/>
        <w:jc w:val="both"/>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3、本合同未尽事宜，遵照《</w:t>
      </w:r>
      <w:r>
        <w:rPr>
          <w:rFonts w:hint="eastAsia" w:ascii="宋体" w:hAnsi="宋体" w:eastAsia="宋体" w:cs="宋体"/>
          <w:snapToGrid w:val="0"/>
          <w:color w:val="auto"/>
          <w:sz w:val="24"/>
          <w:szCs w:val="24"/>
          <w:highlight w:val="none"/>
          <w:lang w:val="en-US" w:eastAsia="zh-CN"/>
        </w:rPr>
        <w:t>民法典</w:t>
      </w:r>
      <w:r>
        <w:rPr>
          <w:rFonts w:hint="eastAsia" w:ascii="宋体" w:hAnsi="宋体" w:eastAsia="宋体" w:cs="宋体"/>
          <w:snapToGrid w:val="0"/>
          <w:color w:val="auto"/>
          <w:sz w:val="24"/>
          <w:szCs w:val="24"/>
          <w:highlight w:val="none"/>
        </w:rPr>
        <w:t>》有关条文执行。</w:t>
      </w:r>
    </w:p>
    <w:p>
      <w:pPr>
        <w:keepNext w:val="0"/>
        <w:keepLines w:val="0"/>
        <w:pageBreakBefore w:val="0"/>
        <w:widowControl/>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pacing w:val="-6"/>
          <w:kern w:val="0"/>
          <w:sz w:val="24"/>
          <w:szCs w:val="24"/>
          <w:highlight w:val="none"/>
        </w:rPr>
        <w:t>、本合同壹式陆份，甲、乙双方、招标代理公司各执贰份。本项目未尽事宜以招标文件、</w:t>
      </w:r>
      <w:r>
        <w:rPr>
          <w:rFonts w:hint="eastAsia" w:ascii="宋体" w:hAnsi="宋体" w:eastAsia="宋体" w:cs="宋体"/>
          <w:color w:val="auto"/>
          <w:spacing w:val="-6"/>
          <w:kern w:val="0"/>
          <w:sz w:val="24"/>
          <w:szCs w:val="24"/>
          <w:highlight w:val="none"/>
          <w:lang w:val="en-US" w:eastAsia="zh-CN"/>
        </w:rPr>
        <w:t>响应</w:t>
      </w:r>
      <w:r>
        <w:rPr>
          <w:rFonts w:hint="eastAsia" w:ascii="宋体" w:hAnsi="宋体" w:eastAsia="宋体" w:cs="宋体"/>
          <w:color w:val="auto"/>
          <w:spacing w:val="-6"/>
          <w:kern w:val="0"/>
          <w:sz w:val="24"/>
          <w:szCs w:val="24"/>
          <w:highlight w:val="none"/>
        </w:rPr>
        <w:t>文件及澄清文件等为准。</w:t>
      </w:r>
    </w:p>
    <w:p>
      <w:pPr>
        <w:keepNext w:val="0"/>
        <w:keepLines w:val="0"/>
        <w:pageBreakBefore w:val="0"/>
        <w:widowControl/>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pacing w:val="-6"/>
          <w:kern w:val="0"/>
          <w:sz w:val="24"/>
          <w:szCs w:val="24"/>
          <w:highlight w:val="none"/>
        </w:rPr>
        <w:t>、与本合同有关标书及记录同本合同具有同等法律效果。</w:t>
      </w:r>
    </w:p>
    <w:p>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甲方（公章）：                             乙方（公章）：          </w:t>
      </w:r>
    </w:p>
    <w:p>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法定代表人或委托人：                      法定代表人或委托人：         </w:t>
      </w:r>
    </w:p>
    <w:p>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联系电话：</w:t>
      </w:r>
    </w:p>
    <w:p>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开户银行：    </w:t>
      </w:r>
    </w:p>
    <w:p>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kern w:val="0"/>
          <w:sz w:val="24"/>
          <w:szCs w:val="24"/>
          <w:highlight w:val="none"/>
        </w:rPr>
        <w:t>账    号：                                账    号：</w:t>
      </w:r>
    </w:p>
    <w:p>
      <w:pPr>
        <w:keepNext w:val="0"/>
        <w:keepLines w:val="0"/>
        <w:pageBreakBefore w:val="0"/>
        <w:kinsoku/>
        <w:wordWrap/>
        <w:overflowPunct/>
        <w:topLinePunct w:val="0"/>
        <w:autoSpaceDE/>
        <w:autoSpaceDN/>
        <w:bidi w:val="0"/>
        <w:spacing w:line="360" w:lineRule="auto"/>
        <w:ind w:firstLine="480" w:firstLineChars="200"/>
        <w:textAlignment w:val="baseline"/>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合同鉴证方：</w:t>
      </w:r>
    </w:p>
    <w:p>
      <w:pPr>
        <w:keepNext w:val="0"/>
        <w:keepLines w:val="0"/>
        <w:pageBreakBefore w:val="0"/>
        <w:kinsoku/>
        <w:wordWrap/>
        <w:overflowPunct/>
        <w:topLinePunct w:val="0"/>
        <w:autoSpaceDE/>
        <w:autoSpaceDN/>
        <w:bidi w:val="0"/>
        <w:spacing w:line="360" w:lineRule="auto"/>
        <w:ind w:firstLine="480" w:firstLineChars="200"/>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签订日期：       年     月     日</w:t>
      </w:r>
    </w:p>
    <w:p>
      <w:pPr>
        <w:pStyle w:val="11"/>
        <w:rPr>
          <w:rFonts w:hint="eastAsia"/>
          <w:color w:val="auto"/>
          <w:highlight w:val="none"/>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第六部分 响应文件格式附件</w:t>
      </w:r>
    </w:p>
    <w:p>
      <w:pPr>
        <w:shd w:val="clear"/>
        <w:spacing w:line="360" w:lineRule="auto"/>
        <w:ind w:firstLine="482" w:firstLineChars="200"/>
        <w:rPr>
          <w:rFonts w:ascii="宋体" w:hAnsi="宋体" w:cs="宋体"/>
          <w:b/>
          <w:bCs/>
          <w:color w:val="auto"/>
          <w:sz w:val="24"/>
          <w:szCs w:val="32"/>
          <w:highlight w:val="none"/>
          <w:u w:val="single"/>
        </w:rPr>
      </w:pPr>
      <w:r>
        <w:rPr>
          <w:rFonts w:hint="eastAsia" w:ascii="宋体" w:hAnsi="宋体" w:cs="宋体"/>
          <w:b/>
          <w:bCs/>
          <w:color w:val="auto"/>
          <w:sz w:val="24"/>
          <w:szCs w:val="32"/>
          <w:highlight w:val="none"/>
        </w:rPr>
        <w:t>说明：对本章所有的投标书格式，投标方可根据自身情况进行补充和修改，但补充和修改不得造成与本格式内容有实质性的违背。</w:t>
      </w:r>
    </w:p>
    <w:p>
      <w:pPr>
        <w:shd w:val="clea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b/>
          <w:bCs/>
          <w:color w:val="auto"/>
          <w:sz w:val="28"/>
          <w:szCs w:val="36"/>
          <w:highlight w:val="none"/>
        </w:rPr>
        <w:t xml:space="preserve">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ind w:firstLine="1800" w:firstLineChars="500"/>
        <w:rPr>
          <w:rFonts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磋</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商</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响</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应</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pStyle w:val="11"/>
        <w:shd w:val="clear"/>
        <w:rPr>
          <w:rFonts w:ascii="宋体" w:hAnsi="宋体" w:cs="宋体"/>
          <w:color w:val="auto"/>
          <w:highlight w:val="none"/>
        </w:rPr>
      </w:pP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磋商响应文件目录</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cs="宋体"/>
          <w:b w:val="0"/>
          <w:bCs w:val="0"/>
          <w:color w:val="auto"/>
          <w:sz w:val="24"/>
          <w:szCs w:val="32"/>
          <w:highlight w:val="none"/>
          <w:lang w:val="en-US" w:eastAsia="zh-CN"/>
        </w:rPr>
      </w:pPr>
      <w:r>
        <w:rPr>
          <w:rFonts w:hint="eastAsia" w:ascii="宋体" w:hAnsi="宋体" w:cs="宋体"/>
          <w:b/>
          <w:bCs/>
          <w:color w:val="auto"/>
          <w:sz w:val="28"/>
          <w:szCs w:val="36"/>
          <w:highlight w:val="none"/>
        </w:rPr>
        <w:t>第一部分 资格证明部分</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1、磋商声明书；（附件1）</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2、授权委托书（法定代表人（单位负责人）亲自办理磋商响应事宜的，则无需提交）（附件2）；</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3、法人或者其他组织的营业执照等证明文件，自然人的身份证明（附件3）；</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4、具有良好的商业信誉和健全的财务会计制度的承诺（附件4）；</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5、依法缴纳税收和社会保障资金的承诺（附件5）；</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6、具备履行合同所必需的设备和专业技术能力的证明材料（根据项目性质提供）；</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7、参加政府采购活动前三年内，在经营活动中没有重大违法记录（承诺函）（附件6）；</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8、提供采购公告中符合供应商特定条件的有效资质证书复印件（具有餐饮服务许可证或食品经营许可证，并能提供本项目服务的餐饮服务企业），以及需要说明的其他资料。</w:t>
      </w:r>
    </w:p>
    <w:p>
      <w:pPr>
        <w:pStyle w:val="10"/>
        <w:keepNext w:val="0"/>
        <w:keepLines w:val="0"/>
        <w:pageBreakBefore w:val="0"/>
        <w:widowControl w:val="0"/>
        <w:shd w:val="clear"/>
        <w:kinsoku/>
        <w:wordWrap/>
        <w:overflowPunct/>
        <w:topLinePunct w:val="0"/>
        <w:autoSpaceDE/>
        <w:autoSpaceDN/>
        <w:bidi w:val="0"/>
        <w:adjustRightInd/>
        <w:snapToGrid/>
        <w:spacing w:line="460" w:lineRule="exact"/>
        <w:ind w:leftChars="200"/>
        <w:jc w:val="left"/>
        <w:textAlignment w:val="auto"/>
        <w:rPr>
          <w:rFonts w:hint="eastAsia"/>
          <w:color w:val="auto"/>
          <w:highlight w:val="none"/>
        </w:rPr>
      </w:pPr>
      <w:r>
        <w:rPr>
          <w:rFonts w:hint="eastAsia" w:ascii="宋体" w:hAnsi="宋体" w:eastAsia="宋体" w:cs="宋体"/>
          <w:color w:val="auto"/>
          <w:kern w:val="2"/>
          <w:sz w:val="24"/>
          <w:szCs w:val="32"/>
          <w:highlight w:val="none"/>
          <w:lang w:val="en-US" w:eastAsia="zh-CN" w:bidi="ar-SA"/>
        </w:rPr>
        <w:t>9、中小企业声明函（附件7）。 </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zh-CN"/>
        </w:rPr>
        <w:t>商务与技术</w:t>
      </w:r>
      <w:r>
        <w:rPr>
          <w:rFonts w:hint="eastAsia" w:ascii="宋体" w:hAnsi="宋体" w:cs="宋体"/>
          <w:b/>
          <w:bCs/>
          <w:color w:val="auto"/>
          <w:sz w:val="28"/>
          <w:szCs w:val="36"/>
          <w:highlight w:val="none"/>
        </w:rPr>
        <w:t>部分</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1、供应商情况介绍（附件</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2、项目实施人员一览表（附件</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3、证书一览表（附件</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4、项目负责人资格情况表（附件</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5、商务及技术响应表（附件</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6、类似项目业绩一览表（附件</w:t>
      </w:r>
      <w:r>
        <w:rPr>
          <w:rFonts w:hint="eastAsia" w:ascii="宋体" w:hAnsi="宋体" w:cs="宋体"/>
          <w:color w:val="auto"/>
          <w:sz w:val="24"/>
          <w:szCs w:val="32"/>
          <w:highlight w:val="none"/>
          <w:lang w:val="en-US" w:eastAsia="zh-CN"/>
        </w:rPr>
        <w:t>13</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7、售后服务措施及承诺（可视情选用附件</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b/>
          <w:bCs/>
          <w:color w:val="auto"/>
          <w:sz w:val="28"/>
          <w:szCs w:val="36"/>
          <w:highlight w:val="none"/>
        </w:rPr>
      </w:pPr>
      <w:r>
        <w:rPr>
          <w:rFonts w:hint="eastAsia" w:ascii="宋体" w:hAnsi="宋体" w:cs="宋体"/>
          <w:b/>
          <w:bCs/>
          <w:color w:val="auto"/>
          <w:sz w:val="28"/>
          <w:szCs w:val="36"/>
          <w:highlight w:val="none"/>
        </w:rPr>
        <w:t>第三部分 报价部分</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1、首次报价一览表（附件</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2、报价明细表（附件</w:t>
      </w:r>
      <w:r>
        <w:rPr>
          <w:rFonts w:hint="eastAsia" w:ascii="宋体" w:hAnsi="宋体" w:cs="宋体"/>
          <w:color w:val="auto"/>
          <w:sz w:val="24"/>
          <w:szCs w:val="32"/>
          <w:highlight w:val="none"/>
          <w:lang w:val="en-US" w:eastAsia="zh-CN"/>
        </w:rPr>
        <w:t>15</w:t>
      </w:r>
      <w:r>
        <w:rPr>
          <w:rFonts w:hint="eastAsia" w:ascii="宋体" w:hAnsi="宋体" w:cs="宋体"/>
          <w:color w:val="auto"/>
          <w:sz w:val="24"/>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ascii="宋体" w:hAnsi="宋体" w:cs="宋体"/>
          <w:b/>
          <w:bCs/>
          <w:color w:val="auto"/>
          <w:sz w:val="28"/>
          <w:szCs w:val="36"/>
          <w:highlight w:val="none"/>
        </w:rPr>
      </w:pPr>
      <w:r>
        <w:rPr>
          <w:rFonts w:hint="eastAsia" w:ascii="宋体" w:hAnsi="宋体" w:cs="宋体"/>
          <w:b/>
          <w:bCs/>
          <w:color w:val="auto"/>
          <w:sz w:val="28"/>
          <w:szCs w:val="36"/>
          <w:highlight w:val="none"/>
        </w:rPr>
        <w:t>第四部分 其他部分</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针对磋商，响应供应商认为其他需要说明的（包括可能影响供应商商务与技术评分项的各类证明材料）。</w:t>
      </w:r>
    </w:p>
    <w:p>
      <w:pPr>
        <w:shd w:val="clear"/>
        <w:spacing w:line="360" w:lineRule="auto"/>
        <w:rPr>
          <w:rFonts w:hint="default" w:ascii="宋体" w:hAnsi="宋体" w:eastAsia="宋体" w:cs="宋体"/>
          <w:b/>
          <w:color w:val="auto"/>
          <w:kern w:val="0"/>
          <w:sz w:val="32"/>
          <w:szCs w:val="32"/>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w:t>
      </w:r>
      <w:r>
        <w:rPr>
          <w:rFonts w:hint="eastAsia" w:ascii="宋体" w:hAnsi="宋体" w:cs="宋体"/>
          <w:b/>
          <w:color w:val="auto"/>
          <w:sz w:val="28"/>
          <w:highlight w:val="none"/>
        </w:rPr>
        <w:t xml:space="preserve">                  磋商</w:t>
      </w:r>
      <w:r>
        <w:rPr>
          <w:rFonts w:hint="eastAsia" w:ascii="宋体" w:hAnsi="宋体" w:cs="宋体"/>
          <w:b/>
          <w:color w:val="auto"/>
          <w:sz w:val="28"/>
          <w:highlight w:val="none"/>
          <w:lang w:val="zh-CN"/>
        </w:rPr>
        <w:t>声明书</w:t>
      </w:r>
      <w:r>
        <w:rPr>
          <w:rFonts w:hint="eastAsia" w:ascii="宋体" w:hAnsi="宋体" w:cs="宋体"/>
          <w:b/>
          <w:color w:val="auto"/>
          <w:sz w:val="28"/>
          <w:highlight w:val="none"/>
          <w:lang w:val="en-US" w:eastAsia="zh-CN"/>
        </w:rPr>
        <w:t xml:space="preserve">       </w:t>
      </w:r>
    </w:p>
    <w:p>
      <w:pPr>
        <w:widowControl w:val="0"/>
        <w:shd w:val="clear"/>
        <w:wordWrap/>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食堂劳务外包服务项目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ZJWS2024-LQ130</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）的磋商，为此，我公司就本次磋商有关事项郑重声明如下：</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1、我公司声明截止磋商时间近三年以来：在参加政府采购活动过程中无重大违法记录（重大违法记录是指供应商因违法经营受到刑事处罚或者责令停产停业、吊销许可证或者执照、较大数额罚款等行政处罚）。</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widowControl w:val="0"/>
        <w:shd w:val="clear"/>
        <w:wordWrap/>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shd w:val="clear"/>
        <w:spacing w:line="360" w:lineRule="auto"/>
        <w:ind w:firstLine="3600" w:firstLineChars="15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供应商名称（公章）：</w:t>
      </w:r>
    </w:p>
    <w:p>
      <w:pPr>
        <w:shd w:val="clear"/>
        <w:spacing w:line="360" w:lineRule="auto"/>
        <w:ind w:firstLine="3600" w:firstLineChars="15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w:t>
      </w:r>
      <w:r>
        <w:rPr>
          <w:rFonts w:hint="eastAsia" w:ascii="宋体" w:hAnsi="宋体" w:cs="宋体"/>
          <w:color w:val="auto"/>
          <w:sz w:val="24"/>
          <w:szCs w:val="32"/>
          <w:highlight w:val="none"/>
          <w:lang w:val="en-US" w:eastAsia="zh-CN"/>
        </w:rPr>
        <w:t>代理</w:t>
      </w:r>
      <w:r>
        <w:rPr>
          <w:rFonts w:hint="eastAsia" w:ascii="宋体" w:hAnsi="宋体" w:cs="宋体"/>
          <w:color w:val="auto"/>
          <w:sz w:val="24"/>
          <w:szCs w:val="32"/>
          <w:highlight w:val="none"/>
          <w:lang w:val="zh-CN"/>
        </w:rPr>
        <w:t>人（签字</w:t>
      </w:r>
      <w:r>
        <w:rPr>
          <w:rFonts w:hint="eastAsia" w:ascii="宋体" w:hAnsi="宋体" w:cs="宋体"/>
          <w:color w:val="auto"/>
          <w:sz w:val="24"/>
          <w:szCs w:val="32"/>
          <w:highlight w:val="none"/>
          <w:lang w:val="en-US" w:eastAsia="zh-CN"/>
        </w:rPr>
        <w:t>或盖章</w:t>
      </w:r>
      <w:r>
        <w:rPr>
          <w:rFonts w:hint="eastAsia" w:ascii="宋体" w:hAnsi="宋体" w:cs="宋体"/>
          <w:color w:val="auto"/>
          <w:sz w:val="24"/>
          <w:szCs w:val="32"/>
          <w:highlight w:val="none"/>
          <w:lang w:val="zh-CN"/>
        </w:rPr>
        <w:t>）：</w:t>
      </w:r>
    </w:p>
    <w:p>
      <w:pPr>
        <w:shd w:val="clear"/>
        <w:spacing w:line="360" w:lineRule="auto"/>
        <w:ind w:firstLine="3600" w:firstLineChars="15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rPr>
          <w:rFonts w:hint="eastAsia" w:ascii="宋体" w:hAnsi="宋体" w:cs="宋体"/>
          <w:b/>
          <w:color w:val="auto"/>
          <w:sz w:val="28"/>
          <w:highlight w:val="none"/>
        </w:rPr>
      </w:pPr>
    </w:p>
    <w:p>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 xml:space="preserve">                   授权委托书</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台州市路桥区人民法院</w:t>
      </w:r>
      <w:r>
        <w:rPr>
          <w:rFonts w:hint="eastAsia" w:ascii="宋体" w:hAnsi="宋体" w:cs="宋体"/>
          <w:color w:val="auto"/>
          <w:sz w:val="24"/>
          <w:szCs w:val="32"/>
          <w:highlight w:val="none"/>
          <w:u w:val="single"/>
        </w:rPr>
        <w:t>、</w:t>
      </w: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（供应商全称）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食堂劳务外包服务项目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的采购活动，并代表我方全权办理针对上述项目的磋商、签约等具体事务和签署相关文件。我方对授权委托代理人的签字事项负全部责任。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法定代表人（单位负责人）签字或盖章：</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供应商全称（公章）：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法定代表人（单位负责人）姓名：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pStyle w:val="20"/>
        <w:shd w:val="clear"/>
        <w:spacing w:line="360" w:lineRule="auto"/>
        <w:ind w:left="0" w:firstLine="0" w:firstLineChars="0"/>
        <w:outlineLvl w:val="2"/>
        <w:rPr>
          <w:rFonts w:hint="eastAsia" w:ascii="宋体" w:hAnsi="宋体" w:cs="宋体"/>
          <w:b/>
          <w:color w:val="auto"/>
          <w:sz w:val="28"/>
          <w:highlight w:val="none"/>
        </w:rPr>
      </w:pPr>
    </w:p>
    <w:p>
      <w:pPr>
        <w:pStyle w:val="20"/>
        <w:shd w:val="clear"/>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3</w:t>
      </w:r>
      <w:r>
        <w:rPr>
          <w:rFonts w:hint="eastAsia" w:ascii="宋体" w:hAnsi="宋体" w:cs="宋体"/>
          <w:b/>
          <w:color w:val="auto"/>
          <w:sz w:val="28"/>
          <w:highlight w:val="none"/>
        </w:rPr>
        <w:t xml:space="preserve">               </w:t>
      </w:r>
    </w:p>
    <w:p>
      <w:pPr>
        <w:pStyle w:val="20"/>
        <w:shd w:val="clear"/>
        <w:spacing w:line="360" w:lineRule="auto"/>
        <w:ind w:left="0" w:firstLine="0" w:firstLineChars="0"/>
        <w:jc w:val="center"/>
        <w:outlineLvl w:val="2"/>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有效的法人或者其他组织的营业执照等证明文件（复印件），自然人的身份证明</w:t>
      </w:r>
    </w:p>
    <w:p>
      <w:pPr>
        <w:pStyle w:val="20"/>
        <w:shd w:val="clear"/>
        <w:spacing w:line="360" w:lineRule="auto"/>
        <w:ind w:left="0" w:firstLine="0" w:firstLineChars="0"/>
        <w:jc w:val="center"/>
        <w:rPr>
          <w:rFonts w:ascii="宋体" w:hAnsi="宋体" w:eastAsia="宋体" w:cs="宋体"/>
          <w:b/>
          <w:color w:val="auto"/>
          <w:spacing w:val="-6"/>
          <w:sz w:val="24"/>
          <w:highlight w:val="none"/>
        </w:rPr>
      </w:pPr>
    </w:p>
    <w:p>
      <w:pPr>
        <w:pStyle w:val="20"/>
        <w:shd w:val="clear"/>
        <w:spacing w:line="360" w:lineRule="auto"/>
        <w:ind w:left="0" w:firstLine="0" w:firstLineChars="0"/>
        <w:jc w:val="center"/>
        <w:rPr>
          <w:rFonts w:ascii="宋体" w:hAnsi="宋体" w:eastAsia="宋体" w:cs="宋体"/>
          <w:b/>
          <w:color w:val="auto"/>
          <w:spacing w:val="-6"/>
          <w:sz w:val="24"/>
          <w:highlight w:val="none"/>
        </w:rPr>
      </w:pPr>
    </w:p>
    <w:p>
      <w:pPr>
        <w:pStyle w:val="20"/>
        <w:shd w:val="clear"/>
        <w:spacing w:line="360" w:lineRule="auto"/>
        <w:ind w:left="0" w:firstLine="0" w:firstLineChars="0"/>
        <w:jc w:val="center"/>
        <w:rPr>
          <w:rFonts w:ascii="宋体" w:hAnsi="宋体" w:eastAsia="宋体" w:cs="宋体"/>
          <w:b/>
          <w:color w:val="auto"/>
          <w:spacing w:val="-6"/>
          <w:sz w:val="24"/>
          <w:highlight w:val="none"/>
        </w:rPr>
      </w:pPr>
    </w:p>
    <w:p>
      <w:pPr>
        <w:shd w:val="clear"/>
        <w:spacing w:line="360" w:lineRule="auto"/>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pPr>
        <w:shd w:val="clea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1.如供应商是企业（包括合伙企业），提供在工商部门注册的有效“企业法人营业执照”或“营业执照”；</w:t>
      </w:r>
    </w:p>
    <w:p>
      <w:pPr>
        <w:shd w:val="clea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2.如供应商是事业单位，提供有效的“事业单位法人证书”；</w:t>
      </w:r>
    </w:p>
    <w:p>
      <w:pPr>
        <w:shd w:val="clea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3.如供应商是非企业专业服务机构的，提供执业许可证等证明文件；</w:t>
      </w:r>
    </w:p>
    <w:p>
      <w:pPr>
        <w:shd w:val="clea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4.如供应商是个体工商户，提供有效的“个体工商户营业执照”；</w:t>
      </w:r>
    </w:p>
    <w:p>
      <w:pPr>
        <w:shd w:val="clea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5.如供应商是自然人，提供有效的自然人身份证明。</w:t>
      </w: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b/>
          <w:bCs/>
          <w:color w:val="auto"/>
          <w:sz w:val="28"/>
          <w:szCs w:val="28"/>
          <w:highlight w:val="none"/>
        </w:rPr>
      </w:pPr>
    </w:p>
    <w:p>
      <w:pPr>
        <w:shd w:val="clear"/>
        <w:rPr>
          <w:rFonts w:hint="eastAsia"/>
          <w:b/>
          <w:bCs/>
          <w:color w:val="auto"/>
          <w:sz w:val="28"/>
          <w:szCs w:val="28"/>
          <w:highlight w:val="none"/>
        </w:rPr>
      </w:pPr>
    </w:p>
    <w:p>
      <w:pPr>
        <w:shd w:val="clear"/>
        <w:rPr>
          <w:rFonts w:hint="eastAsia" w:eastAsia="宋体"/>
          <w:b/>
          <w:bCs/>
          <w:color w:val="auto"/>
          <w:sz w:val="28"/>
          <w:szCs w:val="28"/>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4</w:t>
      </w:r>
    </w:p>
    <w:p>
      <w:pPr>
        <w:shd w:val="clear"/>
        <w:spacing w:after="312" w:afterLines="100" w:line="480" w:lineRule="auto"/>
        <w:jc w:val="center"/>
        <w:rPr>
          <w:rFonts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具备健全的财务会计制度的承诺函</w:t>
      </w:r>
    </w:p>
    <w:p>
      <w:pPr>
        <w:widowControl/>
        <w:shd w:val="clear"/>
        <w:spacing w:line="600" w:lineRule="exact"/>
        <w:rPr>
          <w:rFonts w:ascii="宋体" w:hAnsi="宋体" w:eastAsia="宋体" w:cs="宋体"/>
          <w:color w:val="auto"/>
          <w:kern w:val="0"/>
          <w:sz w:val="24"/>
          <w:highlight w:val="none"/>
        </w:rPr>
      </w:pPr>
    </w:p>
    <w:p>
      <w:pPr>
        <w:widowControl/>
        <w:shd w:val="clear"/>
        <w:spacing w:line="6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rPr>
        <w:t>浙江五石中正工程咨询有限公司</w:t>
      </w:r>
    </w:p>
    <w:p>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sz w:val="24"/>
          <w:szCs w:val="32"/>
          <w:highlight w:val="none"/>
          <w:u w:val="single"/>
          <w:lang w:eastAsia="zh-CN"/>
        </w:rPr>
        <w:t>食堂劳务外包服务项目</w:t>
      </w:r>
      <w:r>
        <w:rPr>
          <w:rFonts w:hint="eastAsia" w:ascii="宋体" w:hAnsi="宋体" w:eastAsia="宋体" w:cs="宋体"/>
          <w:color w:val="auto"/>
          <w:highlight w:val="none"/>
          <w:u w:val="single"/>
        </w:rPr>
        <w:t>（编号为</w:t>
      </w:r>
      <w:r>
        <w:rPr>
          <w:rFonts w:hint="eastAsia" w:ascii="宋体" w:hAnsi="宋体" w:cs="宋体"/>
          <w:color w:val="auto"/>
          <w:sz w:val="24"/>
          <w:szCs w:val="32"/>
          <w:highlight w:val="none"/>
          <w:u w:val="single"/>
          <w:lang w:eastAsia="zh-CN"/>
        </w:rPr>
        <w:t>ZJWS2024-LQ130</w:t>
      </w:r>
      <w:r>
        <w:rPr>
          <w:rFonts w:hint="eastAsia" w:ascii="宋体" w:hAnsi="宋体" w:cs="宋体"/>
          <w:color w:val="auto"/>
          <w:sz w:val="24"/>
          <w:szCs w:val="32"/>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我公司在参加本项目政府采购活动前，</w:t>
      </w:r>
      <w:r>
        <w:rPr>
          <w:rFonts w:hint="eastAsia" w:ascii="宋体" w:hAnsi="宋体" w:eastAsia="宋体" w:cs="宋体"/>
          <w:color w:val="auto"/>
          <w:kern w:val="0"/>
          <w:highlight w:val="none"/>
        </w:rPr>
        <w:t>没有处于被责令停产、财产被接管、冻结或破产状态，具有足够的流动资金，有能力履行合同；我公司</w:t>
      </w:r>
      <w:r>
        <w:rPr>
          <w:rFonts w:hint="eastAsia" w:ascii="宋体" w:hAnsi="宋体" w:eastAsia="宋体" w:cs="宋体"/>
          <w:color w:val="auto"/>
          <w:highlight w:val="none"/>
        </w:rPr>
        <w:t>具有良好的商业信誉和健全的财务会计制度。</w:t>
      </w:r>
    </w:p>
    <w:p>
      <w:pPr>
        <w:shd w:val="clear"/>
        <w:spacing w:line="6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pPr>
        <w:shd w:val="clear"/>
        <w:spacing w:line="360" w:lineRule="auto"/>
        <w:rPr>
          <w:rFonts w:ascii="宋体" w:hAnsi="宋体" w:eastAsia="宋体" w:cs="宋体"/>
          <w:color w:val="auto"/>
          <w:sz w:val="24"/>
          <w:highlight w:val="none"/>
          <w:lang w:val="zh-CN"/>
        </w:rPr>
      </w:pPr>
    </w:p>
    <w:p>
      <w:pPr>
        <w:pStyle w:val="10"/>
        <w:shd w:val="clear"/>
        <w:rPr>
          <w:rFonts w:ascii="宋体" w:hAnsi="宋体" w:eastAsia="宋体" w:cs="宋体"/>
          <w:color w:val="auto"/>
          <w:highlight w:val="none"/>
          <w:lang w:val="zh-CN"/>
        </w:rPr>
      </w:pPr>
    </w:p>
    <w:p>
      <w:pPr>
        <w:pStyle w:val="10"/>
        <w:shd w:val="clear"/>
        <w:rPr>
          <w:rFonts w:ascii="宋体" w:hAnsi="宋体" w:eastAsia="宋体" w:cs="宋体"/>
          <w:color w:val="auto"/>
          <w:highlight w:val="none"/>
          <w:lang w:val="zh-CN"/>
        </w:rPr>
      </w:pPr>
    </w:p>
    <w:p>
      <w:pPr>
        <w:widowControl/>
        <w:shd w:val="clear"/>
        <w:wordWrap w:val="0"/>
        <w:spacing w:line="360" w:lineRule="auto"/>
        <w:ind w:firstLine="2160" w:firstLineChars="900"/>
        <w:jc w:val="both"/>
        <w:rPr>
          <w:rFonts w:ascii="宋体" w:hAnsi="宋体" w:eastAsia="宋体" w:cs="宋体"/>
          <w:color w:val="auto"/>
          <w:kern w:val="0"/>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rPr>
        <w:t xml:space="preserve">(公章)：             </w:t>
      </w:r>
    </w:p>
    <w:p>
      <w:pPr>
        <w:widowControl/>
        <w:shd w:val="clear"/>
        <w:spacing w:line="360" w:lineRule="auto"/>
        <w:jc w:val="left"/>
        <w:rPr>
          <w:rFonts w:ascii="宋体" w:hAnsi="宋体" w:eastAsia="宋体" w:cs="宋体"/>
          <w:color w:val="auto"/>
          <w:kern w:val="0"/>
          <w:sz w:val="24"/>
          <w:highlight w:val="none"/>
        </w:rPr>
      </w:pPr>
    </w:p>
    <w:p>
      <w:pPr>
        <w:widowControl/>
        <w:shd w:val="clear"/>
        <w:spacing w:line="360" w:lineRule="auto"/>
        <w:jc w:val="righ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法定代表人(签字或盖章)或授权委托代理人(签字或盖章)：</w:t>
      </w:r>
    </w:p>
    <w:p>
      <w:pPr>
        <w:shd w:val="clear"/>
        <w:spacing w:line="360" w:lineRule="auto"/>
        <w:ind w:firstLine="240" w:firstLineChars="100"/>
        <w:jc w:val="both"/>
        <w:rPr>
          <w:rFonts w:hint="eastAsia" w:ascii="宋体" w:hAnsi="宋体" w:eastAsia="宋体" w:cs="宋体"/>
          <w:color w:val="auto"/>
          <w:kern w:val="0"/>
          <w:sz w:val="24"/>
          <w:highlight w:val="none"/>
        </w:rPr>
      </w:pPr>
    </w:p>
    <w:p>
      <w:pPr>
        <w:shd w:val="clear"/>
        <w:spacing w:line="360" w:lineRule="auto"/>
        <w:ind w:firstLine="2160" w:firstLineChars="900"/>
        <w:jc w:val="both"/>
        <w:rPr>
          <w:rFonts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日</w:t>
      </w:r>
    </w:p>
    <w:p>
      <w:pPr>
        <w:shd w:val="clear"/>
        <w:spacing w:line="360" w:lineRule="auto"/>
        <w:rPr>
          <w:rFonts w:ascii="宋体" w:hAnsi="宋体" w:eastAsia="宋体" w:cs="宋体"/>
          <w:b/>
          <w:bCs/>
          <w:color w:val="auto"/>
          <w:spacing w:val="-6"/>
          <w:sz w:val="24"/>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b/>
          <w:bCs/>
          <w:color w:val="auto"/>
          <w:sz w:val="28"/>
          <w:szCs w:val="28"/>
          <w:highlight w:val="none"/>
        </w:rPr>
      </w:pPr>
    </w:p>
    <w:p>
      <w:pPr>
        <w:pStyle w:val="27"/>
        <w:shd w:val="clear"/>
        <w:rPr>
          <w:rFonts w:hint="eastAsia"/>
          <w:color w:val="auto"/>
          <w:highlight w:val="none"/>
        </w:rPr>
      </w:pPr>
    </w:p>
    <w:p>
      <w:pPr>
        <w:shd w:val="clear"/>
        <w:rPr>
          <w:rFonts w:hint="eastAsia" w:ascii="宋体" w:hAnsi="宋体" w:eastAsia="宋体" w:cs="宋体"/>
          <w:b/>
          <w:color w:val="auto"/>
          <w:sz w:val="24"/>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5</w:t>
      </w:r>
    </w:p>
    <w:p>
      <w:pPr>
        <w:shd w:val="clear"/>
        <w:spacing w:after="312" w:afterLines="100" w:line="480" w:lineRule="auto"/>
        <w:jc w:val="center"/>
        <w:rPr>
          <w:rFonts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无税收缴纳、社会保障等方面的失信记录的承诺函</w:t>
      </w:r>
    </w:p>
    <w:p>
      <w:pPr>
        <w:widowControl/>
        <w:shd w:val="clear"/>
        <w:spacing w:line="600" w:lineRule="exact"/>
        <w:rPr>
          <w:rFonts w:ascii="宋体" w:hAnsi="宋体" w:eastAsia="宋体" w:cs="宋体"/>
          <w:color w:val="auto"/>
          <w:kern w:val="0"/>
          <w:sz w:val="24"/>
          <w:highlight w:val="none"/>
        </w:rPr>
      </w:pPr>
    </w:p>
    <w:p>
      <w:pPr>
        <w:widowControl/>
        <w:shd w:val="clear"/>
        <w:spacing w:line="6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rPr>
        <w:t>浙江五石中正工程咨询有限公司</w:t>
      </w:r>
    </w:p>
    <w:p>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sz w:val="24"/>
          <w:szCs w:val="32"/>
          <w:highlight w:val="none"/>
          <w:u w:val="single"/>
          <w:lang w:eastAsia="zh-CN"/>
        </w:rPr>
        <w:t>食堂劳务外包服务项目</w:t>
      </w:r>
      <w:r>
        <w:rPr>
          <w:rFonts w:hint="eastAsia" w:ascii="宋体" w:hAnsi="宋体" w:eastAsia="宋体" w:cs="宋体"/>
          <w:color w:val="auto"/>
          <w:highlight w:val="none"/>
          <w:u w:val="single"/>
        </w:rPr>
        <w:t>（编号为</w:t>
      </w:r>
      <w:r>
        <w:rPr>
          <w:rFonts w:hint="eastAsia" w:ascii="宋体" w:hAnsi="宋体" w:cs="宋体"/>
          <w:color w:val="auto"/>
          <w:sz w:val="24"/>
          <w:szCs w:val="32"/>
          <w:highlight w:val="none"/>
          <w:u w:val="single"/>
          <w:lang w:eastAsia="zh-CN"/>
        </w:rPr>
        <w:t>ZJWS2024-LQ130</w:t>
      </w:r>
      <w:r>
        <w:rPr>
          <w:rFonts w:hint="eastAsia" w:ascii="宋体" w:hAnsi="宋体" w:cs="宋体"/>
          <w:color w:val="auto"/>
          <w:sz w:val="24"/>
          <w:szCs w:val="32"/>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6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pPr>
        <w:shd w:val="clear"/>
        <w:spacing w:line="360" w:lineRule="auto"/>
        <w:rPr>
          <w:rFonts w:ascii="宋体" w:hAnsi="宋体" w:eastAsia="宋体" w:cs="宋体"/>
          <w:color w:val="auto"/>
          <w:sz w:val="24"/>
          <w:highlight w:val="none"/>
          <w:lang w:val="zh-CN"/>
        </w:rPr>
      </w:pPr>
    </w:p>
    <w:p>
      <w:pPr>
        <w:pStyle w:val="10"/>
        <w:shd w:val="clear"/>
        <w:rPr>
          <w:rFonts w:ascii="宋体" w:hAnsi="宋体" w:eastAsia="宋体" w:cs="宋体"/>
          <w:color w:val="auto"/>
          <w:highlight w:val="none"/>
          <w:lang w:val="zh-CN"/>
        </w:rPr>
      </w:pPr>
    </w:p>
    <w:p>
      <w:pPr>
        <w:pStyle w:val="10"/>
        <w:shd w:val="clear"/>
        <w:rPr>
          <w:rFonts w:ascii="宋体" w:hAnsi="宋体" w:eastAsia="宋体" w:cs="宋体"/>
          <w:color w:val="auto"/>
          <w:highlight w:val="none"/>
          <w:lang w:val="zh-CN"/>
        </w:rPr>
      </w:pPr>
    </w:p>
    <w:p>
      <w:pPr>
        <w:widowControl/>
        <w:shd w:val="clear"/>
        <w:wordWrap w:val="0"/>
        <w:spacing w:line="360" w:lineRule="auto"/>
        <w:ind w:firstLine="2160" w:firstLineChars="900"/>
        <w:jc w:val="both"/>
        <w:rPr>
          <w:rFonts w:ascii="宋体" w:hAnsi="宋体" w:eastAsia="宋体" w:cs="宋体"/>
          <w:color w:val="auto"/>
          <w:kern w:val="0"/>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rPr>
        <w:t xml:space="preserve">(公章)：             </w:t>
      </w:r>
    </w:p>
    <w:p>
      <w:pPr>
        <w:widowControl/>
        <w:shd w:val="clear"/>
        <w:spacing w:line="360" w:lineRule="auto"/>
        <w:jc w:val="left"/>
        <w:rPr>
          <w:rFonts w:ascii="宋体" w:hAnsi="宋体" w:eastAsia="宋体" w:cs="宋体"/>
          <w:color w:val="auto"/>
          <w:kern w:val="0"/>
          <w:sz w:val="24"/>
          <w:highlight w:val="none"/>
        </w:rPr>
      </w:pPr>
    </w:p>
    <w:p>
      <w:pPr>
        <w:widowControl/>
        <w:shd w:val="clear"/>
        <w:spacing w:line="360" w:lineRule="auto"/>
        <w:jc w:val="righ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法定代表人(签字或盖章)或授权委托代理人(签字或盖章)：</w:t>
      </w:r>
    </w:p>
    <w:p>
      <w:pPr>
        <w:shd w:val="clear"/>
        <w:spacing w:line="360" w:lineRule="auto"/>
        <w:jc w:val="both"/>
        <w:rPr>
          <w:rFonts w:hint="eastAsia" w:ascii="宋体" w:hAnsi="宋体" w:eastAsia="宋体" w:cs="宋体"/>
          <w:color w:val="auto"/>
          <w:kern w:val="0"/>
          <w:sz w:val="24"/>
          <w:highlight w:val="none"/>
        </w:rPr>
      </w:pPr>
    </w:p>
    <w:p>
      <w:pPr>
        <w:shd w:val="clear"/>
        <w:spacing w:line="360" w:lineRule="auto"/>
        <w:ind w:firstLine="2160" w:firstLineChars="900"/>
        <w:jc w:val="both"/>
        <w:rPr>
          <w:rFonts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日</w:t>
      </w:r>
    </w:p>
    <w:p>
      <w:pPr>
        <w:pStyle w:val="45"/>
        <w:shd w:val="clear" w:color="auto"/>
        <w:spacing w:before="0" w:beforeAutospacing="0" w:after="0" w:afterAutospacing="0" w:line="360" w:lineRule="auto"/>
        <w:rPr>
          <w:rFonts w:ascii="宋体" w:hAnsi="宋体" w:eastAsia="宋体" w:cs="宋体"/>
          <w:b/>
          <w:color w:val="auto"/>
          <w:highlight w:val="none"/>
        </w:rPr>
      </w:pPr>
    </w:p>
    <w:p>
      <w:pPr>
        <w:shd w:val="clear"/>
        <w:spacing w:line="360" w:lineRule="auto"/>
        <w:rPr>
          <w:rFonts w:ascii="宋体" w:hAnsi="宋体" w:eastAsia="宋体" w:cs="宋体"/>
          <w:b/>
          <w:color w:val="auto"/>
          <w:sz w:val="24"/>
          <w:highlight w:val="none"/>
        </w:rPr>
      </w:pPr>
    </w:p>
    <w:p>
      <w:pPr>
        <w:pStyle w:val="5"/>
        <w:shd w:val="clear"/>
        <w:rPr>
          <w:rFonts w:ascii="宋体" w:hAnsi="宋体" w:eastAsia="宋体" w:cs="宋体"/>
          <w:b/>
          <w:color w:val="auto"/>
          <w:sz w:val="24"/>
          <w:highlight w:val="none"/>
        </w:rPr>
      </w:pPr>
    </w:p>
    <w:p>
      <w:pPr>
        <w:shd w:val="clear"/>
        <w:rPr>
          <w:rFonts w:ascii="宋体" w:hAnsi="宋体" w:eastAsia="宋体" w:cs="宋体"/>
          <w:b/>
          <w:color w:val="auto"/>
          <w:sz w:val="24"/>
          <w:highlight w:val="none"/>
        </w:rPr>
      </w:pPr>
    </w:p>
    <w:p>
      <w:pPr>
        <w:shd w:val="clear"/>
        <w:rPr>
          <w:rFonts w:hint="eastAsia"/>
          <w:b/>
          <w:bCs/>
          <w:color w:val="auto"/>
          <w:sz w:val="28"/>
          <w:szCs w:val="28"/>
          <w:highlight w:val="none"/>
        </w:rPr>
      </w:pPr>
    </w:p>
    <w:p>
      <w:pPr>
        <w:shd w:val="clear"/>
        <w:rPr>
          <w:rFonts w:hint="eastAsia"/>
          <w:b/>
          <w:bCs/>
          <w:color w:val="auto"/>
          <w:sz w:val="28"/>
          <w:szCs w:val="28"/>
          <w:highlight w:val="none"/>
        </w:rPr>
      </w:pPr>
    </w:p>
    <w:p>
      <w:pPr>
        <w:shd w:val="clear"/>
        <w:rPr>
          <w:rFonts w:hint="eastAsia"/>
          <w:b/>
          <w:bCs/>
          <w:color w:val="auto"/>
          <w:sz w:val="28"/>
          <w:szCs w:val="28"/>
          <w:highlight w:val="none"/>
        </w:rPr>
      </w:pPr>
    </w:p>
    <w:p>
      <w:pPr>
        <w:shd w:val="clear"/>
        <w:rPr>
          <w:rFonts w:hint="eastAsia" w:eastAsia="宋体"/>
          <w:b/>
          <w:bCs/>
          <w:color w:val="auto"/>
          <w:sz w:val="28"/>
          <w:szCs w:val="28"/>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6</w:t>
      </w:r>
    </w:p>
    <w:p>
      <w:pPr>
        <w:widowControl/>
        <w:shd w:val="clear"/>
        <w:spacing w:line="360" w:lineRule="auto"/>
        <w:jc w:val="center"/>
        <w:outlineLvl w:val="2"/>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参加政府采购活动前3年内在经营活动中没有重大违法记录的书面声明</w:t>
      </w:r>
    </w:p>
    <w:p>
      <w:pPr>
        <w:pStyle w:val="20"/>
        <w:shd w:val="clear"/>
        <w:spacing w:line="360" w:lineRule="auto"/>
        <w:ind w:left="169" w:hanging="169" w:hangingChars="74"/>
        <w:jc w:val="center"/>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声明函</w:t>
      </w:r>
    </w:p>
    <w:p>
      <w:pPr>
        <w:shd w:val="clear"/>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eastAsia="宋体" w:cs="宋体"/>
          <w:color w:val="auto"/>
          <w:spacing w:val="-6"/>
          <w:sz w:val="24"/>
          <w:highlight w:val="none"/>
          <w:u w:val="single"/>
        </w:rPr>
        <w:t>浙江五石中正工程咨询有限公司</w:t>
      </w:r>
    </w:p>
    <w:p>
      <w:pPr>
        <w:shd w:val="clear"/>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我公司郑重承诺在参加本项目政府采购活动前三年内，在经营活动中</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b/>
          <w:color w:val="auto"/>
          <w:spacing w:val="-6"/>
          <w:sz w:val="24"/>
          <w:highlight w:val="none"/>
        </w:rPr>
        <w:t>（填写“有”或“没有”，如实填写，如不填写视同未提供本声明函）</w:t>
      </w:r>
      <w:r>
        <w:rPr>
          <w:rFonts w:hint="eastAsia" w:ascii="宋体" w:hAnsi="宋体" w:eastAsia="宋体" w:cs="宋体"/>
          <w:color w:val="auto"/>
          <w:spacing w:val="-6"/>
          <w:sz w:val="24"/>
          <w:highlight w:val="none"/>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以上事项如有虚假或隐瞒，我方愿意承担一切后果和责任。</w:t>
      </w:r>
    </w:p>
    <w:p>
      <w:pPr>
        <w:shd w:val="clear"/>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特此声明。</w:t>
      </w:r>
    </w:p>
    <w:p>
      <w:pPr>
        <w:shd w:val="clear"/>
        <w:spacing w:line="360" w:lineRule="auto"/>
        <w:rPr>
          <w:rFonts w:ascii="宋体" w:hAnsi="宋体" w:eastAsia="宋体" w:cs="宋体"/>
          <w:color w:val="auto"/>
          <w:spacing w:val="-6"/>
          <w:sz w:val="24"/>
          <w:highlight w:val="none"/>
        </w:rPr>
      </w:pPr>
    </w:p>
    <w:p>
      <w:pPr>
        <w:pStyle w:val="70"/>
        <w:shd w:val="clear"/>
        <w:spacing w:line="360" w:lineRule="auto"/>
        <w:rPr>
          <w:rFonts w:ascii="宋体" w:hAnsi="宋体" w:eastAsia="宋体" w:cs="宋体"/>
          <w:color w:val="auto"/>
          <w:spacing w:val="-6"/>
          <w:highlight w:val="none"/>
        </w:rPr>
      </w:pPr>
    </w:p>
    <w:p>
      <w:pPr>
        <w:pStyle w:val="71"/>
        <w:shd w:val="clear"/>
        <w:spacing w:line="360" w:lineRule="auto"/>
        <w:ind w:left="0"/>
        <w:rPr>
          <w:rFonts w:ascii="宋体" w:hAnsi="宋体" w:eastAsia="宋体" w:cs="宋体"/>
          <w:color w:val="auto"/>
          <w:sz w:val="24"/>
          <w:szCs w:val="24"/>
          <w:highlight w:val="none"/>
        </w:rPr>
      </w:pPr>
    </w:p>
    <w:p>
      <w:pPr>
        <w:shd w:val="clear"/>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供应商名称（盖章）：</w:t>
      </w:r>
    </w:p>
    <w:p>
      <w:pPr>
        <w:shd w:val="clear"/>
        <w:spacing w:line="360" w:lineRule="auto"/>
        <w:rPr>
          <w:rFonts w:ascii="宋体" w:hAnsi="宋体" w:eastAsia="宋体" w:cs="宋体"/>
          <w:color w:val="auto"/>
          <w:spacing w:val="-6"/>
          <w:sz w:val="24"/>
          <w:highlight w:val="none"/>
        </w:rPr>
      </w:pPr>
      <w:r>
        <w:rPr>
          <w:rFonts w:hint="eastAsia" w:ascii="宋体" w:hAnsi="宋体" w:eastAsia="宋体" w:cs="宋体"/>
          <w:color w:val="auto"/>
          <w:kern w:val="0"/>
          <w:sz w:val="24"/>
          <w:highlight w:val="none"/>
        </w:rPr>
        <w:t>法定代表人(签字或盖章)或授权委托代理人(签字</w:t>
      </w:r>
      <w:r>
        <w:rPr>
          <w:rFonts w:hint="eastAsia" w:ascii="宋体" w:hAnsi="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r>
        <w:rPr>
          <w:rFonts w:hint="eastAsia" w:ascii="宋体" w:hAnsi="宋体" w:eastAsia="宋体" w:cs="宋体"/>
          <w:color w:val="auto"/>
          <w:spacing w:val="-6"/>
          <w:sz w:val="24"/>
          <w:highlight w:val="none"/>
        </w:rPr>
        <w:t>：</w:t>
      </w:r>
    </w:p>
    <w:p>
      <w:pPr>
        <w:widowControl/>
        <w:shd w:val="clear"/>
        <w:tabs>
          <w:tab w:val="left" w:pos="3225"/>
        </w:tabs>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p>
      <w:pPr>
        <w:shd w:val="clear"/>
        <w:snapToGrid w:val="0"/>
        <w:spacing w:line="360" w:lineRule="auto"/>
        <w:ind w:firstLine="2160" w:firstLineChars="900"/>
        <w:rPr>
          <w:rFonts w:ascii="宋体" w:hAnsi="宋体" w:eastAsia="宋体" w:cs="宋体"/>
          <w:color w:val="auto"/>
          <w:sz w:val="24"/>
          <w:highlight w:val="none"/>
          <w:lang w:val="zh-CN"/>
        </w:rPr>
      </w:pPr>
    </w:p>
    <w:p>
      <w:pPr>
        <w:shd w:val="clear"/>
        <w:spacing w:line="360" w:lineRule="auto"/>
        <w:rPr>
          <w:rFonts w:ascii="宋体" w:hAnsi="宋体" w:cs="宋体"/>
          <w:color w:val="auto"/>
          <w:sz w:val="24"/>
          <w:szCs w:val="32"/>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rPr>
          <w:rFonts w:hint="eastAsia" w:ascii="宋体" w:hAnsi="宋体" w:cs="宋体"/>
          <w:b/>
          <w:bCs/>
          <w:color w:val="auto"/>
          <w:sz w:val="28"/>
          <w:szCs w:val="36"/>
          <w:highlight w:val="none"/>
        </w:rPr>
      </w:pPr>
    </w:p>
    <w:p>
      <w:pPr>
        <w:shd w:val="clear"/>
        <w:spacing w:line="360" w:lineRule="auto"/>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附件7      </w:t>
      </w:r>
    </w:p>
    <w:p>
      <w:pPr>
        <w:shd w:val="clear"/>
        <w:tabs>
          <w:tab w:val="left" w:pos="3360"/>
        </w:tabs>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落实政府采购政策需满足的资格要求所对应的证明材料</w:t>
      </w:r>
    </w:p>
    <w:p>
      <w:pPr>
        <w:shd w:val="clear"/>
        <w:tabs>
          <w:tab w:val="left" w:pos="3360"/>
        </w:tabs>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a.中小企业声明函；</w:t>
      </w:r>
    </w:p>
    <w:p>
      <w:pPr>
        <w:shd w:val="clear"/>
        <w:tabs>
          <w:tab w:val="left" w:pos="3360"/>
        </w:tabs>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中小企业应当按照《政府采购促进中小企业发展管理办法》规定和《中小企业划型标准规定》（工信部联企业〔2011〕300 号），如实填写并提交《中小企业声明函》。 </w:t>
      </w:r>
    </w:p>
    <w:p>
      <w:pPr>
        <w:shd w:val="clear"/>
        <w:tabs>
          <w:tab w:val="left" w:pos="3360"/>
        </w:tabs>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中小企业对其声明内容的真实性负责，声明函内容不实的，属于提供虚假材料谋取中标、成交，依照《中华人民共和国政府采购法》等国家有关规定追究相应责任。 </w:t>
      </w:r>
    </w:p>
    <w:p>
      <w:pPr>
        <w:shd w:val="clear"/>
        <w:tabs>
          <w:tab w:val="left" w:pos="3360"/>
        </w:tabs>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b.供应商为监狱企业的证明文件：省级以上监狱管理局、戒毒管理局（含新疆生产建设兵团）出具（如是）</w:t>
      </w:r>
      <w:r>
        <w:rPr>
          <w:rFonts w:hint="eastAsia" w:ascii="宋体" w:hAnsi="宋体" w:eastAsia="宋体" w:cs="宋体"/>
          <w:color w:val="auto"/>
          <w:sz w:val="24"/>
          <w:szCs w:val="32"/>
          <w:highlight w:val="none"/>
          <w:lang w:val="zh-CN"/>
        </w:rPr>
        <w:t>。</w:t>
      </w:r>
    </w:p>
    <w:p>
      <w:pPr>
        <w:shd w:val="clear"/>
        <w:tabs>
          <w:tab w:val="left" w:pos="3360"/>
        </w:tabs>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c.供应商如符合《财政部、民政部、中国残疾人联合会关于促进残疾人就业政府采购政策的通知》 （财库〔2017〕141 号）政策规定的，须提供《残疾人福利性单位声明函》（如是）。</w:t>
      </w: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28"/>
          <w:szCs w:val="28"/>
          <w:highlight w:val="none"/>
          <w:lang w:val="en-US" w:eastAsia="zh-CN"/>
        </w:rPr>
      </w:pPr>
    </w:p>
    <w:p>
      <w:pPr>
        <w:shd w:val="clear"/>
        <w:spacing w:line="360" w:lineRule="auto"/>
        <w:jc w:val="left"/>
        <w:rPr>
          <w:rFonts w:hint="eastAsia" w:ascii="宋体" w:hAnsi="宋体" w:cs="宋体"/>
          <w:b/>
          <w:color w:val="auto"/>
          <w:sz w:val="32"/>
          <w:szCs w:val="32"/>
          <w:highlight w:val="none"/>
        </w:rPr>
      </w:pPr>
      <w:r>
        <w:rPr>
          <w:rFonts w:hint="eastAsia" w:ascii="宋体" w:hAnsi="宋体" w:cs="宋体"/>
          <w:b/>
          <w:color w:val="auto"/>
          <w:sz w:val="28"/>
          <w:szCs w:val="28"/>
          <w:highlight w:val="none"/>
          <w:lang w:val="en-US" w:eastAsia="zh-CN"/>
        </w:rPr>
        <w:t xml:space="preserve">          </w:t>
      </w:r>
    </w:p>
    <w:p>
      <w:pPr>
        <w:shd w:val="clear" w:color="auto" w:fill="auto"/>
        <w:spacing w:line="360" w:lineRule="auto"/>
        <w:ind w:firstLine="1928" w:firstLineChars="60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33"/>
          <w:rFonts w:hint="eastAsia" w:ascii="宋体" w:hAnsi="宋体" w:eastAsia="宋体" w:cs="宋体"/>
          <w:b w:val="0"/>
          <w:bCs/>
          <w:color w:val="auto"/>
          <w:sz w:val="24"/>
          <w:szCs w:val="24"/>
          <w:highlight w:val="none"/>
          <w:lang w:val="en-US" w:eastAsia="zh-CN"/>
        </w:rPr>
        <w:footnoteReference w:id="0"/>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pPr>
        <w:shd w:val="clear" w:color="auto" w:fill="auto"/>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pPr>
        <w:shd w:val="clear" w:color="auto" w:fill="auto"/>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p>
    <w:p>
      <w:pPr>
        <w:pStyle w:val="13"/>
        <w:shd w:val="clear" w:color="auto" w:fill="auto"/>
        <w:spacing w:line="360" w:lineRule="auto"/>
        <w:jc w:val="center"/>
        <w:outlineLvl w:val="1"/>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hd w:val="clear" w:color="auto" w:fill="auto"/>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fill="auto"/>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hd w:val="clear" w:color="auto" w:fill="auto"/>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p>
    <w:p>
      <w:pPr>
        <w:shd w:val="clear" w:color="auto" w:fill="auto"/>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pPr>
        <w:shd w:val="clear" w:color="auto" w:fill="auto"/>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hd w:val="clear" w:color="auto" w:fill="auto"/>
        <w:spacing w:line="360" w:lineRule="auto"/>
        <w:ind w:firstLine="420" w:firstLineChars="200"/>
        <w:jc w:val="left"/>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填表说明：</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1、从业人员、营业收入、资产总额填报上一年度数据，无上一年度数据的新成立企业可不填报。</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http://202.106.120.146/baosong/appweb/orgScale.html</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3、供应商未提供《中小企业声明函》的、《中小企业声明函》中内容应填写而未进行填写或未如实填写的，将不给予供应商小微企业报价优惠扣除。</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预成交供应商享受小微企业报价优惠扣除的，将按规定公开预成交供应商的《中小企业声明函》。</w:t>
      </w:r>
    </w:p>
    <w:p>
      <w:pPr>
        <w:numPr>
          <w:ilvl w:val="0"/>
          <w:numId w:val="1"/>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如国家对中小企业划型标准有新的规定的，从其规定。 </w:t>
      </w:r>
    </w:p>
    <w:p>
      <w:pPr>
        <w:shd w:val="clear"/>
        <w:spacing w:line="360" w:lineRule="auto"/>
        <w:jc w:val="left"/>
        <w:rPr>
          <w:rFonts w:hint="eastAsia" w:ascii="宋体" w:hAnsi="宋体" w:cs="宋体"/>
          <w:b/>
          <w:bCs/>
          <w:color w:val="auto"/>
          <w:sz w:val="28"/>
          <w:szCs w:val="36"/>
          <w:highlight w:val="none"/>
        </w:rPr>
      </w:pPr>
    </w:p>
    <w:p>
      <w:pPr>
        <w:shd w:val="clear"/>
        <w:spacing w:line="360" w:lineRule="auto"/>
        <w:jc w:val="left"/>
        <w:rPr>
          <w:rFonts w:hint="eastAsia" w:ascii="宋体" w:hAnsi="宋体" w:cs="宋体"/>
          <w:b/>
          <w:bCs/>
          <w:color w:val="auto"/>
          <w:sz w:val="28"/>
          <w:szCs w:val="36"/>
          <w:highlight w:val="none"/>
        </w:rPr>
      </w:pPr>
    </w:p>
    <w:p>
      <w:pPr>
        <w:shd w:val="clear"/>
        <w:spacing w:line="360" w:lineRule="auto"/>
        <w:jc w:val="left"/>
        <w:rPr>
          <w:rFonts w:hint="eastAsia" w:ascii="宋体" w:hAnsi="宋体" w:cs="宋体"/>
          <w:b/>
          <w:bCs/>
          <w:color w:val="auto"/>
          <w:sz w:val="28"/>
          <w:szCs w:val="36"/>
          <w:highlight w:val="none"/>
        </w:rPr>
      </w:pPr>
    </w:p>
    <w:p>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8                                              </w:t>
      </w:r>
    </w:p>
    <w:p>
      <w:pPr>
        <w:shd w:val="clear"/>
        <w:spacing w:line="360" w:lineRule="auto"/>
        <w:jc w:val="center"/>
        <w:rPr>
          <w:rFonts w:hint="default" w:ascii="宋体" w:hAnsi="宋体" w:eastAsia="宋体" w:cs="宋体"/>
          <w:b/>
          <w:bCs/>
          <w:color w:val="auto"/>
          <w:sz w:val="32"/>
          <w:szCs w:val="40"/>
          <w:highlight w:val="none"/>
          <w:lang w:val="en-US" w:eastAsia="zh-CN"/>
        </w:rPr>
      </w:pPr>
      <w:r>
        <w:rPr>
          <w:rFonts w:hint="eastAsia" w:ascii="宋体" w:hAnsi="宋体" w:cs="宋体"/>
          <w:b/>
          <w:bCs/>
          <w:color w:val="auto"/>
          <w:sz w:val="32"/>
          <w:szCs w:val="40"/>
          <w:highlight w:val="none"/>
          <w:lang w:val="zh-CN"/>
        </w:rPr>
        <w:t>供应商基本情况表</w:t>
      </w:r>
      <w:r>
        <w:rPr>
          <w:rFonts w:hint="eastAsia" w:ascii="宋体" w:hAnsi="宋体" w:cs="宋体"/>
          <w:b/>
          <w:bCs/>
          <w:color w:val="auto"/>
          <w:sz w:val="32"/>
          <w:szCs w:val="40"/>
          <w:highlight w:val="none"/>
          <w:lang w:val="en-US" w:eastAsia="zh-CN"/>
        </w:rPr>
        <w:t xml:space="preserve">     </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45"/>
              <w:shd w:val="clear" w:color="auto"/>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pPr>
              <w:pStyle w:val="45"/>
              <w:shd w:val="clear" w:color="auto"/>
              <w:spacing w:line="360" w:lineRule="auto"/>
              <w:jc w:val="both"/>
              <w:rPr>
                <w:bCs/>
                <w:color w:val="auto"/>
                <w:highlight w:val="none"/>
              </w:rPr>
            </w:pPr>
          </w:p>
        </w:tc>
        <w:tc>
          <w:tcPr>
            <w:tcW w:w="1560" w:type="dxa"/>
            <w:vAlign w:val="center"/>
          </w:tcPr>
          <w:p>
            <w:pPr>
              <w:pStyle w:val="45"/>
              <w:shd w:val="clear" w:color="auto"/>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pPr>
              <w:pStyle w:val="45"/>
              <w:shd w:val="clear" w:color="auto"/>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45"/>
              <w:shd w:val="clear" w:color="auto"/>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pPr>
              <w:pStyle w:val="45"/>
              <w:shd w:val="clear" w:color="auto"/>
              <w:spacing w:line="360" w:lineRule="auto"/>
              <w:jc w:val="both"/>
              <w:rPr>
                <w:bCs/>
                <w:color w:val="auto"/>
                <w:spacing w:val="16"/>
                <w:highlight w:val="none"/>
              </w:rPr>
            </w:pPr>
          </w:p>
        </w:tc>
        <w:tc>
          <w:tcPr>
            <w:tcW w:w="1560" w:type="dxa"/>
            <w:vAlign w:val="center"/>
          </w:tcPr>
          <w:p>
            <w:pPr>
              <w:pStyle w:val="45"/>
              <w:shd w:val="clear" w:color="auto"/>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pPr>
              <w:pStyle w:val="45"/>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45"/>
              <w:shd w:val="clear" w:color="auto"/>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pPr>
              <w:pStyle w:val="45"/>
              <w:shd w:val="clear" w:color="auto"/>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vAlign w:val="center"/>
          </w:tcPr>
          <w:p>
            <w:pPr>
              <w:pStyle w:val="45"/>
              <w:shd w:val="clear" w:color="auto"/>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pPr>
              <w:widowControl/>
              <w:shd w:val="clear"/>
              <w:spacing w:line="360" w:lineRule="auto"/>
              <w:rPr>
                <w:rFonts w:ascii="宋体" w:hAnsi="宋体" w:cs="宋体"/>
                <w:bCs/>
                <w:color w:val="auto"/>
                <w:spacing w:val="16"/>
                <w:kern w:val="0"/>
                <w:sz w:val="24"/>
                <w:highlight w:val="none"/>
              </w:rPr>
            </w:pPr>
          </w:p>
          <w:p>
            <w:pPr>
              <w:pStyle w:val="45"/>
              <w:shd w:val="clear" w:color="auto"/>
              <w:spacing w:line="360" w:lineRule="auto"/>
              <w:jc w:val="both"/>
              <w:rPr>
                <w:bCs/>
                <w:color w:val="auto"/>
                <w:spacing w:val="16"/>
                <w:highlight w:val="none"/>
              </w:rPr>
            </w:pPr>
          </w:p>
        </w:tc>
        <w:tc>
          <w:tcPr>
            <w:tcW w:w="1560" w:type="dxa"/>
            <w:vAlign w:val="center"/>
          </w:tcPr>
          <w:p>
            <w:pPr>
              <w:pStyle w:val="45"/>
              <w:shd w:val="clear" w:color="auto"/>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pPr>
              <w:pStyle w:val="45"/>
              <w:shd w:val="clear" w:color="auto"/>
              <w:spacing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45"/>
              <w:shd w:val="clear" w:color="auto"/>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pPr>
              <w:pStyle w:val="45"/>
              <w:shd w:val="clear" w:color="auto"/>
              <w:spacing w:line="360" w:lineRule="auto"/>
              <w:jc w:val="both"/>
              <w:rPr>
                <w:bCs/>
                <w:color w:val="auto"/>
                <w:spacing w:val="16"/>
                <w:highlight w:val="none"/>
              </w:rPr>
            </w:pPr>
          </w:p>
        </w:tc>
        <w:tc>
          <w:tcPr>
            <w:tcW w:w="960" w:type="dxa"/>
            <w:gridSpan w:val="2"/>
            <w:tcBorders>
              <w:top w:val="nil"/>
              <w:bottom w:val="single" w:color="auto" w:sz="4" w:space="0"/>
            </w:tcBorders>
            <w:vAlign w:val="center"/>
          </w:tcPr>
          <w:p>
            <w:pPr>
              <w:pStyle w:val="45"/>
              <w:shd w:val="clear" w:color="auto"/>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pPr>
              <w:widowControl/>
              <w:shd w:val="clear"/>
              <w:spacing w:line="360" w:lineRule="auto"/>
              <w:rPr>
                <w:rFonts w:ascii="宋体" w:hAnsi="宋体" w:cs="宋体"/>
                <w:bCs/>
                <w:color w:val="auto"/>
                <w:spacing w:val="16"/>
                <w:kern w:val="0"/>
                <w:sz w:val="24"/>
                <w:highlight w:val="none"/>
              </w:rPr>
            </w:pPr>
          </w:p>
          <w:p>
            <w:pPr>
              <w:pStyle w:val="45"/>
              <w:shd w:val="clear" w:color="auto"/>
              <w:spacing w:line="360" w:lineRule="auto"/>
              <w:jc w:val="both"/>
              <w:rPr>
                <w:bCs/>
                <w:color w:val="auto"/>
                <w:spacing w:val="16"/>
                <w:highlight w:val="none"/>
              </w:rPr>
            </w:pPr>
          </w:p>
        </w:tc>
        <w:tc>
          <w:tcPr>
            <w:tcW w:w="1560" w:type="dxa"/>
            <w:vMerge w:val="restart"/>
            <w:vAlign w:val="center"/>
          </w:tcPr>
          <w:p>
            <w:pPr>
              <w:pStyle w:val="45"/>
              <w:shd w:val="clear" w:color="auto"/>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pPr>
              <w:pStyle w:val="45"/>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45"/>
              <w:shd w:val="clear" w:color="auto"/>
              <w:spacing w:line="360" w:lineRule="auto"/>
              <w:ind w:left="107"/>
              <w:jc w:val="both"/>
              <w:rPr>
                <w:bCs/>
                <w:color w:val="auto"/>
                <w:highlight w:val="none"/>
              </w:rPr>
            </w:pPr>
          </w:p>
        </w:tc>
        <w:tc>
          <w:tcPr>
            <w:tcW w:w="690" w:type="dxa"/>
            <w:vMerge w:val="continue"/>
            <w:tcBorders>
              <w:bottom w:val="single" w:color="auto" w:sz="4" w:space="0"/>
            </w:tcBorders>
            <w:vAlign w:val="center"/>
          </w:tcPr>
          <w:p>
            <w:pPr>
              <w:pStyle w:val="45"/>
              <w:shd w:val="clear" w:color="auto"/>
              <w:spacing w:line="360" w:lineRule="auto"/>
              <w:jc w:val="both"/>
              <w:rPr>
                <w:bCs/>
                <w:color w:val="auto"/>
                <w:spacing w:val="16"/>
                <w:highlight w:val="none"/>
              </w:rPr>
            </w:pPr>
          </w:p>
        </w:tc>
        <w:tc>
          <w:tcPr>
            <w:tcW w:w="960" w:type="dxa"/>
            <w:gridSpan w:val="2"/>
            <w:tcBorders>
              <w:bottom w:val="single" w:color="auto" w:sz="4" w:space="0"/>
            </w:tcBorders>
            <w:vAlign w:val="center"/>
          </w:tcPr>
          <w:p>
            <w:pPr>
              <w:pStyle w:val="45"/>
              <w:shd w:val="clear" w:color="auto"/>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pPr>
              <w:pStyle w:val="45"/>
              <w:shd w:val="clear" w:color="auto"/>
              <w:spacing w:line="360" w:lineRule="auto"/>
              <w:jc w:val="both"/>
              <w:rPr>
                <w:bCs/>
                <w:color w:val="auto"/>
                <w:spacing w:val="16"/>
                <w:highlight w:val="none"/>
              </w:rPr>
            </w:pPr>
          </w:p>
        </w:tc>
        <w:tc>
          <w:tcPr>
            <w:tcW w:w="1560" w:type="dxa"/>
            <w:vMerge w:val="continue"/>
            <w:vAlign w:val="center"/>
          </w:tcPr>
          <w:p>
            <w:pPr>
              <w:pStyle w:val="45"/>
              <w:shd w:val="clear" w:color="auto"/>
              <w:spacing w:line="360" w:lineRule="auto"/>
              <w:jc w:val="center"/>
              <w:rPr>
                <w:bCs/>
                <w:color w:val="auto"/>
                <w:spacing w:val="16"/>
                <w:highlight w:val="none"/>
              </w:rPr>
            </w:pPr>
          </w:p>
        </w:tc>
        <w:tc>
          <w:tcPr>
            <w:tcW w:w="2608" w:type="dxa"/>
            <w:gridSpan w:val="3"/>
            <w:vMerge w:val="continue"/>
            <w:vAlign w:val="center"/>
          </w:tcPr>
          <w:p>
            <w:pPr>
              <w:pStyle w:val="45"/>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45"/>
              <w:shd w:val="clear" w:color="auto"/>
              <w:spacing w:line="360" w:lineRule="auto"/>
              <w:ind w:left="107"/>
              <w:jc w:val="both"/>
              <w:rPr>
                <w:bCs/>
                <w:color w:val="auto"/>
                <w:highlight w:val="none"/>
              </w:rPr>
            </w:pPr>
            <w:r>
              <w:rPr>
                <w:rFonts w:hint="eastAsia"/>
                <w:bCs/>
                <w:color w:val="auto"/>
                <w:highlight w:val="none"/>
              </w:rPr>
              <w:t>1.</w:t>
            </w:r>
          </w:p>
          <w:p>
            <w:pPr>
              <w:pStyle w:val="45"/>
              <w:shd w:val="clear" w:color="auto"/>
              <w:spacing w:line="360" w:lineRule="auto"/>
              <w:ind w:left="107"/>
              <w:jc w:val="both"/>
              <w:rPr>
                <w:bCs/>
                <w:color w:val="auto"/>
                <w:highlight w:val="none"/>
              </w:rPr>
            </w:pPr>
            <w:r>
              <w:rPr>
                <w:rFonts w:hint="eastAsia"/>
                <w:bCs/>
                <w:color w:val="auto"/>
                <w:highlight w:val="none"/>
              </w:rPr>
              <w:t>企</w:t>
            </w:r>
          </w:p>
          <w:p>
            <w:pPr>
              <w:pStyle w:val="45"/>
              <w:shd w:val="clear" w:color="auto"/>
              <w:spacing w:line="360" w:lineRule="auto"/>
              <w:ind w:left="107"/>
              <w:jc w:val="both"/>
              <w:rPr>
                <w:bCs/>
                <w:color w:val="auto"/>
                <w:highlight w:val="none"/>
              </w:rPr>
            </w:pPr>
            <w:r>
              <w:rPr>
                <w:rFonts w:hint="eastAsia"/>
                <w:bCs/>
                <w:color w:val="auto"/>
                <w:highlight w:val="none"/>
              </w:rPr>
              <w:t>业</w:t>
            </w:r>
          </w:p>
          <w:p>
            <w:pPr>
              <w:pStyle w:val="45"/>
              <w:shd w:val="clear" w:color="auto"/>
              <w:spacing w:line="360" w:lineRule="auto"/>
              <w:ind w:left="107"/>
              <w:jc w:val="both"/>
              <w:rPr>
                <w:bCs/>
                <w:color w:val="auto"/>
                <w:spacing w:val="27"/>
                <w:highlight w:val="none"/>
              </w:rPr>
            </w:pPr>
            <w:r>
              <w:rPr>
                <w:rFonts w:hint="eastAsia"/>
                <w:bCs/>
                <w:color w:val="auto"/>
                <w:spacing w:val="27"/>
                <w:highlight w:val="none"/>
              </w:rPr>
              <w:t>概</w:t>
            </w:r>
          </w:p>
          <w:p>
            <w:pPr>
              <w:pStyle w:val="45"/>
              <w:shd w:val="clear" w:color="auto"/>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pPr>
              <w:pStyle w:val="45"/>
              <w:shd w:val="clear" w:color="auto"/>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pPr>
              <w:pStyle w:val="45"/>
              <w:shd w:val="clear" w:color="auto"/>
              <w:spacing w:line="360" w:lineRule="auto"/>
              <w:jc w:val="both"/>
              <w:rPr>
                <w:bCs/>
                <w:color w:val="auto"/>
                <w:spacing w:val="16"/>
                <w:highlight w:val="none"/>
              </w:rPr>
            </w:pPr>
          </w:p>
        </w:tc>
        <w:tc>
          <w:tcPr>
            <w:tcW w:w="926" w:type="dxa"/>
            <w:tcBorders>
              <w:top w:val="nil"/>
            </w:tcBorders>
            <w:vAlign w:val="center"/>
          </w:tcPr>
          <w:p>
            <w:pPr>
              <w:pStyle w:val="45"/>
              <w:shd w:val="clear" w:color="auto"/>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pPr>
              <w:widowControl/>
              <w:shd w:val="clear"/>
              <w:spacing w:line="360" w:lineRule="auto"/>
              <w:rPr>
                <w:rFonts w:ascii="宋体" w:hAnsi="宋体" w:cs="宋体"/>
                <w:bCs/>
                <w:color w:val="auto"/>
                <w:spacing w:val="16"/>
                <w:kern w:val="0"/>
                <w:sz w:val="24"/>
                <w:highlight w:val="none"/>
              </w:rPr>
            </w:pPr>
          </w:p>
          <w:p>
            <w:pPr>
              <w:widowControl/>
              <w:shd w:val="clear"/>
              <w:spacing w:line="360" w:lineRule="auto"/>
              <w:rPr>
                <w:rFonts w:ascii="宋体" w:hAnsi="宋体" w:cs="宋体"/>
                <w:bCs/>
                <w:color w:val="auto"/>
                <w:spacing w:val="16"/>
                <w:kern w:val="0"/>
                <w:sz w:val="24"/>
                <w:highlight w:val="none"/>
              </w:rPr>
            </w:pPr>
          </w:p>
          <w:p>
            <w:pPr>
              <w:pStyle w:val="45"/>
              <w:shd w:val="clear" w:color="auto"/>
              <w:spacing w:line="360" w:lineRule="auto"/>
              <w:jc w:val="both"/>
              <w:rPr>
                <w:bCs/>
                <w:color w:val="auto"/>
                <w:spacing w:val="16"/>
                <w:highlight w:val="none"/>
              </w:rPr>
            </w:pPr>
          </w:p>
        </w:tc>
        <w:tc>
          <w:tcPr>
            <w:tcW w:w="1560" w:type="dxa"/>
            <w:vAlign w:val="center"/>
          </w:tcPr>
          <w:p>
            <w:pPr>
              <w:pStyle w:val="45"/>
              <w:shd w:val="clear" w:color="auto"/>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pPr>
              <w:widowControl/>
              <w:shd w:val="clear"/>
              <w:spacing w:line="360" w:lineRule="auto"/>
              <w:rPr>
                <w:rFonts w:ascii="宋体" w:hAnsi="宋体" w:cs="宋体"/>
                <w:bCs/>
                <w:color w:val="auto"/>
                <w:spacing w:val="16"/>
                <w:kern w:val="0"/>
                <w:sz w:val="24"/>
                <w:highlight w:val="none"/>
              </w:rPr>
            </w:pPr>
          </w:p>
          <w:p>
            <w:pPr>
              <w:pStyle w:val="45"/>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45"/>
              <w:shd w:val="clear" w:color="auto"/>
              <w:spacing w:line="360" w:lineRule="auto"/>
              <w:ind w:left="107"/>
              <w:jc w:val="both"/>
              <w:rPr>
                <w:bCs/>
                <w:color w:val="auto"/>
                <w:highlight w:val="none"/>
              </w:rPr>
            </w:pPr>
          </w:p>
        </w:tc>
        <w:tc>
          <w:tcPr>
            <w:tcW w:w="690" w:type="dxa"/>
            <w:vAlign w:val="center"/>
          </w:tcPr>
          <w:p>
            <w:pPr>
              <w:pStyle w:val="45"/>
              <w:shd w:val="clear" w:color="auto"/>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pPr>
              <w:pStyle w:val="45"/>
              <w:shd w:val="clear" w:color="auto"/>
              <w:spacing w:line="360" w:lineRule="auto"/>
              <w:jc w:val="both"/>
              <w:rPr>
                <w:bCs/>
                <w:color w:val="auto"/>
                <w:highlight w:val="none"/>
              </w:rPr>
            </w:pPr>
          </w:p>
        </w:tc>
        <w:tc>
          <w:tcPr>
            <w:tcW w:w="926" w:type="dxa"/>
            <w:vAlign w:val="center"/>
          </w:tcPr>
          <w:p>
            <w:pPr>
              <w:pStyle w:val="45"/>
              <w:shd w:val="clear" w:color="auto"/>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pPr>
              <w:pStyle w:val="45"/>
              <w:shd w:val="clear" w:color="auto"/>
              <w:spacing w:line="360" w:lineRule="auto"/>
              <w:jc w:val="both"/>
              <w:rPr>
                <w:bCs/>
                <w:color w:val="auto"/>
                <w:highlight w:val="none"/>
              </w:rPr>
            </w:pPr>
            <w:r>
              <w:rPr>
                <w:rFonts w:hint="eastAsia"/>
                <w:bCs/>
                <w:color w:val="auto"/>
                <w:highlight w:val="none"/>
              </w:rPr>
              <w:t>平方米</w:t>
            </w:r>
          </w:p>
          <w:p>
            <w:pPr>
              <w:pStyle w:val="45"/>
              <w:shd w:val="clear" w:color="auto"/>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pPr>
              <w:pStyle w:val="45"/>
              <w:shd w:val="clear" w:color="auto"/>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pPr>
              <w:pStyle w:val="45"/>
              <w:shd w:val="clear" w:color="auto"/>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45"/>
              <w:shd w:val="clear" w:color="auto"/>
              <w:spacing w:line="360" w:lineRule="auto"/>
              <w:ind w:left="107"/>
              <w:jc w:val="both"/>
              <w:rPr>
                <w:bCs/>
                <w:color w:val="auto"/>
                <w:highlight w:val="none"/>
              </w:rPr>
            </w:pPr>
          </w:p>
        </w:tc>
        <w:tc>
          <w:tcPr>
            <w:tcW w:w="690" w:type="dxa"/>
            <w:vAlign w:val="center"/>
          </w:tcPr>
          <w:p>
            <w:pPr>
              <w:pStyle w:val="45"/>
              <w:shd w:val="clear" w:color="auto"/>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pPr>
              <w:pStyle w:val="45"/>
              <w:shd w:val="clear" w:color="auto"/>
              <w:spacing w:line="360" w:lineRule="auto"/>
              <w:ind w:left="2"/>
              <w:jc w:val="both"/>
              <w:rPr>
                <w:bCs/>
                <w:color w:val="auto"/>
                <w:highlight w:val="none"/>
              </w:rPr>
            </w:pPr>
          </w:p>
        </w:tc>
        <w:tc>
          <w:tcPr>
            <w:tcW w:w="926" w:type="dxa"/>
            <w:vAlign w:val="center"/>
          </w:tcPr>
          <w:p>
            <w:pPr>
              <w:pStyle w:val="45"/>
              <w:shd w:val="clear" w:color="auto"/>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pPr>
              <w:widowControl/>
              <w:shd w:val="clear"/>
              <w:spacing w:line="360" w:lineRule="auto"/>
              <w:rPr>
                <w:rFonts w:ascii="宋体" w:hAnsi="宋体" w:cs="宋体"/>
                <w:bCs/>
                <w:color w:val="auto"/>
                <w:kern w:val="0"/>
                <w:sz w:val="24"/>
                <w:highlight w:val="none"/>
              </w:rPr>
            </w:pPr>
          </w:p>
          <w:p>
            <w:pPr>
              <w:pStyle w:val="45"/>
              <w:shd w:val="clear" w:color="auto"/>
              <w:spacing w:line="360" w:lineRule="auto"/>
              <w:ind w:left="107"/>
              <w:jc w:val="both"/>
              <w:rPr>
                <w:bCs/>
                <w:color w:val="auto"/>
                <w:highlight w:val="none"/>
              </w:rPr>
            </w:pPr>
          </w:p>
        </w:tc>
        <w:tc>
          <w:tcPr>
            <w:tcW w:w="1675" w:type="dxa"/>
            <w:gridSpan w:val="2"/>
            <w:vAlign w:val="center"/>
          </w:tcPr>
          <w:p>
            <w:pPr>
              <w:pStyle w:val="45"/>
              <w:shd w:val="clear" w:color="auto"/>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pPr>
              <w:pStyle w:val="45"/>
              <w:shd w:val="clear" w:color="auto"/>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45"/>
              <w:shd w:val="clear" w:color="auto"/>
              <w:spacing w:line="360" w:lineRule="auto"/>
              <w:ind w:left="107"/>
              <w:jc w:val="both"/>
              <w:rPr>
                <w:bCs/>
                <w:color w:val="auto"/>
                <w:highlight w:val="none"/>
              </w:rPr>
            </w:pPr>
          </w:p>
        </w:tc>
        <w:tc>
          <w:tcPr>
            <w:tcW w:w="690" w:type="dxa"/>
            <w:vAlign w:val="center"/>
          </w:tcPr>
          <w:p>
            <w:pPr>
              <w:pStyle w:val="45"/>
              <w:shd w:val="clear" w:color="auto"/>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pPr>
              <w:pStyle w:val="45"/>
              <w:shd w:val="clear" w:color="auto"/>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45"/>
              <w:shd w:val="clear" w:color="auto"/>
              <w:spacing w:line="360" w:lineRule="auto"/>
              <w:ind w:left="107"/>
              <w:jc w:val="both"/>
              <w:rPr>
                <w:bCs/>
                <w:color w:val="auto"/>
                <w:highlight w:val="none"/>
              </w:rPr>
            </w:pPr>
          </w:p>
        </w:tc>
        <w:tc>
          <w:tcPr>
            <w:tcW w:w="7933" w:type="dxa"/>
            <w:gridSpan w:val="10"/>
            <w:vAlign w:val="center"/>
          </w:tcPr>
          <w:p>
            <w:pPr>
              <w:pStyle w:val="45"/>
              <w:shd w:val="clear" w:color="auto"/>
              <w:spacing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45"/>
              <w:shd w:val="clear" w:color="auto"/>
              <w:spacing w:line="360" w:lineRule="auto"/>
              <w:ind w:left="107"/>
              <w:jc w:val="both"/>
              <w:rPr>
                <w:bCs/>
                <w:color w:val="auto"/>
                <w:highlight w:val="none"/>
              </w:rPr>
            </w:pPr>
            <w:r>
              <w:rPr>
                <w:rFonts w:hint="eastAsia"/>
                <w:bCs/>
                <w:color w:val="auto"/>
                <w:highlight w:val="none"/>
              </w:rPr>
              <w:t>2.</w:t>
            </w:r>
          </w:p>
          <w:p>
            <w:pPr>
              <w:pStyle w:val="45"/>
              <w:shd w:val="clear" w:color="auto"/>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pPr>
              <w:pStyle w:val="45"/>
              <w:shd w:val="clear" w:color="auto"/>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pPr>
              <w:pStyle w:val="45"/>
              <w:shd w:val="clear" w:color="auto"/>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pPr>
              <w:pStyle w:val="45"/>
              <w:shd w:val="clear" w:color="auto"/>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pPr>
              <w:pStyle w:val="45"/>
              <w:shd w:val="clear" w:color="auto"/>
              <w:spacing w:line="360" w:lineRule="auto"/>
              <w:jc w:val="both"/>
              <w:rPr>
                <w:bCs/>
                <w:color w:val="auto"/>
                <w:highlight w:val="none"/>
              </w:rPr>
            </w:pPr>
            <w:r>
              <w:rPr>
                <w:rFonts w:hint="eastAsia"/>
                <w:bCs/>
                <w:color w:val="auto"/>
                <w:spacing w:val="27"/>
                <w:highlight w:val="none"/>
              </w:rPr>
              <w:t>编号</w:t>
            </w:r>
          </w:p>
        </w:tc>
        <w:tc>
          <w:tcPr>
            <w:tcW w:w="1618" w:type="dxa"/>
            <w:vAlign w:val="center"/>
          </w:tcPr>
          <w:p>
            <w:pPr>
              <w:pStyle w:val="45"/>
              <w:shd w:val="clear" w:color="auto"/>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pPr>
              <w:pStyle w:val="45"/>
              <w:shd w:val="clear" w:color="auto"/>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45"/>
              <w:shd w:val="clear" w:color="auto"/>
              <w:spacing w:line="360" w:lineRule="auto"/>
              <w:ind w:left="107"/>
              <w:jc w:val="both"/>
              <w:rPr>
                <w:bCs/>
                <w:color w:val="auto"/>
                <w:highlight w:val="none"/>
              </w:rPr>
            </w:pPr>
          </w:p>
        </w:tc>
        <w:tc>
          <w:tcPr>
            <w:tcW w:w="1355" w:type="dxa"/>
            <w:gridSpan w:val="2"/>
            <w:vMerge w:val="continue"/>
            <w:vAlign w:val="center"/>
          </w:tcPr>
          <w:p>
            <w:pPr>
              <w:pStyle w:val="45"/>
              <w:shd w:val="clear" w:color="auto"/>
              <w:spacing w:line="360" w:lineRule="auto"/>
              <w:jc w:val="both"/>
              <w:rPr>
                <w:bCs/>
                <w:color w:val="auto"/>
                <w:highlight w:val="none"/>
              </w:rPr>
            </w:pPr>
          </w:p>
        </w:tc>
        <w:tc>
          <w:tcPr>
            <w:tcW w:w="1333" w:type="dxa"/>
            <w:gridSpan w:val="3"/>
            <w:vAlign w:val="center"/>
          </w:tcPr>
          <w:p>
            <w:pPr>
              <w:pStyle w:val="45"/>
              <w:shd w:val="clear" w:color="auto"/>
              <w:spacing w:line="360" w:lineRule="auto"/>
              <w:jc w:val="both"/>
              <w:rPr>
                <w:bCs/>
                <w:color w:val="auto"/>
                <w:highlight w:val="none"/>
              </w:rPr>
            </w:pPr>
          </w:p>
        </w:tc>
        <w:tc>
          <w:tcPr>
            <w:tcW w:w="1077" w:type="dxa"/>
            <w:vAlign w:val="center"/>
          </w:tcPr>
          <w:p>
            <w:pPr>
              <w:pStyle w:val="45"/>
              <w:shd w:val="clear" w:color="auto"/>
              <w:spacing w:line="360" w:lineRule="auto"/>
              <w:jc w:val="both"/>
              <w:rPr>
                <w:bCs/>
                <w:color w:val="auto"/>
                <w:highlight w:val="none"/>
              </w:rPr>
            </w:pPr>
          </w:p>
        </w:tc>
        <w:tc>
          <w:tcPr>
            <w:tcW w:w="1617" w:type="dxa"/>
            <w:gridSpan w:val="2"/>
            <w:vAlign w:val="center"/>
          </w:tcPr>
          <w:p>
            <w:pPr>
              <w:pStyle w:val="45"/>
              <w:shd w:val="clear" w:color="auto"/>
              <w:spacing w:line="360" w:lineRule="auto"/>
              <w:jc w:val="both"/>
              <w:rPr>
                <w:bCs/>
                <w:color w:val="auto"/>
                <w:highlight w:val="none"/>
              </w:rPr>
            </w:pPr>
          </w:p>
        </w:tc>
        <w:tc>
          <w:tcPr>
            <w:tcW w:w="2551" w:type="dxa"/>
            <w:gridSpan w:val="2"/>
            <w:vAlign w:val="center"/>
          </w:tcPr>
          <w:p>
            <w:pPr>
              <w:pStyle w:val="45"/>
              <w:shd w:val="clear" w:color="auto"/>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45"/>
              <w:shd w:val="clear" w:color="auto"/>
              <w:spacing w:line="360" w:lineRule="auto"/>
              <w:ind w:left="107"/>
              <w:jc w:val="both"/>
              <w:rPr>
                <w:bCs/>
                <w:color w:val="auto"/>
                <w:spacing w:val="16"/>
                <w:highlight w:val="none"/>
              </w:rPr>
            </w:pPr>
          </w:p>
        </w:tc>
        <w:tc>
          <w:tcPr>
            <w:tcW w:w="1355" w:type="dxa"/>
            <w:gridSpan w:val="2"/>
            <w:vAlign w:val="center"/>
          </w:tcPr>
          <w:p>
            <w:pPr>
              <w:pStyle w:val="45"/>
              <w:shd w:val="clear" w:color="auto"/>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pPr>
              <w:pStyle w:val="45"/>
              <w:shd w:val="clear" w:color="auto"/>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45"/>
              <w:shd w:val="clear" w:color="auto"/>
              <w:spacing w:line="360" w:lineRule="auto"/>
              <w:ind w:left="107"/>
              <w:jc w:val="both"/>
              <w:rPr>
                <w:bCs/>
                <w:color w:val="auto"/>
                <w:spacing w:val="27"/>
                <w:highlight w:val="none"/>
              </w:rPr>
            </w:pPr>
          </w:p>
        </w:tc>
        <w:tc>
          <w:tcPr>
            <w:tcW w:w="1355" w:type="dxa"/>
            <w:gridSpan w:val="2"/>
            <w:vAlign w:val="center"/>
          </w:tcPr>
          <w:p>
            <w:pPr>
              <w:pStyle w:val="45"/>
              <w:shd w:val="clear" w:color="auto"/>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pPr>
              <w:pStyle w:val="45"/>
              <w:shd w:val="clear" w:color="auto"/>
              <w:spacing w:line="360" w:lineRule="auto"/>
              <w:jc w:val="both"/>
              <w:rPr>
                <w:bCs/>
                <w:color w:val="auto"/>
                <w:spacing w:val="16"/>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jc w:val="left"/>
        <w:rPr>
          <w:rFonts w:hint="default" w:ascii="宋体" w:hAnsi="宋体" w:eastAsia="宋体" w:cs="宋体"/>
          <w:color w:val="auto"/>
          <w:sz w:val="24"/>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 xml:space="preserve">9                              </w:t>
      </w:r>
      <w:r>
        <w:rPr>
          <w:rFonts w:hint="eastAsia" w:ascii="宋体" w:hAnsi="宋体" w:cs="宋体"/>
          <w:b/>
          <w:bCs/>
          <w:color w:val="auto"/>
          <w:sz w:val="28"/>
          <w:szCs w:val="36"/>
          <w:highlight w:val="none"/>
          <w:lang w:val="en-US" w:eastAsia="zh-CN"/>
        </w:rPr>
        <w:t xml:space="preserve">        </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1.在填写时，如本表格不适合供应商的实际情况，可根据本表格式自行划表填写。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w:t>
      </w:r>
    </w:p>
    <w:p>
      <w:pPr>
        <w:shd w:val="clear"/>
        <w:spacing w:line="360" w:lineRule="auto"/>
        <w:rPr>
          <w:rFonts w:hint="eastAsia"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b/>
          <w:bCs/>
          <w:color w:val="auto"/>
          <w:sz w:val="28"/>
          <w:szCs w:val="36"/>
          <w:highlight w:val="none"/>
          <w:lang w:val="zh-CN"/>
        </w:rPr>
      </w:pPr>
    </w:p>
    <w:p>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 xml:space="preserve">10                                         </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4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4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4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hd w:val="clear"/>
              <w:spacing w:line="360" w:lineRule="auto"/>
              <w:jc w:val="center"/>
              <w:rPr>
                <w:rFonts w:ascii="宋体" w:hAnsi="宋体" w:cs="宋体"/>
                <w:color w:val="auto"/>
                <w:szCs w:val="21"/>
                <w:highlight w:val="none"/>
              </w:rPr>
            </w:pPr>
          </w:p>
        </w:tc>
        <w:tc>
          <w:tcPr>
            <w:tcW w:w="2258" w:type="dxa"/>
          </w:tcPr>
          <w:p>
            <w:pPr>
              <w:pStyle w:val="49"/>
              <w:shd w:val="clear"/>
              <w:spacing w:line="360" w:lineRule="auto"/>
              <w:jc w:val="center"/>
              <w:rPr>
                <w:rFonts w:ascii="宋体" w:hAnsi="宋体" w:cs="宋体"/>
                <w:color w:val="auto"/>
                <w:szCs w:val="21"/>
                <w:highlight w:val="none"/>
              </w:rPr>
            </w:pPr>
          </w:p>
        </w:tc>
        <w:tc>
          <w:tcPr>
            <w:tcW w:w="2260" w:type="dxa"/>
          </w:tcPr>
          <w:p>
            <w:pPr>
              <w:pStyle w:val="4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49"/>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hd w:val="clear"/>
              <w:spacing w:line="360" w:lineRule="auto"/>
              <w:jc w:val="center"/>
              <w:rPr>
                <w:rFonts w:ascii="宋体" w:hAnsi="宋体" w:cs="宋体"/>
                <w:color w:val="auto"/>
                <w:szCs w:val="21"/>
                <w:highlight w:val="none"/>
              </w:rPr>
            </w:pPr>
          </w:p>
        </w:tc>
        <w:tc>
          <w:tcPr>
            <w:tcW w:w="2258" w:type="dxa"/>
          </w:tcPr>
          <w:p>
            <w:pPr>
              <w:pStyle w:val="49"/>
              <w:shd w:val="clear"/>
              <w:spacing w:line="360" w:lineRule="auto"/>
              <w:jc w:val="center"/>
              <w:rPr>
                <w:rFonts w:ascii="宋体" w:hAnsi="宋体" w:cs="宋体"/>
                <w:color w:val="auto"/>
                <w:szCs w:val="21"/>
                <w:highlight w:val="none"/>
              </w:rPr>
            </w:pPr>
          </w:p>
        </w:tc>
        <w:tc>
          <w:tcPr>
            <w:tcW w:w="2260" w:type="dxa"/>
          </w:tcPr>
          <w:p>
            <w:pPr>
              <w:pStyle w:val="4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49"/>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hd w:val="clear"/>
              <w:spacing w:line="360" w:lineRule="auto"/>
              <w:jc w:val="center"/>
              <w:rPr>
                <w:rFonts w:ascii="宋体" w:hAnsi="宋体" w:cs="宋体"/>
                <w:color w:val="auto"/>
                <w:szCs w:val="21"/>
                <w:highlight w:val="none"/>
              </w:rPr>
            </w:pPr>
          </w:p>
        </w:tc>
        <w:tc>
          <w:tcPr>
            <w:tcW w:w="2258" w:type="dxa"/>
          </w:tcPr>
          <w:p>
            <w:pPr>
              <w:pStyle w:val="49"/>
              <w:shd w:val="clear"/>
              <w:spacing w:line="360" w:lineRule="auto"/>
              <w:jc w:val="center"/>
              <w:rPr>
                <w:rFonts w:ascii="宋体" w:hAnsi="宋体" w:cs="宋体"/>
                <w:color w:val="auto"/>
                <w:szCs w:val="21"/>
                <w:highlight w:val="none"/>
              </w:rPr>
            </w:pPr>
          </w:p>
        </w:tc>
        <w:tc>
          <w:tcPr>
            <w:tcW w:w="2260" w:type="dxa"/>
          </w:tcPr>
          <w:p>
            <w:pPr>
              <w:pStyle w:val="4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49"/>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hd w:val="clear"/>
              <w:spacing w:line="360" w:lineRule="auto"/>
              <w:jc w:val="center"/>
              <w:rPr>
                <w:rFonts w:ascii="宋体" w:hAnsi="宋体" w:cs="宋体"/>
                <w:color w:val="auto"/>
                <w:szCs w:val="21"/>
                <w:highlight w:val="none"/>
              </w:rPr>
            </w:pPr>
          </w:p>
        </w:tc>
        <w:tc>
          <w:tcPr>
            <w:tcW w:w="2258" w:type="dxa"/>
          </w:tcPr>
          <w:p>
            <w:pPr>
              <w:pStyle w:val="49"/>
              <w:shd w:val="clear"/>
              <w:spacing w:line="360" w:lineRule="auto"/>
              <w:jc w:val="center"/>
              <w:rPr>
                <w:rFonts w:ascii="宋体" w:hAnsi="宋体" w:cs="宋体"/>
                <w:color w:val="auto"/>
                <w:szCs w:val="21"/>
                <w:highlight w:val="none"/>
              </w:rPr>
            </w:pPr>
          </w:p>
        </w:tc>
        <w:tc>
          <w:tcPr>
            <w:tcW w:w="2260" w:type="dxa"/>
          </w:tcPr>
          <w:p>
            <w:pPr>
              <w:pStyle w:val="4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49"/>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hd w:val="clear"/>
              <w:spacing w:line="360" w:lineRule="auto"/>
              <w:jc w:val="center"/>
              <w:rPr>
                <w:rFonts w:ascii="宋体" w:hAnsi="宋体" w:cs="宋体"/>
                <w:color w:val="auto"/>
                <w:szCs w:val="21"/>
                <w:highlight w:val="none"/>
              </w:rPr>
            </w:pPr>
          </w:p>
        </w:tc>
        <w:tc>
          <w:tcPr>
            <w:tcW w:w="2258" w:type="dxa"/>
          </w:tcPr>
          <w:p>
            <w:pPr>
              <w:pStyle w:val="49"/>
              <w:shd w:val="clear"/>
              <w:spacing w:line="360" w:lineRule="auto"/>
              <w:jc w:val="center"/>
              <w:rPr>
                <w:rFonts w:ascii="宋体" w:hAnsi="宋体" w:cs="宋体"/>
                <w:color w:val="auto"/>
                <w:szCs w:val="21"/>
                <w:highlight w:val="none"/>
              </w:rPr>
            </w:pPr>
          </w:p>
        </w:tc>
        <w:tc>
          <w:tcPr>
            <w:tcW w:w="2260" w:type="dxa"/>
          </w:tcPr>
          <w:p>
            <w:pPr>
              <w:pStyle w:val="4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49"/>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hd w:val="clear"/>
              <w:spacing w:line="360" w:lineRule="auto"/>
              <w:jc w:val="center"/>
              <w:rPr>
                <w:rFonts w:ascii="宋体" w:hAnsi="宋体" w:cs="宋体"/>
                <w:color w:val="auto"/>
                <w:szCs w:val="21"/>
                <w:highlight w:val="none"/>
              </w:rPr>
            </w:pPr>
          </w:p>
        </w:tc>
        <w:tc>
          <w:tcPr>
            <w:tcW w:w="2258" w:type="dxa"/>
          </w:tcPr>
          <w:p>
            <w:pPr>
              <w:pStyle w:val="49"/>
              <w:shd w:val="clear"/>
              <w:spacing w:line="360" w:lineRule="auto"/>
              <w:jc w:val="center"/>
              <w:rPr>
                <w:rFonts w:ascii="宋体" w:hAnsi="宋体" w:cs="宋体"/>
                <w:color w:val="auto"/>
                <w:szCs w:val="21"/>
                <w:highlight w:val="none"/>
              </w:rPr>
            </w:pPr>
          </w:p>
        </w:tc>
        <w:tc>
          <w:tcPr>
            <w:tcW w:w="2260" w:type="dxa"/>
          </w:tcPr>
          <w:p>
            <w:pPr>
              <w:pStyle w:val="49"/>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49"/>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9"/>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49"/>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49"/>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49"/>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1.填写供应商获得资质、认证或企业信誉证书；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 xml:space="preserve">11                                    </w:t>
      </w:r>
      <w:r>
        <w:rPr>
          <w:rFonts w:hint="eastAsia" w:ascii="宋体" w:hAnsi="宋体" w:cs="宋体"/>
          <w:b/>
          <w:bCs/>
          <w:color w:val="auto"/>
          <w:sz w:val="28"/>
          <w:szCs w:val="36"/>
          <w:highlight w:val="none"/>
          <w:lang w:val="en-US" w:eastAsia="zh-CN"/>
        </w:rPr>
        <w:t xml:space="preserve">  </w:t>
      </w:r>
    </w:p>
    <w:p>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采购项目：                                        </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left"/>
        <w:rPr>
          <w:rFonts w:hint="eastAsia" w:ascii="宋体" w:hAnsi="宋体" w:cs="宋体"/>
          <w:b/>
          <w:bCs/>
          <w:color w:val="auto"/>
          <w:sz w:val="28"/>
          <w:szCs w:val="36"/>
          <w:highlight w:val="none"/>
          <w:lang w:val="zh-CN"/>
        </w:rPr>
      </w:pPr>
    </w:p>
    <w:p>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 xml:space="preserve">12                                             </w:t>
      </w:r>
    </w:p>
    <w:p>
      <w:pPr>
        <w:shd w:val="clea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商务及技术响应表</w:t>
      </w:r>
    </w:p>
    <w:p>
      <w:pPr>
        <w:shd w:val="clear"/>
        <w:spacing w:line="360" w:lineRule="auto"/>
        <w:rPr>
          <w:rFonts w:ascii="宋体" w:hAnsi="宋体" w:cs="宋体"/>
          <w:color w:val="auto"/>
          <w:sz w:val="24"/>
          <w:highlight w:val="none"/>
        </w:rPr>
      </w:pPr>
    </w:p>
    <w:tbl>
      <w:tblPr>
        <w:tblStyle w:val="28"/>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2"/>
        <w:gridCol w:w="1831"/>
        <w:gridCol w:w="2160"/>
        <w:gridCol w:w="212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完成时间</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default" w:ascii="宋体" w:hAnsi="宋体" w:eastAsia="宋体" w:cs="宋体"/>
                <w:color w:val="auto"/>
                <w:sz w:val="24"/>
                <w:highlight w:val="none"/>
                <w:lang w:val="en-US" w:eastAsia="zh-CN"/>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 xml:space="preserve">13                                            </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供应商类似项目实施情况一览表</w:t>
      </w:r>
    </w:p>
    <w:p>
      <w:pPr>
        <w:shd w:val="clear"/>
        <w:spacing w:line="360" w:lineRule="auto"/>
        <w:rPr>
          <w:rFonts w:ascii="宋体" w:hAnsi="宋体" w:cs="宋体"/>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8"/>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1.业绩证明应提供证明材料（合同复印件可只提供首页、含金额页、盖章页并加盖供应商公章）；</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14</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售后服务情况表</w:t>
      </w:r>
    </w:p>
    <w:p>
      <w:pPr>
        <w:shd w:val="clear"/>
        <w:spacing w:line="360" w:lineRule="auto"/>
        <w:rPr>
          <w:rFonts w:ascii="宋体" w:hAnsi="宋体" w:cs="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55"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4061"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磋商供应商承诺</w:t>
            </w:r>
          </w:p>
        </w:tc>
        <w:tc>
          <w:tcPr>
            <w:tcW w:w="1373"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55"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售后服务情况（服务方式、服务网点、售后服务的内容和措施等等，可用附页和宣传材料）</w:t>
            </w:r>
          </w:p>
        </w:tc>
        <w:tc>
          <w:tcPr>
            <w:tcW w:w="4061" w:type="dxa"/>
            <w:vAlign w:val="center"/>
          </w:tcPr>
          <w:p>
            <w:pPr>
              <w:shd w:val="clear"/>
              <w:spacing w:line="360" w:lineRule="auto"/>
              <w:jc w:val="center"/>
              <w:rPr>
                <w:rFonts w:ascii="宋体" w:hAnsi="宋体" w:cs="宋体"/>
                <w:color w:val="auto"/>
                <w:sz w:val="24"/>
                <w:highlight w:val="none"/>
              </w:rPr>
            </w:pPr>
          </w:p>
        </w:tc>
        <w:tc>
          <w:tcPr>
            <w:tcW w:w="1373"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355" w:type="dxa"/>
            <w:vAlign w:val="center"/>
          </w:tcPr>
          <w:p>
            <w:pPr>
              <w:shd w:val="clear"/>
              <w:spacing w:line="360" w:lineRule="auto"/>
              <w:jc w:val="center"/>
              <w:rPr>
                <w:rFonts w:ascii="宋体" w:hAnsi="宋体" w:cs="宋体"/>
                <w:color w:val="auto"/>
                <w:sz w:val="24"/>
                <w:highlight w:val="none"/>
              </w:rPr>
            </w:pPr>
          </w:p>
        </w:tc>
        <w:tc>
          <w:tcPr>
            <w:tcW w:w="4061" w:type="dxa"/>
            <w:vAlign w:val="center"/>
          </w:tcPr>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tc>
        <w:tc>
          <w:tcPr>
            <w:tcW w:w="1373" w:type="dxa"/>
            <w:vAlign w:val="center"/>
          </w:tcPr>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355" w:type="dxa"/>
            <w:vAlign w:val="center"/>
          </w:tcPr>
          <w:p>
            <w:pPr>
              <w:shd w:val="clear"/>
              <w:spacing w:line="360" w:lineRule="auto"/>
              <w:jc w:val="center"/>
              <w:rPr>
                <w:rFonts w:ascii="宋体" w:hAnsi="宋体" w:cs="宋体"/>
                <w:color w:val="auto"/>
                <w:sz w:val="24"/>
                <w:highlight w:val="none"/>
              </w:rPr>
            </w:pPr>
          </w:p>
        </w:tc>
        <w:tc>
          <w:tcPr>
            <w:tcW w:w="4061" w:type="dxa"/>
            <w:vAlign w:val="center"/>
          </w:tcPr>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tc>
        <w:tc>
          <w:tcPr>
            <w:tcW w:w="1373" w:type="dxa"/>
            <w:vAlign w:val="center"/>
          </w:tcPr>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355"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061" w:type="dxa"/>
            <w:vAlign w:val="center"/>
          </w:tcPr>
          <w:p>
            <w:pPr>
              <w:shd w:val="clear"/>
              <w:spacing w:line="360" w:lineRule="auto"/>
              <w:jc w:val="center"/>
              <w:rPr>
                <w:rFonts w:ascii="宋体" w:hAnsi="宋体" w:cs="宋体"/>
                <w:color w:val="auto"/>
                <w:sz w:val="24"/>
                <w:highlight w:val="none"/>
              </w:rPr>
            </w:pPr>
          </w:p>
        </w:tc>
        <w:tc>
          <w:tcPr>
            <w:tcW w:w="1373" w:type="dxa"/>
            <w:vAlign w:val="center"/>
          </w:tcPr>
          <w:p>
            <w:pPr>
              <w:shd w:val="clear"/>
              <w:spacing w:line="360" w:lineRule="auto"/>
              <w:jc w:val="cente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 xml:space="preserve">15                                         </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首次报价一览表</w:t>
      </w:r>
    </w:p>
    <w:p>
      <w:pPr>
        <w:shd w:val="clear"/>
        <w:spacing w:line="360" w:lineRule="auto"/>
        <w:rPr>
          <w:rFonts w:ascii="宋体" w:hAnsi="宋体" w:cs="宋体"/>
          <w:b/>
          <w:color w:val="auto"/>
          <w:sz w:val="24"/>
          <w:szCs w:val="22"/>
          <w:highlight w:val="none"/>
        </w:rPr>
      </w:pPr>
      <w:r>
        <w:rPr>
          <w:rFonts w:hint="eastAsia" w:ascii="宋体" w:hAnsi="宋体" w:cs="宋体"/>
          <w:b/>
          <w:color w:val="auto"/>
          <w:sz w:val="24"/>
          <w:szCs w:val="22"/>
          <w:highlight w:val="none"/>
        </w:rPr>
        <w:t>项目编号：</w:t>
      </w:r>
    </w:p>
    <w:p>
      <w:pPr>
        <w:shd w:val="clear"/>
        <w:spacing w:line="360" w:lineRule="auto"/>
        <w:rPr>
          <w:rFonts w:hint="eastAsia" w:ascii="宋体" w:hAnsi="宋体" w:cs="宋体"/>
          <w:b/>
          <w:color w:val="auto"/>
          <w:sz w:val="24"/>
          <w:szCs w:val="22"/>
          <w:highlight w:val="none"/>
        </w:rPr>
      </w:pPr>
      <w:r>
        <w:rPr>
          <w:rFonts w:hint="eastAsia" w:ascii="宋体" w:hAnsi="宋体" w:cs="宋体"/>
          <w:b/>
          <w:color w:val="auto"/>
          <w:sz w:val="24"/>
          <w:szCs w:val="22"/>
          <w:highlight w:val="none"/>
        </w:rPr>
        <w:t>项目名称：                                     [货币单位：人民币/元]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shd w:val="clear"/>
              <w:wordWrap/>
              <w:autoSpaceDE w:val="0"/>
              <w:autoSpaceDN w:val="0"/>
              <w:spacing w:line="360" w:lineRule="auto"/>
              <w:jc w:val="center"/>
              <w:textAlignment w:val="bottom"/>
              <w:outlineLvl w:val="9"/>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投标总报价</w:t>
            </w:r>
          </w:p>
          <w:p>
            <w:pPr>
              <w:shd w:val="clear"/>
              <w:wordWrap/>
              <w:autoSpaceDE w:val="0"/>
              <w:autoSpaceDN w:val="0"/>
              <w:spacing w:line="360" w:lineRule="auto"/>
              <w:jc w:val="center"/>
              <w:textAlignment w:val="bottom"/>
              <w:outlineLvl w:val="9"/>
              <w:rPr>
                <w:rFonts w:ascii="宋体"/>
                <w:b w:val="0"/>
                <w:bCs w:val="0"/>
                <w:color w:val="auto"/>
                <w:sz w:val="24"/>
                <w:szCs w:val="24"/>
                <w:highlight w:val="none"/>
              </w:rPr>
            </w:pPr>
            <w:r>
              <w:rPr>
                <w:rFonts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人民币元</w:t>
            </w:r>
            <w:r>
              <w:rPr>
                <w:rFonts w:ascii="宋体" w:hAnsi="宋体"/>
                <w:b w:val="0"/>
                <w:bCs w:val="0"/>
                <w:color w:val="auto"/>
                <w:sz w:val="24"/>
                <w:szCs w:val="24"/>
                <w:highlight w:val="none"/>
              </w:rPr>
              <w:t>)</w:t>
            </w:r>
          </w:p>
        </w:tc>
        <w:tc>
          <w:tcPr>
            <w:tcW w:w="1349" w:type="dxa"/>
            <w:tcBorders>
              <w:top w:val="single" w:color="auto" w:sz="4" w:space="0"/>
              <w:left w:val="single" w:color="auto" w:sz="4" w:space="0"/>
              <w:bottom w:val="single" w:color="auto" w:sz="4" w:space="0"/>
              <w:right w:val="single" w:color="auto" w:sz="4" w:space="0"/>
            </w:tcBorders>
            <w:vAlign w:val="center"/>
          </w:tcPr>
          <w:p>
            <w:pPr>
              <w:shd w:val="clear"/>
              <w:wordWrap/>
              <w:autoSpaceDE w:val="0"/>
              <w:autoSpaceDN w:val="0"/>
              <w:spacing w:line="360" w:lineRule="auto"/>
              <w:jc w:val="center"/>
              <w:textAlignment w:val="bottom"/>
              <w:outlineLvl w:val="9"/>
              <w:rPr>
                <w:rFonts w:ascii="宋体"/>
                <w:b w:val="0"/>
                <w:bCs w:val="0"/>
                <w:color w:val="auto"/>
                <w:sz w:val="24"/>
                <w:szCs w:val="24"/>
                <w:highlight w:val="none"/>
              </w:rPr>
            </w:pPr>
            <w:r>
              <w:rPr>
                <w:rFonts w:hint="eastAsia" w:ascii="宋体" w:hAnsi="宋体"/>
                <w:b w:val="0"/>
                <w:bCs w:val="0"/>
                <w:color w:val="auto"/>
                <w:sz w:val="24"/>
                <w:szCs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shd w:val="clear"/>
              <w:wordWrap/>
              <w:autoSpaceDE w:val="0"/>
              <w:autoSpaceDN w:val="0"/>
              <w:spacing w:line="360" w:lineRule="auto"/>
              <w:jc w:val="center"/>
              <w:textAlignment w:val="bottom"/>
              <w:outlineLvl w:val="9"/>
              <w:rPr>
                <w:rFonts w:ascii="宋体"/>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shd w:val="clear"/>
              <w:wordWrap/>
              <w:spacing w:line="360" w:lineRule="auto"/>
              <w:outlineLvl w:val="9"/>
              <w:rPr>
                <w:rFonts w:ascii="宋体"/>
                <w:b w:val="0"/>
                <w:bCs w:val="0"/>
                <w:color w:val="auto"/>
                <w:sz w:val="24"/>
                <w:szCs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wordWrap/>
              <w:autoSpaceDE w:val="0"/>
              <w:autoSpaceDN w:val="0"/>
              <w:spacing w:line="360" w:lineRule="auto"/>
              <w:jc w:val="center"/>
              <w:textAlignment w:val="bottom"/>
              <w:outlineLvl w:val="9"/>
              <w:rPr>
                <w:rFonts w:ascii="宋体"/>
                <w:b w:val="0"/>
                <w:bCs w:val="0"/>
                <w:color w:val="auto"/>
                <w:sz w:val="24"/>
                <w:szCs w:val="24"/>
                <w:highlight w:val="none"/>
              </w:rPr>
            </w:pPr>
            <w:r>
              <w:rPr>
                <w:rFonts w:hint="eastAsia" w:ascii="宋体" w:hAnsi="宋体"/>
                <w:b w:val="0"/>
                <w:bCs w:val="0"/>
                <w:color w:val="auto"/>
                <w:sz w:val="24"/>
                <w:szCs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shd w:val="clear"/>
              <w:wordWrap/>
              <w:autoSpaceDE w:val="0"/>
              <w:autoSpaceDN w:val="0"/>
              <w:spacing w:line="360" w:lineRule="auto"/>
              <w:jc w:val="center"/>
              <w:textAlignment w:val="bottom"/>
              <w:outlineLvl w:val="9"/>
              <w:rPr>
                <w:rFonts w:ascii="宋体"/>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4043" w:type="dxa"/>
            <w:gridSpan w:val="2"/>
            <w:tcBorders>
              <w:top w:val="single" w:color="auto" w:sz="4" w:space="0"/>
              <w:left w:val="single" w:color="auto" w:sz="4" w:space="0"/>
              <w:bottom w:val="single" w:color="auto" w:sz="4" w:space="0"/>
              <w:right w:val="single" w:color="auto" w:sz="4" w:space="0"/>
            </w:tcBorders>
            <w:vAlign w:val="center"/>
          </w:tcPr>
          <w:p>
            <w:pPr>
              <w:pStyle w:val="8"/>
              <w:widowControl w:val="0"/>
              <w:numPr>
                <w:ilvl w:val="0"/>
                <w:numId w:val="0"/>
              </w:numPr>
              <w:shd w:val="clear"/>
              <w:wordWrap/>
              <w:adjustRightInd/>
              <w:snapToGrid/>
              <w:spacing w:after="120" w:afterAutospacing="0" w:line="360" w:lineRule="exact"/>
              <w:ind w:left="0" w:leftChars="0" w:right="0" w:firstLine="0" w:firstLineChars="0"/>
              <w:jc w:val="center"/>
              <w:textAlignment w:val="auto"/>
              <w:outlineLvl w:val="9"/>
              <w:rPr>
                <w:rFonts w:hint="default" w:ascii="宋体" w:hAnsi="宋体" w:eastAsia="宋体" w:cs="Times New Roman"/>
                <w:b w:val="0"/>
                <w:bCs w:val="0"/>
                <w:color w:val="auto"/>
                <w:kern w:val="2"/>
                <w:sz w:val="24"/>
                <w:szCs w:val="24"/>
                <w:highlight w:val="none"/>
                <w:u w:val="none"/>
                <w:lang w:val="en-US" w:eastAsia="zh-CN" w:bidi="ar-SA"/>
              </w:rPr>
            </w:pPr>
            <w:r>
              <w:rPr>
                <w:rFonts w:hint="eastAsia" w:hAnsi="宋体" w:cs="Times New Roman"/>
                <w:b w:val="0"/>
                <w:bCs w:val="0"/>
                <w:color w:val="auto"/>
                <w:kern w:val="2"/>
                <w:sz w:val="24"/>
                <w:szCs w:val="24"/>
                <w:highlight w:val="none"/>
                <w:u w:val="none"/>
                <w:lang w:val="en-US" w:eastAsia="zh-CN" w:bidi="ar-SA"/>
              </w:rPr>
              <w:t>备注</w:t>
            </w:r>
          </w:p>
        </w:tc>
        <w:tc>
          <w:tcPr>
            <w:tcW w:w="4629" w:type="dxa"/>
            <w:tcBorders>
              <w:top w:val="single" w:color="auto" w:sz="4" w:space="0"/>
              <w:left w:val="single" w:color="auto" w:sz="4" w:space="0"/>
              <w:bottom w:val="single" w:color="auto" w:sz="4" w:space="0"/>
              <w:right w:val="single" w:color="auto" w:sz="4" w:space="0"/>
            </w:tcBorders>
            <w:vAlign w:val="center"/>
          </w:tcPr>
          <w:p>
            <w:pPr>
              <w:shd w:val="clear"/>
              <w:wordWrap/>
              <w:autoSpaceDE w:val="0"/>
              <w:autoSpaceDN w:val="0"/>
              <w:spacing w:line="360" w:lineRule="auto"/>
              <w:jc w:val="both"/>
              <w:textAlignment w:val="bottom"/>
              <w:outlineLvl w:val="9"/>
              <w:rPr>
                <w:rFonts w:hint="eastAsia" w:ascii="宋体" w:hAnsi="宋体" w:eastAsia="宋体" w:cs="Times New Roman"/>
                <w:b w:val="0"/>
                <w:bCs w:val="0"/>
                <w:color w:val="auto"/>
                <w:kern w:val="2"/>
                <w:sz w:val="24"/>
                <w:szCs w:val="24"/>
                <w:highlight w:val="none"/>
                <w:u w:val="none"/>
                <w:lang w:val="en-US" w:eastAsia="zh-CN" w:bidi="ar-SA"/>
              </w:rPr>
            </w:pPr>
          </w:p>
        </w:tc>
      </w:tr>
    </w:tbl>
    <w:p>
      <w:pPr>
        <w:pStyle w:val="19"/>
        <w:shd w:val="clear"/>
        <w:rPr>
          <w:color w:val="auto"/>
          <w:highlight w:val="none"/>
        </w:rPr>
      </w:pPr>
    </w:p>
    <w:p>
      <w:pPr>
        <w:shd w:val="clear"/>
        <w:spacing w:line="360" w:lineRule="auto"/>
        <w:rPr>
          <w:rFonts w:ascii="宋体" w:hAnsi="宋体" w:cs="宋体"/>
          <w:b/>
          <w:color w:val="auto"/>
          <w:sz w:val="24"/>
          <w:szCs w:val="22"/>
          <w:highlight w:val="none"/>
        </w:rPr>
      </w:pPr>
      <w:r>
        <w:rPr>
          <w:rFonts w:hint="eastAsia" w:ascii="宋体" w:hAnsi="宋体" w:cs="宋体"/>
          <w:b/>
          <w:color w:val="auto"/>
          <w:sz w:val="24"/>
          <w:szCs w:val="22"/>
          <w:highlight w:val="none"/>
        </w:rPr>
        <w:t>填报要求：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olor w:val="auto"/>
          <w:sz w:val="24"/>
          <w:highlight w:val="none"/>
        </w:rPr>
        <w:t>本项目投标报价为完成本项目的所有费用，投标人应考虑企业自身实力、经验及项目实施过程中的各种因素，在投标报价中应充分考虑所有可能发生的费用，否则采购人将视投标报价中已包括所有费用</w:t>
      </w:r>
      <w:r>
        <w:rPr>
          <w:rFonts w:hint="eastAsia" w:ascii="宋体" w:hAnsi="宋体" w:cs="宋体"/>
          <w:color w:val="auto"/>
          <w:sz w:val="24"/>
          <w:szCs w:val="32"/>
          <w:highlight w:val="none"/>
        </w:rPr>
        <w:t>。</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hd w:val="clear"/>
        <w:spacing w:line="360" w:lineRule="auto"/>
        <w:ind w:firstLine="480" w:firstLineChars="200"/>
        <w:rPr>
          <w:rFonts w:ascii="宋体" w:hAnsi="宋体" w:cs="宋体"/>
          <w:bCs/>
          <w:color w:val="auto"/>
          <w:sz w:val="24"/>
          <w:szCs w:val="2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hint="eastAsia" w:ascii="宋体" w:hAnsi="宋体" w:cs="宋体"/>
          <w:b/>
          <w:color w:val="auto"/>
          <w:sz w:val="28"/>
          <w:highlight w:val="none"/>
        </w:rPr>
      </w:pPr>
    </w:p>
    <w:p>
      <w:pPr>
        <w:shd w:val="clear"/>
        <w:spacing w:line="360" w:lineRule="auto"/>
        <w:rPr>
          <w:rFonts w:hint="eastAsia" w:ascii="宋体" w:hAnsi="宋体" w:cs="宋体"/>
          <w:b/>
          <w:color w:val="auto"/>
          <w:sz w:val="28"/>
          <w:highlight w:val="none"/>
        </w:rPr>
      </w:pPr>
    </w:p>
    <w:p>
      <w:pPr>
        <w:shd w:val="clear"/>
        <w:spacing w:line="360" w:lineRule="auto"/>
        <w:rPr>
          <w:rFonts w:hint="eastAsia" w:ascii="宋体" w:hAnsi="宋体" w:cs="宋体"/>
          <w:b/>
          <w:color w:val="auto"/>
          <w:sz w:val="28"/>
          <w:highlight w:val="none"/>
        </w:rPr>
      </w:pPr>
    </w:p>
    <w:p>
      <w:pPr>
        <w:shd w:val="clea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16</w:t>
      </w:r>
    </w:p>
    <w:p>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26"/>
        <w:gridCol w:w="1204"/>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02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20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小计（元）</w:t>
            </w:r>
          </w:p>
        </w:tc>
        <w:tc>
          <w:tcPr>
            <w:tcW w:w="14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026" w:type="dxa"/>
            <w:vAlign w:val="center"/>
          </w:tcPr>
          <w:p>
            <w:pPr>
              <w:shd w:val="clear"/>
              <w:jc w:val="center"/>
              <w:rPr>
                <w:rFonts w:ascii="宋体" w:hAnsi="宋体" w:cs="宋体"/>
                <w:color w:val="auto"/>
                <w:sz w:val="24"/>
                <w:highlight w:val="none"/>
              </w:rPr>
            </w:pPr>
          </w:p>
        </w:tc>
        <w:tc>
          <w:tcPr>
            <w:tcW w:w="1204" w:type="dxa"/>
            <w:vAlign w:val="center"/>
          </w:tcPr>
          <w:p>
            <w:pPr>
              <w:shd w:val="clear"/>
              <w:jc w:val="center"/>
              <w:rPr>
                <w:rFonts w:ascii="宋体" w:hAnsi="宋体" w:cs="宋体"/>
                <w:color w:val="auto"/>
                <w:sz w:val="24"/>
                <w:highlight w:val="none"/>
              </w:rPr>
            </w:pPr>
          </w:p>
        </w:tc>
        <w:tc>
          <w:tcPr>
            <w:tcW w:w="1440" w:type="dxa"/>
            <w:vAlign w:val="center"/>
          </w:tcPr>
          <w:p>
            <w:pPr>
              <w:shd w:val="clear"/>
              <w:jc w:val="center"/>
              <w:rPr>
                <w:rFonts w:ascii="宋体" w:hAnsi="宋体" w:cs="宋体"/>
                <w:color w:val="auto"/>
                <w:sz w:val="24"/>
                <w:highlight w:val="none"/>
              </w:rPr>
            </w:pPr>
          </w:p>
        </w:tc>
        <w:tc>
          <w:tcPr>
            <w:tcW w:w="1440"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026" w:type="dxa"/>
            <w:vAlign w:val="center"/>
          </w:tcPr>
          <w:p>
            <w:pPr>
              <w:shd w:val="clear"/>
              <w:jc w:val="center"/>
              <w:rPr>
                <w:rFonts w:ascii="宋体" w:hAnsi="宋体" w:cs="宋体"/>
                <w:color w:val="auto"/>
                <w:sz w:val="24"/>
                <w:highlight w:val="none"/>
              </w:rPr>
            </w:pPr>
          </w:p>
        </w:tc>
        <w:tc>
          <w:tcPr>
            <w:tcW w:w="1204" w:type="dxa"/>
            <w:vAlign w:val="center"/>
          </w:tcPr>
          <w:p>
            <w:pPr>
              <w:shd w:val="clear"/>
              <w:jc w:val="center"/>
              <w:rPr>
                <w:rFonts w:ascii="宋体" w:hAnsi="宋体" w:cs="宋体"/>
                <w:color w:val="auto"/>
                <w:sz w:val="24"/>
                <w:highlight w:val="none"/>
              </w:rPr>
            </w:pPr>
          </w:p>
        </w:tc>
        <w:tc>
          <w:tcPr>
            <w:tcW w:w="1440" w:type="dxa"/>
            <w:vAlign w:val="center"/>
          </w:tcPr>
          <w:p>
            <w:pPr>
              <w:shd w:val="clear"/>
              <w:jc w:val="center"/>
              <w:rPr>
                <w:rFonts w:ascii="宋体" w:hAnsi="宋体" w:cs="宋体"/>
                <w:color w:val="auto"/>
                <w:sz w:val="24"/>
                <w:highlight w:val="none"/>
              </w:rPr>
            </w:pPr>
          </w:p>
        </w:tc>
        <w:tc>
          <w:tcPr>
            <w:tcW w:w="1440"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w:t>
            </w:r>
          </w:p>
        </w:tc>
        <w:tc>
          <w:tcPr>
            <w:tcW w:w="4026" w:type="dxa"/>
            <w:vAlign w:val="center"/>
          </w:tcPr>
          <w:p>
            <w:pPr>
              <w:shd w:val="clear"/>
              <w:jc w:val="center"/>
              <w:rPr>
                <w:rFonts w:ascii="宋体" w:hAnsi="宋体" w:cs="宋体"/>
                <w:color w:val="auto"/>
                <w:sz w:val="24"/>
                <w:highlight w:val="none"/>
              </w:rPr>
            </w:pPr>
          </w:p>
        </w:tc>
        <w:tc>
          <w:tcPr>
            <w:tcW w:w="1204" w:type="dxa"/>
            <w:vAlign w:val="center"/>
          </w:tcPr>
          <w:p>
            <w:pPr>
              <w:shd w:val="clear"/>
              <w:jc w:val="center"/>
              <w:rPr>
                <w:rFonts w:ascii="宋体" w:hAnsi="宋体" w:cs="宋体"/>
                <w:color w:val="auto"/>
                <w:sz w:val="24"/>
                <w:highlight w:val="none"/>
              </w:rPr>
            </w:pPr>
          </w:p>
        </w:tc>
        <w:tc>
          <w:tcPr>
            <w:tcW w:w="1440" w:type="dxa"/>
            <w:vAlign w:val="center"/>
          </w:tcPr>
          <w:p>
            <w:pPr>
              <w:shd w:val="clear"/>
              <w:jc w:val="center"/>
              <w:rPr>
                <w:rFonts w:ascii="宋体" w:hAnsi="宋体" w:cs="宋体"/>
                <w:color w:val="auto"/>
                <w:sz w:val="24"/>
                <w:highlight w:val="none"/>
              </w:rPr>
            </w:pPr>
          </w:p>
        </w:tc>
        <w:tc>
          <w:tcPr>
            <w:tcW w:w="1440"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17" w:type="dxa"/>
            <w:gridSpan w:val="5"/>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总计：大写                          小写</w:t>
            </w: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1.本表为《首次报价一览表》的报价明细表，如有缺项、漏项，视为投标报价中已包含相关费用，采购人无需另外支付任何费用。</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“报价明细表”中的报价合计应与“首次报价一览表”中的投标总报价相一致，不一致时，以首次报价一览表为准。</w:t>
      </w:r>
    </w:p>
    <w:p>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投标报价明细表所填内容按采购文件采购需求为准。如有漏报的，视同已包含在投标总价内或已作优惠处理。有重大缺项的将作无效响应处理。</w:t>
      </w:r>
    </w:p>
    <w:p>
      <w:pPr>
        <w:shd w:val="clear"/>
        <w:spacing w:line="360" w:lineRule="auto"/>
        <w:ind w:firstLine="480" w:firstLineChars="200"/>
        <w:jc w:val="left"/>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pStyle w:val="2"/>
        <w:rPr>
          <w:rFonts w:ascii="宋体" w:hAnsi="宋体" w:cs="宋体"/>
          <w:color w:val="auto"/>
          <w:sz w:val="24"/>
          <w:szCs w:val="32"/>
          <w:highlight w:val="none"/>
        </w:rPr>
      </w:pPr>
    </w:p>
    <w:p>
      <w:pPr>
        <w:rPr>
          <w:color w:val="auto"/>
          <w:highlight w:val="none"/>
        </w:rPr>
      </w:pPr>
    </w:p>
    <w:p>
      <w:pPr>
        <w:shd w:val="clear"/>
        <w:spacing w:line="360" w:lineRule="auto"/>
        <w:rPr>
          <w:rFonts w:ascii="宋体" w:hAnsi="宋体" w:cs="宋体"/>
          <w:color w:val="auto"/>
          <w:sz w:val="24"/>
          <w:szCs w:val="32"/>
          <w:highlight w:val="none"/>
        </w:rPr>
      </w:pPr>
    </w:p>
    <w:p>
      <w:pPr>
        <w:shd w:val="clear"/>
        <w:tabs>
          <w:tab w:val="left" w:pos="3360"/>
        </w:tabs>
        <w:spacing w:line="480" w:lineRule="auto"/>
        <w:jc w:val="center"/>
        <w:textAlignment w:val="baseline"/>
        <w:rPr>
          <w:rStyle w:val="91"/>
          <w:rFonts w:hint="eastAsia" w:ascii="宋体" w:hAnsi="宋体" w:eastAsia="宋体" w:cs="宋体"/>
          <w:b/>
          <w:bCs/>
          <w:color w:val="auto"/>
          <w:sz w:val="28"/>
          <w:szCs w:val="28"/>
          <w:highlight w:val="none"/>
        </w:rPr>
      </w:pPr>
      <w:r>
        <w:rPr>
          <w:rStyle w:val="91"/>
          <w:rFonts w:hint="eastAsia" w:ascii="宋体" w:hAnsi="宋体" w:eastAsia="宋体" w:cs="宋体"/>
          <w:b/>
          <w:bCs/>
          <w:color w:val="auto"/>
          <w:sz w:val="28"/>
          <w:szCs w:val="28"/>
          <w:highlight w:val="none"/>
        </w:rPr>
        <w:t>政府采购活动确认声明书</w:t>
      </w:r>
    </w:p>
    <w:p>
      <w:pPr>
        <w:widowControl/>
        <w:shd w:val="clear"/>
        <w:tabs>
          <w:tab w:val="left" w:pos="3360"/>
        </w:tabs>
        <w:spacing w:line="390" w:lineRule="exact"/>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b/>
          <w:bCs/>
          <w:color w:val="auto"/>
          <w:sz w:val="24"/>
          <w:szCs w:val="32"/>
          <w:highlight w:val="none"/>
          <w:u w:val="single"/>
        </w:rPr>
        <w:t>浙江五石中正工程咨询有限公司</w:t>
      </w:r>
      <w:r>
        <w:rPr>
          <w:rStyle w:val="91"/>
          <w:rFonts w:hint="eastAsia" w:ascii="宋体" w:hAnsi="宋体" w:eastAsia="宋体" w:cs="宋体"/>
          <w:color w:val="auto"/>
          <w:sz w:val="24"/>
          <w:szCs w:val="32"/>
          <w:highlight w:val="none"/>
        </w:rPr>
        <w:t>（采购组织机构名称）：</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本人经由</w:t>
      </w:r>
      <w:r>
        <w:rPr>
          <w:rStyle w:val="91"/>
          <w:rFonts w:hint="eastAsia" w:ascii="宋体" w:hAnsi="宋体" w:eastAsia="宋体" w:cs="宋体"/>
          <w:color w:val="auto"/>
          <w:sz w:val="24"/>
          <w:szCs w:val="32"/>
          <w:highlight w:val="none"/>
          <w:u w:val="single"/>
        </w:rPr>
        <w:t xml:space="preserve">                      </w:t>
      </w:r>
      <w:r>
        <w:rPr>
          <w:rStyle w:val="91"/>
          <w:rFonts w:hint="eastAsia" w:ascii="宋体" w:hAnsi="宋体" w:eastAsia="宋体" w:cs="宋体"/>
          <w:color w:val="auto"/>
          <w:sz w:val="24"/>
          <w:szCs w:val="32"/>
          <w:highlight w:val="none"/>
        </w:rPr>
        <w:t>（投标人全称）</w:t>
      </w:r>
      <w:r>
        <w:rPr>
          <w:rStyle w:val="91"/>
          <w:rFonts w:hint="eastAsia" w:ascii="宋体" w:hAnsi="宋体" w:eastAsia="宋体" w:cs="宋体"/>
          <w:color w:val="auto"/>
          <w:sz w:val="24"/>
          <w:szCs w:val="32"/>
          <w:highlight w:val="none"/>
          <w:u w:val="single"/>
        </w:rPr>
        <w:t xml:space="preserve">       </w:t>
      </w:r>
      <w:r>
        <w:rPr>
          <w:rStyle w:val="91"/>
          <w:rFonts w:hint="eastAsia" w:ascii="宋体" w:hAnsi="宋体" w:eastAsia="宋体" w:cs="宋体"/>
          <w:color w:val="auto"/>
          <w:sz w:val="24"/>
          <w:szCs w:val="32"/>
          <w:highlight w:val="none"/>
        </w:rPr>
        <w:t>（法人代表姓名）合法授权参加</w:t>
      </w:r>
      <w:r>
        <w:rPr>
          <w:rFonts w:hint="eastAsia" w:ascii="宋体" w:hAnsi="宋体" w:eastAsia="宋体" w:cs="宋体"/>
          <w:color w:val="auto"/>
          <w:sz w:val="24"/>
          <w:szCs w:val="32"/>
          <w:highlight w:val="none"/>
          <w:u w:val="single"/>
          <w:lang w:eastAsia="zh-CN"/>
        </w:rPr>
        <w:t>食堂劳务外包服务项目</w:t>
      </w:r>
      <w:r>
        <w:rPr>
          <w:rStyle w:val="91"/>
          <w:rFonts w:hint="eastAsia" w:ascii="宋体" w:hAnsi="宋体" w:eastAsia="宋体" w:cs="宋体"/>
          <w:color w:val="auto"/>
          <w:sz w:val="24"/>
          <w:szCs w:val="32"/>
          <w:highlight w:val="none"/>
        </w:rPr>
        <w:t>（项目编号：</w:t>
      </w:r>
      <w:r>
        <w:rPr>
          <w:rStyle w:val="91"/>
          <w:rFonts w:hint="eastAsia" w:ascii="宋体" w:hAnsi="宋体" w:eastAsia="宋体" w:cs="宋体"/>
          <w:b/>
          <w:bCs/>
          <w:color w:val="auto"/>
          <w:sz w:val="24"/>
          <w:szCs w:val="32"/>
          <w:highlight w:val="none"/>
          <w:u w:val="single"/>
          <w:lang w:eastAsia="zh-CN"/>
        </w:rPr>
        <w:t>ZJWS2024-LQ130</w:t>
      </w:r>
      <w:r>
        <w:rPr>
          <w:rStyle w:val="91"/>
          <w:rFonts w:hint="eastAsia" w:ascii="宋体" w:hAnsi="宋体" w:eastAsia="宋体" w:cs="宋体"/>
          <w:color w:val="auto"/>
          <w:sz w:val="24"/>
          <w:szCs w:val="32"/>
          <w:highlight w:val="none"/>
        </w:rPr>
        <w:t>）政府采购活动，经与本单位法人代表（负责人）联系确认，现就有关公平竞争事项郑重声明如下：</w:t>
      </w:r>
    </w:p>
    <w:p>
      <w:pPr>
        <w:widowControl/>
        <w:shd w:val="clear"/>
        <w:tabs>
          <w:tab w:val="left" w:pos="3360"/>
        </w:tabs>
        <w:spacing w:line="390" w:lineRule="exact"/>
        <w:ind w:firstLine="241" w:firstLineChars="100"/>
        <w:jc w:val="left"/>
        <w:textAlignment w:val="baseline"/>
        <w:rPr>
          <w:rStyle w:val="91"/>
          <w:rFonts w:hint="eastAsia" w:ascii="宋体" w:hAnsi="宋体" w:eastAsia="宋体" w:cs="宋体"/>
          <w:b/>
          <w:bCs/>
          <w:color w:val="auto"/>
          <w:sz w:val="24"/>
          <w:szCs w:val="32"/>
          <w:highlight w:val="none"/>
        </w:rPr>
      </w:pPr>
      <w:r>
        <w:rPr>
          <w:rStyle w:val="91"/>
          <w:rFonts w:hint="eastAsia" w:ascii="宋体" w:hAnsi="宋体" w:eastAsia="宋体" w:cs="宋体"/>
          <w:b/>
          <w:bCs/>
          <w:color w:val="auto"/>
          <w:sz w:val="24"/>
          <w:szCs w:val="32"/>
          <w:highlight w:val="none"/>
        </w:rPr>
        <w:t>一、本单位与采购人之间</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□不存在利害关系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□存在下列利害关系：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A.投资关系    B.行政隶属关系    C.业务指导关系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D.其他可能影响采购公正的利害关系（如有，请如实说明）</w:t>
      </w:r>
      <w:r>
        <w:rPr>
          <w:rStyle w:val="91"/>
          <w:rFonts w:hint="eastAsia" w:ascii="宋体" w:hAnsi="宋体" w:eastAsia="宋体" w:cs="宋体"/>
          <w:color w:val="auto"/>
          <w:sz w:val="24"/>
          <w:szCs w:val="32"/>
          <w:highlight w:val="none"/>
          <w:u w:val="single"/>
        </w:rPr>
        <w:t xml:space="preserve">          </w:t>
      </w:r>
      <w:r>
        <w:rPr>
          <w:rStyle w:val="91"/>
          <w:rFonts w:hint="eastAsia" w:ascii="宋体" w:hAnsi="宋体" w:eastAsia="宋体" w:cs="宋体"/>
          <w:color w:val="auto"/>
          <w:sz w:val="24"/>
          <w:szCs w:val="32"/>
          <w:highlight w:val="none"/>
        </w:rPr>
        <w:t>。</w:t>
      </w:r>
    </w:p>
    <w:p>
      <w:pPr>
        <w:widowControl/>
        <w:shd w:val="clear"/>
        <w:tabs>
          <w:tab w:val="left" w:pos="3360"/>
        </w:tabs>
        <w:spacing w:line="390" w:lineRule="exact"/>
        <w:ind w:firstLine="241" w:firstLineChars="100"/>
        <w:jc w:val="left"/>
        <w:textAlignment w:val="baseline"/>
        <w:rPr>
          <w:rStyle w:val="91"/>
          <w:rFonts w:hint="eastAsia" w:ascii="宋体" w:hAnsi="宋体" w:eastAsia="宋体" w:cs="宋体"/>
          <w:b/>
          <w:bCs/>
          <w:color w:val="auto"/>
          <w:sz w:val="24"/>
          <w:szCs w:val="32"/>
          <w:highlight w:val="none"/>
        </w:rPr>
      </w:pPr>
      <w:r>
        <w:rPr>
          <w:rStyle w:val="91"/>
          <w:rFonts w:hint="eastAsia" w:ascii="宋体" w:hAnsi="宋体" w:eastAsia="宋体" w:cs="宋体"/>
          <w:b/>
          <w:bCs/>
          <w:color w:val="auto"/>
          <w:sz w:val="24"/>
          <w:szCs w:val="32"/>
          <w:highlight w:val="none"/>
        </w:rPr>
        <w:t>二、现已清楚知道参加本项目采购活动的其他所有供应商名称，本单位</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□与其他所有供应商之间均不存在利害关系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□与之间存在下列利害关系：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A.法定代表人或负责人或实际控制人是同一人</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B.法定代表人或负责人或实际控制人是夫妻关系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C.法定代表人或负责人或实际控制人是直系血亲关系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D.法定代表人或负责人或实际控制人存在三代以内旁系血亲关系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E.法定代表人或负责人或实际控制人存在近姻亲关系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F.法定代表人或负责人或实际控制人存在股份控制或实际控制关系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G.存在共同直接或间接投资设立子公司、联营企业和合营企业情况</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H.存在分级代理或代销关系、同一生产制造商关系、管理关系、重要业务（占主营业务收入50%以上）或重要财务往来关系（如融资）等其他实质性控制关系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I.其他利害关系情况</w:t>
      </w:r>
      <w:r>
        <w:rPr>
          <w:rStyle w:val="91"/>
          <w:rFonts w:hint="eastAsia" w:ascii="宋体" w:hAnsi="宋体" w:eastAsia="宋体" w:cs="宋体"/>
          <w:color w:val="auto"/>
          <w:sz w:val="24"/>
          <w:szCs w:val="32"/>
          <w:highlight w:val="none"/>
          <w:u w:val="single"/>
        </w:rPr>
        <w:t xml:space="preserve">               </w:t>
      </w:r>
      <w:r>
        <w:rPr>
          <w:rStyle w:val="91"/>
          <w:rFonts w:hint="eastAsia" w:ascii="宋体" w:hAnsi="宋体" w:eastAsia="宋体" w:cs="宋体"/>
          <w:color w:val="auto"/>
          <w:sz w:val="24"/>
          <w:szCs w:val="32"/>
          <w:highlight w:val="none"/>
        </w:rPr>
        <w:t>。</w:t>
      </w:r>
    </w:p>
    <w:p>
      <w:pPr>
        <w:widowControl/>
        <w:shd w:val="clear"/>
        <w:tabs>
          <w:tab w:val="left" w:pos="3360"/>
        </w:tabs>
        <w:spacing w:line="390" w:lineRule="exact"/>
        <w:ind w:firstLine="241" w:firstLineChars="100"/>
        <w:jc w:val="left"/>
        <w:textAlignment w:val="baseline"/>
        <w:rPr>
          <w:rStyle w:val="91"/>
          <w:rFonts w:hint="eastAsia" w:ascii="宋体" w:hAnsi="宋体" w:eastAsia="宋体" w:cs="宋体"/>
          <w:b/>
          <w:bCs/>
          <w:color w:val="auto"/>
          <w:sz w:val="24"/>
          <w:szCs w:val="32"/>
          <w:highlight w:val="none"/>
        </w:rPr>
      </w:pPr>
      <w:r>
        <w:rPr>
          <w:rStyle w:val="91"/>
          <w:rFonts w:hint="eastAsia" w:ascii="宋体" w:hAnsi="宋体" w:eastAsia="宋体" w:cs="宋体"/>
          <w:b/>
          <w:bCs/>
          <w:color w:val="auto"/>
          <w:sz w:val="24"/>
          <w:szCs w:val="32"/>
          <w:highlight w:val="none"/>
        </w:rPr>
        <w:t>三、现已清楚知道并严格遵守政府采购法律法规。</w:t>
      </w:r>
    </w:p>
    <w:p>
      <w:pPr>
        <w:widowControl/>
        <w:shd w:val="clear"/>
        <w:tabs>
          <w:tab w:val="left" w:pos="3360"/>
        </w:tabs>
        <w:spacing w:line="390" w:lineRule="exact"/>
        <w:ind w:firstLine="241" w:firstLineChars="100"/>
        <w:jc w:val="left"/>
        <w:textAlignment w:val="baseline"/>
        <w:rPr>
          <w:rStyle w:val="91"/>
          <w:rFonts w:hint="eastAsia" w:ascii="宋体" w:hAnsi="宋体" w:eastAsia="宋体" w:cs="宋体"/>
          <w:b/>
          <w:bCs/>
          <w:color w:val="auto"/>
          <w:sz w:val="24"/>
          <w:szCs w:val="32"/>
          <w:highlight w:val="none"/>
        </w:rPr>
      </w:pPr>
      <w:r>
        <w:rPr>
          <w:rStyle w:val="91"/>
          <w:rFonts w:hint="eastAsia" w:ascii="宋体" w:hAnsi="宋体" w:eastAsia="宋体" w:cs="宋体"/>
          <w:b/>
          <w:bCs/>
          <w:color w:val="auto"/>
          <w:sz w:val="24"/>
          <w:szCs w:val="32"/>
          <w:highlight w:val="none"/>
        </w:rPr>
        <w:t>四、我发现供应商之间存在或可能存在上述第二条第</w:t>
      </w:r>
      <w:r>
        <w:rPr>
          <w:rStyle w:val="91"/>
          <w:rFonts w:hint="eastAsia" w:ascii="宋体" w:hAnsi="宋体" w:eastAsia="宋体" w:cs="宋体"/>
          <w:b/>
          <w:bCs/>
          <w:color w:val="auto"/>
          <w:sz w:val="24"/>
          <w:szCs w:val="32"/>
          <w:highlight w:val="none"/>
          <w:u w:val="single"/>
        </w:rPr>
        <w:t xml:space="preserve">         </w:t>
      </w:r>
      <w:r>
        <w:rPr>
          <w:rStyle w:val="91"/>
          <w:rFonts w:hint="eastAsia" w:ascii="宋体" w:hAnsi="宋体" w:eastAsia="宋体" w:cs="宋体"/>
          <w:b/>
          <w:bCs/>
          <w:color w:val="auto"/>
          <w:sz w:val="24"/>
          <w:szCs w:val="32"/>
          <w:highlight w:val="none"/>
        </w:rPr>
        <w:t>项利害关系。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□不存在利害关系</w:t>
      </w:r>
    </w:p>
    <w:p>
      <w:pPr>
        <w:widowControl/>
        <w:shd w:val="clear"/>
        <w:tabs>
          <w:tab w:val="left" w:pos="3360"/>
        </w:tabs>
        <w:spacing w:line="390" w:lineRule="exact"/>
        <w:ind w:firstLine="480" w:firstLineChars="2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□存在下列利害关系</w:t>
      </w:r>
    </w:p>
    <w:p>
      <w:pPr>
        <w:widowControl/>
        <w:shd w:val="clear"/>
        <w:tabs>
          <w:tab w:val="left" w:pos="3360"/>
        </w:tabs>
        <w:spacing w:line="390" w:lineRule="exact"/>
        <w:ind w:firstLine="4800" w:firstLineChars="2000"/>
        <w:jc w:val="lef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供应商代表签名：</w:t>
      </w:r>
    </w:p>
    <w:p>
      <w:pPr>
        <w:widowControl/>
        <w:shd w:val="clear"/>
        <w:tabs>
          <w:tab w:val="left" w:pos="3360"/>
        </w:tabs>
        <w:spacing w:line="390" w:lineRule="exact"/>
        <w:jc w:val="right"/>
        <w:textAlignment w:val="baseline"/>
        <w:rPr>
          <w:rStyle w:val="91"/>
          <w:rFonts w:hint="eastAsia" w:ascii="宋体" w:hAnsi="宋体" w:eastAsia="宋体" w:cs="宋体"/>
          <w:color w:val="auto"/>
          <w:sz w:val="24"/>
          <w:szCs w:val="32"/>
          <w:highlight w:val="none"/>
        </w:rPr>
      </w:pPr>
      <w:r>
        <w:rPr>
          <w:rStyle w:val="91"/>
          <w:rFonts w:hint="eastAsia" w:ascii="宋体" w:hAnsi="宋体" w:eastAsia="宋体" w:cs="宋体"/>
          <w:color w:val="auto"/>
          <w:sz w:val="24"/>
          <w:szCs w:val="32"/>
          <w:highlight w:val="none"/>
        </w:rPr>
        <w:t>202</w:t>
      </w:r>
      <w:r>
        <w:rPr>
          <w:rStyle w:val="91"/>
          <w:rFonts w:hint="eastAsia" w:ascii="宋体" w:hAnsi="宋体" w:eastAsia="宋体" w:cs="宋体"/>
          <w:color w:val="auto"/>
          <w:sz w:val="24"/>
          <w:szCs w:val="32"/>
          <w:highlight w:val="none"/>
          <w:lang w:val="en-US"/>
        </w:rPr>
        <w:t>4</w:t>
      </w:r>
      <w:r>
        <w:rPr>
          <w:rStyle w:val="91"/>
          <w:rFonts w:hint="eastAsia" w:ascii="宋体" w:hAnsi="宋体" w:eastAsia="宋体" w:cs="宋体"/>
          <w:color w:val="auto"/>
          <w:sz w:val="24"/>
          <w:szCs w:val="32"/>
          <w:highlight w:val="none"/>
        </w:rPr>
        <w:t>年  月  日</w:t>
      </w:r>
    </w:p>
    <w:p>
      <w:pPr>
        <w:widowControl/>
        <w:shd w:val="clear"/>
        <w:tabs>
          <w:tab w:val="left" w:pos="3360"/>
        </w:tabs>
        <w:spacing w:line="390" w:lineRule="exact"/>
        <w:ind w:firstLine="482" w:firstLineChars="200"/>
        <w:jc w:val="left"/>
        <w:textAlignment w:val="baseline"/>
        <w:rPr>
          <w:rFonts w:hint="eastAsia" w:ascii="宋体" w:hAnsi="宋体" w:eastAsia="宋体" w:cs="宋体"/>
          <w:b/>
          <w:bCs/>
          <w:color w:val="auto"/>
          <w:highlight w:val="none"/>
        </w:rPr>
      </w:pPr>
      <w:r>
        <w:rPr>
          <w:rStyle w:val="91"/>
          <w:rFonts w:hint="eastAsia" w:ascii="宋体" w:hAnsi="宋体" w:eastAsia="宋体" w:cs="宋体"/>
          <w:b/>
          <w:bCs/>
          <w:color w:val="auto"/>
          <w:sz w:val="24"/>
          <w:szCs w:val="32"/>
          <w:highlight w:val="none"/>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p>
      <w:pPr>
        <w:shd w:val="clear"/>
        <w:rPr>
          <w:color w:val="auto"/>
          <w:highlight w:val="none"/>
        </w:rPr>
      </w:pPr>
    </w:p>
    <w:sectPr>
      <w:headerReference r:id="rId6" w:type="default"/>
      <w:pgSz w:w="11906" w:h="16838"/>
      <w:pgMar w:top="1383" w:right="1746" w:bottom="1327" w:left="1746"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Helvetica">
    <w:altName w:val="Arial"/>
    <w:panose1 w:val="020B0604020002020204"/>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snapToGrid w:val="0"/>
      </w:pPr>
      <w:r>
        <w:rPr>
          <w:rStyle w:val="33"/>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台州市路桥区政府采购电子竞争性磋商文件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44</w:t>
    </w:r>
    <w:r>
      <w:rPr>
        <w:b/>
        <w:i/>
        <w:color w:val="000000"/>
        <w:spacing w:val="-20"/>
        <w:kern w:val="0"/>
        <w:sz w:val="18"/>
        <w:u w:val="single"/>
      </w:rPr>
      <w:fldChar w:fldCharType="end"/>
    </w:r>
    <w:r>
      <w:rPr>
        <w:rFonts w:hint="eastAsia"/>
        <w:b/>
        <w:i/>
        <w:color w:val="000000"/>
        <w:spacing w:val="-20"/>
        <w:kern w:val="0"/>
        <w:sz w:val="18"/>
        <w:u w:val="single"/>
      </w:rPr>
      <w:t>页</w:t>
    </w:r>
  </w:p>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4"/>
      <w:numFmt w:val="chineseCounting"/>
      <w:suff w:val="nothing"/>
      <w:lvlText w:val="（%1）"/>
      <w:lvlJc w:val="left"/>
      <w:rPr>
        <w:rFonts w:hint="eastAsia"/>
      </w:rPr>
    </w:lvl>
  </w:abstractNum>
  <w:abstractNum w:abstractNumId="3">
    <w:nsid w:val="00000003"/>
    <w:multiLevelType w:val="singleLevel"/>
    <w:tmpl w:val="00000003"/>
    <w:lvl w:ilvl="0" w:tentative="0">
      <w:start w:val="4"/>
      <w:numFmt w:val="chineseCounting"/>
      <w:suff w:val="space"/>
      <w:lvlText w:val="第%1部分"/>
      <w:lvlJc w:val="left"/>
      <w:rPr>
        <w:rFonts w:hint="eastAsia"/>
      </w:rPr>
    </w:lvl>
  </w:abstractNum>
  <w:abstractNum w:abstractNumId="4">
    <w:nsid w:val="20E80E8E"/>
    <w:multiLevelType w:val="singleLevel"/>
    <w:tmpl w:val="20E80E8E"/>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jRlMDI0ZDhjNDg5YjhmNTdlNjI5ZTE2NjIxNjMifQ=="/>
    <w:docVar w:name="KSO_WPS_MARK_KEY" w:val="a2a96e39-7687-40c3-964c-6123ca2f20bc"/>
  </w:docVars>
  <w:rsids>
    <w:rsidRoot w:val="00000000"/>
    <w:rsid w:val="05F15F19"/>
    <w:rsid w:val="06DD197D"/>
    <w:rsid w:val="078C5DA2"/>
    <w:rsid w:val="098737B4"/>
    <w:rsid w:val="0C6A7222"/>
    <w:rsid w:val="0D4E0668"/>
    <w:rsid w:val="0EC9016F"/>
    <w:rsid w:val="0F2509E1"/>
    <w:rsid w:val="102965E2"/>
    <w:rsid w:val="127A3D34"/>
    <w:rsid w:val="13E53AC7"/>
    <w:rsid w:val="1471701A"/>
    <w:rsid w:val="17173305"/>
    <w:rsid w:val="18644328"/>
    <w:rsid w:val="193B7A70"/>
    <w:rsid w:val="199944A6"/>
    <w:rsid w:val="1AD302AC"/>
    <w:rsid w:val="1EC31592"/>
    <w:rsid w:val="21B9530E"/>
    <w:rsid w:val="22347461"/>
    <w:rsid w:val="22453DC6"/>
    <w:rsid w:val="24F50857"/>
    <w:rsid w:val="27C3595D"/>
    <w:rsid w:val="2A394AEC"/>
    <w:rsid w:val="2F9E402D"/>
    <w:rsid w:val="307014E6"/>
    <w:rsid w:val="30823732"/>
    <w:rsid w:val="31AE451A"/>
    <w:rsid w:val="320226A8"/>
    <w:rsid w:val="3342394E"/>
    <w:rsid w:val="34971BA2"/>
    <w:rsid w:val="367D50D0"/>
    <w:rsid w:val="36D13E4F"/>
    <w:rsid w:val="37C37826"/>
    <w:rsid w:val="38020EB3"/>
    <w:rsid w:val="38183075"/>
    <w:rsid w:val="388A1419"/>
    <w:rsid w:val="3A523693"/>
    <w:rsid w:val="3BFB4055"/>
    <w:rsid w:val="3D4F2F4A"/>
    <w:rsid w:val="3E10069C"/>
    <w:rsid w:val="3E6A6447"/>
    <w:rsid w:val="3EE5525A"/>
    <w:rsid w:val="3FC67A05"/>
    <w:rsid w:val="3FE1257F"/>
    <w:rsid w:val="40361065"/>
    <w:rsid w:val="40F51D65"/>
    <w:rsid w:val="41BE4E62"/>
    <w:rsid w:val="42ED5DF4"/>
    <w:rsid w:val="44013B38"/>
    <w:rsid w:val="48CE0F09"/>
    <w:rsid w:val="48F72D2E"/>
    <w:rsid w:val="4B414C39"/>
    <w:rsid w:val="4B553E21"/>
    <w:rsid w:val="4E8C2A19"/>
    <w:rsid w:val="4FD02AF6"/>
    <w:rsid w:val="50E7376D"/>
    <w:rsid w:val="516C778D"/>
    <w:rsid w:val="53AF47CD"/>
    <w:rsid w:val="541770F9"/>
    <w:rsid w:val="54E53EDA"/>
    <w:rsid w:val="58EF2500"/>
    <w:rsid w:val="5BD13050"/>
    <w:rsid w:val="5D3A69D3"/>
    <w:rsid w:val="5FC046A4"/>
    <w:rsid w:val="5FD7599D"/>
    <w:rsid w:val="64535B33"/>
    <w:rsid w:val="66A15D8A"/>
    <w:rsid w:val="66E16111"/>
    <w:rsid w:val="694D4681"/>
    <w:rsid w:val="6EBE7A87"/>
    <w:rsid w:val="6EC24A7A"/>
    <w:rsid w:val="729902EC"/>
    <w:rsid w:val="74D01AB1"/>
    <w:rsid w:val="77486817"/>
    <w:rsid w:val="78852DA0"/>
    <w:rsid w:val="79D22C75"/>
    <w:rsid w:val="79D25A6C"/>
    <w:rsid w:val="79E1596F"/>
    <w:rsid w:val="7D55293E"/>
    <w:rsid w:val="7FE548BB"/>
    <w:rsid w:val="BFD87E6F"/>
    <w:rsid w:val="DF773EB6"/>
    <w:rsid w:val="FAFF5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75"/>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6"/>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next w:val="8"/>
    <w:qFormat/>
    <w:uiPriority w:val="99"/>
    <w:pPr>
      <w:ind w:firstLine="420"/>
    </w:pPr>
    <w:rPr>
      <w:szCs w:val="20"/>
    </w:rPr>
  </w:style>
  <w:style w:type="paragraph" w:styleId="8">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annotation text"/>
    <w:basedOn w:val="1"/>
    <w:link w:val="78"/>
    <w:qFormat/>
    <w:uiPriority w:val="99"/>
    <w:pPr>
      <w:jc w:val="left"/>
    </w:pPr>
  </w:style>
  <w:style w:type="paragraph" w:styleId="10">
    <w:name w:val="Body Text"/>
    <w:basedOn w:val="1"/>
    <w:next w:val="11"/>
    <w:link w:val="77"/>
    <w:qFormat/>
    <w:uiPriority w:val="99"/>
    <w:pPr>
      <w:spacing w:line="360" w:lineRule="exact"/>
    </w:pPr>
    <w:rPr>
      <w:sz w:val="24"/>
    </w:rPr>
  </w:style>
  <w:style w:type="paragraph" w:styleId="11">
    <w:name w:val="Body Text First Indent"/>
    <w:basedOn w:val="10"/>
    <w:next w:val="1"/>
    <w:qFormat/>
    <w:uiPriority w:val="99"/>
    <w:pPr>
      <w:ind w:firstLine="420"/>
    </w:pPr>
    <w:rPr>
      <w:sz w:val="21"/>
    </w:r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next w:val="14"/>
    <w:link w:val="80"/>
    <w:qFormat/>
    <w:uiPriority w:val="99"/>
    <w:rPr>
      <w:rFonts w:ascii="宋体" w:hAnsi="Courier New"/>
    </w:rPr>
  </w:style>
  <w:style w:type="paragraph" w:styleId="14">
    <w:name w:val="Date"/>
    <w:basedOn w:val="1"/>
    <w:next w:val="1"/>
    <w:link w:val="81"/>
    <w:qFormat/>
    <w:uiPriority w:val="99"/>
    <w:pPr>
      <w:ind w:left="2500" w:leftChars="2500"/>
    </w:pPr>
    <w:rPr>
      <w:rFonts w:ascii="Calibri" w:hAnsi="Calibri" w:eastAsia="楷体_GB2312"/>
      <w:sz w:val="32"/>
      <w:szCs w:val="22"/>
    </w:rPr>
  </w:style>
  <w:style w:type="paragraph" w:styleId="15">
    <w:name w:val="Body Text Indent 2"/>
    <w:basedOn w:val="1"/>
    <w:next w:val="16"/>
    <w:qFormat/>
    <w:uiPriority w:val="99"/>
    <w:pPr>
      <w:spacing w:after="120" w:line="480" w:lineRule="auto"/>
      <w:ind w:left="420" w:leftChars="200"/>
    </w:pPr>
  </w:style>
  <w:style w:type="paragraph" w:styleId="16">
    <w:name w:val="toc 1"/>
    <w:basedOn w:val="1"/>
    <w:next w:val="1"/>
    <w:qFormat/>
    <w:uiPriority w:val="39"/>
    <w:pPr>
      <w:tabs>
        <w:tab w:val="right" w:leader="dot" w:pos="8835"/>
      </w:tabs>
    </w:pPr>
    <w:rPr>
      <w:rFonts w:eastAsia="方正仿宋_GB18030"/>
      <w:sz w:val="32"/>
    </w:rPr>
  </w:style>
  <w:style w:type="paragraph" w:styleId="17">
    <w:name w:val="Balloon Text"/>
    <w:basedOn w:val="1"/>
    <w:link w:val="82"/>
    <w:qFormat/>
    <w:uiPriority w:val="99"/>
    <w:rPr>
      <w:sz w:val="18"/>
      <w:szCs w:val="18"/>
    </w:rPr>
  </w:style>
  <w:style w:type="paragraph" w:styleId="18">
    <w:name w:val="footer"/>
    <w:basedOn w:val="1"/>
    <w:link w:val="83"/>
    <w:qFormat/>
    <w:uiPriority w:val="99"/>
    <w:pPr>
      <w:tabs>
        <w:tab w:val="center" w:pos="4153"/>
        <w:tab w:val="right" w:pos="8306"/>
      </w:tabs>
      <w:snapToGrid w:val="0"/>
      <w:jc w:val="left"/>
    </w:pPr>
    <w:rPr>
      <w:sz w:val="18"/>
    </w:rPr>
  </w:style>
  <w:style w:type="paragraph" w:styleId="19">
    <w:name w:val="header"/>
    <w:basedOn w:val="1"/>
    <w:link w:val="8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List"/>
    <w:basedOn w:val="1"/>
    <w:qFormat/>
    <w:uiPriority w:val="0"/>
    <w:pPr>
      <w:ind w:left="200" w:hanging="200" w:hangingChars="200"/>
    </w:pPr>
  </w:style>
  <w:style w:type="paragraph" w:styleId="21">
    <w:name w:val="footnote text"/>
    <w:basedOn w:val="1"/>
    <w:qFormat/>
    <w:uiPriority w:val="99"/>
    <w:pPr>
      <w:snapToGrid w:val="0"/>
      <w:jc w:val="left"/>
    </w:pPr>
    <w:rPr>
      <w:sz w:val="18"/>
    </w:rPr>
  </w:style>
  <w:style w:type="paragraph" w:styleId="22">
    <w:name w:val="toc 6"/>
    <w:basedOn w:val="1"/>
    <w:next w:val="1"/>
    <w:qFormat/>
    <w:uiPriority w:val="39"/>
    <w:pPr>
      <w:widowControl/>
      <w:ind w:left="1000"/>
      <w:jc w:val="left"/>
    </w:pPr>
    <w:rPr>
      <w:kern w:val="0"/>
      <w:sz w:val="18"/>
      <w:szCs w:val="20"/>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rPr>
  </w:style>
  <w:style w:type="paragraph" w:styleId="26">
    <w:name w:val="annotation subject"/>
    <w:basedOn w:val="9"/>
    <w:next w:val="9"/>
    <w:link w:val="85"/>
    <w:qFormat/>
    <w:uiPriority w:val="99"/>
    <w:rPr>
      <w:b/>
      <w:bCs/>
    </w:rPr>
  </w:style>
  <w:style w:type="paragraph" w:styleId="27">
    <w:name w:val="Body Text First Indent 2"/>
    <w:basedOn w:val="8"/>
    <w:next w:val="1"/>
    <w:qFormat/>
    <w:uiPriority w:val="0"/>
    <w:pPr>
      <w:ind w:firstLine="420"/>
      <w:textAlignment w:val="baseline"/>
    </w:pPr>
    <w:rPr>
      <w:rFonts w:cs="宋体"/>
      <w:szCs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qFormat/>
    <w:uiPriority w:val="0"/>
    <w:rPr>
      <w:color w:val="0000FF"/>
      <w:u w:val="single"/>
    </w:rPr>
  </w:style>
  <w:style w:type="character" w:styleId="32">
    <w:name w:val="annotation reference"/>
    <w:qFormat/>
    <w:uiPriority w:val="99"/>
    <w:rPr>
      <w:rFonts w:cs="Times New Roman"/>
      <w:sz w:val="21"/>
      <w:szCs w:val="21"/>
    </w:rPr>
  </w:style>
  <w:style w:type="character" w:styleId="33">
    <w:name w:val="footnote reference"/>
    <w:qFormat/>
    <w:uiPriority w:val="99"/>
    <w:rPr>
      <w:vertAlign w:val="superscript"/>
    </w:rPr>
  </w:style>
  <w:style w:type="paragraph" w:customStyle="1" w:styleId="34">
    <w:name w:val="_Style 4"/>
    <w:next w:val="1"/>
    <w:qFormat/>
    <w:uiPriority w:val="0"/>
    <w:pPr>
      <w:wordWrap w:val="0"/>
    </w:pPr>
    <w:rPr>
      <w:rFonts w:ascii="Times New Roman" w:hAnsi="Times New Roman" w:eastAsia="宋体" w:cs="Times New Roman"/>
      <w:sz w:val="32"/>
      <w:lang w:val="en-US" w:eastAsia="zh-CN" w:bidi="ar-SA"/>
    </w:rPr>
  </w:style>
  <w:style w:type="paragraph" w:customStyle="1" w:styleId="35">
    <w:name w:val="标题 5（有编号）（绿盟科技）"/>
    <w:basedOn w:val="1"/>
    <w:next w:val="36"/>
    <w:qFormat/>
    <w:uiPriority w:val="99"/>
    <w:pPr>
      <w:keepNext/>
      <w:keepLines/>
      <w:spacing w:before="280" w:after="156" w:line="377" w:lineRule="auto"/>
      <w:outlineLvl w:val="4"/>
    </w:pPr>
    <w:rPr>
      <w:rFonts w:ascii="Arial" w:hAnsi="Arial" w:eastAsia="黑体" w:cs="Arial"/>
      <w:b/>
      <w:bCs/>
      <w:sz w:val="24"/>
    </w:rPr>
  </w:style>
  <w:style w:type="paragraph" w:customStyle="1" w:styleId="36">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37">
    <w:name w:val="Body Text First Indent 21"/>
    <w:basedOn w:val="38"/>
    <w:qFormat/>
    <w:uiPriority w:val="0"/>
    <w:pPr>
      <w:autoSpaceDE w:val="0"/>
      <w:autoSpaceDN w:val="0"/>
      <w:adjustRightInd w:val="0"/>
      <w:ind w:firstLine="420"/>
      <w:textAlignment w:val="baseline"/>
    </w:pPr>
    <w:rPr>
      <w:rFonts w:ascii="宋体" w:cs="宋体"/>
      <w:kern w:val="0"/>
      <w:szCs w:val="21"/>
    </w:rPr>
  </w:style>
  <w:style w:type="paragraph" w:customStyle="1" w:styleId="38">
    <w:name w:val="Body Text Indent1"/>
    <w:basedOn w:val="1"/>
    <w:qFormat/>
    <w:uiPriority w:val="0"/>
    <w:pPr>
      <w:spacing w:after="120"/>
      <w:ind w:left="420" w:leftChars="200"/>
    </w:pPr>
  </w:style>
  <w:style w:type="paragraph" w:customStyle="1" w:styleId="3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0">
    <w:name w:val="正文（首行缩进2字符）"/>
    <w:basedOn w:val="1"/>
    <w:qFormat/>
    <w:uiPriority w:val="0"/>
    <w:pPr>
      <w:spacing w:line="360" w:lineRule="auto"/>
      <w:ind w:firstLine="420" w:firstLineChars="200"/>
    </w:pPr>
    <w:rPr>
      <w:szCs w:val="21"/>
    </w:rPr>
  </w:style>
  <w:style w:type="paragraph" w:customStyle="1" w:styleId="41">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2">
    <w:name w:val="列出段落1"/>
    <w:basedOn w:val="1"/>
    <w:qFormat/>
    <w:uiPriority w:val="99"/>
    <w:pPr>
      <w:ind w:firstLine="420" w:firstLineChars="200"/>
    </w:pPr>
    <w:rPr>
      <w:rFonts w:ascii="Calibri" w:hAnsi="Calibri"/>
      <w:szCs w:val="22"/>
    </w:rPr>
  </w:style>
  <w:style w:type="paragraph" w:customStyle="1" w:styleId="43">
    <w:name w:val="列出段落11"/>
    <w:basedOn w:val="1"/>
    <w:qFormat/>
    <w:uiPriority w:val="99"/>
    <w:pPr>
      <w:ind w:firstLine="420" w:firstLineChars="200"/>
    </w:pPr>
    <w:rPr>
      <w:rFonts w:ascii="Calibri" w:hAnsi="Calibri"/>
      <w:kern w:val="0"/>
      <w:szCs w:val="20"/>
    </w:rPr>
  </w:style>
  <w:style w:type="paragraph" w:customStyle="1" w:styleId="44">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4"/>
    <w:qFormat/>
    <w:uiPriority w:val="99"/>
    <w:rPr>
      <w:rFonts w:ascii="Times New Roman" w:hAnsi="Times New Roman" w:eastAsia="宋体" w:cs="Times New Roman"/>
      <w:sz w:val="21"/>
      <w:szCs w:val="22"/>
      <w:lang w:val="en-US" w:eastAsia="zh-CN" w:bidi="ar-SA"/>
    </w:rPr>
  </w:style>
  <w:style w:type="paragraph" w:customStyle="1" w:styleId="4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3"/>
    <w:basedOn w:val="50"/>
    <w:qFormat/>
    <w:uiPriority w:val="99"/>
    <w:pPr>
      <w:widowControl/>
      <w:jc w:val="left"/>
    </w:pPr>
    <w:rPr>
      <w:rFonts w:ascii="宋体" w:hAnsi="Courier New"/>
      <w:szCs w:val="21"/>
    </w:rPr>
  </w:style>
  <w:style w:type="paragraph" w:customStyle="1" w:styleId="52">
    <w:name w:val="纯文本_0_1"/>
    <w:basedOn w:val="1"/>
    <w:qFormat/>
    <w:uiPriority w:val="99"/>
    <w:pPr>
      <w:widowControl/>
      <w:jc w:val="left"/>
    </w:pPr>
    <w:rPr>
      <w:rFonts w:ascii="宋体" w:hAnsi="Courier New"/>
      <w:szCs w:val="21"/>
    </w:rPr>
  </w:style>
  <w:style w:type="paragraph" w:customStyle="1" w:styleId="5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正文 A"/>
    <w:qFormat/>
    <w:uiPriority w:val="99"/>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58">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0">
    <w:name w:val="p18"/>
    <w:basedOn w:val="1"/>
    <w:qFormat/>
    <w:uiPriority w:val="99"/>
    <w:pPr>
      <w:widowControl/>
      <w:spacing w:line="748" w:lineRule="atLeast"/>
      <w:ind w:left="-527" w:firstLine="527"/>
    </w:pPr>
    <w:rPr>
      <w:rFonts w:ascii="宋体" w:hAnsi="宋体" w:cs="宋体"/>
      <w:kern w:val="0"/>
      <w:sz w:val="24"/>
    </w:rPr>
  </w:style>
  <w:style w:type="paragraph" w:customStyle="1" w:styleId="61">
    <w:name w:val="表格文字"/>
    <w:basedOn w:val="1"/>
    <w:next w:val="10"/>
    <w:qFormat/>
    <w:uiPriority w:val="99"/>
    <w:pPr>
      <w:adjustRightInd w:val="0"/>
      <w:spacing w:line="420" w:lineRule="atLeast"/>
      <w:jc w:val="left"/>
      <w:textAlignment w:val="baseline"/>
    </w:pPr>
    <w:rPr>
      <w:kern w:val="0"/>
    </w:rPr>
  </w:style>
  <w:style w:type="paragraph" w:customStyle="1" w:styleId="62">
    <w:name w:val="正文2"/>
    <w:basedOn w:val="1"/>
    <w:qFormat/>
    <w:uiPriority w:val="0"/>
    <w:pPr>
      <w:spacing w:before="156" w:line="360" w:lineRule="auto"/>
      <w:ind w:firstLine="510" w:firstLineChars="200"/>
    </w:pPr>
    <w:rPr>
      <w:rFonts w:ascii="Calibri" w:hAnsi="Calibri"/>
      <w:sz w:val="24"/>
      <w:szCs w:val="20"/>
    </w:rPr>
  </w:style>
  <w:style w:type="paragraph" w:customStyle="1" w:styleId="6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样1"/>
    <w:basedOn w:val="1"/>
    <w:qFormat/>
    <w:uiPriority w:val="0"/>
    <w:pPr>
      <w:spacing w:line="360" w:lineRule="auto"/>
      <w:ind w:firstLine="480"/>
    </w:pPr>
    <w:rPr>
      <w:rFonts w:ascii="Calibri" w:hAnsi="Calibri"/>
      <w:sz w:val="24"/>
    </w:rPr>
  </w:style>
  <w:style w:type="paragraph" w:customStyle="1" w:styleId="65">
    <w:name w:val="列出段落21"/>
    <w:basedOn w:val="1"/>
    <w:qFormat/>
    <w:uiPriority w:val="0"/>
    <w:pPr>
      <w:widowControl/>
      <w:ind w:firstLine="420" w:firstLineChars="200"/>
      <w:jc w:val="left"/>
    </w:pPr>
    <w:rPr>
      <w:rFonts w:ascii="Calibri" w:hAnsi="Calibri"/>
      <w:kern w:val="0"/>
      <w:sz w:val="24"/>
    </w:rPr>
  </w:style>
  <w:style w:type="paragraph" w:customStyle="1" w:styleId="66">
    <w:name w:val="正文首行缩进 21"/>
    <w:basedOn w:val="67"/>
    <w:qFormat/>
    <w:uiPriority w:val="0"/>
    <w:pPr>
      <w:ind w:firstLine="420"/>
    </w:pPr>
    <w:rPr>
      <w:rFonts w:cs="宋体"/>
    </w:rPr>
  </w:style>
  <w:style w:type="paragraph" w:customStyle="1" w:styleId="67">
    <w:name w:val="正文文本缩进1"/>
    <w:basedOn w:val="1"/>
    <w:next w:val="1"/>
    <w:qFormat/>
    <w:uiPriority w:val="0"/>
    <w:pPr>
      <w:ind w:left="420" w:leftChars="200"/>
    </w:pPr>
    <w:rPr>
      <w:color w:val="000000"/>
      <w:szCs w:val="21"/>
    </w:rPr>
  </w:style>
  <w:style w:type="paragraph" w:customStyle="1" w:styleId="6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
    <w:basedOn w:val="1"/>
    <w:qFormat/>
    <w:uiPriority w:val="0"/>
    <w:pPr>
      <w:spacing w:line="360" w:lineRule="auto"/>
      <w:ind w:firstLine="200" w:firstLineChars="200"/>
    </w:pPr>
    <w:rPr>
      <w:kern w:val="0"/>
      <w:sz w:val="24"/>
      <w:szCs w:val="20"/>
    </w:rPr>
  </w:style>
  <w:style w:type="paragraph" w:customStyle="1" w:styleId="7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73">
    <w:name w:val="[Normal]"/>
    <w:qFormat/>
    <w:uiPriority w:val="0"/>
    <w:rPr>
      <w:rFonts w:ascii="宋体" w:hAnsi="宋体" w:eastAsia="宋体" w:cs="Times New Roman"/>
      <w:sz w:val="24"/>
      <w:szCs w:val="22"/>
      <w:lang w:val="zh-CN" w:eastAsia="zh-CN" w:bidi="ar-SA"/>
    </w:rPr>
  </w:style>
  <w:style w:type="character" w:customStyle="1" w:styleId="74">
    <w:name w:val="标题 1 Char"/>
    <w:link w:val="3"/>
    <w:qFormat/>
    <w:uiPriority w:val="99"/>
    <w:rPr>
      <w:rFonts w:ascii="Times New Roman" w:hAnsi="Times New Roman" w:cs="Times New Roman"/>
      <w:b/>
      <w:bCs/>
      <w:kern w:val="44"/>
      <w:sz w:val="44"/>
      <w:szCs w:val="44"/>
    </w:rPr>
  </w:style>
  <w:style w:type="character" w:customStyle="1" w:styleId="75">
    <w:name w:val="标题 2 Char"/>
    <w:link w:val="2"/>
    <w:qFormat/>
    <w:uiPriority w:val="99"/>
    <w:rPr>
      <w:rFonts w:ascii="Cambria" w:hAnsi="Cambria" w:eastAsia="宋体" w:cs="Times New Roman"/>
      <w:b/>
      <w:bCs/>
      <w:sz w:val="32"/>
      <w:szCs w:val="32"/>
    </w:rPr>
  </w:style>
  <w:style w:type="character" w:customStyle="1" w:styleId="76">
    <w:name w:val="标题 3 Char"/>
    <w:link w:val="4"/>
    <w:qFormat/>
    <w:uiPriority w:val="99"/>
    <w:rPr>
      <w:rFonts w:cs="Times New Roman"/>
      <w:b/>
      <w:bCs/>
      <w:sz w:val="32"/>
      <w:szCs w:val="32"/>
    </w:rPr>
  </w:style>
  <w:style w:type="character" w:customStyle="1" w:styleId="77">
    <w:name w:val="正文文本 Char"/>
    <w:link w:val="10"/>
    <w:qFormat/>
    <w:uiPriority w:val="99"/>
    <w:rPr>
      <w:rFonts w:cs="Times New Roman"/>
      <w:sz w:val="24"/>
      <w:szCs w:val="24"/>
    </w:rPr>
  </w:style>
  <w:style w:type="character" w:customStyle="1" w:styleId="78">
    <w:name w:val="批注文字 Char"/>
    <w:link w:val="9"/>
    <w:qFormat/>
    <w:uiPriority w:val="99"/>
    <w:rPr>
      <w:rFonts w:ascii="Times New Roman" w:hAnsi="Times New Roman" w:eastAsia="宋体" w:cs="Times New Roman"/>
      <w:kern w:val="2"/>
      <w:sz w:val="24"/>
      <w:szCs w:val="24"/>
    </w:rPr>
  </w:style>
  <w:style w:type="character" w:customStyle="1" w:styleId="79">
    <w:name w:val="Body Text Indent Char"/>
    <w:qFormat/>
    <w:uiPriority w:val="99"/>
    <w:rPr>
      <w:rFonts w:cs="Times New Roman"/>
      <w:kern w:val="2"/>
      <w:sz w:val="24"/>
      <w:szCs w:val="24"/>
    </w:rPr>
  </w:style>
  <w:style w:type="character" w:customStyle="1" w:styleId="80">
    <w:name w:val="纯文本 Char"/>
    <w:link w:val="13"/>
    <w:qFormat/>
    <w:uiPriority w:val="99"/>
    <w:rPr>
      <w:rFonts w:ascii="宋体" w:hAnsi="Courier New" w:cs="Courier New"/>
      <w:sz w:val="21"/>
      <w:szCs w:val="21"/>
    </w:rPr>
  </w:style>
  <w:style w:type="character" w:customStyle="1" w:styleId="81">
    <w:name w:val="日期 Char"/>
    <w:link w:val="14"/>
    <w:qFormat/>
    <w:uiPriority w:val="99"/>
    <w:rPr>
      <w:rFonts w:cs="Times New Roman"/>
      <w:sz w:val="24"/>
      <w:szCs w:val="24"/>
    </w:rPr>
  </w:style>
  <w:style w:type="character" w:customStyle="1" w:styleId="82">
    <w:name w:val="批注框文本 Char"/>
    <w:link w:val="17"/>
    <w:qFormat/>
    <w:uiPriority w:val="99"/>
    <w:rPr>
      <w:rFonts w:ascii="Times New Roman" w:hAnsi="Times New Roman" w:eastAsia="宋体" w:cs="Times New Roman"/>
      <w:kern w:val="2"/>
      <w:sz w:val="18"/>
      <w:szCs w:val="18"/>
    </w:rPr>
  </w:style>
  <w:style w:type="character" w:customStyle="1" w:styleId="83">
    <w:name w:val="页脚 Char"/>
    <w:link w:val="18"/>
    <w:qFormat/>
    <w:uiPriority w:val="99"/>
    <w:rPr>
      <w:rFonts w:cs="Times New Roman"/>
      <w:sz w:val="18"/>
      <w:szCs w:val="18"/>
    </w:rPr>
  </w:style>
  <w:style w:type="character" w:customStyle="1" w:styleId="84">
    <w:name w:val="页眉 Char"/>
    <w:link w:val="19"/>
    <w:qFormat/>
    <w:uiPriority w:val="99"/>
    <w:rPr>
      <w:rFonts w:cs="Times New Roman"/>
      <w:sz w:val="18"/>
      <w:szCs w:val="18"/>
    </w:rPr>
  </w:style>
  <w:style w:type="character" w:customStyle="1" w:styleId="85">
    <w:name w:val="批注主题 Char"/>
    <w:link w:val="26"/>
    <w:qFormat/>
    <w:uiPriority w:val="99"/>
    <w:rPr>
      <w:rFonts w:ascii="Times New Roman" w:hAnsi="Times New Roman" w:eastAsia="宋体" w:cs="Times New Roman"/>
      <w:b/>
      <w:bCs/>
      <w:kern w:val="2"/>
      <w:sz w:val="24"/>
      <w:szCs w:val="24"/>
    </w:rPr>
  </w:style>
  <w:style w:type="character" w:customStyle="1" w:styleId="86">
    <w:name w:val="font11"/>
    <w:qFormat/>
    <w:uiPriority w:val="0"/>
    <w:rPr>
      <w:rFonts w:hint="default" w:ascii="Times New Roman" w:hAnsi="Times New Roman" w:cs="Times New Roman"/>
      <w:color w:val="000000"/>
      <w:sz w:val="24"/>
      <w:szCs w:val="24"/>
      <w:u w:val="none"/>
    </w:rPr>
  </w:style>
  <w:style w:type="character" w:customStyle="1" w:styleId="87">
    <w:name w:val="font01"/>
    <w:qFormat/>
    <w:uiPriority w:val="0"/>
    <w:rPr>
      <w:rFonts w:hint="eastAsia" w:ascii="宋体" w:hAnsi="宋体" w:eastAsia="宋体" w:cs="宋体"/>
      <w:color w:val="000000"/>
      <w:sz w:val="24"/>
      <w:szCs w:val="24"/>
      <w:u w:val="none"/>
    </w:rPr>
  </w:style>
  <w:style w:type="character" w:customStyle="1" w:styleId="88">
    <w:name w:val="font31"/>
    <w:qFormat/>
    <w:uiPriority w:val="0"/>
    <w:rPr>
      <w:rFonts w:hint="eastAsia" w:ascii="宋体" w:hAnsi="宋体" w:eastAsia="宋体" w:cs="宋体"/>
      <w:color w:val="000000"/>
      <w:sz w:val="24"/>
      <w:szCs w:val="24"/>
      <w:u w:val="none"/>
    </w:rPr>
  </w:style>
  <w:style w:type="character" w:customStyle="1" w:styleId="89">
    <w:name w:val="无"/>
    <w:qFormat/>
    <w:uiPriority w:val="99"/>
  </w:style>
  <w:style w:type="table" w:customStyle="1" w:styleId="90">
    <w:name w:val="Table Normal"/>
    <w:qFormat/>
    <w:uiPriority w:val="0"/>
    <w:tblPr>
      <w:tblCellMar>
        <w:top w:w="0" w:type="dxa"/>
        <w:left w:w="0" w:type="dxa"/>
        <w:bottom w:w="0" w:type="dxa"/>
        <w:right w:w="0" w:type="dxa"/>
      </w:tblCellMar>
    </w:tblPr>
  </w:style>
  <w:style w:type="character" w:customStyle="1" w:styleId="91">
    <w:name w:val="NormalCharacter"/>
    <w:semiHidden/>
    <w:qFormat/>
    <w:uiPriority w:val="0"/>
  </w:style>
  <w:style w:type="paragraph" w:customStyle="1" w:styleId="92">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29610</Words>
  <Characters>31168</Characters>
  <Paragraphs>1662</Paragraphs>
  <TotalTime>27</TotalTime>
  <ScaleCrop>false</ScaleCrop>
  <LinksUpToDate>false</LinksUpToDate>
  <CharactersWithSpaces>33055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jin</cp:lastModifiedBy>
  <cp:lastPrinted>2023-09-06T23:45:00Z</cp:lastPrinted>
  <dcterms:modified xsi:type="dcterms:W3CDTF">2024-08-06T05:02:46Z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BA9F7E3A8C386655C540A8669BBB0250</vt:lpwstr>
  </property>
</Properties>
</file>